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9526A" w14:textId="77777777" w:rsidR="00A21E3C" w:rsidRPr="00A85BFE" w:rsidRDefault="00A21E3C" w:rsidP="005F3A53">
      <w:pPr>
        <w:pStyle w:val="Header"/>
        <w:tabs>
          <w:tab w:val="clear" w:pos="4153"/>
          <w:tab w:val="clear" w:pos="8306"/>
        </w:tabs>
        <w:jc w:val="right"/>
        <w:rPr>
          <w:rFonts w:ascii="Arial" w:hAnsi="Arial" w:cs="Arial"/>
          <w:b/>
          <w:sz w:val="28"/>
          <w:szCs w:val="28"/>
        </w:rPr>
      </w:pPr>
      <w:r>
        <w:rPr>
          <w:rFonts w:ascii="Segoe UI" w:hAnsi="Segoe UI" w:cs="Segoe UI"/>
          <w:b/>
          <w:bCs/>
          <w:color w:val="000000"/>
          <w:shd w:val="clear" w:color="auto" w:fill="DCDCDC"/>
        </w:rPr>
        <w:t>2026249</w:t>
      </w:r>
      <w:r w:rsidRPr="00A406E5">
        <w:rPr>
          <w:rFonts w:ascii="Arial" w:hAnsi="Arial" w:cs="Arial"/>
          <w:noProof/>
        </w:rPr>
        <w:drawing>
          <wp:anchor distT="0" distB="0" distL="114300" distR="114300" simplePos="0" relativeHeight="251659264" behindDoc="0" locked="0" layoutInCell="1" allowOverlap="1" wp14:anchorId="2290581F" wp14:editId="1691592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0C2B6322" w14:textId="77777777" w:rsidR="00A21E3C" w:rsidRPr="00A406E5" w:rsidRDefault="00A21E3C" w:rsidP="002D5B3F">
      <w:pPr>
        <w:rPr>
          <w:rFonts w:ascii="Arial" w:hAnsi="Arial" w:cs="Arial"/>
        </w:rPr>
      </w:pPr>
    </w:p>
    <w:p w14:paraId="6EF5604C" w14:textId="77777777" w:rsidR="00A21E3C" w:rsidRPr="00A406E5" w:rsidRDefault="00A21E3C" w:rsidP="002D5B3F">
      <w:pPr>
        <w:jc w:val="center"/>
        <w:rPr>
          <w:rFonts w:ascii="Arial" w:hAnsi="Arial" w:cs="Arial"/>
          <w:b/>
          <w:i/>
          <w:sz w:val="32"/>
        </w:rPr>
      </w:pPr>
    </w:p>
    <w:tbl>
      <w:tblPr>
        <w:tblW w:w="9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3"/>
        <w:gridCol w:w="3167"/>
        <w:gridCol w:w="2551"/>
        <w:gridCol w:w="1401"/>
      </w:tblGrid>
      <w:tr w:rsidR="00A21E3C" w:rsidRPr="00A406E5" w14:paraId="505171A2" w14:textId="77777777" w:rsidTr="00A21E3C">
        <w:trPr>
          <w:trHeight w:val="593"/>
        </w:trPr>
        <w:tc>
          <w:tcPr>
            <w:tcW w:w="1903" w:type="dxa"/>
            <w:shd w:val="clear" w:color="auto" w:fill="D9D9D9" w:themeFill="background1" w:themeFillShade="D9"/>
          </w:tcPr>
          <w:p w14:paraId="567C32F4" w14:textId="77777777" w:rsidR="00A21E3C" w:rsidRPr="00A406E5" w:rsidRDefault="00A21E3C"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67" w:type="dxa"/>
          </w:tcPr>
          <w:p w14:paraId="75BB917B" w14:textId="19477F87" w:rsidR="00A21E3C" w:rsidRPr="00A406E5" w:rsidRDefault="00A21E3C" w:rsidP="001E57C1">
            <w:pPr>
              <w:spacing w:before="120" w:after="120"/>
              <w:jc w:val="both"/>
              <w:rPr>
                <w:rFonts w:ascii="Arial" w:hAnsi="Arial" w:cs="Arial"/>
                <w:b/>
                <w:sz w:val="22"/>
                <w:szCs w:val="22"/>
              </w:rPr>
            </w:pPr>
            <w:r>
              <w:rPr>
                <w:rFonts w:ascii="Arial" w:hAnsi="Arial" w:cs="Arial"/>
                <w:b/>
                <w:sz w:val="22"/>
                <w:szCs w:val="22"/>
              </w:rPr>
              <w:t>Daniel Stoican</w:t>
            </w:r>
          </w:p>
        </w:tc>
        <w:tc>
          <w:tcPr>
            <w:tcW w:w="2551" w:type="dxa"/>
            <w:shd w:val="clear" w:color="auto" w:fill="D9D9D9" w:themeFill="background1" w:themeFillShade="D9"/>
          </w:tcPr>
          <w:p w14:paraId="37C90988" w14:textId="77777777" w:rsidR="00A21E3C" w:rsidRPr="00A406E5" w:rsidRDefault="00A21E3C"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1401" w:type="dxa"/>
          </w:tcPr>
          <w:p w14:paraId="367F64F9" w14:textId="4EF744A8" w:rsidR="00A21E3C" w:rsidRPr="00A406E5" w:rsidRDefault="00A21E3C" w:rsidP="001E57C1">
            <w:pPr>
              <w:spacing w:before="120" w:after="120"/>
              <w:jc w:val="both"/>
              <w:rPr>
                <w:rFonts w:ascii="Arial" w:hAnsi="Arial" w:cs="Arial"/>
                <w:b/>
                <w:sz w:val="22"/>
                <w:szCs w:val="22"/>
              </w:rPr>
            </w:pPr>
            <w:r>
              <w:rPr>
                <w:rFonts w:ascii="Arial" w:hAnsi="Arial" w:cs="Arial"/>
                <w:b/>
                <w:sz w:val="22"/>
                <w:szCs w:val="22"/>
              </w:rPr>
              <w:t>2228042</w:t>
            </w:r>
          </w:p>
        </w:tc>
      </w:tr>
      <w:tr w:rsidR="00A21E3C" w:rsidRPr="00A406E5" w14:paraId="0DB320D2" w14:textId="77777777" w:rsidTr="00A21E3C">
        <w:trPr>
          <w:trHeight w:val="392"/>
        </w:trPr>
        <w:tc>
          <w:tcPr>
            <w:tcW w:w="1903" w:type="dxa"/>
            <w:shd w:val="clear" w:color="auto" w:fill="D9D9D9" w:themeFill="background1" w:themeFillShade="D9"/>
          </w:tcPr>
          <w:p w14:paraId="5F813123" w14:textId="77777777" w:rsidR="00A21E3C" w:rsidRPr="00A406E5" w:rsidRDefault="00A21E3C" w:rsidP="00E91744">
            <w:pPr>
              <w:spacing w:before="120" w:after="120"/>
              <w:jc w:val="both"/>
              <w:rPr>
                <w:rFonts w:ascii="Arial" w:hAnsi="Arial" w:cs="Arial"/>
                <w:b/>
                <w:sz w:val="22"/>
                <w:szCs w:val="22"/>
              </w:rPr>
            </w:pPr>
            <w:r w:rsidRPr="00A406E5">
              <w:rPr>
                <w:rFonts w:ascii="Arial" w:hAnsi="Arial" w:cs="Arial"/>
                <w:b/>
                <w:sz w:val="22"/>
                <w:szCs w:val="22"/>
              </w:rPr>
              <w:t>Programme:</w:t>
            </w:r>
          </w:p>
        </w:tc>
        <w:tc>
          <w:tcPr>
            <w:tcW w:w="7119" w:type="dxa"/>
            <w:gridSpan w:val="3"/>
            <w:vAlign w:val="center"/>
          </w:tcPr>
          <w:p w14:paraId="7A46EB05" w14:textId="77777777" w:rsidR="00A21E3C" w:rsidRPr="00A406E5" w:rsidRDefault="00A21E3C" w:rsidP="00E91744">
            <w:pPr>
              <w:spacing w:before="120" w:after="120"/>
              <w:jc w:val="both"/>
              <w:rPr>
                <w:rFonts w:ascii="Arial" w:hAnsi="Arial" w:cs="Arial"/>
                <w:b/>
                <w:sz w:val="22"/>
                <w:szCs w:val="22"/>
              </w:rPr>
            </w:pPr>
            <w:r w:rsidRPr="001A03AA">
              <w:rPr>
                <w:rFonts w:ascii="Arial" w:eastAsia="Arial" w:hAnsi="Arial" w:cs="Arial"/>
                <w:b/>
                <w:sz w:val="22"/>
                <w:szCs w:val="22"/>
              </w:rPr>
              <w:t xml:space="preserve">BA (Hons) Leadership and Management Skills in the Workplace </w:t>
            </w:r>
          </w:p>
        </w:tc>
      </w:tr>
      <w:tr w:rsidR="00A21E3C" w:rsidRPr="00A406E5" w14:paraId="1575AD75" w14:textId="77777777" w:rsidTr="00A21E3C">
        <w:trPr>
          <w:trHeight w:val="392"/>
        </w:trPr>
        <w:tc>
          <w:tcPr>
            <w:tcW w:w="1903" w:type="dxa"/>
            <w:shd w:val="clear" w:color="auto" w:fill="D9D9D9" w:themeFill="background1" w:themeFillShade="D9"/>
          </w:tcPr>
          <w:p w14:paraId="2BFED176" w14:textId="77777777" w:rsidR="00A21E3C" w:rsidRPr="00A406E5" w:rsidRDefault="00A21E3C" w:rsidP="00E91744">
            <w:pPr>
              <w:spacing w:before="120" w:after="120"/>
              <w:jc w:val="both"/>
              <w:rPr>
                <w:rFonts w:ascii="Arial" w:hAnsi="Arial" w:cs="Arial"/>
                <w:b/>
                <w:sz w:val="22"/>
                <w:szCs w:val="22"/>
              </w:rPr>
            </w:pPr>
            <w:r w:rsidRPr="00A406E5">
              <w:rPr>
                <w:rFonts w:ascii="Arial" w:hAnsi="Arial" w:cs="Arial"/>
                <w:b/>
                <w:sz w:val="22"/>
                <w:szCs w:val="22"/>
              </w:rPr>
              <w:t>Module:</w:t>
            </w:r>
          </w:p>
        </w:tc>
        <w:tc>
          <w:tcPr>
            <w:tcW w:w="7119" w:type="dxa"/>
            <w:gridSpan w:val="3"/>
            <w:vAlign w:val="center"/>
          </w:tcPr>
          <w:p w14:paraId="69B6660B" w14:textId="77777777" w:rsidR="00A21E3C" w:rsidRPr="00A406E5" w:rsidRDefault="00A21E3C" w:rsidP="00E91744">
            <w:pPr>
              <w:spacing w:before="120" w:after="120"/>
              <w:jc w:val="both"/>
              <w:rPr>
                <w:rFonts w:ascii="Arial" w:hAnsi="Arial" w:cs="Arial"/>
                <w:b/>
                <w:sz w:val="22"/>
                <w:szCs w:val="22"/>
              </w:rPr>
            </w:pPr>
            <w:r>
              <w:rPr>
                <w:rFonts w:ascii="Arial" w:eastAsia="Arial" w:hAnsi="Arial" w:cs="Arial"/>
                <w:b/>
                <w:sz w:val="22"/>
                <w:szCs w:val="22"/>
              </w:rPr>
              <w:t xml:space="preserve">Project Management </w:t>
            </w:r>
            <w:r w:rsidRPr="001A03AA">
              <w:rPr>
                <w:rFonts w:ascii="Arial" w:eastAsia="Arial" w:hAnsi="Arial" w:cs="Arial"/>
                <w:b/>
                <w:sz w:val="22"/>
                <w:szCs w:val="22"/>
              </w:rPr>
              <w:t xml:space="preserve"> </w:t>
            </w:r>
          </w:p>
        </w:tc>
      </w:tr>
      <w:tr w:rsidR="00A21E3C" w:rsidRPr="00A406E5" w14:paraId="255FB6B7" w14:textId="77777777" w:rsidTr="00A21E3C">
        <w:trPr>
          <w:trHeight w:val="2550"/>
        </w:trPr>
        <w:tc>
          <w:tcPr>
            <w:tcW w:w="1903" w:type="dxa"/>
            <w:shd w:val="clear" w:color="auto" w:fill="D9D9D9" w:themeFill="background1" w:themeFillShade="D9"/>
          </w:tcPr>
          <w:p w14:paraId="5E8C25D6" w14:textId="77777777" w:rsidR="00A21E3C" w:rsidRPr="00A406E5" w:rsidRDefault="00A21E3C" w:rsidP="00E91744">
            <w:pPr>
              <w:spacing w:before="120" w:after="120"/>
              <w:jc w:val="both"/>
              <w:rPr>
                <w:rFonts w:ascii="Arial" w:hAnsi="Arial" w:cs="Arial"/>
                <w:b/>
                <w:sz w:val="22"/>
                <w:szCs w:val="22"/>
              </w:rPr>
            </w:pPr>
            <w:r w:rsidRPr="00A406E5">
              <w:rPr>
                <w:rFonts w:ascii="Arial" w:hAnsi="Arial" w:cs="Arial"/>
                <w:b/>
                <w:sz w:val="22"/>
                <w:szCs w:val="22"/>
              </w:rPr>
              <w:t>Module code:</w:t>
            </w:r>
          </w:p>
        </w:tc>
        <w:tc>
          <w:tcPr>
            <w:tcW w:w="3167" w:type="dxa"/>
          </w:tcPr>
          <w:p w14:paraId="419475C2" w14:textId="77777777" w:rsidR="00A21E3C" w:rsidRPr="002749C1" w:rsidRDefault="00A21E3C" w:rsidP="00E91744">
            <w:pPr>
              <w:spacing w:before="120" w:after="120"/>
              <w:jc w:val="both"/>
              <w:rPr>
                <w:rFonts w:ascii="Arial" w:hAnsi="Arial" w:cs="Arial"/>
                <w:b/>
                <w:sz w:val="24"/>
                <w:szCs w:val="24"/>
              </w:rPr>
            </w:pPr>
            <w:r w:rsidRPr="002749C1">
              <w:rPr>
                <w:b/>
                <w:bCs/>
                <w:sz w:val="24"/>
                <w:szCs w:val="24"/>
              </w:rPr>
              <w:t>LCLM5003</w:t>
            </w:r>
            <w:r w:rsidRPr="002749C1">
              <w:rPr>
                <w:rFonts w:ascii="Arial" w:eastAsia="Arial" w:hAnsi="Arial" w:cs="Arial"/>
                <w:sz w:val="24"/>
                <w:szCs w:val="24"/>
              </w:rPr>
              <w:t xml:space="preserve"> </w:t>
            </w:r>
          </w:p>
        </w:tc>
        <w:tc>
          <w:tcPr>
            <w:tcW w:w="2551" w:type="dxa"/>
            <w:shd w:val="clear" w:color="auto" w:fill="D9D9D9" w:themeFill="background1" w:themeFillShade="D9"/>
          </w:tcPr>
          <w:p w14:paraId="77766658" w14:textId="77777777" w:rsidR="00A21E3C" w:rsidRPr="004D5E9B" w:rsidRDefault="00A21E3C" w:rsidP="00E91744">
            <w:pPr>
              <w:pStyle w:val="Heading2"/>
              <w:rPr>
                <w:rFonts w:ascii="Arial" w:hAnsi="Arial" w:cs="Arial"/>
                <w:sz w:val="22"/>
                <w:szCs w:val="22"/>
              </w:rPr>
            </w:pPr>
            <w:r>
              <w:t>Contribution to Overall Module Assessment (%):</w:t>
            </w:r>
          </w:p>
        </w:tc>
        <w:tc>
          <w:tcPr>
            <w:tcW w:w="1401" w:type="dxa"/>
          </w:tcPr>
          <w:p w14:paraId="14413A21" w14:textId="77777777" w:rsidR="00A21E3C" w:rsidRPr="00A406E5" w:rsidRDefault="00A21E3C" w:rsidP="00E91744">
            <w:pPr>
              <w:spacing w:before="120" w:after="120"/>
              <w:jc w:val="both"/>
              <w:rPr>
                <w:rFonts w:ascii="Arial" w:hAnsi="Arial" w:cs="Arial"/>
                <w:b/>
                <w:sz w:val="22"/>
                <w:szCs w:val="22"/>
              </w:rPr>
            </w:pPr>
            <w:r>
              <w:rPr>
                <w:rFonts w:ascii="Arial" w:eastAsia="Arial" w:hAnsi="Arial" w:cs="Arial"/>
                <w:sz w:val="22"/>
                <w:szCs w:val="22"/>
              </w:rPr>
              <w:t>100%</w:t>
            </w:r>
          </w:p>
        </w:tc>
      </w:tr>
      <w:tr w:rsidR="00A21E3C" w:rsidRPr="00A406E5" w14:paraId="2E3890CC" w14:textId="77777777" w:rsidTr="00A21E3C">
        <w:trPr>
          <w:trHeight w:val="985"/>
        </w:trPr>
        <w:tc>
          <w:tcPr>
            <w:tcW w:w="1903" w:type="dxa"/>
            <w:shd w:val="clear" w:color="auto" w:fill="D9D9D9" w:themeFill="background1" w:themeFillShade="D9"/>
          </w:tcPr>
          <w:p w14:paraId="63F16332" w14:textId="77777777" w:rsidR="00A21E3C" w:rsidRDefault="00A21E3C" w:rsidP="146E1E25">
            <w:pPr>
              <w:spacing w:before="120" w:after="120"/>
              <w:jc w:val="both"/>
              <w:rPr>
                <w:rFonts w:ascii="Arial" w:eastAsia="Arial" w:hAnsi="Arial" w:cs="Arial"/>
                <w:color w:val="000000" w:themeColor="text1"/>
                <w:sz w:val="22"/>
                <w:szCs w:val="22"/>
              </w:rPr>
            </w:pPr>
            <w:r w:rsidRPr="146E1E25">
              <w:rPr>
                <w:rFonts w:ascii="Arial" w:eastAsia="Arial" w:hAnsi="Arial" w:cs="Arial"/>
                <w:b/>
                <w:bCs/>
                <w:color w:val="000000" w:themeColor="text1"/>
                <w:sz w:val="22"/>
                <w:szCs w:val="22"/>
              </w:rPr>
              <w:t xml:space="preserve"> </w:t>
            </w:r>
            <w:r>
              <w:rPr>
                <w:rFonts w:ascii="Arial" w:eastAsia="Arial" w:hAnsi="Arial" w:cs="Arial"/>
                <w:b/>
                <w:bCs/>
                <w:color w:val="000000" w:themeColor="text1"/>
                <w:sz w:val="22"/>
                <w:szCs w:val="22"/>
              </w:rPr>
              <w:t>Module Leaders</w:t>
            </w:r>
            <w:r w:rsidRPr="146E1E25">
              <w:rPr>
                <w:rFonts w:ascii="Arial" w:eastAsia="Arial" w:hAnsi="Arial" w:cs="Arial"/>
                <w:b/>
                <w:bCs/>
                <w:color w:val="000000" w:themeColor="text1"/>
                <w:sz w:val="22"/>
                <w:szCs w:val="22"/>
              </w:rPr>
              <w:t>:</w:t>
            </w:r>
          </w:p>
        </w:tc>
        <w:tc>
          <w:tcPr>
            <w:tcW w:w="3167" w:type="dxa"/>
            <w:vAlign w:val="center"/>
          </w:tcPr>
          <w:p w14:paraId="3E775167" w14:textId="77777777" w:rsidR="00A21E3C" w:rsidRDefault="00A21E3C" w:rsidP="008C36B4">
            <w:pPr>
              <w:spacing w:before="120" w:after="120"/>
              <w:jc w:val="both"/>
              <w:rPr>
                <w:rFonts w:ascii="Arial" w:eastAsia="Arial" w:hAnsi="Arial" w:cs="Arial"/>
                <w:b/>
                <w:bCs/>
                <w:color w:val="000000" w:themeColor="text1"/>
                <w:sz w:val="22"/>
                <w:szCs w:val="22"/>
              </w:rPr>
            </w:pPr>
            <w:r w:rsidRPr="6088414F">
              <w:rPr>
                <w:rFonts w:ascii="Arial" w:eastAsia="Arial" w:hAnsi="Arial" w:cs="Arial"/>
                <w:b/>
                <w:bCs/>
                <w:color w:val="000000" w:themeColor="text1"/>
                <w:sz w:val="22"/>
                <w:szCs w:val="22"/>
              </w:rPr>
              <w:t>Rexon Nting</w:t>
            </w:r>
          </w:p>
          <w:p w14:paraId="027AA6E7" w14:textId="77777777" w:rsidR="00A21E3C" w:rsidRPr="008C36B4" w:rsidRDefault="00A21E3C" w:rsidP="008C36B4">
            <w:pPr>
              <w:spacing w:before="120" w:after="120"/>
              <w:jc w:val="both"/>
              <w:rPr>
                <w:rFonts w:ascii="Arial" w:eastAsia="Arial" w:hAnsi="Arial" w:cs="Arial"/>
                <w:b/>
                <w:bCs/>
                <w:color w:val="000000" w:themeColor="text1"/>
                <w:sz w:val="22"/>
                <w:szCs w:val="22"/>
              </w:rPr>
            </w:pPr>
            <w:r w:rsidRPr="008C36B4">
              <w:rPr>
                <w:rFonts w:ascii="Arial" w:eastAsia="Arial" w:hAnsi="Arial" w:cs="Arial"/>
                <w:b/>
                <w:bCs/>
                <w:color w:val="000000" w:themeColor="text1"/>
                <w:sz w:val="22"/>
                <w:szCs w:val="22"/>
              </w:rPr>
              <w:t xml:space="preserve">Sharin </w:t>
            </w:r>
            <w:proofErr w:type="spellStart"/>
            <w:r w:rsidRPr="008C36B4">
              <w:rPr>
                <w:rFonts w:ascii="Arial" w:eastAsia="Arial" w:hAnsi="Arial" w:cs="Arial"/>
                <w:b/>
                <w:bCs/>
                <w:color w:val="000000" w:themeColor="text1"/>
                <w:sz w:val="22"/>
                <w:szCs w:val="22"/>
              </w:rPr>
              <w:t>Mcdowall-Emefiele</w:t>
            </w:r>
            <w:proofErr w:type="spellEnd"/>
          </w:p>
          <w:p w14:paraId="36618E29" w14:textId="77777777" w:rsidR="00A21E3C" w:rsidRDefault="00A21E3C" w:rsidP="6088414F">
            <w:pPr>
              <w:spacing w:before="120" w:after="120"/>
              <w:jc w:val="both"/>
              <w:rPr>
                <w:rFonts w:ascii="Arial" w:eastAsia="Arial" w:hAnsi="Arial" w:cs="Arial"/>
                <w:color w:val="000000" w:themeColor="text1"/>
                <w:sz w:val="22"/>
                <w:szCs w:val="22"/>
              </w:rPr>
            </w:pPr>
          </w:p>
        </w:tc>
        <w:tc>
          <w:tcPr>
            <w:tcW w:w="2551" w:type="dxa"/>
            <w:shd w:val="clear" w:color="auto" w:fill="D9D9D9" w:themeFill="background1" w:themeFillShade="D9"/>
            <w:vAlign w:val="center"/>
          </w:tcPr>
          <w:p w14:paraId="5797951C" w14:textId="77777777" w:rsidR="00A21E3C" w:rsidRDefault="00A21E3C" w:rsidP="146E1E25">
            <w:pPr>
              <w:spacing w:before="120" w:after="120"/>
              <w:jc w:val="both"/>
              <w:rPr>
                <w:rFonts w:ascii="Arial" w:eastAsia="Arial" w:hAnsi="Arial" w:cs="Arial"/>
                <w:color w:val="000000" w:themeColor="text1"/>
                <w:sz w:val="22"/>
                <w:szCs w:val="22"/>
              </w:rPr>
            </w:pPr>
            <w:r w:rsidRPr="146E1E25">
              <w:rPr>
                <w:rFonts w:ascii="Arial" w:eastAsia="Arial" w:hAnsi="Arial" w:cs="Arial"/>
                <w:b/>
                <w:bCs/>
                <w:color w:val="000000" w:themeColor="text1"/>
                <w:sz w:val="22"/>
                <w:szCs w:val="22"/>
              </w:rPr>
              <w:t>Internal Verifier:</w:t>
            </w:r>
          </w:p>
        </w:tc>
        <w:tc>
          <w:tcPr>
            <w:tcW w:w="1401" w:type="dxa"/>
            <w:vAlign w:val="center"/>
          </w:tcPr>
          <w:p w14:paraId="6D403853" w14:textId="77777777" w:rsidR="00A21E3C" w:rsidRDefault="00A21E3C" w:rsidP="5CD0CC4C">
            <w:pPr>
              <w:spacing w:before="120" w:after="120"/>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Md Kalam</w:t>
            </w:r>
          </w:p>
          <w:p w14:paraId="53BDAA3C" w14:textId="77777777" w:rsidR="00A21E3C" w:rsidRDefault="00A21E3C" w:rsidP="5CD0CC4C">
            <w:pPr>
              <w:spacing w:before="120" w:after="120"/>
              <w:jc w:val="both"/>
              <w:rPr>
                <w:rFonts w:ascii="Arial" w:eastAsia="Arial" w:hAnsi="Arial" w:cs="Arial"/>
                <w:color w:val="000000" w:themeColor="text1"/>
                <w:sz w:val="22"/>
                <w:szCs w:val="22"/>
              </w:rPr>
            </w:pPr>
            <w:r>
              <w:rPr>
                <w:rFonts w:ascii="Arial" w:eastAsia="Arial" w:hAnsi="Arial" w:cs="Arial"/>
                <w:b/>
                <w:bCs/>
                <w:color w:val="000000" w:themeColor="text1"/>
                <w:sz w:val="22"/>
                <w:szCs w:val="22"/>
              </w:rPr>
              <w:t>Samuel Ofori</w:t>
            </w:r>
          </w:p>
        </w:tc>
      </w:tr>
      <w:tr w:rsidR="00A21E3C" w:rsidRPr="00A406E5" w14:paraId="72EAE13D" w14:textId="77777777" w:rsidTr="00A21E3C">
        <w:trPr>
          <w:trHeight w:val="2784"/>
        </w:trPr>
        <w:tc>
          <w:tcPr>
            <w:tcW w:w="1903" w:type="dxa"/>
            <w:shd w:val="clear" w:color="auto" w:fill="D9D9D9" w:themeFill="background1" w:themeFillShade="D9"/>
          </w:tcPr>
          <w:p w14:paraId="4B17A326" w14:textId="77777777" w:rsidR="00A21E3C" w:rsidRPr="00A406E5" w:rsidRDefault="00A21E3C" w:rsidP="00E9174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67" w:type="dxa"/>
          </w:tcPr>
          <w:p w14:paraId="64DAB5C1" w14:textId="77777777" w:rsidR="00A21E3C" w:rsidRPr="00681BF2" w:rsidRDefault="00A21E3C" w:rsidP="00E91744">
            <w:pPr>
              <w:spacing w:before="120" w:after="120"/>
              <w:jc w:val="both"/>
              <w:rPr>
                <w:rFonts w:ascii="Arial" w:hAnsi="Arial" w:cs="Arial"/>
                <w:b/>
                <w:sz w:val="24"/>
                <w:szCs w:val="24"/>
              </w:rPr>
            </w:pPr>
            <w:r w:rsidRPr="00681BF2">
              <w:rPr>
                <w:rFonts w:ascii="Arial" w:hAnsi="Arial" w:cs="Arial"/>
                <w:sz w:val="24"/>
                <w:szCs w:val="24"/>
              </w:rPr>
              <w:t xml:space="preserve">A Project </w:t>
            </w:r>
            <w:r>
              <w:rPr>
                <w:rFonts w:ascii="Arial" w:hAnsi="Arial" w:cs="Arial"/>
                <w:sz w:val="24"/>
                <w:szCs w:val="24"/>
              </w:rPr>
              <w:t>portfolio.</w:t>
            </w:r>
          </w:p>
        </w:tc>
        <w:tc>
          <w:tcPr>
            <w:tcW w:w="2551" w:type="dxa"/>
            <w:shd w:val="clear" w:color="auto" w:fill="D9D9D9" w:themeFill="background1" w:themeFillShade="D9"/>
          </w:tcPr>
          <w:p w14:paraId="357B9BDC" w14:textId="77777777" w:rsidR="00A21E3C" w:rsidRPr="000F0C85" w:rsidRDefault="00A21E3C" w:rsidP="00E91744">
            <w:pPr>
              <w:spacing w:before="120" w:after="120"/>
              <w:jc w:val="both"/>
              <w:rPr>
                <w:rFonts w:ascii="Arial" w:hAnsi="Arial" w:cs="Arial"/>
                <w:b/>
                <w:bCs/>
                <w:sz w:val="22"/>
                <w:szCs w:val="22"/>
              </w:rPr>
            </w:pPr>
            <w:r w:rsidRPr="000F0C85">
              <w:rPr>
                <w:rFonts w:ascii="Arial" w:eastAsia="Arial" w:hAnsi="Arial" w:cs="Arial"/>
                <w:b/>
                <w:bCs/>
                <w:sz w:val="22"/>
                <w:szCs w:val="22"/>
              </w:rPr>
              <w:t xml:space="preserve">Word count or equivalent. </w:t>
            </w:r>
          </w:p>
        </w:tc>
        <w:tc>
          <w:tcPr>
            <w:tcW w:w="1401" w:type="dxa"/>
          </w:tcPr>
          <w:p w14:paraId="2D1DFFCB" w14:textId="0DD40732" w:rsidR="00A21E3C" w:rsidRPr="001008CB" w:rsidRDefault="00A21E3C" w:rsidP="001008CB">
            <w:pPr>
              <w:spacing w:before="120" w:after="120"/>
              <w:jc w:val="both"/>
              <w:rPr>
                <w:rFonts w:ascii="Arial" w:eastAsia="Arial" w:hAnsi="Arial" w:cs="Arial"/>
                <w:sz w:val="22"/>
                <w:szCs w:val="22"/>
              </w:rPr>
            </w:pPr>
          </w:p>
        </w:tc>
      </w:tr>
      <w:tr w:rsidR="00A21E3C" w:rsidRPr="00A406E5" w14:paraId="59FB593F" w14:textId="77777777" w:rsidTr="00A21E3C">
        <w:trPr>
          <w:trHeight w:val="1235"/>
        </w:trPr>
        <w:tc>
          <w:tcPr>
            <w:tcW w:w="1903" w:type="dxa"/>
            <w:shd w:val="clear" w:color="auto" w:fill="D9D9D9" w:themeFill="background1" w:themeFillShade="D9"/>
          </w:tcPr>
          <w:p w14:paraId="37CFE0D7" w14:textId="77777777" w:rsidR="00A21E3C" w:rsidRPr="00A406E5" w:rsidRDefault="00A21E3C" w:rsidP="00E9174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67" w:type="dxa"/>
          </w:tcPr>
          <w:p w14:paraId="3CF15F5D" w14:textId="77777777" w:rsidR="00A21E3C" w:rsidRDefault="00A21E3C" w:rsidP="00202447">
            <w:pPr>
              <w:spacing w:before="120" w:after="120"/>
              <w:jc w:val="both"/>
              <w:rPr>
                <w:rFonts w:ascii="Arial" w:eastAsia="Arial" w:hAnsi="Arial" w:cs="Arial"/>
                <w:b/>
                <w:bCs/>
                <w:sz w:val="22"/>
                <w:szCs w:val="22"/>
              </w:rPr>
            </w:pPr>
            <w:r>
              <w:rPr>
                <w:rFonts w:ascii="Arial" w:eastAsia="Arial" w:hAnsi="Arial" w:cs="Arial"/>
                <w:b/>
                <w:bCs/>
                <w:color w:val="FF0000"/>
                <w:sz w:val="22"/>
                <w:szCs w:val="22"/>
              </w:rPr>
              <w:t>Submit p</w:t>
            </w:r>
            <w:r w:rsidRPr="00B3637D">
              <w:rPr>
                <w:rFonts w:ascii="Arial" w:eastAsia="Arial" w:hAnsi="Arial" w:cs="Arial"/>
                <w:b/>
                <w:bCs/>
                <w:color w:val="FF0000"/>
                <w:sz w:val="22"/>
                <w:szCs w:val="22"/>
              </w:rPr>
              <w:t>art</w:t>
            </w:r>
            <w:r>
              <w:rPr>
                <w:rFonts w:ascii="Arial" w:eastAsia="Arial" w:hAnsi="Arial" w:cs="Arial"/>
                <w:b/>
                <w:bCs/>
                <w:color w:val="FF0000"/>
                <w:sz w:val="22"/>
                <w:szCs w:val="22"/>
              </w:rPr>
              <w:t>s</w:t>
            </w:r>
            <w:r w:rsidRPr="00B3637D">
              <w:rPr>
                <w:rFonts w:ascii="Arial" w:eastAsia="Arial" w:hAnsi="Arial" w:cs="Arial"/>
                <w:b/>
                <w:bCs/>
                <w:color w:val="FF0000"/>
                <w:sz w:val="22"/>
                <w:szCs w:val="22"/>
              </w:rPr>
              <w:t xml:space="preserve"> A,</w:t>
            </w:r>
            <w:r>
              <w:rPr>
                <w:rFonts w:ascii="Arial" w:eastAsia="Arial" w:hAnsi="Arial" w:cs="Arial"/>
                <w:b/>
                <w:bCs/>
                <w:color w:val="FF0000"/>
                <w:sz w:val="22"/>
                <w:szCs w:val="22"/>
              </w:rPr>
              <w:t xml:space="preserve"> </w:t>
            </w:r>
            <w:r w:rsidRPr="00B3637D">
              <w:rPr>
                <w:rFonts w:ascii="Arial" w:eastAsia="Arial" w:hAnsi="Arial" w:cs="Arial"/>
                <w:b/>
                <w:bCs/>
                <w:color w:val="FF0000"/>
                <w:sz w:val="22"/>
                <w:szCs w:val="22"/>
              </w:rPr>
              <w:t>B</w:t>
            </w:r>
            <w:r>
              <w:rPr>
                <w:rFonts w:ascii="Arial" w:eastAsia="Arial" w:hAnsi="Arial" w:cs="Arial"/>
                <w:b/>
                <w:bCs/>
                <w:color w:val="FF0000"/>
                <w:sz w:val="22"/>
                <w:szCs w:val="22"/>
              </w:rPr>
              <w:t xml:space="preserve"> </w:t>
            </w:r>
            <w:r w:rsidRPr="00B3637D">
              <w:rPr>
                <w:rFonts w:ascii="Arial" w:eastAsia="Arial" w:hAnsi="Arial" w:cs="Arial"/>
                <w:b/>
                <w:bCs/>
                <w:color w:val="FF0000"/>
                <w:sz w:val="22"/>
                <w:szCs w:val="22"/>
              </w:rPr>
              <w:t>&amp;</w:t>
            </w:r>
            <w:r>
              <w:rPr>
                <w:rFonts w:ascii="Arial" w:eastAsia="Arial" w:hAnsi="Arial" w:cs="Arial"/>
                <w:b/>
                <w:bCs/>
                <w:color w:val="FF0000"/>
                <w:sz w:val="22"/>
                <w:szCs w:val="22"/>
              </w:rPr>
              <w:t xml:space="preserve"> </w:t>
            </w:r>
            <w:r w:rsidRPr="00B3637D">
              <w:rPr>
                <w:rFonts w:ascii="Arial" w:eastAsia="Arial" w:hAnsi="Arial" w:cs="Arial"/>
                <w:b/>
                <w:bCs/>
                <w:color w:val="FF0000"/>
                <w:sz w:val="22"/>
                <w:szCs w:val="22"/>
              </w:rPr>
              <w:t>C as a single portfolio document</w:t>
            </w:r>
            <w:r>
              <w:rPr>
                <w:rFonts w:ascii="Arial" w:eastAsia="Arial" w:hAnsi="Arial" w:cs="Arial"/>
                <w:b/>
                <w:bCs/>
                <w:color w:val="FF0000"/>
                <w:sz w:val="22"/>
                <w:szCs w:val="22"/>
              </w:rPr>
              <w:t xml:space="preserve"> using the template provided</w:t>
            </w:r>
            <w:r w:rsidRPr="00B3637D">
              <w:rPr>
                <w:rFonts w:ascii="Arial" w:eastAsia="Arial" w:hAnsi="Arial" w:cs="Arial"/>
                <w:b/>
                <w:bCs/>
                <w:color w:val="FF0000"/>
                <w:sz w:val="22"/>
                <w:szCs w:val="22"/>
              </w:rPr>
              <w:t xml:space="preserve"> </w:t>
            </w:r>
          </w:p>
          <w:p w14:paraId="12E442A9" w14:textId="77777777" w:rsidR="00A21E3C" w:rsidRDefault="00A21E3C" w:rsidP="001008CB">
            <w:pPr>
              <w:spacing w:before="120" w:after="120"/>
              <w:jc w:val="both"/>
              <w:rPr>
                <w:rFonts w:ascii="Arial" w:eastAsia="Arial" w:hAnsi="Arial" w:cs="Arial"/>
                <w:b/>
                <w:bCs/>
                <w:sz w:val="22"/>
                <w:szCs w:val="22"/>
              </w:rPr>
            </w:pPr>
            <w:r>
              <w:rPr>
                <w:rFonts w:ascii="Arial" w:eastAsia="Arial" w:hAnsi="Arial" w:cs="Arial"/>
                <w:b/>
                <w:bCs/>
                <w:sz w:val="22"/>
                <w:szCs w:val="22"/>
              </w:rPr>
              <w:t>21</w:t>
            </w:r>
            <w:r w:rsidRPr="001571B0">
              <w:rPr>
                <w:rFonts w:ascii="Arial" w:eastAsia="Arial" w:hAnsi="Arial" w:cs="Arial"/>
                <w:b/>
                <w:bCs/>
                <w:sz w:val="22"/>
                <w:szCs w:val="22"/>
                <w:vertAlign w:val="superscript"/>
              </w:rPr>
              <w:t>st</w:t>
            </w:r>
            <w:r>
              <w:rPr>
                <w:rFonts w:ascii="Arial" w:eastAsia="Arial" w:hAnsi="Arial" w:cs="Arial"/>
                <w:b/>
                <w:bCs/>
                <w:sz w:val="22"/>
                <w:szCs w:val="22"/>
              </w:rPr>
              <w:t xml:space="preserve"> November 2025</w:t>
            </w:r>
          </w:p>
          <w:p w14:paraId="59DE18FF" w14:textId="77777777" w:rsidR="00A21E3C" w:rsidRPr="00A34827" w:rsidRDefault="00A21E3C" w:rsidP="007A516C">
            <w:pPr>
              <w:spacing w:before="120" w:after="120"/>
              <w:jc w:val="both"/>
              <w:rPr>
                <w:rFonts w:ascii="Arial" w:eastAsia="Arial" w:hAnsi="Arial" w:cs="Arial"/>
                <w:b/>
                <w:bCs/>
                <w:sz w:val="22"/>
                <w:szCs w:val="22"/>
              </w:rPr>
            </w:pPr>
            <w:r>
              <w:rPr>
                <w:rFonts w:ascii="Arial" w:eastAsia="Arial" w:hAnsi="Arial" w:cs="Arial"/>
                <w:b/>
                <w:bCs/>
                <w:sz w:val="22"/>
                <w:szCs w:val="22"/>
              </w:rPr>
              <w:t>14:00 (2PM)</w:t>
            </w:r>
          </w:p>
        </w:tc>
        <w:tc>
          <w:tcPr>
            <w:tcW w:w="2551" w:type="dxa"/>
            <w:shd w:val="clear" w:color="auto" w:fill="D9D9D9" w:themeFill="background1" w:themeFillShade="D9"/>
          </w:tcPr>
          <w:p w14:paraId="3871D30B" w14:textId="77777777" w:rsidR="00A21E3C" w:rsidRPr="001008CB" w:rsidRDefault="00A21E3C" w:rsidP="001008CB">
            <w:pPr>
              <w:spacing w:after="473"/>
              <w:jc w:val="both"/>
              <w:rPr>
                <w:rFonts w:ascii="Arial" w:hAnsi="Arial" w:cs="Arial"/>
                <w:b/>
                <w:bCs/>
                <w:sz w:val="22"/>
                <w:szCs w:val="22"/>
              </w:rPr>
            </w:pPr>
            <w:r w:rsidRPr="000F0C85">
              <w:rPr>
                <w:rFonts w:ascii="Arial" w:eastAsia="Arial" w:hAnsi="Arial" w:cs="Arial"/>
                <w:b/>
                <w:bCs/>
                <w:sz w:val="22"/>
                <w:szCs w:val="22"/>
              </w:rPr>
              <w:t>Return date for provisional marks and written feedback</w:t>
            </w:r>
            <w:r>
              <w:rPr>
                <w:rFonts w:ascii="Arial" w:eastAsia="Arial" w:hAnsi="Arial" w:cs="Arial"/>
                <w:b/>
                <w:bCs/>
                <w:sz w:val="22"/>
                <w:szCs w:val="22"/>
              </w:rPr>
              <w:t>:</w:t>
            </w:r>
          </w:p>
        </w:tc>
        <w:tc>
          <w:tcPr>
            <w:tcW w:w="1401" w:type="dxa"/>
          </w:tcPr>
          <w:p w14:paraId="01BA0FC3" w14:textId="77777777" w:rsidR="00A21E3C" w:rsidRPr="001008CB" w:rsidRDefault="00A21E3C" w:rsidP="001008CB">
            <w:pPr>
              <w:spacing w:before="120" w:after="120"/>
              <w:jc w:val="both"/>
              <w:rPr>
                <w:rFonts w:ascii="Arial" w:eastAsia="Arial" w:hAnsi="Arial" w:cs="Arial"/>
                <w:b/>
                <w:bCs/>
                <w:sz w:val="22"/>
                <w:szCs w:val="22"/>
              </w:rPr>
            </w:pPr>
            <w:r>
              <w:rPr>
                <w:rFonts w:ascii="Arial" w:eastAsia="Arial" w:hAnsi="Arial" w:cs="Arial"/>
                <w:b/>
                <w:bCs/>
                <w:sz w:val="22"/>
                <w:szCs w:val="22"/>
              </w:rPr>
              <w:t>19</w:t>
            </w:r>
            <w:r w:rsidRPr="001571B0">
              <w:rPr>
                <w:rFonts w:ascii="Arial" w:eastAsia="Arial" w:hAnsi="Arial" w:cs="Arial"/>
                <w:b/>
                <w:bCs/>
                <w:sz w:val="22"/>
                <w:szCs w:val="22"/>
                <w:vertAlign w:val="superscript"/>
              </w:rPr>
              <w:t>th</w:t>
            </w:r>
            <w:r>
              <w:rPr>
                <w:rFonts w:ascii="Arial" w:eastAsia="Arial" w:hAnsi="Arial" w:cs="Arial"/>
                <w:b/>
                <w:bCs/>
                <w:sz w:val="22"/>
                <w:szCs w:val="22"/>
              </w:rPr>
              <w:t xml:space="preserve"> December 2025</w:t>
            </w:r>
          </w:p>
        </w:tc>
      </w:tr>
    </w:tbl>
    <w:p w14:paraId="25F14082" w14:textId="397BFA75" w:rsidR="00F56BE3" w:rsidRPr="009766EF" w:rsidRDefault="00F56BE3" w:rsidP="009766EF">
      <w:pPr>
        <w:spacing w:line="360" w:lineRule="auto"/>
        <w:jc w:val="both"/>
        <w:rPr>
          <w:rFonts w:ascii="Times New Roman" w:eastAsia="SimSun" w:hAnsi="Times New Roman" w:cs="Times New Roman"/>
          <w:color w:val="36363D"/>
          <w:sz w:val="24"/>
          <w:szCs w:val="24"/>
          <w:shd w:val="clear" w:color="auto" w:fill="FFFFFF"/>
        </w:rPr>
      </w:pPr>
    </w:p>
    <w:p w14:paraId="334471A0" w14:textId="77777777" w:rsidR="00F56BE3" w:rsidRPr="009766EF" w:rsidRDefault="00F56BE3" w:rsidP="009766EF">
      <w:pPr>
        <w:spacing w:line="360" w:lineRule="auto"/>
        <w:jc w:val="both"/>
        <w:rPr>
          <w:rFonts w:ascii="Times New Roman" w:eastAsia="SimSun" w:hAnsi="Times New Roman" w:cs="Times New Roman"/>
          <w:color w:val="36363D"/>
          <w:sz w:val="24"/>
          <w:szCs w:val="24"/>
          <w:shd w:val="clear" w:color="auto" w:fill="FFFFFF"/>
        </w:rPr>
      </w:pPr>
    </w:p>
    <w:p w14:paraId="63C7DC04" w14:textId="77777777" w:rsidR="00F56BE3" w:rsidRPr="009766EF" w:rsidRDefault="00F56BE3" w:rsidP="009766EF">
      <w:pPr>
        <w:spacing w:line="360" w:lineRule="auto"/>
        <w:jc w:val="both"/>
        <w:rPr>
          <w:rFonts w:ascii="Times New Roman" w:eastAsia="SimSun" w:hAnsi="Times New Roman" w:cs="Times New Roman"/>
          <w:color w:val="36363D"/>
          <w:sz w:val="24"/>
          <w:szCs w:val="24"/>
          <w:shd w:val="clear" w:color="auto" w:fill="FFFFFF"/>
        </w:rPr>
      </w:pPr>
    </w:p>
    <w:p w14:paraId="05507DF1" w14:textId="77777777" w:rsidR="00F56BE3" w:rsidRPr="009766EF" w:rsidRDefault="00F56BE3" w:rsidP="009766EF">
      <w:pPr>
        <w:spacing w:line="360" w:lineRule="auto"/>
        <w:jc w:val="both"/>
        <w:rPr>
          <w:rFonts w:ascii="Times New Roman" w:eastAsia="SimSun" w:hAnsi="Times New Roman" w:cs="Times New Roman"/>
          <w:color w:val="36363D"/>
          <w:sz w:val="24"/>
          <w:szCs w:val="24"/>
          <w:shd w:val="clear" w:color="auto" w:fill="FFFFFF"/>
        </w:rPr>
      </w:pPr>
    </w:p>
    <w:p w14:paraId="6AF74293" w14:textId="77777777" w:rsidR="00F56BE3" w:rsidRPr="006C6B5D" w:rsidRDefault="006C6B5D" w:rsidP="009766EF">
      <w:pPr>
        <w:spacing w:line="360" w:lineRule="auto"/>
        <w:jc w:val="center"/>
        <w:rPr>
          <w:rFonts w:ascii="Times New Roman" w:hAnsi="Times New Roman" w:cs="Times New Roman"/>
          <w:b/>
          <w:color w:val="36363D"/>
          <w:sz w:val="28"/>
          <w:szCs w:val="24"/>
        </w:rPr>
      </w:pPr>
      <w:r w:rsidRPr="006C6B5D">
        <w:rPr>
          <w:rFonts w:ascii="Times New Roman" w:eastAsia="SimSun" w:hAnsi="Times New Roman" w:cs="Times New Roman"/>
          <w:b/>
          <w:color w:val="36363D"/>
          <w:sz w:val="28"/>
          <w:szCs w:val="24"/>
        </w:rPr>
        <w:lastRenderedPageBreak/>
        <w:t>Contents</w:t>
      </w:r>
    </w:p>
    <w:p w14:paraId="2AC1E296"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r w:rsidRPr="009766EF">
        <w:rPr>
          <w:rFonts w:ascii="Times New Roman" w:hAnsi="Times New Roman" w:cs="Times New Roman"/>
          <w:color w:val="36363D"/>
          <w:sz w:val="24"/>
          <w:szCs w:val="24"/>
          <w:shd w:val="clear" w:color="auto" w:fill="FFFFFF"/>
          <w:lang w:eastAsia="en-GB"/>
        </w:rPr>
        <w:fldChar w:fldCharType="begin"/>
      </w:r>
      <w:r w:rsidRPr="009766EF">
        <w:rPr>
          <w:rFonts w:ascii="Times New Roman" w:eastAsia="SimSun" w:hAnsi="Times New Roman" w:cs="Times New Roman"/>
          <w:color w:val="36363D"/>
          <w:sz w:val="24"/>
          <w:szCs w:val="24"/>
          <w:shd w:val="clear" w:color="auto" w:fill="FFFFFF"/>
        </w:rPr>
        <w:instrText xml:space="preserve">TOC \o "1-3" \h \u </w:instrText>
      </w:r>
      <w:r w:rsidRPr="009766EF">
        <w:rPr>
          <w:rFonts w:ascii="Times New Roman" w:hAnsi="Times New Roman" w:cs="Times New Roman"/>
          <w:color w:val="36363D"/>
          <w:sz w:val="24"/>
          <w:szCs w:val="24"/>
          <w:shd w:val="clear" w:color="auto" w:fill="FFFFFF"/>
          <w:lang w:eastAsia="en-GB"/>
        </w:rPr>
        <w:fldChar w:fldCharType="separate"/>
      </w:r>
      <w:hyperlink w:anchor="_Toc214570181" w:history="1">
        <w:r w:rsidRPr="009766EF">
          <w:rPr>
            <w:rStyle w:val="Hyperlink"/>
            <w:rFonts w:ascii="Times New Roman" w:hAnsi="Times New Roman" w:cs="Times New Roman"/>
            <w:noProof/>
            <w:color w:val="36363D"/>
            <w:sz w:val="24"/>
            <w:szCs w:val="24"/>
          </w:rPr>
          <w:t>1. Introduction</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_Toc214570181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3</w:t>
        </w:r>
        <w:r w:rsidRPr="009766EF">
          <w:rPr>
            <w:rFonts w:ascii="Times New Roman" w:hAnsi="Times New Roman" w:cs="Times New Roman"/>
            <w:noProof/>
            <w:color w:val="36363D"/>
            <w:sz w:val="24"/>
            <w:szCs w:val="24"/>
          </w:rPr>
          <w:fldChar w:fldCharType="end"/>
        </w:r>
      </w:hyperlink>
    </w:p>
    <w:p w14:paraId="6B1E5E98"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hyperlink w:anchor="_Toc214570182" w:history="1">
        <w:r w:rsidRPr="009766EF">
          <w:rPr>
            <w:rStyle w:val="Hyperlink"/>
            <w:rFonts w:ascii="Times New Roman" w:hAnsi="Times New Roman" w:cs="Times New Roman"/>
            <w:noProof/>
            <w:color w:val="36363D"/>
            <w:sz w:val="24"/>
            <w:szCs w:val="24"/>
          </w:rPr>
          <w:t>2. Project Description</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_Toc214570182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4</w:t>
        </w:r>
        <w:r w:rsidRPr="009766EF">
          <w:rPr>
            <w:rFonts w:ascii="Times New Roman" w:hAnsi="Times New Roman" w:cs="Times New Roman"/>
            <w:noProof/>
            <w:color w:val="36363D"/>
            <w:sz w:val="24"/>
            <w:szCs w:val="24"/>
          </w:rPr>
          <w:fldChar w:fldCharType="end"/>
        </w:r>
      </w:hyperlink>
    </w:p>
    <w:p w14:paraId="071FDFB7"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183" w:history="1">
        <w:r w:rsidRPr="009766EF">
          <w:rPr>
            <w:rStyle w:val="Hyperlink"/>
            <w:rFonts w:ascii="Times New Roman" w:hAnsi="Times New Roman" w:cs="Times New Roman"/>
            <w:noProof/>
            <w:color w:val="36363D"/>
            <w:sz w:val="24"/>
            <w:szCs w:val="24"/>
          </w:rPr>
          <w:t>2.1. Project Title</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_Toc214570183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4</w:t>
        </w:r>
        <w:r w:rsidRPr="009766EF">
          <w:rPr>
            <w:rFonts w:ascii="Times New Roman" w:hAnsi="Times New Roman" w:cs="Times New Roman"/>
            <w:noProof/>
            <w:color w:val="36363D"/>
            <w:sz w:val="24"/>
            <w:szCs w:val="24"/>
          </w:rPr>
          <w:fldChar w:fldCharType="end"/>
        </w:r>
      </w:hyperlink>
    </w:p>
    <w:p w14:paraId="6CD61192"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184" w:history="1">
        <w:r w:rsidRPr="009766EF">
          <w:rPr>
            <w:rStyle w:val="Hyperlink"/>
            <w:rFonts w:ascii="Times New Roman" w:hAnsi="Times New Roman" w:cs="Times New Roman"/>
            <w:noProof/>
            <w:color w:val="36363D"/>
            <w:sz w:val="24"/>
            <w:szCs w:val="24"/>
          </w:rPr>
          <w:t>2.2. Project Objective</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_Toc214570184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4</w:t>
        </w:r>
        <w:r w:rsidRPr="009766EF">
          <w:rPr>
            <w:rFonts w:ascii="Times New Roman" w:hAnsi="Times New Roman" w:cs="Times New Roman"/>
            <w:noProof/>
            <w:color w:val="36363D"/>
            <w:sz w:val="24"/>
            <w:szCs w:val="24"/>
          </w:rPr>
          <w:fldChar w:fldCharType="end"/>
        </w:r>
      </w:hyperlink>
    </w:p>
    <w:p w14:paraId="6B6D00AD"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185" w:history="1">
        <w:r w:rsidRPr="009766EF">
          <w:rPr>
            <w:rStyle w:val="Hyperlink"/>
            <w:rFonts w:ascii="Times New Roman" w:hAnsi="Times New Roman" w:cs="Times New Roman"/>
            <w:noProof/>
            <w:color w:val="36363D"/>
            <w:sz w:val="24"/>
            <w:szCs w:val="24"/>
          </w:rPr>
          <w:t>2.3. Background and Rationale</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_Toc214570185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4</w:t>
        </w:r>
        <w:r w:rsidRPr="009766EF">
          <w:rPr>
            <w:rFonts w:ascii="Times New Roman" w:hAnsi="Times New Roman" w:cs="Times New Roman"/>
            <w:noProof/>
            <w:color w:val="36363D"/>
            <w:sz w:val="24"/>
            <w:szCs w:val="24"/>
          </w:rPr>
          <w:fldChar w:fldCharType="end"/>
        </w:r>
      </w:hyperlink>
    </w:p>
    <w:p w14:paraId="4FBFE9C1"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hyperlink w:anchor="_Toc214570186" w:history="1">
        <w:r w:rsidRPr="009766EF">
          <w:rPr>
            <w:rStyle w:val="Hyperlink"/>
            <w:rFonts w:ascii="Times New Roman" w:hAnsi="Times New Roman" w:cs="Times New Roman"/>
            <w:noProof/>
            <w:color w:val="36363D"/>
            <w:sz w:val="24"/>
            <w:szCs w:val="24"/>
          </w:rPr>
          <w:t>2.4. Justification</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_Toc214570186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5</w:t>
        </w:r>
        <w:r w:rsidRPr="009766EF">
          <w:rPr>
            <w:rFonts w:ascii="Times New Roman" w:hAnsi="Times New Roman" w:cs="Times New Roman"/>
            <w:noProof/>
            <w:color w:val="36363D"/>
            <w:sz w:val="24"/>
            <w:szCs w:val="24"/>
          </w:rPr>
          <w:fldChar w:fldCharType="end"/>
        </w:r>
      </w:hyperlink>
    </w:p>
    <w:p w14:paraId="1077632A"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hyperlink w:anchor="_Toc214570187" w:history="1">
        <w:r w:rsidRPr="009766EF">
          <w:rPr>
            <w:rStyle w:val="Hyperlink"/>
            <w:rFonts w:ascii="Times New Roman" w:hAnsi="Times New Roman" w:cs="Times New Roman"/>
            <w:noProof/>
            <w:color w:val="36363D"/>
            <w:sz w:val="24"/>
            <w:szCs w:val="24"/>
          </w:rPr>
          <w:t>2.5. Project Management Approach</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_Toc214570187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5</w:t>
        </w:r>
        <w:r w:rsidRPr="009766EF">
          <w:rPr>
            <w:rFonts w:ascii="Times New Roman" w:hAnsi="Times New Roman" w:cs="Times New Roman"/>
            <w:noProof/>
            <w:color w:val="36363D"/>
            <w:sz w:val="24"/>
            <w:szCs w:val="24"/>
          </w:rPr>
          <w:fldChar w:fldCharType="end"/>
        </w:r>
      </w:hyperlink>
    </w:p>
    <w:p w14:paraId="4F23F1C3"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hyperlink w:anchor="_Toc214570188" w:history="1">
        <w:r w:rsidRPr="009766EF">
          <w:rPr>
            <w:rStyle w:val="Hyperlink"/>
            <w:rFonts w:ascii="Times New Roman" w:hAnsi="Times New Roman" w:cs="Times New Roman"/>
            <w:noProof/>
            <w:color w:val="36363D"/>
            <w:sz w:val="24"/>
            <w:szCs w:val="24"/>
          </w:rPr>
          <w:t>3. Project Scope</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_Toc214570188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5</w:t>
        </w:r>
        <w:r w:rsidRPr="009766EF">
          <w:rPr>
            <w:rFonts w:ascii="Times New Roman" w:hAnsi="Times New Roman" w:cs="Times New Roman"/>
            <w:noProof/>
            <w:color w:val="36363D"/>
            <w:sz w:val="24"/>
            <w:szCs w:val="24"/>
          </w:rPr>
          <w:fldChar w:fldCharType="end"/>
        </w:r>
      </w:hyperlink>
    </w:p>
    <w:p w14:paraId="30FEA5D3"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189" w:history="1">
        <w:r w:rsidRPr="009766EF">
          <w:rPr>
            <w:rStyle w:val="Hyperlink"/>
            <w:rFonts w:ascii="Times New Roman" w:hAnsi="Times New Roman" w:cs="Times New Roman"/>
            <w:noProof/>
            <w:color w:val="36363D"/>
            <w:sz w:val="24"/>
            <w:szCs w:val="24"/>
          </w:rPr>
          <w:t>3.1 In-Scope Activities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_Toc214570189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5</w:t>
        </w:r>
        <w:r w:rsidRPr="009766EF">
          <w:rPr>
            <w:rFonts w:ascii="Times New Roman" w:hAnsi="Times New Roman" w:cs="Times New Roman"/>
            <w:noProof/>
            <w:color w:val="36363D"/>
            <w:sz w:val="24"/>
            <w:szCs w:val="24"/>
          </w:rPr>
          <w:fldChar w:fldCharType="end"/>
        </w:r>
      </w:hyperlink>
    </w:p>
    <w:p w14:paraId="342C5D47"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190" w:history="1">
        <w:r w:rsidRPr="009766EF">
          <w:rPr>
            <w:rStyle w:val="Hyperlink"/>
            <w:rFonts w:ascii="Times New Roman" w:hAnsi="Times New Roman" w:cs="Times New Roman"/>
            <w:noProof/>
            <w:color w:val="36363D"/>
            <w:sz w:val="24"/>
            <w:szCs w:val="24"/>
          </w:rPr>
          <w:t>3.2 Out-of-Scope Activities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_Toc214570190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6</w:t>
        </w:r>
        <w:r w:rsidRPr="009766EF">
          <w:rPr>
            <w:rFonts w:ascii="Times New Roman" w:hAnsi="Times New Roman" w:cs="Times New Roman"/>
            <w:noProof/>
            <w:color w:val="36363D"/>
            <w:sz w:val="24"/>
            <w:szCs w:val="24"/>
          </w:rPr>
          <w:fldChar w:fldCharType="end"/>
        </w:r>
      </w:hyperlink>
    </w:p>
    <w:p w14:paraId="25034D87"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191" w:history="1">
        <w:r w:rsidRPr="009766EF">
          <w:rPr>
            <w:rStyle w:val="Hyperlink"/>
            <w:rFonts w:ascii="Times New Roman" w:hAnsi="Times New Roman" w:cs="Times New Roman"/>
            <w:noProof/>
            <w:color w:val="36363D"/>
            <w:sz w:val="24"/>
            <w:szCs w:val="24"/>
          </w:rPr>
          <w:t>3.3 Project Deliverables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_Toc214570191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6</w:t>
        </w:r>
        <w:r w:rsidRPr="009766EF">
          <w:rPr>
            <w:rFonts w:ascii="Times New Roman" w:hAnsi="Times New Roman" w:cs="Times New Roman"/>
            <w:noProof/>
            <w:color w:val="36363D"/>
            <w:sz w:val="24"/>
            <w:szCs w:val="24"/>
          </w:rPr>
          <w:fldChar w:fldCharType="end"/>
        </w:r>
      </w:hyperlink>
    </w:p>
    <w:p w14:paraId="0AC1FAA1"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hyperlink w:anchor="_Toc214570192" w:history="1">
        <w:r w:rsidRPr="009766EF">
          <w:rPr>
            <w:rStyle w:val="Hyperlink"/>
            <w:rFonts w:ascii="Times New Roman" w:hAnsi="Times New Roman" w:cs="Times New Roman"/>
            <w:noProof/>
            <w:color w:val="36363D"/>
            <w:sz w:val="24"/>
            <w:szCs w:val="24"/>
          </w:rPr>
          <w:t>4. Work Breakdown Structure (WBS)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_Toc214570192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7</w:t>
        </w:r>
        <w:r w:rsidRPr="009766EF">
          <w:rPr>
            <w:rFonts w:ascii="Times New Roman" w:hAnsi="Times New Roman" w:cs="Times New Roman"/>
            <w:noProof/>
            <w:color w:val="36363D"/>
            <w:sz w:val="24"/>
            <w:szCs w:val="24"/>
          </w:rPr>
          <w:fldChar w:fldCharType="end"/>
        </w:r>
      </w:hyperlink>
    </w:p>
    <w:p w14:paraId="4EB8AA02"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hyperlink w:anchor="_Toc214570193" w:history="1">
        <w:r w:rsidRPr="009766EF">
          <w:rPr>
            <w:rStyle w:val="Hyperlink"/>
            <w:rFonts w:ascii="Times New Roman" w:hAnsi="Times New Roman" w:cs="Times New Roman"/>
            <w:noProof/>
            <w:color w:val="36363D"/>
            <w:sz w:val="24"/>
            <w:szCs w:val="24"/>
          </w:rPr>
          <w:t>5. Quad Chart</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_Toc214570193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8</w:t>
        </w:r>
        <w:r w:rsidRPr="009766EF">
          <w:rPr>
            <w:rFonts w:ascii="Times New Roman" w:hAnsi="Times New Roman" w:cs="Times New Roman"/>
            <w:noProof/>
            <w:color w:val="36363D"/>
            <w:sz w:val="24"/>
            <w:szCs w:val="24"/>
          </w:rPr>
          <w:fldChar w:fldCharType="end"/>
        </w:r>
      </w:hyperlink>
    </w:p>
    <w:p w14:paraId="1D5EFF6C"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hyperlink w:anchor="_Toc214570194" w:history="1">
        <w:r w:rsidRPr="009766EF">
          <w:rPr>
            <w:rStyle w:val="Hyperlink"/>
            <w:rFonts w:ascii="Times New Roman" w:hAnsi="Times New Roman" w:cs="Times New Roman"/>
            <w:noProof/>
            <w:color w:val="36363D"/>
            <w:sz w:val="24"/>
            <w:szCs w:val="24"/>
          </w:rPr>
          <w:t>6. Gantt Chart (Descriptive Overview)</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_Toc214570194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9</w:t>
        </w:r>
        <w:r w:rsidRPr="009766EF">
          <w:rPr>
            <w:rFonts w:ascii="Times New Roman" w:hAnsi="Times New Roman" w:cs="Times New Roman"/>
            <w:noProof/>
            <w:color w:val="36363D"/>
            <w:sz w:val="24"/>
            <w:szCs w:val="24"/>
          </w:rPr>
          <w:fldChar w:fldCharType="end"/>
        </w:r>
      </w:hyperlink>
    </w:p>
    <w:p w14:paraId="60798CE7"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hyperlink w:anchor="_Toc214570195" w:history="1">
        <w:r w:rsidRPr="009766EF">
          <w:rPr>
            <w:rStyle w:val="Hyperlink"/>
            <w:rFonts w:ascii="Times New Roman" w:hAnsi="Times New Roman" w:cs="Times New Roman"/>
            <w:noProof/>
            <w:color w:val="36363D"/>
            <w:sz w:val="24"/>
            <w:szCs w:val="24"/>
          </w:rPr>
          <w:t>7. Stakeholder Involvement</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_Toc214570195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10</w:t>
        </w:r>
        <w:r w:rsidRPr="009766EF">
          <w:rPr>
            <w:rFonts w:ascii="Times New Roman" w:hAnsi="Times New Roman" w:cs="Times New Roman"/>
            <w:noProof/>
            <w:color w:val="36363D"/>
            <w:sz w:val="24"/>
            <w:szCs w:val="24"/>
          </w:rPr>
          <w:fldChar w:fldCharType="end"/>
        </w:r>
      </w:hyperlink>
    </w:p>
    <w:p w14:paraId="321F5C60"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196" w:history="1">
        <w:r w:rsidRPr="009766EF">
          <w:rPr>
            <w:rStyle w:val="Hyperlink"/>
            <w:rFonts w:ascii="Times New Roman" w:hAnsi="Times New Roman" w:cs="Times New Roman"/>
            <w:noProof/>
            <w:color w:val="36363D"/>
            <w:sz w:val="24"/>
            <w:szCs w:val="24"/>
          </w:rPr>
          <w:t>7.1 Key Stakeholders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_Toc214570196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10</w:t>
        </w:r>
        <w:r w:rsidRPr="009766EF">
          <w:rPr>
            <w:rFonts w:ascii="Times New Roman" w:hAnsi="Times New Roman" w:cs="Times New Roman"/>
            <w:noProof/>
            <w:color w:val="36363D"/>
            <w:sz w:val="24"/>
            <w:szCs w:val="24"/>
          </w:rPr>
          <w:fldChar w:fldCharType="end"/>
        </w:r>
      </w:hyperlink>
    </w:p>
    <w:p w14:paraId="78279C46"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197" w:history="1">
        <w:r w:rsidRPr="009766EF">
          <w:rPr>
            <w:rStyle w:val="Hyperlink"/>
            <w:rFonts w:ascii="Times New Roman" w:hAnsi="Times New Roman" w:cs="Times New Roman"/>
            <w:noProof/>
            <w:color w:val="36363D"/>
            <w:sz w:val="24"/>
            <w:szCs w:val="24"/>
          </w:rPr>
          <w:t>7.2 Stakeholder Engagement Strategies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_Toc214570197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10</w:t>
        </w:r>
        <w:r w:rsidRPr="009766EF">
          <w:rPr>
            <w:rFonts w:ascii="Times New Roman" w:hAnsi="Times New Roman" w:cs="Times New Roman"/>
            <w:noProof/>
            <w:color w:val="36363D"/>
            <w:sz w:val="24"/>
            <w:szCs w:val="24"/>
          </w:rPr>
          <w:fldChar w:fldCharType="end"/>
        </w:r>
      </w:hyperlink>
    </w:p>
    <w:p w14:paraId="22A31B9F"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hyperlink w:anchor="_Toc214570198" w:history="1">
        <w:r w:rsidRPr="009766EF">
          <w:rPr>
            <w:rStyle w:val="Hyperlink"/>
            <w:rFonts w:ascii="Times New Roman" w:hAnsi="Times New Roman" w:cs="Times New Roman"/>
            <w:noProof/>
            <w:color w:val="36363D"/>
            <w:sz w:val="24"/>
            <w:szCs w:val="24"/>
          </w:rPr>
          <w:t>8. Allocation of Resources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_Toc214570198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11</w:t>
        </w:r>
        <w:r w:rsidRPr="009766EF">
          <w:rPr>
            <w:rFonts w:ascii="Times New Roman" w:hAnsi="Times New Roman" w:cs="Times New Roman"/>
            <w:noProof/>
            <w:color w:val="36363D"/>
            <w:sz w:val="24"/>
            <w:szCs w:val="24"/>
          </w:rPr>
          <w:fldChar w:fldCharType="end"/>
        </w:r>
      </w:hyperlink>
    </w:p>
    <w:p w14:paraId="666775B5"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199" w:history="1">
        <w:r w:rsidRPr="009766EF">
          <w:rPr>
            <w:rStyle w:val="Hyperlink"/>
            <w:rFonts w:ascii="Times New Roman" w:hAnsi="Times New Roman" w:cs="Times New Roman"/>
            <w:noProof/>
            <w:color w:val="36363D"/>
            <w:sz w:val="24"/>
            <w:szCs w:val="24"/>
          </w:rPr>
          <w:t>8.1 Human Resources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_Toc214570199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11</w:t>
        </w:r>
        <w:r w:rsidRPr="009766EF">
          <w:rPr>
            <w:rFonts w:ascii="Times New Roman" w:hAnsi="Times New Roman" w:cs="Times New Roman"/>
            <w:noProof/>
            <w:color w:val="36363D"/>
            <w:sz w:val="24"/>
            <w:szCs w:val="24"/>
          </w:rPr>
          <w:fldChar w:fldCharType="end"/>
        </w:r>
      </w:hyperlink>
    </w:p>
    <w:p w14:paraId="2A1B7D84"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200" w:history="1">
        <w:r w:rsidRPr="009766EF">
          <w:rPr>
            <w:rStyle w:val="Hyperlink"/>
            <w:rFonts w:ascii="Times New Roman" w:hAnsi="Times New Roman" w:cs="Times New Roman"/>
            <w:noProof/>
            <w:color w:val="36363D"/>
            <w:sz w:val="24"/>
            <w:szCs w:val="24"/>
          </w:rPr>
          <w:t>8.2 Material Resources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_Toc214570200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12</w:t>
        </w:r>
        <w:r w:rsidRPr="009766EF">
          <w:rPr>
            <w:rFonts w:ascii="Times New Roman" w:hAnsi="Times New Roman" w:cs="Times New Roman"/>
            <w:noProof/>
            <w:color w:val="36363D"/>
            <w:sz w:val="24"/>
            <w:szCs w:val="24"/>
          </w:rPr>
          <w:fldChar w:fldCharType="end"/>
        </w:r>
      </w:hyperlink>
    </w:p>
    <w:p w14:paraId="7BAB05D8"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201" w:history="1">
        <w:r w:rsidRPr="009766EF">
          <w:rPr>
            <w:rStyle w:val="Hyperlink"/>
            <w:rFonts w:ascii="Times New Roman" w:hAnsi="Times New Roman" w:cs="Times New Roman"/>
            <w:noProof/>
            <w:color w:val="36363D"/>
            <w:sz w:val="24"/>
            <w:szCs w:val="24"/>
          </w:rPr>
          <w:t>8.3 Financial Resources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_Toc214570201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12</w:t>
        </w:r>
        <w:r w:rsidRPr="009766EF">
          <w:rPr>
            <w:rFonts w:ascii="Times New Roman" w:hAnsi="Times New Roman" w:cs="Times New Roman"/>
            <w:noProof/>
            <w:color w:val="36363D"/>
            <w:sz w:val="24"/>
            <w:szCs w:val="24"/>
          </w:rPr>
          <w:fldChar w:fldCharType="end"/>
        </w:r>
      </w:hyperlink>
    </w:p>
    <w:p w14:paraId="6B0C27F3"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202" w:history="1">
        <w:r w:rsidRPr="009766EF">
          <w:rPr>
            <w:rStyle w:val="Hyperlink"/>
            <w:rFonts w:ascii="Times New Roman" w:hAnsi="Times New Roman" w:cs="Times New Roman"/>
            <w:noProof/>
            <w:color w:val="36363D"/>
            <w:sz w:val="24"/>
            <w:szCs w:val="24"/>
          </w:rPr>
          <w:t>8.4 Tools and Systems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_Toc214570202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12</w:t>
        </w:r>
        <w:r w:rsidRPr="009766EF">
          <w:rPr>
            <w:rFonts w:ascii="Times New Roman" w:hAnsi="Times New Roman" w:cs="Times New Roman"/>
            <w:noProof/>
            <w:color w:val="36363D"/>
            <w:sz w:val="24"/>
            <w:szCs w:val="24"/>
          </w:rPr>
          <w:fldChar w:fldCharType="end"/>
        </w:r>
      </w:hyperlink>
    </w:p>
    <w:p w14:paraId="4C65987A"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hyperlink w:anchor="_Toc214570203" w:history="1">
        <w:r w:rsidRPr="009766EF">
          <w:rPr>
            <w:rStyle w:val="Hyperlink"/>
            <w:rFonts w:ascii="Times New Roman" w:hAnsi="Times New Roman" w:cs="Times New Roman"/>
            <w:noProof/>
            <w:color w:val="36363D"/>
            <w:sz w:val="24"/>
            <w:szCs w:val="24"/>
          </w:rPr>
          <w:t>9. Risk Analysis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_Toc214570203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12</w:t>
        </w:r>
        <w:r w:rsidRPr="009766EF">
          <w:rPr>
            <w:rFonts w:ascii="Times New Roman" w:hAnsi="Times New Roman" w:cs="Times New Roman"/>
            <w:noProof/>
            <w:color w:val="36363D"/>
            <w:sz w:val="24"/>
            <w:szCs w:val="24"/>
          </w:rPr>
          <w:fldChar w:fldCharType="end"/>
        </w:r>
      </w:hyperlink>
    </w:p>
    <w:p w14:paraId="70975C41" w14:textId="77777777" w:rsidR="00F56BE3" w:rsidRPr="009766EF" w:rsidRDefault="006C6B5D" w:rsidP="009766EF">
      <w:pPr>
        <w:pStyle w:val="TOC2"/>
        <w:tabs>
          <w:tab w:val="right" w:leader="dot" w:pos="8296"/>
        </w:tabs>
        <w:spacing w:line="360" w:lineRule="auto"/>
        <w:rPr>
          <w:rFonts w:ascii="Times New Roman" w:hAnsi="Times New Roman" w:cs="Times New Roman"/>
          <w:noProof/>
          <w:color w:val="36363D"/>
          <w:sz w:val="24"/>
          <w:szCs w:val="24"/>
        </w:rPr>
      </w:pPr>
      <w:hyperlink w:anchor="_Toc214570204" w:history="1">
        <w:r w:rsidRPr="009766EF">
          <w:rPr>
            <w:rStyle w:val="Hyperlink"/>
            <w:rFonts w:ascii="Times New Roman" w:hAnsi="Times New Roman" w:cs="Times New Roman"/>
            <w:noProof/>
            <w:color w:val="36363D"/>
            <w:sz w:val="24"/>
            <w:szCs w:val="24"/>
          </w:rPr>
          <w:t>9.1 Major Risks and Mitigation Strategies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_Toc214570204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13</w:t>
        </w:r>
        <w:r w:rsidRPr="009766EF">
          <w:rPr>
            <w:rFonts w:ascii="Times New Roman" w:hAnsi="Times New Roman" w:cs="Times New Roman"/>
            <w:noProof/>
            <w:color w:val="36363D"/>
            <w:sz w:val="24"/>
            <w:szCs w:val="24"/>
          </w:rPr>
          <w:fldChar w:fldCharType="end"/>
        </w:r>
      </w:hyperlink>
    </w:p>
    <w:p w14:paraId="79BB24F1"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hyperlink w:anchor="_Toc214570205" w:history="1">
        <w:r w:rsidRPr="009766EF">
          <w:rPr>
            <w:rStyle w:val="Hyperlink"/>
            <w:rFonts w:ascii="Times New Roman" w:hAnsi="Times New Roman" w:cs="Times New Roman"/>
            <w:noProof/>
            <w:color w:val="36363D"/>
            <w:sz w:val="24"/>
            <w:szCs w:val="24"/>
          </w:rPr>
          <w:t>10. Conclusion</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_Toc214570205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13</w:t>
        </w:r>
        <w:r w:rsidRPr="009766EF">
          <w:rPr>
            <w:rFonts w:ascii="Times New Roman" w:hAnsi="Times New Roman" w:cs="Times New Roman"/>
            <w:noProof/>
            <w:color w:val="36363D"/>
            <w:sz w:val="24"/>
            <w:szCs w:val="24"/>
          </w:rPr>
          <w:fldChar w:fldCharType="end"/>
        </w:r>
      </w:hyperlink>
    </w:p>
    <w:p w14:paraId="1B853128" w14:textId="77777777" w:rsidR="00F56BE3" w:rsidRPr="009766EF" w:rsidRDefault="006C6B5D" w:rsidP="009766EF">
      <w:pPr>
        <w:pStyle w:val="TOC1"/>
        <w:tabs>
          <w:tab w:val="right" w:leader="dot" w:pos="8296"/>
        </w:tabs>
        <w:spacing w:line="360" w:lineRule="auto"/>
        <w:rPr>
          <w:rFonts w:ascii="Times New Roman" w:hAnsi="Times New Roman" w:cs="Times New Roman"/>
          <w:noProof/>
          <w:color w:val="36363D"/>
          <w:sz w:val="24"/>
          <w:szCs w:val="24"/>
        </w:rPr>
      </w:pPr>
      <w:hyperlink w:anchor="_Toc214570206" w:history="1">
        <w:r w:rsidRPr="009766EF">
          <w:rPr>
            <w:rStyle w:val="Hyperlink"/>
            <w:rFonts w:ascii="Times New Roman" w:hAnsi="Times New Roman" w:cs="Times New Roman"/>
            <w:noProof/>
            <w:color w:val="36363D"/>
            <w:sz w:val="24"/>
            <w:szCs w:val="24"/>
          </w:rPr>
          <w:t>11. References</w:t>
        </w:r>
        <w:r w:rsidRPr="009766EF">
          <w:rPr>
            <w:rFonts w:ascii="Times New Roman" w:hAnsi="Times New Roman" w:cs="Times New Roman"/>
            <w:noProof/>
            <w:color w:val="36363D"/>
            <w:sz w:val="24"/>
            <w:szCs w:val="24"/>
          </w:rPr>
          <w:tab/>
        </w:r>
        <w:r w:rsidRPr="009766EF">
          <w:rPr>
            <w:rFonts w:ascii="Times New Roman" w:hAnsi="Times New Roman" w:cs="Times New Roman"/>
            <w:noProof/>
            <w:color w:val="36363D"/>
            <w:sz w:val="24"/>
            <w:szCs w:val="24"/>
          </w:rPr>
          <w:fldChar w:fldCharType="begin"/>
        </w:r>
        <w:r w:rsidRPr="009766EF">
          <w:rPr>
            <w:rFonts w:ascii="Times New Roman" w:hAnsi="Times New Roman" w:cs="Times New Roman"/>
            <w:noProof/>
            <w:color w:val="36363D"/>
            <w:sz w:val="24"/>
            <w:szCs w:val="24"/>
          </w:rPr>
          <w:instrText xml:space="preserve"> PAGEREF _Toc214570206 \h </w:instrText>
        </w:r>
        <w:r w:rsidRPr="009766EF">
          <w:rPr>
            <w:rFonts w:ascii="Times New Roman" w:hAnsi="Times New Roman" w:cs="Times New Roman"/>
            <w:noProof/>
            <w:color w:val="36363D"/>
            <w:sz w:val="24"/>
            <w:szCs w:val="24"/>
          </w:rPr>
        </w:r>
        <w:r w:rsidRPr="009766EF">
          <w:rPr>
            <w:rFonts w:ascii="Times New Roman" w:hAnsi="Times New Roman" w:cs="Times New Roman"/>
            <w:noProof/>
            <w:color w:val="36363D"/>
            <w:sz w:val="24"/>
            <w:szCs w:val="24"/>
          </w:rPr>
          <w:fldChar w:fldCharType="separate"/>
        </w:r>
        <w:r w:rsidRPr="009766EF">
          <w:rPr>
            <w:rFonts w:ascii="Times New Roman" w:hAnsi="Times New Roman" w:cs="Times New Roman"/>
            <w:noProof/>
            <w:color w:val="36363D"/>
            <w:sz w:val="24"/>
            <w:szCs w:val="24"/>
          </w:rPr>
          <w:t>15</w:t>
        </w:r>
        <w:r w:rsidRPr="009766EF">
          <w:rPr>
            <w:rFonts w:ascii="Times New Roman" w:hAnsi="Times New Roman" w:cs="Times New Roman"/>
            <w:noProof/>
            <w:color w:val="36363D"/>
            <w:sz w:val="24"/>
            <w:szCs w:val="24"/>
          </w:rPr>
          <w:fldChar w:fldCharType="end"/>
        </w:r>
      </w:hyperlink>
    </w:p>
    <w:p w14:paraId="5FBB8BE5" w14:textId="77777777" w:rsidR="00F56BE3" w:rsidRPr="00C753C8" w:rsidRDefault="006C6B5D" w:rsidP="00C753C8">
      <w:pPr>
        <w:spacing w:line="360" w:lineRule="auto"/>
        <w:jc w:val="both"/>
        <w:rPr>
          <w:rFonts w:ascii="Times New Roman" w:eastAsia="SimSun" w:hAnsi="Times New Roman" w:cs="Times New Roman"/>
          <w:b/>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lastRenderedPageBreak/>
        <w:fldChar w:fldCharType="end"/>
      </w:r>
      <w:bookmarkStart w:id="0" w:name="_Toc214570181"/>
      <w:r w:rsidRPr="00C753C8">
        <w:rPr>
          <w:rFonts w:ascii="Times New Roman" w:hAnsi="Times New Roman" w:cs="Times New Roman"/>
          <w:b/>
          <w:color w:val="36363D"/>
          <w:sz w:val="24"/>
          <w:szCs w:val="24"/>
        </w:rPr>
        <w:t>1. Introduction</w:t>
      </w:r>
      <w:bookmarkEnd w:id="0"/>
    </w:p>
    <w:p w14:paraId="38F2AB28"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 xml:space="preserve">The massive flooding which took place in British Columbia (BC) in the fall of 2022, mainly, caused by an immensely strong atmospheric river caused massive destruction. Some of the effects were dreadful </w:t>
      </w:r>
      <w:proofErr w:type="spellStart"/>
      <w:r w:rsidRPr="009766EF">
        <w:rPr>
          <w:rFonts w:ascii="Times New Roman" w:eastAsia="SimSun" w:hAnsi="Times New Roman" w:cs="Times New Roman"/>
          <w:color w:val="36363D"/>
          <w:sz w:val="24"/>
          <w:szCs w:val="24"/>
          <w:shd w:val="clear" w:color="auto" w:fill="FFFFFF"/>
          <w:lang w:val="en-US"/>
        </w:rPr>
        <w:t>landlandslides</w:t>
      </w:r>
      <w:proofErr w:type="spellEnd"/>
      <w:r w:rsidRPr="009766EF">
        <w:rPr>
          <w:rFonts w:ascii="Times New Roman" w:eastAsia="SimSun" w:hAnsi="Times New Roman" w:cs="Times New Roman"/>
          <w:color w:val="36363D"/>
          <w:sz w:val="24"/>
          <w:szCs w:val="24"/>
          <w:shd w:val="clear" w:color="auto" w:fill="FFFFFF"/>
          <w:lang w:val="en-US"/>
        </w:rPr>
        <w:t>, soil erosion, destruction of farmlands, houses, schools, hospitals and government buildings creating high human and economic expenses. As a result, the major route Highway 5 (Coquihalla) was damaged quite significantly, some bridges collapsed, and the parts of the road were washed off, cutting off the connection between the Lower Mainland and the inner parts of the land. This interference does not only hamper the food supply chain, agricultural exports, and emergency services but also led to instability of the regional economy.</w:t>
      </w:r>
    </w:p>
    <w:p w14:paraId="509CE4A3"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The catastrophe revealed the absence of specifics in the current infrastructure and highlighted the need to establish climatic-resilient designs that can support the events of excessive meteorological activities. Healthcare, safety of people, and governmental functions were also grossly affected and the outcomes were compounded in terms of societal and economic implications. In keeping with that, the rehabilitation of Highway 5 was rapidly catapulted to the top of the list of priorities by both provincial and federal governments as a precondition for easing the recovery efforts, maintaining economic traffic, and allowing the movement of people within the impacted jurisdictions..</w:t>
      </w:r>
    </w:p>
    <w:p w14:paraId="2DFC2984"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 xml:space="preserve">The scale and intricacy of the reconstruction project requires a carefully designed project management plan that would cover the lifecycle. This Project Management Plan (PMP) represents a detailed scheme regarding the reconstruction of the highway, including allusions to PMBOK standards (PMI, 2021), risk management principles (Hillson, 2023), and suggestions about working with complex infrastructure projects (Turner and Huemann, 2024). </w:t>
      </w:r>
      <w:r w:rsidRPr="009766EF">
        <w:rPr>
          <w:rFonts w:ascii="Times New Roman" w:eastAsia="SimSun" w:hAnsi="Times New Roman" w:cs="Times New Roman"/>
          <w:color w:val="36363D"/>
          <w:sz w:val="24"/>
          <w:szCs w:val="24"/>
          <w:shd w:val="clear" w:color="auto" w:fill="FFFFFF"/>
        </w:rPr>
        <w:t>A hybrid methodology bringing together predictive planning and agile flexibility (Kerzner, 2023; Jamal, 2022) will direct resources to be allocated; risks to be mitigated; stakeholders to be engaged; and, progress to be monitored.</w:t>
      </w:r>
    </w:p>
    <w:p w14:paraId="3DD180CC" w14:textId="77777777" w:rsidR="009049C3"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The PMP is prepared as a guide to return the public to normal operations, and to take the necessary subsequent steps of public safety measures and infrastructure rebuilding with the betterment of BC's future climate event resistance in mind.</w:t>
      </w:r>
      <w:bookmarkStart w:id="1" w:name="_Toc214570182"/>
    </w:p>
    <w:p w14:paraId="2946F5C4" w14:textId="77777777" w:rsidR="009049C3" w:rsidRDefault="009049C3">
      <w:pPr>
        <w:rPr>
          <w:rFonts w:ascii="Times New Roman" w:eastAsia="SimSun" w:hAnsi="Times New Roman" w:cs="Times New Roman"/>
          <w:color w:val="36363D"/>
          <w:sz w:val="24"/>
          <w:szCs w:val="24"/>
          <w:shd w:val="clear" w:color="auto" w:fill="FFFFFF"/>
        </w:rPr>
      </w:pPr>
      <w:r>
        <w:rPr>
          <w:rFonts w:ascii="Times New Roman" w:eastAsia="SimSun" w:hAnsi="Times New Roman" w:cs="Times New Roman"/>
          <w:color w:val="36363D"/>
          <w:sz w:val="24"/>
          <w:szCs w:val="24"/>
          <w:shd w:val="clear" w:color="auto" w:fill="FFFFFF"/>
        </w:rPr>
        <w:br w:type="page"/>
      </w:r>
    </w:p>
    <w:p w14:paraId="224F2A02" w14:textId="77777777" w:rsidR="00F56BE3" w:rsidRPr="009766EF" w:rsidRDefault="006C6B5D" w:rsidP="009766EF">
      <w:pPr>
        <w:pStyle w:val="Heading1"/>
        <w:spacing w:line="360" w:lineRule="auto"/>
        <w:rPr>
          <w:rFonts w:ascii="Times New Roman" w:hAnsi="Times New Roman" w:hint="default"/>
          <w:color w:val="36363D"/>
          <w:sz w:val="24"/>
          <w:szCs w:val="24"/>
        </w:rPr>
      </w:pPr>
      <w:r w:rsidRPr="009766EF">
        <w:rPr>
          <w:rFonts w:ascii="Times New Roman" w:hAnsi="Times New Roman" w:hint="default"/>
          <w:color w:val="36363D"/>
          <w:sz w:val="24"/>
          <w:szCs w:val="24"/>
        </w:rPr>
        <w:lastRenderedPageBreak/>
        <w:t>2. Project Description</w:t>
      </w:r>
      <w:bookmarkEnd w:id="1"/>
    </w:p>
    <w:p w14:paraId="520B6558" w14:textId="77777777" w:rsidR="00F56BE3" w:rsidRPr="009766EF" w:rsidRDefault="006C6B5D" w:rsidP="009766EF">
      <w:pPr>
        <w:pStyle w:val="Heading2"/>
        <w:spacing w:line="360" w:lineRule="auto"/>
        <w:rPr>
          <w:rFonts w:ascii="Times New Roman" w:hAnsi="Times New Roman" w:cs="Times New Roman"/>
          <w:color w:val="36363D"/>
          <w:sz w:val="24"/>
          <w:szCs w:val="24"/>
        </w:rPr>
      </w:pPr>
      <w:bookmarkStart w:id="2" w:name="_Toc214570183"/>
      <w:r w:rsidRPr="009766EF">
        <w:rPr>
          <w:rFonts w:ascii="Times New Roman" w:hAnsi="Times New Roman" w:cs="Times New Roman"/>
          <w:color w:val="36363D"/>
          <w:sz w:val="24"/>
          <w:szCs w:val="24"/>
          <w:lang w:val="en-US"/>
        </w:rPr>
        <w:t xml:space="preserve">2.1. </w:t>
      </w:r>
      <w:r w:rsidRPr="009766EF">
        <w:rPr>
          <w:rFonts w:ascii="Times New Roman" w:hAnsi="Times New Roman" w:cs="Times New Roman"/>
          <w:color w:val="36363D"/>
          <w:sz w:val="24"/>
          <w:szCs w:val="24"/>
        </w:rPr>
        <w:t>Project Title</w:t>
      </w:r>
      <w:bookmarkEnd w:id="2"/>
    </w:p>
    <w:p w14:paraId="1A3BB9E9"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Reconstruction of Highway 5 - Principal Corridor Restoration Project (PCRP)</w:t>
      </w:r>
    </w:p>
    <w:p w14:paraId="0057EA6D" w14:textId="77777777" w:rsidR="00F56BE3" w:rsidRPr="009766EF" w:rsidRDefault="006C6B5D" w:rsidP="009766EF">
      <w:pPr>
        <w:pStyle w:val="Heading2"/>
        <w:spacing w:line="360" w:lineRule="auto"/>
        <w:rPr>
          <w:rFonts w:ascii="Times New Roman" w:hAnsi="Times New Roman" w:cs="Times New Roman"/>
          <w:color w:val="36363D"/>
          <w:sz w:val="24"/>
          <w:szCs w:val="24"/>
        </w:rPr>
      </w:pPr>
      <w:bookmarkStart w:id="3" w:name="_Toc214570184"/>
      <w:r w:rsidRPr="009766EF">
        <w:rPr>
          <w:rFonts w:ascii="Times New Roman" w:hAnsi="Times New Roman" w:cs="Times New Roman"/>
          <w:color w:val="36363D"/>
          <w:sz w:val="24"/>
          <w:szCs w:val="24"/>
          <w:lang w:val="en-US"/>
        </w:rPr>
        <w:t>2.2. Project Objective</w:t>
      </w:r>
      <w:bookmarkEnd w:id="3"/>
    </w:p>
    <w:p w14:paraId="47C915B7"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The primary objective of the PCRP is the complete reconstruction of Highway 5 so that it can run again with all its features before the flood and at the same time with long-lasting climate resilience. This will make the transportation of goods and people between the Lower Mainland and the interior regions of British Columbia safe, efficient, and reliable.</w:t>
      </w:r>
    </w:p>
    <w:p w14:paraId="0852D737" w14:textId="77777777" w:rsidR="00F56BE3" w:rsidRPr="009766EF" w:rsidRDefault="006C6B5D" w:rsidP="009766EF">
      <w:pPr>
        <w:pStyle w:val="Heading2"/>
        <w:spacing w:line="360" w:lineRule="auto"/>
        <w:rPr>
          <w:rFonts w:ascii="Times New Roman" w:hAnsi="Times New Roman" w:cs="Times New Roman"/>
          <w:color w:val="36363D"/>
          <w:sz w:val="24"/>
          <w:szCs w:val="24"/>
        </w:rPr>
      </w:pPr>
      <w:bookmarkStart w:id="4" w:name="_Toc214570185"/>
      <w:r w:rsidRPr="009766EF">
        <w:rPr>
          <w:rFonts w:ascii="Times New Roman" w:hAnsi="Times New Roman" w:cs="Times New Roman"/>
          <w:color w:val="36363D"/>
          <w:sz w:val="24"/>
          <w:szCs w:val="24"/>
          <w:lang w:val="en-US"/>
        </w:rPr>
        <w:t>2.3. Background and Rationale</w:t>
      </w:r>
      <w:bookmarkEnd w:id="4"/>
    </w:p>
    <w:p w14:paraId="6D1710A6"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The 2022 floods caused calamities along Highway 5 like never before, and bridges got swept away, slopes were made unstable, and the breakdown of the pavements got widespread. The regional corridor was the main transportation route not only for local communities but also for regional trade, emergency responses, and agricultural distribution which got badly hit by the closure of this transport artery causing a domino effect of delayed services and economic and social challenges. For example, the farmers and distributors had to suffer a lot as they could not deliver on time, and thus, their products got spoiled, they had to incur extra transportation costs, and the whole food security chain got disturbed. Also, the healthcare and emergency services, who already had to deal with the inaccessible routes, were once more spotlighted as the need for urgent and well-organised reconstruction was now very evident.</w:t>
      </w:r>
    </w:p>
    <w:p w14:paraId="28E6AEEF"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 xml:space="preserve">Not reconstructing Highway 5 on time would mean a prolongation of economic losses, delay in recovery of the affected communities, and increased difficulty in case of disaster response in the event of further climate-related events. Hence, this project is in the right place at the right time from the perspective of being strategically significant and having vast economic, social, and safety implications (Meredith </w:t>
      </w:r>
      <w:r w:rsidRPr="009766EF">
        <w:rPr>
          <w:rFonts w:ascii="Times New Roman" w:eastAsia="SimSun" w:hAnsi="Times New Roman" w:cs="Times New Roman"/>
          <w:color w:val="36363D"/>
          <w:sz w:val="24"/>
          <w:szCs w:val="24"/>
          <w:shd w:val="clear" w:color="auto" w:fill="FFFFFF"/>
          <w:lang w:val="en-US"/>
        </w:rPr>
        <w:t>and</w:t>
      </w:r>
      <w:r w:rsidRPr="009766EF">
        <w:rPr>
          <w:rFonts w:ascii="Times New Roman" w:eastAsia="SimSun" w:hAnsi="Times New Roman" w:cs="Times New Roman"/>
          <w:color w:val="36363D"/>
          <w:sz w:val="24"/>
          <w:szCs w:val="24"/>
          <w:shd w:val="clear" w:color="auto" w:fill="FFFFFF"/>
        </w:rPr>
        <w:t xml:space="preserve"> </w:t>
      </w:r>
      <w:proofErr w:type="spellStart"/>
      <w:r w:rsidRPr="009766EF">
        <w:rPr>
          <w:rFonts w:ascii="Times New Roman" w:eastAsia="SimSun" w:hAnsi="Times New Roman" w:cs="Times New Roman"/>
          <w:color w:val="36363D"/>
          <w:sz w:val="24"/>
          <w:szCs w:val="24"/>
          <w:shd w:val="clear" w:color="auto" w:fill="FFFFFF"/>
        </w:rPr>
        <w:t>Zwikael</w:t>
      </w:r>
      <w:proofErr w:type="spellEnd"/>
      <w:r w:rsidRPr="009766EF">
        <w:rPr>
          <w:rFonts w:ascii="Times New Roman" w:eastAsia="SimSun" w:hAnsi="Times New Roman" w:cs="Times New Roman"/>
          <w:color w:val="36363D"/>
          <w:sz w:val="24"/>
          <w:szCs w:val="24"/>
          <w:shd w:val="clear" w:color="auto" w:fill="FFFFFF"/>
        </w:rPr>
        <w:t>, 2024).</w:t>
      </w:r>
    </w:p>
    <w:p w14:paraId="34D1DFC4" w14:textId="77777777" w:rsidR="00F56BE3" w:rsidRPr="009766EF" w:rsidRDefault="006C6B5D" w:rsidP="009766EF">
      <w:pPr>
        <w:spacing w:line="360" w:lineRule="auto"/>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br w:type="page"/>
      </w:r>
    </w:p>
    <w:p w14:paraId="72822CFB" w14:textId="77777777" w:rsidR="00F56BE3" w:rsidRPr="009766EF" w:rsidRDefault="006C6B5D" w:rsidP="009766EF">
      <w:pPr>
        <w:pStyle w:val="Heading1"/>
        <w:spacing w:line="360" w:lineRule="auto"/>
        <w:rPr>
          <w:rFonts w:ascii="Times New Roman" w:hAnsi="Times New Roman" w:hint="default"/>
          <w:color w:val="36363D"/>
          <w:sz w:val="24"/>
          <w:szCs w:val="24"/>
        </w:rPr>
      </w:pPr>
      <w:bookmarkStart w:id="5" w:name="_Toc214570186"/>
      <w:r w:rsidRPr="009766EF">
        <w:rPr>
          <w:rFonts w:ascii="Times New Roman" w:hAnsi="Times New Roman" w:hint="default"/>
          <w:color w:val="36363D"/>
          <w:sz w:val="24"/>
          <w:szCs w:val="24"/>
        </w:rPr>
        <w:lastRenderedPageBreak/>
        <w:t>2.4. Justification</w:t>
      </w:r>
      <w:bookmarkEnd w:id="5"/>
    </w:p>
    <w:p w14:paraId="07047DAB"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 xml:space="preserve">The reconstruction project has several reasons to be carried on: </w:t>
      </w:r>
    </w:p>
    <w:p w14:paraId="5255AC90"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Economic Recovery:</w:t>
      </w:r>
      <w:r w:rsidRPr="009766EF">
        <w:rPr>
          <w:rFonts w:ascii="Times New Roman" w:eastAsia="SimSun" w:hAnsi="Times New Roman" w:cs="Times New Roman"/>
          <w:color w:val="36363D"/>
          <w:sz w:val="24"/>
          <w:szCs w:val="24"/>
          <w:shd w:val="clear" w:color="auto" w:fill="FFFFFF"/>
        </w:rPr>
        <w:t xml:space="preserve"> the critical supply chain route necessary for the local businesses, trade, and commerce is restored.</w:t>
      </w:r>
    </w:p>
    <w:p w14:paraId="3BC9E6EE"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Public Safety:</w:t>
      </w:r>
      <w:r w:rsidRPr="009766EF">
        <w:rPr>
          <w:rFonts w:ascii="Times New Roman" w:eastAsia="SimSun" w:hAnsi="Times New Roman" w:cs="Times New Roman"/>
          <w:color w:val="36363D"/>
          <w:sz w:val="24"/>
          <w:szCs w:val="24"/>
          <w:shd w:val="clear" w:color="auto" w:fill="FFFFFF"/>
        </w:rPr>
        <w:t xml:space="preserve"> the emergency services can be redeployed quickly to affected and isolated areas.</w:t>
      </w:r>
    </w:p>
    <w:p w14:paraId="4BAD1167"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Community Resilience:</w:t>
      </w:r>
      <w:r w:rsidRPr="009766EF">
        <w:rPr>
          <w:rFonts w:ascii="Times New Roman" w:eastAsia="SimSun" w:hAnsi="Times New Roman" w:cs="Times New Roman"/>
          <w:color w:val="36363D"/>
          <w:sz w:val="24"/>
          <w:szCs w:val="24"/>
          <w:shd w:val="clear" w:color="auto" w:fill="FFFFFF"/>
        </w:rPr>
        <w:t xml:space="preserve"> medical and educational access and provision of other essential services are made possible.</w:t>
      </w:r>
    </w:p>
    <w:p w14:paraId="49816732"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Sustainable Infrastructure</w:t>
      </w:r>
      <w:r w:rsidRPr="009766EF">
        <w:rPr>
          <w:rFonts w:ascii="Times New Roman" w:eastAsia="SimSun" w:hAnsi="Times New Roman" w:cs="Times New Roman"/>
          <w:color w:val="36363D"/>
          <w:sz w:val="24"/>
          <w:szCs w:val="24"/>
          <w:shd w:val="clear" w:color="auto" w:fill="FFFFFF"/>
        </w:rPr>
        <w:t>: the highway is made stronger by using climate-resilient engineering measures that will help prevent future risk.</w:t>
      </w:r>
    </w:p>
    <w:p w14:paraId="0460CDA6"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Stakeholder Confidence</w:t>
      </w:r>
      <w:r w:rsidRPr="009766EF">
        <w:rPr>
          <w:rFonts w:ascii="Times New Roman" w:eastAsia="SimSun" w:hAnsi="Times New Roman" w:cs="Times New Roman"/>
          <w:color w:val="36363D"/>
          <w:sz w:val="24"/>
          <w:szCs w:val="24"/>
          <w:shd w:val="clear" w:color="auto" w:fill="FFFFFF"/>
        </w:rPr>
        <w:t>: the government and the management have gained trust in their capability to handle post-disaster recovery.</w:t>
      </w:r>
    </w:p>
    <w:p w14:paraId="10BDFCAD" w14:textId="77777777" w:rsidR="00F56BE3" w:rsidRPr="009766EF" w:rsidRDefault="006C6B5D" w:rsidP="009766EF">
      <w:pPr>
        <w:pStyle w:val="Heading1"/>
        <w:spacing w:line="360" w:lineRule="auto"/>
        <w:rPr>
          <w:rFonts w:ascii="Times New Roman" w:hAnsi="Times New Roman" w:hint="default"/>
          <w:color w:val="36363D"/>
          <w:sz w:val="24"/>
          <w:szCs w:val="24"/>
        </w:rPr>
      </w:pPr>
      <w:bookmarkStart w:id="6" w:name="_Toc214570187"/>
      <w:r w:rsidRPr="009766EF">
        <w:rPr>
          <w:rFonts w:ascii="Times New Roman" w:hAnsi="Times New Roman" w:hint="default"/>
          <w:color w:val="36363D"/>
          <w:sz w:val="24"/>
          <w:szCs w:val="24"/>
        </w:rPr>
        <w:t>2.5. Project Management Approach</w:t>
      </w:r>
      <w:bookmarkEnd w:id="6"/>
    </w:p>
    <w:p w14:paraId="63932222"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 xml:space="preserve">The project is going to use a hybrid project management methodology that combines predictive planning for structural work and agile practices for adaptive decision-making in uncertain conditions (Jamal, 2022). Predictive elements will control fixed deliverables which include bridge reconstruction and pavement restoration, while agile principles will create a situation where environmental and logistical challenges (e.g. bad weather or unforeseen ground conditions) will immediately be responded to. The method is in line with international standards for managing complex and </w:t>
      </w:r>
      <w:r w:rsidRPr="009766EF">
        <w:rPr>
          <w:rFonts w:ascii="Times New Roman" w:eastAsia="SimSun" w:hAnsi="Times New Roman" w:cs="Times New Roman"/>
          <w:color w:val="36363D"/>
          <w:sz w:val="24"/>
          <w:szCs w:val="24"/>
          <w:shd w:val="clear" w:color="auto" w:fill="FFFFFF"/>
          <w:lang w:val="en-US"/>
        </w:rPr>
        <w:t>high-impact</w:t>
      </w:r>
      <w:r w:rsidRPr="009766EF">
        <w:rPr>
          <w:rFonts w:ascii="Times New Roman" w:eastAsia="SimSun" w:hAnsi="Times New Roman" w:cs="Times New Roman"/>
          <w:color w:val="36363D"/>
          <w:sz w:val="24"/>
          <w:szCs w:val="24"/>
          <w:shd w:val="clear" w:color="auto" w:fill="FFFFFF"/>
        </w:rPr>
        <w:t xml:space="preserve"> infrastructure projects (Kerzner, Zeitoun </w:t>
      </w:r>
      <w:r w:rsidRPr="009766EF">
        <w:rPr>
          <w:rFonts w:ascii="Times New Roman" w:eastAsia="SimSun" w:hAnsi="Times New Roman" w:cs="Times New Roman"/>
          <w:color w:val="36363D"/>
          <w:sz w:val="24"/>
          <w:szCs w:val="24"/>
          <w:shd w:val="clear" w:color="auto" w:fill="FFFFFF"/>
          <w:lang w:val="en-US"/>
        </w:rPr>
        <w:t>and</w:t>
      </w:r>
      <w:r w:rsidRPr="009766EF">
        <w:rPr>
          <w:rFonts w:ascii="Times New Roman" w:eastAsia="SimSun" w:hAnsi="Times New Roman" w:cs="Times New Roman"/>
          <w:color w:val="36363D"/>
          <w:sz w:val="24"/>
          <w:szCs w:val="24"/>
          <w:shd w:val="clear" w:color="auto" w:fill="FFFFFF"/>
        </w:rPr>
        <w:t xml:space="preserve"> Vargas, 2022).</w:t>
      </w:r>
    </w:p>
    <w:p w14:paraId="1E914F6A" w14:textId="77777777" w:rsidR="00F56BE3" w:rsidRPr="009766EF" w:rsidRDefault="006C6B5D" w:rsidP="009766EF">
      <w:pPr>
        <w:pStyle w:val="Heading1"/>
        <w:spacing w:line="360" w:lineRule="auto"/>
        <w:rPr>
          <w:rFonts w:ascii="Times New Roman" w:hAnsi="Times New Roman" w:hint="default"/>
          <w:color w:val="36363D"/>
          <w:sz w:val="24"/>
          <w:szCs w:val="24"/>
        </w:rPr>
      </w:pPr>
      <w:bookmarkStart w:id="7" w:name="_Toc214570188"/>
      <w:r w:rsidRPr="009766EF">
        <w:rPr>
          <w:rFonts w:ascii="Times New Roman" w:hAnsi="Times New Roman" w:hint="default"/>
          <w:color w:val="36363D"/>
          <w:sz w:val="24"/>
          <w:szCs w:val="24"/>
        </w:rPr>
        <w:t>3. Project Scope</w:t>
      </w:r>
      <w:bookmarkEnd w:id="7"/>
    </w:p>
    <w:p w14:paraId="47A05FE9" w14:textId="77777777" w:rsidR="00F56BE3" w:rsidRPr="009766EF" w:rsidRDefault="006C6B5D" w:rsidP="009766EF">
      <w:pPr>
        <w:pStyle w:val="Heading2"/>
        <w:spacing w:line="360" w:lineRule="auto"/>
        <w:rPr>
          <w:rFonts w:ascii="Times New Roman" w:hAnsi="Times New Roman" w:cs="Times New Roman"/>
          <w:color w:val="36363D"/>
          <w:sz w:val="24"/>
          <w:szCs w:val="24"/>
        </w:rPr>
      </w:pPr>
      <w:bookmarkStart w:id="8" w:name="_Toc214570189"/>
      <w:r w:rsidRPr="009766EF">
        <w:rPr>
          <w:rFonts w:ascii="Times New Roman" w:hAnsi="Times New Roman" w:cs="Times New Roman"/>
          <w:color w:val="36363D"/>
          <w:sz w:val="24"/>
          <w:szCs w:val="24"/>
        </w:rPr>
        <w:t>3.1 In-Scope Activities</w:t>
      </w:r>
      <w:bookmarkEnd w:id="8"/>
    </w:p>
    <w:p w14:paraId="6E8C55A4"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The project consists of the activities listed below that are included in the defined scope (PMI, 2021):</w:t>
      </w:r>
    </w:p>
    <w:p w14:paraId="18BE7947"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Structural Assessment:</w:t>
      </w:r>
      <w:r w:rsidRPr="009766EF">
        <w:rPr>
          <w:rFonts w:ascii="Times New Roman" w:eastAsia="SimSun" w:hAnsi="Times New Roman" w:cs="Times New Roman"/>
          <w:color w:val="36363D"/>
          <w:sz w:val="24"/>
          <w:szCs w:val="24"/>
          <w:shd w:val="clear" w:color="auto" w:fill="FFFFFF"/>
        </w:rPr>
        <w:t xml:space="preserve"> Thorough examination of all ruined segments, including bridges, slopes, and pavement structures.</w:t>
      </w:r>
    </w:p>
    <w:p w14:paraId="5E3F66A4"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Debris Removal and Site Preparation:</w:t>
      </w:r>
      <w:r w:rsidRPr="009766EF">
        <w:rPr>
          <w:rFonts w:ascii="Times New Roman" w:eastAsia="SimSun" w:hAnsi="Times New Roman" w:cs="Times New Roman"/>
          <w:color w:val="36363D"/>
          <w:sz w:val="24"/>
          <w:szCs w:val="24"/>
          <w:shd w:val="clear" w:color="auto" w:fill="FFFFFF"/>
        </w:rPr>
        <w:t xml:space="preserve"> Unloading of landslide debris, stabilization of slopes, and readiness for the construction.</w:t>
      </w:r>
    </w:p>
    <w:p w14:paraId="41519737"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lastRenderedPageBreak/>
        <w:t>Bridge Reconstruction</w:t>
      </w:r>
      <w:r w:rsidRPr="009766EF">
        <w:rPr>
          <w:rFonts w:ascii="Times New Roman" w:eastAsia="SimSun" w:hAnsi="Times New Roman" w:cs="Times New Roman"/>
          <w:color w:val="36363D"/>
          <w:sz w:val="24"/>
          <w:szCs w:val="24"/>
          <w:shd w:val="clear" w:color="auto" w:fill="FFFFFF"/>
        </w:rPr>
        <w:t>: Reconstructing fallen bridges and making surviving structures stronger to be able to withstand modern engineering standards.</w:t>
      </w:r>
    </w:p>
    <w:p w14:paraId="7222F98F"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lang w:val="en-US"/>
        </w:rPr>
        <w:t xml:space="preserve">Climate-Resilient </w:t>
      </w:r>
      <w:r w:rsidRPr="009766EF">
        <w:rPr>
          <w:rFonts w:ascii="Times New Roman" w:eastAsia="SimSun" w:hAnsi="Times New Roman" w:cs="Times New Roman"/>
          <w:color w:val="36363D"/>
          <w:sz w:val="24"/>
          <w:szCs w:val="24"/>
          <w:shd w:val="clear" w:color="auto" w:fill="FFFFFF"/>
          <w:lang w:val="en-US"/>
        </w:rPr>
        <w:t>Improvements: Construction of retaining walls, strengthened culverts, water diversion which will assist in mitigating the occurrence of future floods in the area.</w:t>
      </w:r>
    </w:p>
    <w:p w14:paraId="42CCE852"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lang w:val="en-US"/>
        </w:rPr>
        <w:t>Safety Testing and Inspection</w:t>
      </w:r>
      <w:r w:rsidRPr="009766EF">
        <w:rPr>
          <w:rFonts w:ascii="Times New Roman" w:eastAsia="SimSun" w:hAnsi="Times New Roman" w:cs="Times New Roman"/>
          <w:color w:val="36363D"/>
          <w:sz w:val="24"/>
          <w:szCs w:val="24"/>
          <w:shd w:val="clear" w:color="auto" w:fill="FFFFFF"/>
          <w:lang w:val="en-US"/>
        </w:rPr>
        <w:t>: Examining the structure and resolving the fact that it is safe, and conforming to the engineering standards of the province.</w:t>
      </w:r>
    </w:p>
    <w:p w14:paraId="49F977EB"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lang w:val="en-US"/>
        </w:rPr>
        <w:t>Stakeholder Engagement:</w:t>
      </w:r>
      <w:r w:rsidRPr="009766EF">
        <w:rPr>
          <w:rFonts w:ascii="Times New Roman" w:eastAsia="SimSun" w:hAnsi="Times New Roman" w:cs="Times New Roman"/>
          <w:color w:val="36363D"/>
          <w:sz w:val="24"/>
          <w:szCs w:val="24"/>
          <w:shd w:val="clear" w:color="auto" w:fill="FFFFFF"/>
          <w:lang w:val="en-US"/>
        </w:rPr>
        <w:t xml:space="preserve"> The further consultation with governmental bodies, Indigenous people, and the local community to ensure that the communication and cooperation are transparent and accessible.</w:t>
      </w:r>
    </w:p>
    <w:p w14:paraId="027A3BF4"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lang w:val="en-US"/>
        </w:rPr>
        <w:t>Project Management Activities</w:t>
      </w:r>
      <w:r w:rsidRPr="009766EF">
        <w:rPr>
          <w:rFonts w:ascii="Times New Roman" w:eastAsia="SimSun" w:hAnsi="Times New Roman" w:cs="Times New Roman"/>
          <w:color w:val="36363D"/>
          <w:sz w:val="24"/>
          <w:szCs w:val="24"/>
          <w:shd w:val="clear" w:color="auto" w:fill="FFFFFF"/>
          <w:lang w:val="en-US"/>
        </w:rPr>
        <w:t>: The project management procedures (risk management, quality control, procurement planning and progress monitoring) are introduced.</w:t>
      </w:r>
    </w:p>
    <w:p w14:paraId="265AC15B" w14:textId="77777777" w:rsidR="00F56BE3" w:rsidRPr="009766EF" w:rsidRDefault="006C6B5D" w:rsidP="009766EF">
      <w:pPr>
        <w:pStyle w:val="Heading2"/>
        <w:spacing w:line="360" w:lineRule="auto"/>
        <w:rPr>
          <w:rFonts w:ascii="Times New Roman" w:hAnsi="Times New Roman" w:cs="Times New Roman"/>
          <w:color w:val="36363D"/>
          <w:sz w:val="24"/>
          <w:szCs w:val="24"/>
        </w:rPr>
      </w:pPr>
      <w:bookmarkStart w:id="9" w:name="_Toc214570190"/>
      <w:r w:rsidRPr="009766EF">
        <w:rPr>
          <w:rFonts w:ascii="Times New Roman" w:hAnsi="Times New Roman" w:cs="Times New Roman"/>
          <w:color w:val="36363D"/>
          <w:sz w:val="24"/>
          <w:szCs w:val="24"/>
        </w:rPr>
        <w:t>3.2 Out-of-Scope Activities</w:t>
      </w:r>
      <w:bookmarkEnd w:id="9"/>
    </w:p>
    <w:p w14:paraId="02B87F01"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The project will not comprise:</w:t>
      </w:r>
    </w:p>
    <w:p w14:paraId="7AED03A7" w14:textId="77777777" w:rsidR="00F56BE3" w:rsidRPr="009766EF" w:rsidRDefault="006C6B5D" w:rsidP="009766EF">
      <w:pPr>
        <w:numPr>
          <w:ilvl w:val="0"/>
          <w:numId w:val="1"/>
        </w:numPr>
        <w:tabs>
          <w:tab w:val="left" w:pos="420"/>
        </w:tabs>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Rebuilding or servicing of provincial highways that are not related.</w:t>
      </w:r>
    </w:p>
    <w:p w14:paraId="71B22A02" w14:textId="77777777" w:rsidR="00F56BE3" w:rsidRPr="009766EF" w:rsidRDefault="006C6B5D" w:rsidP="009766EF">
      <w:pPr>
        <w:numPr>
          <w:ilvl w:val="0"/>
          <w:numId w:val="1"/>
        </w:numPr>
        <w:tabs>
          <w:tab w:val="left" w:pos="420"/>
        </w:tabs>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Payments to the affected businesses, farms, or residential property owners.</w:t>
      </w:r>
    </w:p>
    <w:p w14:paraId="5B0287BC" w14:textId="77777777" w:rsidR="00F56BE3" w:rsidRPr="009766EF" w:rsidRDefault="006C6B5D" w:rsidP="009766EF">
      <w:pPr>
        <w:numPr>
          <w:ilvl w:val="0"/>
          <w:numId w:val="1"/>
        </w:numPr>
        <w:tabs>
          <w:tab w:val="left" w:pos="420"/>
        </w:tabs>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The activities of long-term maintenance after project transfer.</w:t>
      </w:r>
    </w:p>
    <w:p w14:paraId="0B1E1EA0" w14:textId="77777777" w:rsidR="00F56BE3" w:rsidRPr="009766EF" w:rsidRDefault="006C6B5D" w:rsidP="009766EF">
      <w:pPr>
        <w:pStyle w:val="Heading2"/>
        <w:spacing w:line="360" w:lineRule="auto"/>
        <w:rPr>
          <w:rFonts w:ascii="Times New Roman" w:hAnsi="Times New Roman" w:cs="Times New Roman"/>
          <w:color w:val="36363D"/>
          <w:sz w:val="24"/>
          <w:szCs w:val="24"/>
        </w:rPr>
      </w:pPr>
      <w:bookmarkStart w:id="10" w:name="_Toc214570191"/>
      <w:r w:rsidRPr="009766EF">
        <w:rPr>
          <w:rFonts w:ascii="Times New Roman" w:hAnsi="Times New Roman" w:cs="Times New Roman"/>
          <w:color w:val="36363D"/>
          <w:sz w:val="24"/>
          <w:szCs w:val="24"/>
        </w:rPr>
        <w:t>3.3 Project Deliverables</w:t>
      </w:r>
      <w:bookmarkEnd w:id="10"/>
    </w:p>
    <w:p w14:paraId="1D89A61C"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The deliverable on the completion of the project will be:</w:t>
      </w:r>
    </w:p>
    <w:p w14:paraId="44B64CAC"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Operational Highway 5: A highway that is fully operational, climate proof and completely safe.</w:t>
      </w:r>
    </w:p>
    <w:p w14:paraId="20A84DC9"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Engineering Documentation: The documentation of the revised design and the building plans that will be employed in future.</w:t>
      </w:r>
    </w:p>
    <w:p w14:paraId="73BCCFB0"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Environmental Compliance Reports: The reports which state the steps undertaken in order to alleviate and maintain the environment.</w:t>
      </w:r>
    </w:p>
    <w:p w14:paraId="2D789191"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Construction Completion Certificate: Evidence that all the safety and engineering standards have been completed.</w:t>
      </w:r>
    </w:p>
    <w:p w14:paraId="0575409F"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 xml:space="preserve">Post-Project Evaluation Report: Multidimensional assessment of the outcome of the research, gained knowledge, and the advantages achieved (Meredith and </w:t>
      </w:r>
      <w:proofErr w:type="spellStart"/>
      <w:r w:rsidRPr="009766EF">
        <w:rPr>
          <w:rFonts w:ascii="Times New Roman" w:eastAsia="SimSun" w:hAnsi="Times New Roman" w:cs="Times New Roman"/>
          <w:color w:val="36363D"/>
          <w:sz w:val="24"/>
          <w:szCs w:val="24"/>
          <w:shd w:val="clear" w:color="auto" w:fill="FFFFFF"/>
          <w:lang w:val="en-US"/>
        </w:rPr>
        <w:t>Zwikael</w:t>
      </w:r>
      <w:proofErr w:type="spellEnd"/>
      <w:r w:rsidRPr="009766EF">
        <w:rPr>
          <w:rFonts w:ascii="Times New Roman" w:eastAsia="SimSun" w:hAnsi="Times New Roman" w:cs="Times New Roman"/>
          <w:color w:val="36363D"/>
          <w:sz w:val="24"/>
          <w:szCs w:val="24"/>
          <w:shd w:val="clear" w:color="auto" w:fill="FFFFFF"/>
          <w:lang w:val="en-US"/>
        </w:rPr>
        <w:t>, 2024).</w:t>
      </w:r>
    </w:p>
    <w:p w14:paraId="7E3CB82C" w14:textId="77777777" w:rsidR="00F56BE3" w:rsidRPr="009766EF" w:rsidRDefault="006C6B5D" w:rsidP="009766EF">
      <w:pPr>
        <w:pStyle w:val="Heading1"/>
        <w:spacing w:line="360" w:lineRule="auto"/>
        <w:rPr>
          <w:rFonts w:ascii="Times New Roman" w:hAnsi="Times New Roman" w:hint="default"/>
          <w:color w:val="36363D"/>
          <w:sz w:val="24"/>
          <w:szCs w:val="24"/>
        </w:rPr>
      </w:pPr>
      <w:bookmarkStart w:id="11" w:name="_Toc214570192"/>
      <w:r w:rsidRPr="009766EF">
        <w:rPr>
          <w:rFonts w:ascii="Times New Roman" w:hAnsi="Times New Roman" w:hint="default"/>
          <w:color w:val="36363D"/>
          <w:sz w:val="24"/>
          <w:szCs w:val="24"/>
        </w:rPr>
        <w:lastRenderedPageBreak/>
        <w:t>4. Work Breakdown Structure (WBS)</w:t>
      </w:r>
      <w:bookmarkEnd w:id="11"/>
    </w:p>
    <w:p w14:paraId="7A727AD3"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A WBS is systematic, making it a way to execute it in a methodical manner (Kerzner, 2023).</w:t>
      </w:r>
    </w:p>
    <w:p w14:paraId="14DEE0D3" w14:textId="77777777" w:rsidR="00F56BE3" w:rsidRPr="009766EF" w:rsidRDefault="00F56BE3" w:rsidP="009766EF">
      <w:pPr>
        <w:spacing w:line="360" w:lineRule="auto"/>
        <w:jc w:val="both"/>
        <w:rPr>
          <w:rFonts w:ascii="Times New Roman" w:eastAsia="SimSun" w:hAnsi="Times New Roman" w:cs="Times New Roman"/>
          <w:color w:val="36363D"/>
          <w:sz w:val="24"/>
          <w:szCs w:val="24"/>
          <w:shd w:val="clear" w:color="auto" w:fill="FFFFFF"/>
        </w:rPr>
      </w:pPr>
    </w:p>
    <w:p w14:paraId="4563AEFB"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hAnsi="Times New Roman" w:cs="Times New Roman"/>
          <w:noProof/>
          <w:color w:val="36363D"/>
          <w:sz w:val="24"/>
          <w:szCs w:val="24"/>
          <w:lang w:eastAsia="en-GB"/>
        </w:rPr>
        <w:drawing>
          <wp:inline distT="0" distB="0" distL="0" distR="0" wp14:anchorId="452B2530" wp14:editId="233E7503">
            <wp:extent cx="5269230" cy="2806700"/>
            <wp:effectExtent l="9525" t="9525" r="17145" b="22225"/>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lum contrast="-6000"/>
                    </a:blip>
                    <a:srcRect b="11794"/>
                    <a:stretch/>
                  </pic:blipFill>
                  <pic:spPr>
                    <a:xfrm>
                      <a:off x="0" y="0"/>
                      <a:ext cx="5269230" cy="2806700"/>
                    </a:xfrm>
                    <a:prstGeom prst="rect">
                      <a:avLst/>
                    </a:prstGeom>
                    <a:ln w="9525" cap="flat" cmpd="sng">
                      <a:solidFill>
                        <a:srgbClr val="000000"/>
                      </a:solidFill>
                      <a:prstDash val="solid"/>
                      <a:round/>
                      <a:headEnd type="none" w="med" len="med"/>
                      <a:tailEnd type="none" w="med" len="med"/>
                    </a:ln>
                  </pic:spPr>
                </pic:pic>
              </a:graphicData>
            </a:graphic>
          </wp:inline>
        </w:drawing>
      </w:r>
    </w:p>
    <w:p w14:paraId="1C3CB318"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hAnsi="Times New Roman" w:cs="Times New Roman"/>
          <w:noProof/>
          <w:color w:val="36363D"/>
          <w:sz w:val="24"/>
          <w:szCs w:val="24"/>
          <w:lang w:eastAsia="en-GB"/>
        </w:rPr>
        <w:drawing>
          <wp:inline distT="0" distB="0" distL="0" distR="0" wp14:anchorId="2E1BAE03" wp14:editId="76EF6C39">
            <wp:extent cx="5248275" cy="3638550"/>
            <wp:effectExtent l="19050" t="19050" r="28575" b="19050"/>
            <wp:docPr id="1028"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lum contrast="-6000"/>
                    </a:blip>
                    <a:srcRect b="4454"/>
                    <a:stretch/>
                  </pic:blipFill>
                  <pic:spPr>
                    <a:xfrm>
                      <a:off x="0" y="0"/>
                      <a:ext cx="5248275" cy="3638550"/>
                    </a:xfrm>
                    <a:prstGeom prst="rect">
                      <a:avLst/>
                    </a:prstGeom>
                    <a:ln w="9525" cap="flat" cmpd="sng">
                      <a:solidFill>
                        <a:srgbClr val="000000"/>
                      </a:solidFill>
                      <a:prstDash val="solid"/>
                      <a:round/>
                      <a:headEnd type="none" w="med" len="med"/>
                      <a:tailEnd type="none" w="med" len="med"/>
                    </a:ln>
                  </pic:spPr>
                </pic:pic>
              </a:graphicData>
            </a:graphic>
          </wp:inline>
        </w:drawing>
      </w:r>
    </w:p>
    <w:p w14:paraId="5FAF6660"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 xml:space="preserve">This structure aligns with international project management standards and supports controlling project complexity (Turner </w:t>
      </w:r>
      <w:r w:rsidRPr="009766EF">
        <w:rPr>
          <w:rFonts w:ascii="Times New Roman" w:eastAsia="SimSun" w:hAnsi="Times New Roman" w:cs="Times New Roman"/>
          <w:color w:val="36363D"/>
          <w:sz w:val="24"/>
          <w:szCs w:val="24"/>
          <w:shd w:val="clear" w:color="auto" w:fill="FFFFFF"/>
          <w:lang w:val="en-US"/>
        </w:rPr>
        <w:t>and</w:t>
      </w:r>
      <w:r w:rsidRPr="009766EF">
        <w:rPr>
          <w:rFonts w:ascii="Times New Roman" w:eastAsia="SimSun" w:hAnsi="Times New Roman" w:cs="Times New Roman"/>
          <w:color w:val="36363D"/>
          <w:sz w:val="24"/>
          <w:szCs w:val="24"/>
          <w:shd w:val="clear" w:color="auto" w:fill="FFFFFF"/>
        </w:rPr>
        <w:t xml:space="preserve"> Huemann, 2024).</w:t>
      </w:r>
    </w:p>
    <w:p w14:paraId="66F755BA" w14:textId="77777777" w:rsidR="00F56BE3" w:rsidRPr="009766EF" w:rsidRDefault="00F56BE3" w:rsidP="009766EF">
      <w:pPr>
        <w:spacing w:line="360" w:lineRule="auto"/>
        <w:jc w:val="both"/>
        <w:rPr>
          <w:rFonts w:ascii="Times New Roman" w:eastAsia="SimSun" w:hAnsi="Times New Roman" w:cs="Times New Roman"/>
          <w:color w:val="36363D"/>
          <w:sz w:val="24"/>
          <w:szCs w:val="24"/>
          <w:shd w:val="clear" w:color="auto" w:fill="FFFFFF"/>
        </w:rPr>
      </w:pPr>
    </w:p>
    <w:p w14:paraId="39A0AD24" w14:textId="77777777" w:rsidR="00F56BE3" w:rsidRPr="009766EF" w:rsidRDefault="006C6B5D" w:rsidP="009766EF">
      <w:pPr>
        <w:pStyle w:val="Heading1"/>
        <w:spacing w:line="360" w:lineRule="auto"/>
        <w:rPr>
          <w:rFonts w:ascii="Times New Roman" w:hAnsi="Times New Roman" w:hint="default"/>
          <w:color w:val="36363D"/>
          <w:sz w:val="24"/>
          <w:szCs w:val="24"/>
        </w:rPr>
      </w:pPr>
      <w:bookmarkStart w:id="12" w:name="_Toc214570193"/>
      <w:r w:rsidRPr="009766EF">
        <w:rPr>
          <w:rFonts w:ascii="Times New Roman" w:hAnsi="Times New Roman" w:hint="default"/>
          <w:color w:val="36363D"/>
          <w:sz w:val="24"/>
          <w:szCs w:val="24"/>
        </w:rPr>
        <w:lastRenderedPageBreak/>
        <w:t>5. Quad Chart</w:t>
      </w:r>
      <w:bookmarkEnd w:id="12"/>
    </w:p>
    <w:p w14:paraId="641F1F7C"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 xml:space="preserve">A Quad Chart is a visual management tool that integrates the dimensions of critical planning and presents them in a four- </w:t>
      </w:r>
      <w:proofErr w:type="spellStart"/>
      <w:r w:rsidRPr="009766EF">
        <w:rPr>
          <w:rFonts w:ascii="Times New Roman" w:eastAsia="SimSun" w:hAnsi="Times New Roman" w:cs="Times New Roman"/>
          <w:color w:val="36363D"/>
          <w:sz w:val="24"/>
          <w:szCs w:val="24"/>
          <w:shd w:val="clear" w:color="auto" w:fill="FFFFFF"/>
          <w:lang w:val="en-US"/>
        </w:rPr>
        <w:t>Quadraform</w:t>
      </w:r>
      <w:proofErr w:type="spellEnd"/>
      <w:r w:rsidRPr="009766EF">
        <w:rPr>
          <w:rFonts w:ascii="Times New Roman" w:eastAsia="SimSun" w:hAnsi="Times New Roman" w:cs="Times New Roman"/>
          <w:color w:val="36363D"/>
          <w:sz w:val="24"/>
          <w:szCs w:val="24"/>
          <w:shd w:val="clear" w:color="auto" w:fill="FFFFFF"/>
          <w:lang w:val="en-US"/>
        </w:rPr>
        <w:t xml:space="preserve"> to provide the project with a sense of context and clarity of strategy as like none other. The four quadrants indicate the four elements required in project success which include Problem and Area, Mission and Objectives, and Strategy of execution and Outcomes expected.</w:t>
      </w:r>
    </w:p>
    <w:p w14:paraId="1907B6FC" w14:textId="77777777" w:rsidR="00F56BE3" w:rsidRPr="009766EF" w:rsidRDefault="006C6B5D" w:rsidP="009766EF">
      <w:pPr>
        <w:spacing w:line="360" w:lineRule="auto"/>
        <w:jc w:val="both"/>
        <w:rPr>
          <w:rFonts w:ascii="Times New Roman" w:eastAsia="SimSun" w:hAnsi="Times New Roman" w:cs="Times New Roman"/>
          <w:color w:val="36363D"/>
          <w:sz w:val="24"/>
          <w:szCs w:val="24"/>
          <w:highlight w:val="yellow"/>
          <w:shd w:val="clear" w:color="auto" w:fill="FFFFFF"/>
        </w:rPr>
      </w:pPr>
      <w:r w:rsidRPr="009766EF">
        <w:rPr>
          <w:rFonts w:ascii="Times New Roman" w:eastAsia="SimSun" w:hAnsi="Times New Roman" w:cs="Times New Roman"/>
          <w:b/>
          <w:bCs/>
          <w:color w:val="36363D"/>
          <w:sz w:val="24"/>
          <w:szCs w:val="24"/>
          <w:shd w:val="clear" w:color="auto" w:fill="FFFFFF"/>
          <w:lang w:val="en-US"/>
        </w:rPr>
        <w:t xml:space="preserve">The first quadrant (Area and Problem) </w:t>
      </w:r>
      <w:r w:rsidRPr="009766EF">
        <w:rPr>
          <w:rFonts w:ascii="Times New Roman" w:eastAsia="SimSun" w:hAnsi="Times New Roman" w:cs="Times New Roman"/>
          <w:color w:val="36363D"/>
          <w:sz w:val="24"/>
          <w:szCs w:val="24"/>
          <w:shd w:val="clear" w:color="auto" w:fill="FFFFFF"/>
          <w:lang w:val="en-US"/>
        </w:rPr>
        <w:t>provides the geographic context by providing the naming of the area, the key problem, and the effect on the stakeholders.  In the Highway 5 restoration, this is with regards to the implications of flooding, the segregation that the community has to face and the urgent need to address the transportation passage.</w:t>
      </w:r>
    </w:p>
    <w:p w14:paraId="58039A57"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 xml:space="preserve">The second quadrant (Mission </w:t>
      </w:r>
      <w:r w:rsidRPr="009766EF">
        <w:rPr>
          <w:rFonts w:ascii="Times New Roman" w:eastAsia="SimSun" w:hAnsi="Times New Roman" w:cs="Times New Roman"/>
          <w:b/>
          <w:bCs/>
          <w:color w:val="36363D"/>
          <w:sz w:val="24"/>
          <w:szCs w:val="24"/>
          <w:shd w:val="clear" w:color="auto" w:fill="FFFFFF"/>
          <w:lang w:val="en-US"/>
        </w:rPr>
        <w:t>and</w:t>
      </w:r>
      <w:r w:rsidRPr="009766EF">
        <w:rPr>
          <w:rFonts w:ascii="Times New Roman" w:eastAsia="SimSun" w:hAnsi="Times New Roman" w:cs="Times New Roman"/>
          <w:b/>
          <w:bCs/>
          <w:color w:val="36363D"/>
          <w:sz w:val="24"/>
          <w:szCs w:val="24"/>
          <w:shd w:val="clear" w:color="auto" w:fill="FFFFFF"/>
        </w:rPr>
        <w:t xml:space="preserve"> Objectives) </w:t>
      </w:r>
      <w:r w:rsidRPr="009766EF">
        <w:rPr>
          <w:rFonts w:ascii="Times New Roman" w:eastAsia="SimSun" w:hAnsi="Times New Roman" w:cs="Times New Roman"/>
          <w:color w:val="36363D"/>
          <w:sz w:val="24"/>
          <w:szCs w:val="24"/>
          <w:shd w:val="clear" w:color="auto" w:fill="FFFFFF"/>
        </w:rPr>
        <w:t>expresses the intent of the strategy by revealing the main objective, the criteria for success, and the time limits. It clarifies "What are we trying to achieve?" In this case, the answer is building the 5 highways in a period of 18 months using methods that are safe, resilient, and sustainable.</w:t>
      </w:r>
    </w:p>
    <w:p w14:paraId="1D44EFAC"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The third quadrant is about (Execution Strategy)</w:t>
      </w:r>
      <w:r w:rsidRPr="009766EF">
        <w:rPr>
          <w:rFonts w:ascii="Times New Roman" w:eastAsia="SimSun" w:hAnsi="Times New Roman" w:cs="Times New Roman"/>
          <w:color w:val="36363D"/>
          <w:sz w:val="24"/>
          <w:szCs w:val="24"/>
          <w:shd w:val="clear" w:color="auto" w:fill="FFFFFF"/>
        </w:rPr>
        <w:t xml:space="preserve"> discussing the method to be employed, including Project management, Risk management (Hillson 2023), and cooperation. The project will overcome the problems through hybrid PM, phased reconstruction, and stakeholder engagement.</w:t>
      </w:r>
    </w:p>
    <w:p w14:paraId="78AB5AD2"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 xml:space="preserve">The fourth quadrant (Expected Outcomes) </w:t>
      </w:r>
      <w:r w:rsidRPr="009766EF">
        <w:rPr>
          <w:rFonts w:ascii="Times New Roman" w:eastAsia="SimSun" w:hAnsi="Times New Roman" w:cs="Times New Roman"/>
          <w:color w:val="36363D"/>
          <w:sz w:val="24"/>
          <w:szCs w:val="24"/>
          <w:shd w:val="clear" w:color="auto" w:fill="FFFFFF"/>
        </w:rPr>
        <w:t xml:space="preserve">indicates the creation of serviceable goods and the delivery of </w:t>
      </w:r>
      <w:r w:rsidRPr="009766EF">
        <w:rPr>
          <w:rFonts w:ascii="Times New Roman" w:eastAsia="SimSun" w:hAnsi="Times New Roman" w:cs="Times New Roman"/>
          <w:color w:val="36363D"/>
          <w:sz w:val="24"/>
          <w:szCs w:val="24"/>
          <w:shd w:val="clear" w:color="auto" w:fill="FFFFFF"/>
          <w:lang w:val="en-US"/>
        </w:rPr>
        <w:t>acquire</w:t>
      </w:r>
      <w:r w:rsidRPr="009766EF">
        <w:rPr>
          <w:rFonts w:ascii="Times New Roman" w:eastAsia="SimSun" w:hAnsi="Times New Roman" w:cs="Times New Roman"/>
          <w:color w:val="36363D"/>
          <w:sz w:val="24"/>
          <w:szCs w:val="24"/>
          <w:shd w:val="clear" w:color="auto" w:fill="FFFFFF"/>
        </w:rPr>
        <w:t xml:space="preserve"> metrics restoration of operations, increase in climate resilience, upgrade of drainage systems, and boost in economic recovery.</w:t>
      </w:r>
    </w:p>
    <w:p w14:paraId="60C8131D"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The strength of the Quad Chart is in its integration</w:t>
      </w:r>
      <w:r w:rsidRPr="009766EF">
        <w:rPr>
          <w:rFonts w:ascii="Times New Roman" w:eastAsia="SimSun" w:hAnsi="Times New Roman" w:cs="Times New Roman"/>
          <w:color w:val="36363D"/>
          <w:sz w:val="24"/>
          <w:szCs w:val="24"/>
          <w:shd w:val="clear" w:color="auto" w:fill="FFFFFF"/>
        </w:rPr>
        <w:t>: the movement from Problem → Mission → Strategy → Outcomes happens in such a way that it forms a narrative that is easily followed. This, therefore, makes it possible for the top management and other interested parties to understand and appreciate the entire project route, its reasoning, and the value ruling all this within one visual format very well and easily.</w:t>
      </w:r>
    </w:p>
    <w:p w14:paraId="76921DDE" w14:textId="77777777" w:rsidR="00F56BE3" w:rsidRPr="009766EF" w:rsidRDefault="006C6B5D" w:rsidP="009766EF">
      <w:pPr>
        <w:spacing w:line="360" w:lineRule="auto"/>
        <w:jc w:val="center"/>
        <w:rPr>
          <w:rFonts w:ascii="Times New Roman" w:eastAsia="SimSun" w:hAnsi="Times New Roman" w:cs="Times New Roman"/>
          <w:color w:val="36363D"/>
          <w:sz w:val="24"/>
          <w:szCs w:val="24"/>
          <w:shd w:val="clear" w:color="auto" w:fill="FFFFFF"/>
        </w:rPr>
      </w:pPr>
      <w:r w:rsidRPr="009766EF">
        <w:rPr>
          <w:rFonts w:ascii="Times New Roman" w:hAnsi="Times New Roman" w:cs="Times New Roman"/>
          <w:noProof/>
          <w:color w:val="36363D"/>
          <w:sz w:val="24"/>
          <w:szCs w:val="24"/>
          <w:lang w:eastAsia="en-GB"/>
        </w:rPr>
        <w:lastRenderedPageBreak/>
        <w:drawing>
          <wp:inline distT="0" distB="0" distL="0" distR="0" wp14:anchorId="5A17BD51" wp14:editId="5BC6BAF2">
            <wp:extent cx="4762500" cy="3707765"/>
            <wp:effectExtent l="0" t="0" r="0" b="6985"/>
            <wp:docPr id="102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9" cstate="print"/>
                    <a:srcRect/>
                    <a:stretch/>
                  </pic:blipFill>
                  <pic:spPr>
                    <a:xfrm>
                      <a:off x="0" y="0"/>
                      <a:ext cx="4762500" cy="3707765"/>
                    </a:xfrm>
                    <a:prstGeom prst="rect">
                      <a:avLst/>
                    </a:prstGeom>
                    <a:ln>
                      <a:noFill/>
                    </a:ln>
                  </pic:spPr>
                </pic:pic>
              </a:graphicData>
            </a:graphic>
          </wp:inline>
        </w:drawing>
      </w:r>
    </w:p>
    <w:p w14:paraId="5E90C1C9"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The quad chart summarises essential project elements and improves communication with decision-makers (Roach, 2024).</w:t>
      </w:r>
    </w:p>
    <w:p w14:paraId="72672AD6" w14:textId="77777777" w:rsidR="00F56BE3" w:rsidRPr="009766EF" w:rsidRDefault="006C6B5D" w:rsidP="009766EF">
      <w:pPr>
        <w:pStyle w:val="Heading1"/>
        <w:spacing w:line="360" w:lineRule="auto"/>
        <w:rPr>
          <w:rFonts w:ascii="Times New Roman" w:hAnsi="Times New Roman" w:hint="default"/>
          <w:color w:val="36363D"/>
          <w:sz w:val="24"/>
          <w:szCs w:val="24"/>
        </w:rPr>
      </w:pPr>
      <w:bookmarkStart w:id="13" w:name="_Toc214570194"/>
      <w:r w:rsidRPr="009766EF">
        <w:rPr>
          <w:rFonts w:ascii="Times New Roman" w:hAnsi="Times New Roman" w:hint="default"/>
          <w:color w:val="36363D"/>
          <w:sz w:val="24"/>
          <w:szCs w:val="24"/>
        </w:rPr>
        <w:t>6. Gantt Chart (Descriptive Overview)</w:t>
      </w:r>
      <w:bookmarkEnd w:id="13"/>
    </w:p>
    <w:p w14:paraId="7AE34661"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A simplified textual Gantt schedule is presented below.</w:t>
      </w:r>
    </w:p>
    <w:p w14:paraId="7C0FF424" w14:textId="77777777" w:rsidR="00F56BE3" w:rsidRPr="009766EF" w:rsidRDefault="006C6B5D" w:rsidP="009766EF">
      <w:pPr>
        <w:spacing w:after="300" w:line="360" w:lineRule="auto"/>
        <w:jc w:val="both"/>
        <w:rPr>
          <w:rFonts w:ascii="Times New Roman" w:eastAsia="Segoe UI" w:hAnsi="Times New Roman" w:cs="Times New Roman"/>
          <w:b/>
          <w:bCs/>
          <w:i/>
          <w:iCs/>
          <w:color w:val="36363D"/>
          <w:sz w:val="24"/>
          <w:szCs w:val="24"/>
        </w:rPr>
      </w:pPr>
      <w:r w:rsidRPr="009766EF">
        <w:rPr>
          <w:rFonts w:ascii="Times New Roman" w:eastAsia="Segoe UI" w:hAnsi="Times New Roman" w:cs="Times New Roman"/>
          <w:b/>
          <w:bCs/>
          <w:i/>
          <w:iCs/>
          <w:color w:val="36363D"/>
          <w:sz w:val="24"/>
          <w:szCs w:val="24"/>
          <w:lang w:val="en-US"/>
        </w:rPr>
        <w:t>Project Gantt Chart - 18 Month Timeline</w:t>
      </w:r>
    </w:p>
    <w:p w14:paraId="0B16017E"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hAnsi="Times New Roman" w:cs="Times New Roman"/>
          <w:noProof/>
          <w:color w:val="36363D"/>
          <w:sz w:val="24"/>
          <w:szCs w:val="24"/>
          <w:lang w:eastAsia="en-GB"/>
        </w:rPr>
        <w:drawing>
          <wp:inline distT="0" distB="0" distL="0" distR="0" wp14:anchorId="71FEACAE" wp14:editId="52337616">
            <wp:extent cx="5269865" cy="2646680"/>
            <wp:effectExtent l="9525" t="9525" r="16510" b="10795"/>
            <wp:docPr id="1030"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0" cstate="print">
                      <a:lum contrast="-6000"/>
                    </a:blip>
                    <a:srcRect/>
                    <a:stretch/>
                  </pic:blipFill>
                  <pic:spPr>
                    <a:xfrm>
                      <a:off x="0" y="0"/>
                      <a:ext cx="5269865" cy="2646680"/>
                    </a:xfrm>
                    <a:prstGeom prst="rect">
                      <a:avLst/>
                    </a:prstGeom>
                    <a:ln w="9525" cap="flat" cmpd="sng">
                      <a:solidFill>
                        <a:srgbClr val="0000FF"/>
                      </a:solidFill>
                      <a:prstDash val="solid"/>
                      <a:round/>
                      <a:headEnd type="none" w="med" len="med"/>
                      <a:tailEnd type="none" w="med" len="med"/>
                    </a:ln>
                  </pic:spPr>
                </pic:pic>
              </a:graphicData>
            </a:graphic>
          </wp:inline>
        </w:drawing>
      </w:r>
    </w:p>
    <w:p w14:paraId="6643EE5A"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The schedule reflects recommendations for large-scale project pacing using phased control gates (Kerzner, 2023).</w:t>
      </w:r>
    </w:p>
    <w:p w14:paraId="571BD9A5" w14:textId="77777777" w:rsidR="00F56BE3" w:rsidRPr="009766EF" w:rsidRDefault="006C6B5D" w:rsidP="009766EF">
      <w:pPr>
        <w:pStyle w:val="Heading1"/>
        <w:spacing w:line="360" w:lineRule="auto"/>
        <w:rPr>
          <w:rFonts w:ascii="Times New Roman" w:hAnsi="Times New Roman" w:hint="default"/>
          <w:color w:val="36363D"/>
          <w:sz w:val="24"/>
          <w:szCs w:val="24"/>
        </w:rPr>
      </w:pPr>
      <w:bookmarkStart w:id="14" w:name="_Toc214570195"/>
      <w:r w:rsidRPr="009766EF">
        <w:rPr>
          <w:rFonts w:ascii="Times New Roman" w:hAnsi="Times New Roman" w:hint="default"/>
          <w:color w:val="36363D"/>
          <w:sz w:val="24"/>
          <w:szCs w:val="24"/>
        </w:rPr>
        <w:lastRenderedPageBreak/>
        <w:t>7. Stakeholder Involvement</w:t>
      </w:r>
      <w:bookmarkEnd w:id="14"/>
    </w:p>
    <w:p w14:paraId="62797ECF"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 xml:space="preserve">Stakeholder involvement is essential for project success, particularly in post-disaster reconstruction where public interest is high (Huemann </w:t>
      </w:r>
      <w:r w:rsidRPr="009766EF">
        <w:rPr>
          <w:rFonts w:ascii="Times New Roman" w:eastAsia="SimSun" w:hAnsi="Times New Roman" w:cs="Times New Roman"/>
          <w:color w:val="36363D"/>
          <w:sz w:val="24"/>
          <w:szCs w:val="24"/>
          <w:shd w:val="clear" w:color="auto" w:fill="FFFFFF"/>
          <w:lang w:val="en-US"/>
        </w:rPr>
        <w:t>and</w:t>
      </w:r>
      <w:r w:rsidRPr="009766EF">
        <w:rPr>
          <w:rFonts w:ascii="Times New Roman" w:eastAsia="SimSun" w:hAnsi="Times New Roman" w:cs="Times New Roman"/>
          <w:color w:val="36363D"/>
          <w:sz w:val="24"/>
          <w:szCs w:val="24"/>
          <w:shd w:val="clear" w:color="auto" w:fill="FFFFFF"/>
        </w:rPr>
        <w:t xml:space="preserve"> Turner, 2024). Effective relationship management improves trust, collaboration, and decision-making (</w:t>
      </w:r>
      <w:proofErr w:type="spellStart"/>
      <w:r w:rsidRPr="009766EF">
        <w:rPr>
          <w:rFonts w:ascii="Times New Roman" w:eastAsia="SimSun" w:hAnsi="Times New Roman" w:cs="Times New Roman"/>
          <w:color w:val="36363D"/>
          <w:sz w:val="24"/>
          <w:szCs w:val="24"/>
          <w:shd w:val="clear" w:color="auto" w:fill="FFFFFF"/>
        </w:rPr>
        <w:t>Deszczyński</w:t>
      </w:r>
      <w:proofErr w:type="spellEnd"/>
      <w:r w:rsidRPr="009766EF">
        <w:rPr>
          <w:rFonts w:ascii="Times New Roman" w:eastAsia="SimSun" w:hAnsi="Times New Roman" w:cs="Times New Roman"/>
          <w:color w:val="36363D"/>
          <w:sz w:val="24"/>
          <w:szCs w:val="24"/>
          <w:shd w:val="clear" w:color="auto" w:fill="FFFFFF"/>
        </w:rPr>
        <w:t>, 2021).</w:t>
      </w:r>
    </w:p>
    <w:p w14:paraId="6A02AC4E" w14:textId="77777777" w:rsidR="00F56BE3" w:rsidRPr="009766EF" w:rsidRDefault="006C6B5D" w:rsidP="009766EF">
      <w:pPr>
        <w:pStyle w:val="Heading2"/>
        <w:spacing w:line="360" w:lineRule="auto"/>
        <w:rPr>
          <w:rFonts w:ascii="Times New Roman" w:hAnsi="Times New Roman" w:cs="Times New Roman"/>
          <w:color w:val="36363D"/>
          <w:sz w:val="24"/>
          <w:szCs w:val="24"/>
        </w:rPr>
      </w:pPr>
      <w:bookmarkStart w:id="15" w:name="_Toc214570196"/>
      <w:r w:rsidRPr="009766EF">
        <w:rPr>
          <w:rFonts w:ascii="Times New Roman" w:hAnsi="Times New Roman" w:cs="Times New Roman"/>
          <w:color w:val="36363D"/>
          <w:sz w:val="24"/>
          <w:szCs w:val="24"/>
        </w:rPr>
        <w:t>7.1 Key Stakeholders</w:t>
      </w:r>
      <w:bookmarkEnd w:id="15"/>
    </w:p>
    <w:tbl>
      <w:tblPr>
        <w:tblpPr w:leftFromText="180" w:rightFromText="180" w:vertAnchor="text" w:horzAnchor="page" w:tblpX="1794" w:tblpY="20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2799"/>
        <w:gridCol w:w="5637"/>
      </w:tblGrid>
      <w:tr w:rsidR="00F56BE3" w:rsidRPr="009766EF" w14:paraId="3852A877" w14:textId="77777777">
        <w:trPr>
          <w:tblHeade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039915C4" w14:textId="77777777" w:rsidR="00F56BE3" w:rsidRPr="009766EF" w:rsidRDefault="006C6B5D" w:rsidP="009766EF">
            <w:pPr>
              <w:spacing w:line="360" w:lineRule="auto"/>
              <w:jc w:val="both"/>
              <w:rPr>
                <w:rFonts w:ascii="Times New Roman" w:hAnsi="Times New Roman" w:cs="Times New Roman"/>
                <w:b/>
                <w:bCs/>
                <w:color w:val="36363D"/>
                <w:sz w:val="24"/>
                <w:szCs w:val="24"/>
              </w:rPr>
            </w:pPr>
            <w:r w:rsidRPr="009766EF">
              <w:rPr>
                <w:rStyle w:val="Strong"/>
                <w:rFonts w:ascii="Times New Roman" w:eastAsia="SimSun" w:hAnsi="Times New Roman" w:cs="Times New Roman"/>
                <w:color w:val="36363D"/>
                <w:sz w:val="24"/>
                <w:szCs w:val="24"/>
                <w:lang w:val="en-US"/>
              </w:rPr>
              <w:t>Stakeholder</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22E4A31F" w14:textId="77777777" w:rsidR="00F56BE3" w:rsidRPr="009766EF" w:rsidRDefault="006C6B5D" w:rsidP="009766EF">
            <w:pPr>
              <w:spacing w:line="360" w:lineRule="auto"/>
              <w:jc w:val="both"/>
              <w:rPr>
                <w:rFonts w:ascii="Times New Roman" w:hAnsi="Times New Roman" w:cs="Times New Roman"/>
                <w:b/>
                <w:bCs/>
                <w:color w:val="36363D"/>
                <w:sz w:val="24"/>
                <w:szCs w:val="24"/>
              </w:rPr>
            </w:pPr>
            <w:r w:rsidRPr="009766EF">
              <w:rPr>
                <w:rStyle w:val="Strong"/>
                <w:rFonts w:ascii="Times New Roman" w:eastAsia="SimSun" w:hAnsi="Times New Roman" w:cs="Times New Roman"/>
                <w:color w:val="36363D"/>
                <w:sz w:val="24"/>
                <w:szCs w:val="24"/>
                <w:lang w:val="en-US"/>
              </w:rPr>
              <w:t>Role / Interest</w:t>
            </w:r>
          </w:p>
        </w:tc>
      </w:tr>
      <w:tr w:rsidR="00F56BE3" w:rsidRPr="009766EF" w14:paraId="053C1535"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5615ACA7"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Provincial Government of BC</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188D7131"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Funders and regulators; ensure project aligns with provincial priorities and funding requirements.</w:t>
            </w:r>
          </w:p>
        </w:tc>
      </w:tr>
      <w:tr w:rsidR="00F56BE3" w:rsidRPr="009766EF" w14:paraId="329D54AD"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D0652C4"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Transport Canada</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26A2121B"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Oversight and standards compliance; ensures safety and regulatory adherence.</w:t>
            </w:r>
          </w:p>
        </w:tc>
      </w:tr>
      <w:tr w:rsidR="00F56BE3" w:rsidRPr="009766EF" w14:paraId="7CFB50D8"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8C63388"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Local Municipal Governments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46B3DB92"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Coordination of local infrastructure and community needs.</w:t>
            </w:r>
          </w:p>
        </w:tc>
      </w:tr>
      <w:tr w:rsidR="00F56BE3" w:rsidRPr="009766EF" w14:paraId="3BFC77B9"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50596262"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Construction Contractors and Engineers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10202372"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Execution partners; responsible for reconstruction works and technical delivery.</w:t>
            </w:r>
          </w:p>
        </w:tc>
      </w:tr>
      <w:tr w:rsidR="00F56BE3" w:rsidRPr="009766EF" w14:paraId="7773B4F3"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F89CD98"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Environmental Agencies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44A134CF"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Protect ecosystems; ensure environmental compliance and sustainability.</w:t>
            </w:r>
          </w:p>
        </w:tc>
      </w:tr>
      <w:tr w:rsidR="00F56BE3" w:rsidRPr="009766EF" w14:paraId="6908B46A"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2CF1C09F"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Indigenous Communities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51774E6E"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Consultation for land use and cultural sensitivities; participation in decision-making.</w:t>
            </w:r>
          </w:p>
        </w:tc>
      </w:tr>
      <w:tr w:rsidR="00F56BE3" w:rsidRPr="009766EF" w14:paraId="5ACFC5EC"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0DFE3A47"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Businesses and Freight Companies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6D0E5B41"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Primary beneficiaries; ensure transportation and supply chains are restored.</w:t>
            </w:r>
          </w:p>
        </w:tc>
      </w:tr>
      <w:tr w:rsidR="00F56BE3" w:rsidRPr="009766EF" w14:paraId="4F5C1B11"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FE8CB91"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Public Residents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50D67BE7"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Safety and mobility stakeholders; benefit from restored infrastructure and accessibility.</w:t>
            </w:r>
          </w:p>
        </w:tc>
      </w:tr>
    </w:tbl>
    <w:p w14:paraId="1B874653" w14:textId="77777777" w:rsidR="00F56BE3" w:rsidRPr="009766EF" w:rsidRDefault="006C6B5D" w:rsidP="009766EF">
      <w:pPr>
        <w:pStyle w:val="Heading2"/>
        <w:spacing w:line="360" w:lineRule="auto"/>
        <w:rPr>
          <w:rFonts w:ascii="Times New Roman" w:hAnsi="Times New Roman" w:cs="Times New Roman"/>
          <w:color w:val="36363D"/>
          <w:sz w:val="24"/>
          <w:szCs w:val="24"/>
        </w:rPr>
      </w:pPr>
      <w:bookmarkStart w:id="16" w:name="_Toc214570197"/>
      <w:r w:rsidRPr="009766EF">
        <w:rPr>
          <w:rFonts w:ascii="Times New Roman" w:hAnsi="Times New Roman" w:cs="Times New Roman"/>
          <w:color w:val="36363D"/>
          <w:sz w:val="24"/>
          <w:szCs w:val="24"/>
        </w:rPr>
        <w:t>7.2 Stakeholder Engagement Strategies</w:t>
      </w:r>
      <w:bookmarkEnd w:id="16"/>
    </w:p>
    <w:p w14:paraId="2FA1AE41"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 xml:space="preserve">The active participation of the stakeholders is a very important factor of the success of the reconstruction of Highway 5. Because of the stakeholders' diversity government agencies, Indigenous communities, local municipalities, businesses, and the public the engagement strategies must be specially designed for each group to make sure that the </w:t>
      </w:r>
      <w:r w:rsidRPr="009766EF">
        <w:rPr>
          <w:rFonts w:ascii="Times New Roman" w:eastAsia="SimSun" w:hAnsi="Times New Roman" w:cs="Times New Roman"/>
          <w:color w:val="36363D"/>
          <w:sz w:val="24"/>
          <w:szCs w:val="24"/>
          <w:shd w:val="clear" w:color="auto" w:fill="FFFFFF"/>
        </w:rPr>
        <w:lastRenderedPageBreak/>
        <w:t xml:space="preserve">collaboration, transparency, and the alignment with the project's objectives are achieved (Kerzner, Zeitoun </w:t>
      </w:r>
      <w:r w:rsidRPr="009766EF">
        <w:rPr>
          <w:rFonts w:ascii="Times New Roman" w:eastAsia="SimSun" w:hAnsi="Times New Roman" w:cs="Times New Roman"/>
          <w:color w:val="36363D"/>
          <w:sz w:val="24"/>
          <w:szCs w:val="24"/>
          <w:shd w:val="clear" w:color="auto" w:fill="FFFFFF"/>
          <w:lang w:val="en-US"/>
        </w:rPr>
        <w:t>and</w:t>
      </w:r>
      <w:r w:rsidRPr="009766EF">
        <w:rPr>
          <w:rFonts w:ascii="Times New Roman" w:eastAsia="SimSun" w:hAnsi="Times New Roman" w:cs="Times New Roman"/>
          <w:color w:val="36363D"/>
          <w:sz w:val="24"/>
          <w:szCs w:val="24"/>
          <w:shd w:val="clear" w:color="auto" w:fill="FFFFFF"/>
        </w:rPr>
        <w:t xml:space="preserve"> Vargas, 2022).</w:t>
      </w:r>
    </w:p>
    <w:p w14:paraId="68A6ADC1"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Highlighted engagement strategies are:</w:t>
      </w:r>
    </w:p>
    <w:p w14:paraId="5D64C384"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i/>
          <w:iCs/>
          <w:color w:val="36363D"/>
          <w:sz w:val="24"/>
          <w:szCs w:val="24"/>
          <w:shd w:val="clear" w:color="auto" w:fill="FFFFFF"/>
        </w:rPr>
        <w:t>Monthly Stakeholder Meetings</w:t>
      </w:r>
      <w:r w:rsidRPr="009766EF">
        <w:rPr>
          <w:rFonts w:ascii="Times New Roman" w:eastAsia="SimSun" w:hAnsi="Times New Roman" w:cs="Times New Roman"/>
          <w:color w:val="36363D"/>
          <w:sz w:val="24"/>
          <w:szCs w:val="24"/>
          <w:shd w:val="clear" w:color="auto" w:fill="FFFFFF"/>
        </w:rPr>
        <w:t>: A regular meeting for the coordination of government representatives, construction leads, and community leaders to talk about the overall progress, tackle problems, and make sure that they are in line with the requirements of both the regulations and operations. These meetings provide a place for decision-making and accountability.</w:t>
      </w:r>
    </w:p>
    <w:p w14:paraId="7DAD8933"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i/>
          <w:iCs/>
          <w:color w:val="36363D"/>
          <w:sz w:val="24"/>
          <w:szCs w:val="24"/>
          <w:shd w:val="clear" w:color="auto" w:fill="FFFFFF"/>
        </w:rPr>
        <w:t>Environmental and Indigenous Consultation Workshops:</w:t>
      </w:r>
      <w:r w:rsidRPr="009766EF">
        <w:rPr>
          <w:rFonts w:ascii="Times New Roman" w:eastAsia="SimSun" w:hAnsi="Times New Roman" w:cs="Times New Roman"/>
          <w:b/>
          <w:bCs/>
          <w:i/>
          <w:iCs/>
          <w:color w:val="36363D"/>
          <w:sz w:val="24"/>
          <w:szCs w:val="24"/>
          <w:shd w:val="clear" w:color="auto" w:fill="FFFFFF"/>
          <w:lang w:val="en-US"/>
        </w:rPr>
        <w:t xml:space="preserve"> </w:t>
      </w:r>
      <w:r w:rsidRPr="009766EF">
        <w:rPr>
          <w:rFonts w:ascii="Times New Roman" w:eastAsia="SimSun" w:hAnsi="Times New Roman" w:cs="Times New Roman"/>
          <w:color w:val="36363D"/>
          <w:sz w:val="24"/>
          <w:szCs w:val="24"/>
          <w:shd w:val="clear" w:color="auto" w:fill="FFFFFF"/>
          <w:lang w:val="en-US"/>
        </w:rPr>
        <w:t>Specialized meetings held involving deliberation on environmental protection efforts, cultural heritage issues and land-use issues. The workshops do not only guarantee environmental legislation compliance, but also Indigenous rights and simultaneously, trust and collaboration.</w:t>
      </w:r>
    </w:p>
    <w:p w14:paraId="05755919"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i/>
          <w:iCs/>
          <w:color w:val="36363D"/>
          <w:sz w:val="24"/>
          <w:szCs w:val="24"/>
          <w:shd w:val="clear" w:color="auto" w:fill="FFFFFF"/>
          <w:lang w:val="en-US"/>
        </w:rPr>
        <w:t xml:space="preserve">Open Reporting using Dashboards: </w:t>
      </w:r>
      <w:r w:rsidRPr="009766EF">
        <w:rPr>
          <w:rFonts w:ascii="Times New Roman" w:eastAsia="SimSun" w:hAnsi="Times New Roman" w:cs="Times New Roman"/>
          <w:color w:val="36363D"/>
          <w:sz w:val="24"/>
          <w:szCs w:val="24"/>
          <w:shd w:val="clear" w:color="auto" w:fill="FFFFFF"/>
          <w:lang w:val="en-US"/>
        </w:rPr>
        <w:t>use of real-time dashboards of project schedules, budget utilization, safety accidents, and the construction milestone measurements. With clear reporting, the stakeholders can be fully aware hence are in a position of implementing the necessary steps in time to remedy any arising impending challenges.</w:t>
      </w:r>
    </w:p>
    <w:p w14:paraId="01E7D965"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i/>
          <w:iCs/>
          <w:color w:val="36363D"/>
          <w:sz w:val="24"/>
          <w:szCs w:val="24"/>
          <w:shd w:val="clear" w:color="auto" w:fill="FFFFFF"/>
          <w:lang w:val="en-US"/>
        </w:rPr>
        <w:t>Public Channel of Communication:</w:t>
      </w:r>
      <w:r w:rsidRPr="009766EF">
        <w:rPr>
          <w:rFonts w:ascii="Times New Roman" w:eastAsia="SimSun" w:hAnsi="Times New Roman" w:cs="Times New Roman"/>
          <w:color w:val="36363D"/>
          <w:sz w:val="24"/>
          <w:szCs w:val="24"/>
          <w:shd w:val="clear" w:color="auto" w:fill="FFFFFF"/>
          <w:lang w:val="en-US"/>
        </w:rPr>
        <w:t xml:space="preserve"> special project web site, newsletters and emergency alert mechanisms that make the general public aware of the road blockages, progress and other safety precautions. This type of approach would not only maximize the involvement of the community but it would alleviate the disturbance of the population.</w:t>
      </w:r>
    </w:p>
    <w:p w14:paraId="368BABD8" w14:textId="77777777" w:rsidR="00F56BE3" w:rsidRPr="009766EF" w:rsidRDefault="006C6B5D" w:rsidP="009766EF">
      <w:pPr>
        <w:pStyle w:val="Heading1"/>
        <w:spacing w:line="360" w:lineRule="auto"/>
        <w:rPr>
          <w:rFonts w:ascii="Times New Roman" w:hAnsi="Times New Roman" w:hint="default"/>
          <w:color w:val="36363D"/>
          <w:sz w:val="24"/>
          <w:szCs w:val="24"/>
        </w:rPr>
      </w:pPr>
      <w:bookmarkStart w:id="17" w:name="_Toc214570198"/>
      <w:r w:rsidRPr="009766EF">
        <w:rPr>
          <w:rFonts w:ascii="Times New Roman" w:hAnsi="Times New Roman" w:hint="default"/>
          <w:color w:val="36363D"/>
          <w:sz w:val="24"/>
          <w:szCs w:val="24"/>
        </w:rPr>
        <w:t>8. Allocation of Resources</w:t>
      </w:r>
      <w:bookmarkEnd w:id="17"/>
    </w:p>
    <w:p w14:paraId="274C4122"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 xml:space="preserve">Resource allocation allows human, material, financial, and technological inputs to be maximally used and thus efficient and timely project completion is ensured (Waterworth </w:t>
      </w:r>
      <w:r w:rsidRPr="009766EF">
        <w:rPr>
          <w:rFonts w:ascii="Times New Roman" w:eastAsia="SimSun" w:hAnsi="Times New Roman" w:cs="Times New Roman"/>
          <w:color w:val="36363D"/>
          <w:sz w:val="24"/>
          <w:szCs w:val="24"/>
          <w:shd w:val="clear" w:color="auto" w:fill="FFFFFF"/>
          <w:lang w:val="en-US"/>
        </w:rPr>
        <w:t>and</w:t>
      </w:r>
      <w:r w:rsidRPr="009766EF">
        <w:rPr>
          <w:rFonts w:ascii="Times New Roman" w:eastAsia="SimSun" w:hAnsi="Times New Roman" w:cs="Times New Roman"/>
          <w:color w:val="36363D"/>
          <w:sz w:val="24"/>
          <w:szCs w:val="24"/>
          <w:shd w:val="clear" w:color="auto" w:fill="FFFFFF"/>
        </w:rPr>
        <w:t xml:space="preserve"> Gavin, 2024).</w:t>
      </w:r>
    </w:p>
    <w:p w14:paraId="336B80A8" w14:textId="77777777" w:rsidR="00F56BE3" w:rsidRPr="009766EF" w:rsidRDefault="006C6B5D" w:rsidP="009766EF">
      <w:pPr>
        <w:pStyle w:val="Heading2"/>
        <w:spacing w:line="360" w:lineRule="auto"/>
        <w:rPr>
          <w:rFonts w:ascii="Times New Roman" w:hAnsi="Times New Roman" w:cs="Times New Roman"/>
          <w:color w:val="36363D"/>
          <w:sz w:val="24"/>
          <w:szCs w:val="24"/>
        </w:rPr>
      </w:pPr>
      <w:bookmarkStart w:id="18" w:name="_Toc214570199"/>
      <w:r w:rsidRPr="009766EF">
        <w:rPr>
          <w:rFonts w:ascii="Times New Roman" w:hAnsi="Times New Roman" w:cs="Times New Roman"/>
          <w:color w:val="36363D"/>
          <w:sz w:val="24"/>
          <w:szCs w:val="24"/>
        </w:rPr>
        <w:t>8.1 Human Resources</w:t>
      </w:r>
      <w:bookmarkEnd w:id="18"/>
    </w:p>
    <w:p w14:paraId="3E337590"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 xml:space="preserve">Project Manager: </w:t>
      </w:r>
      <w:r w:rsidRPr="009766EF">
        <w:rPr>
          <w:rFonts w:ascii="Times New Roman" w:eastAsia="SimSun" w:hAnsi="Times New Roman" w:cs="Times New Roman"/>
          <w:color w:val="36363D"/>
          <w:sz w:val="24"/>
          <w:szCs w:val="24"/>
          <w:shd w:val="clear" w:color="auto" w:fill="FFFFFF"/>
        </w:rPr>
        <w:t>Major leadership, coordination, and overall control.</w:t>
      </w:r>
    </w:p>
    <w:p w14:paraId="5731E88F"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Civil Engineering Leads</w:t>
      </w:r>
      <w:r w:rsidRPr="009766EF">
        <w:rPr>
          <w:rFonts w:ascii="Times New Roman" w:eastAsia="SimSun" w:hAnsi="Times New Roman" w:cs="Times New Roman"/>
          <w:color w:val="36363D"/>
          <w:sz w:val="24"/>
          <w:szCs w:val="24"/>
          <w:shd w:val="clear" w:color="auto" w:fill="FFFFFF"/>
        </w:rPr>
        <w:t>: Responsible for approval of design as well as supervising technically.</w:t>
      </w:r>
    </w:p>
    <w:p w14:paraId="30B38839"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Environmental Specialists</w:t>
      </w:r>
      <w:r w:rsidRPr="009766EF">
        <w:rPr>
          <w:rFonts w:ascii="Times New Roman" w:eastAsia="SimSun" w:hAnsi="Times New Roman" w:cs="Times New Roman"/>
          <w:color w:val="36363D"/>
          <w:sz w:val="24"/>
          <w:szCs w:val="24"/>
          <w:shd w:val="clear" w:color="auto" w:fill="FFFFFF"/>
        </w:rPr>
        <w:t>: Monitoring and making sure that are being followed the ecological standards.</w:t>
      </w:r>
    </w:p>
    <w:p w14:paraId="727DB71D"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lastRenderedPageBreak/>
        <w:t>Field Technicians</w:t>
      </w:r>
      <w:r w:rsidRPr="009766EF">
        <w:rPr>
          <w:rFonts w:ascii="Times New Roman" w:eastAsia="SimSun" w:hAnsi="Times New Roman" w:cs="Times New Roman"/>
          <w:color w:val="36363D"/>
          <w:sz w:val="24"/>
          <w:szCs w:val="24"/>
          <w:shd w:val="clear" w:color="auto" w:fill="FFFFFF"/>
        </w:rPr>
        <w:t>: Giving support for construction and inspections on-site.</w:t>
      </w:r>
    </w:p>
    <w:p w14:paraId="5BE6CD84"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Construction Labor:</w:t>
      </w:r>
      <w:r w:rsidRPr="009766EF">
        <w:rPr>
          <w:rFonts w:ascii="Times New Roman" w:eastAsia="SimSun" w:hAnsi="Times New Roman" w:cs="Times New Roman"/>
          <w:color w:val="36363D"/>
          <w:sz w:val="24"/>
          <w:szCs w:val="24"/>
          <w:shd w:val="clear" w:color="auto" w:fill="FFFFFF"/>
        </w:rPr>
        <w:t xml:space="preserve"> Performing the activities of reconstruction.</w:t>
      </w:r>
    </w:p>
    <w:p w14:paraId="40673611"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Indigenous Liaison Officers:</w:t>
      </w:r>
      <w:r w:rsidRPr="009766EF">
        <w:rPr>
          <w:rFonts w:ascii="Times New Roman" w:eastAsia="SimSun" w:hAnsi="Times New Roman" w:cs="Times New Roman"/>
          <w:color w:val="36363D"/>
          <w:sz w:val="24"/>
          <w:szCs w:val="24"/>
          <w:shd w:val="clear" w:color="auto" w:fill="FFFFFF"/>
        </w:rPr>
        <w:t xml:space="preserve"> Making consultations and doing community engagement as a part of the process.</w:t>
      </w:r>
    </w:p>
    <w:p w14:paraId="52920058"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b/>
          <w:bCs/>
          <w:color w:val="36363D"/>
          <w:sz w:val="24"/>
          <w:szCs w:val="24"/>
          <w:shd w:val="clear" w:color="auto" w:fill="FFFFFF"/>
        </w:rPr>
        <w:t xml:space="preserve">Quality Inspectors: </w:t>
      </w:r>
      <w:r w:rsidRPr="009766EF">
        <w:rPr>
          <w:rFonts w:ascii="Times New Roman" w:eastAsia="SimSun" w:hAnsi="Times New Roman" w:cs="Times New Roman"/>
          <w:color w:val="36363D"/>
          <w:sz w:val="24"/>
          <w:szCs w:val="24"/>
          <w:shd w:val="clear" w:color="auto" w:fill="FFFFFF"/>
        </w:rPr>
        <w:t>Watching the safety and quality standards and checking that they are being followed.</w:t>
      </w:r>
    </w:p>
    <w:p w14:paraId="46240576" w14:textId="77777777" w:rsidR="00F56BE3" w:rsidRPr="009766EF" w:rsidRDefault="006C6B5D" w:rsidP="009766EF">
      <w:pPr>
        <w:pStyle w:val="Heading2"/>
        <w:spacing w:line="360" w:lineRule="auto"/>
        <w:rPr>
          <w:rFonts w:ascii="Times New Roman" w:hAnsi="Times New Roman" w:cs="Times New Roman"/>
          <w:color w:val="36363D"/>
          <w:sz w:val="24"/>
          <w:szCs w:val="24"/>
        </w:rPr>
      </w:pPr>
      <w:bookmarkStart w:id="19" w:name="_Toc214570200"/>
      <w:r w:rsidRPr="009766EF">
        <w:rPr>
          <w:rFonts w:ascii="Times New Roman" w:hAnsi="Times New Roman" w:cs="Times New Roman"/>
          <w:color w:val="36363D"/>
          <w:sz w:val="24"/>
          <w:szCs w:val="24"/>
        </w:rPr>
        <w:t>8.2 Material Resources</w:t>
      </w:r>
      <w:bookmarkEnd w:id="19"/>
    </w:p>
    <w:p w14:paraId="6EF2635F"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 xml:space="preserve">Road and bridge rebuilding would require asphalt mixtures, steel beams, and concrete unit </w:t>
      </w:r>
      <w:proofErr w:type="spellStart"/>
      <w:r w:rsidRPr="009766EF">
        <w:rPr>
          <w:rFonts w:ascii="Times New Roman" w:eastAsia="SimSun" w:hAnsi="Times New Roman" w:cs="Times New Roman"/>
          <w:color w:val="36363D"/>
          <w:sz w:val="24"/>
          <w:szCs w:val="24"/>
          <w:shd w:val="clear" w:color="auto" w:fill="FFFFFF"/>
        </w:rPr>
        <w:t>materials.Additionally</w:t>
      </w:r>
      <w:proofErr w:type="spellEnd"/>
      <w:r w:rsidRPr="009766EF">
        <w:rPr>
          <w:rFonts w:ascii="Times New Roman" w:eastAsia="SimSun" w:hAnsi="Times New Roman" w:cs="Times New Roman"/>
          <w:color w:val="36363D"/>
          <w:sz w:val="24"/>
          <w:szCs w:val="24"/>
          <w:shd w:val="clear" w:color="auto" w:fill="FFFFFF"/>
        </w:rPr>
        <w:t>, heavy machinery that consists of excavators, compactors, and cranes will be used.</w:t>
      </w:r>
      <w:r w:rsidRPr="009766EF">
        <w:rPr>
          <w:rFonts w:ascii="Times New Roman" w:eastAsia="SimSun" w:hAnsi="Times New Roman" w:cs="Times New Roman"/>
          <w:color w:val="36363D"/>
          <w:sz w:val="24"/>
          <w:szCs w:val="24"/>
          <w:shd w:val="clear" w:color="auto" w:fill="FFFFFF"/>
          <w:lang w:val="en-US"/>
        </w:rPr>
        <w:t xml:space="preserve"> </w:t>
      </w:r>
      <w:r w:rsidRPr="009766EF">
        <w:rPr>
          <w:rFonts w:ascii="Times New Roman" w:eastAsia="SimSun" w:hAnsi="Times New Roman" w:cs="Times New Roman"/>
          <w:color w:val="36363D"/>
          <w:sz w:val="24"/>
          <w:szCs w:val="24"/>
          <w:shd w:val="clear" w:color="auto" w:fill="FFFFFF"/>
        </w:rPr>
        <w:t>Moreover, safety equipment will be provided for the workforce’s protection.</w:t>
      </w:r>
    </w:p>
    <w:p w14:paraId="63DB15BE" w14:textId="77777777" w:rsidR="00F56BE3" w:rsidRPr="009766EF" w:rsidRDefault="006C6B5D" w:rsidP="009766EF">
      <w:pPr>
        <w:pStyle w:val="Heading2"/>
        <w:spacing w:line="360" w:lineRule="auto"/>
        <w:rPr>
          <w:rFonts w:ascii="Times New Roman" w:eastAsia="SimSun" w:hAnsi="Times New Roman" w:cs="Times New Roman"/>
          <w:color w:val="36363D"/>
          <w:sz w:val="24"/>
          <w:szCs w:val="24"/>
          <w:shd w:val="clear" w:color="auto" w:fill="FFFFFF"/>
        </w:rPr>
      </w:pPr>
      <w:bookmarkStart w:id="20" w:name="_Toc214570201"/>
      <w:r w:rsidRPr="009766EF">
        <w:rPr>
          <w:rFonts w:ascii="Times New Roman" w:hAnsi="Times New Roman" w:cs="Times New Roman"/>
          <w:color w:val="36363D"/>
          <w:sz w:val="24"/>
          <w:szCs w:val="24"/>
        </w:rPr>
        <w:t>8.3 Financial Resources</w:t>
      </w:r>
      <w:bookmarkEnd w:id="20"/>
    </w:p>
    <w:p w14:paraId="66DDF8F5"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The budget has been estimated at CAD $1.6 billion.</w:t>
      </w:r>
    </w:p>
    <w:p w14:paraId="6CA4AE29"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The funding channels will be provincial emergency funds, federal disaster recovery contributions, and infrastructure renewal grants.</w:t>
      </w:r>
    </w:p>
    <w:p w14:paraId="04BA4EF6" w14:textId="77777777" w:rsidR="00F56BE3" w:rsidRPr="009766EF" w:rsidRDefault="006C6B5D" w:rsidP="009766EF">
      <w:pPr>
        <w:pStyle w:val="Heading2"/>
        <w:spacing w:line="360" w:lineRule="auto"/>
        <w:rPr>
          <w:rFonts w:ascii="Times New Roman" w:hAnsi="Times New Roman" w:cs="Times New Roman"/>
          <w:color w:val="36363D"/>
          <w:sz w:val="24"/>
          <w:szCs w:val="24"/>
        </w:rPr>
      </w:pPr>
      <w:bookmarkStart w:id="21" w:name="_Toc214570202"/>
      <w:r w:rsidRPr="009766EF">
        <w:rPr>
          <w:rFonts w:ascii="Times New Roman" w:hAnsi="Times New Roman" w:cs="Times New Roman"/>
          <w:color w:val="36363D"/>
          <w:sz w:val="24"/>
          <w:szCs w:val="24"/>
        </w:rPr>
        <w:t xml:space="preserve">8.4 Tools </w:t>
      </w:r>
      <w:r w:rsidRPr="009766EF">
        <w:rPr>
          <w:rFonts w:ascii="Times New Roman" w:hAnsi="Times New Roman" w:cs="Times New Roman"/>
          <w:color w:val="36363D"/>
          <w:sz w:val="24"/>
          <w:szCs w:val="24"/>
          <w:lang w:val="en-US"/>
        </w:rPr>
        <w:t>and</w:t>
      </w:r>
      <w:r w:rsidRPr="009766EF">
        <w:rPr>
          <w:rFonts w:ascii="Times New Roman" w:hAnsi="Times New Roman" w:cs="Times New Roman"/>
          <w:color w:val="36363D"/>
          <w:sz w:val="24"/>
          <w:szCs w:val="24"/>
        </w:rPr>
        <w:t xml:space="preserve"> Systems</w:t>
      </w:r>
      <w:bookmarkEnd w:id="21"/>
    </w:p>
    <w:p w14:paraId="7A73F4C7"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Project management information system (PMI, 2021) will be aligned with PMBOK.</w:t>
      </w:r>
    </w:p>
    <w:p w14:paraId="4D826616"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Along with that are the risk management tools for hazard identification and mitigation (Hillson, 2023).</w:t>
      </w:r>
    </w:p>
    <w:p w14:paraId="1E933422"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Moreover, engineering design software for structural modelling is also used.</w:t>
      </w:r>
    </w:p>
    <w:p w14:paraId="1043C389"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Jamal (2022) provides agile iteration tracking tools which are utilized to monitor adaptive workflows.</w:t>
      </w:r>
    </w:p>
    <w:p w14:paraId="12B127AE" w14:textId="77777777" w:rsidR="00F56BE3" w:rsidRPr="009766EF" w:rsidRDefault="006C6B5D" w:rsidP="009766EF">
      <w:pPr>
        <w:pStyle w:val="Heading1"/>
        <w:spacing w:line="360" w:lineRule="auto"/>
        <w:rPr>
          <w:rFonts w:ascii="Times New Roman" w:hAnsi="Times New Roman" w:hint="default"/>
          <w:color w:val="36363D"/>
          <w:sz w:val="24"/>
          <w:szCs w:val="24"/>
        </w:rPr>
      </w:pPr>
      <w:bookmarkStart w:id="22" w:name="_Toc214570203"/>
      <w:r w:rsidRPr="009766EF">
        <w:rPr>
          <w:rFonts w:ascii="Times New Roman" w:hAnsi="Times New Roman" w:hint="default"/>
          <w:color w:val="36363D"/>
          <w:sz w:val="24"/>
          <w:szCs w:val="24"/>
        </w:rPr>
        <w:t>9. Risk Analysis</w:t>
      </w:r>
      <w:bookmarkEnd w:id="22"/>
    </w:p>
    <w:p w14:paraId="314BE793"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 xml:space="preserve">The situation of the reconstruction project is highly uncertain because of floods, unstable ground, and restrictions from the ecosystem. The re-construction project will be facing major risks such as landslides during the construction, delay in the supply of essential materials, poor weather affecting the timeline, and land use conflicts with the indigenous people. A company or project manager should come up with a </w:t>
      </w:r>
      <w:r w:rsidRPr="009766EF">
        <w:rPr>
          <w:rFonts w:ascii="Times New Roman" w:eastAsia="SimSun" w:hAnsi="Times New Roman" w:cs="Times New Roman"/>
          <w:color w:val="36363D"/>
          <w:sz w:val="24"/>
          <w:szCs w:val="24"/>
          <w:shd w:val="clear" w:color="auto" w:fill="FFFFFF"/>
        </w:rPr>
        <w:lastRenderedPageBreak/>
        <w:t>comprehensive and smart risk management strategy that includes identification, assessment, mitigation, and contingency planning, to at least, reduce cost overruns, keep safety as a priority, and stick to the timeline of the project (Hillson, 2023).</w:t>
      </w:r>
      <w:r w:rsidRPr="009766EF">
        <w:rPr>
          <w:rFonts w:ascii="Times New Roman" w:eastAsia="SimSun" w:hAnsi="Times New Roman" w:cs="Times New Roman"/>
          <w:color w:val="36363D"/>
          <w:sz w:val="24"/>
          <w:szCs w:val="24"/>
          <w:shd w:val="clear" w:color="auto" w:fill="FFFFFF"/>
          <w:lang w:val="en-US"/>
        </w:rPr>
        <w:t xml:space="preserve"> </w:t>
      </w:r>
      <w:r w:rsidRPr="009766EF">
        <w:rPr>
          <w:rFonts w:ascii="Times New Roman" w:eastAsia="SimSun" w:hAnsi="Times New Roman" w:cs="Times New Roman"/>
          <w:color w:val="36363D"/>
          <w:sz w:val="24"/>
          <w:szCs w:val="24"/>
          <w:shd w:val="clear" w:color="auto" w:fill="FFFFFF"/>
        </w:rPr>
        <w:t>Early identification and constant monitoring of risks, united with stakeholder cooperation, will intensify project resilience and decision-making.</w:t>
      </w:r>
    </w:p>
    <w:p w14:paraId="47FFB011" w14:textId="77777777" w:rsidR="00F56BE3" w:rsidRPr="009766EF" w:rsidRDefault="006C6B5D" w:rsidP="009766EF">
      <w:pPr>
        <w:pStyle w:val="Heading2"/>
        <w:spacing w:line="360" w:lineRule="auto"/>
        <w:rPr>
          <w:rFonts w:ascii="Times New Roman" w:hAnsi="Times New Roman" w:cs="Times New Roman"/>
          <w:color w:val="36363D"/>
          <w:sz w:val="24"/>
          <w:szCs w:val="24"/>
        </w:rPr>
      </w:pPr>
      <w:bookmarkStart w:id="23" w:name="_Toc214570204"/>
      <w:r w:rsidRPr="009766EF">
        <w:rPr>
          <w:rFonts w:ascii="Times New Roman" w:hAnsi="Times New Roman" w:cs="Times New Roman"/>
          <w:color w:val="36363D"/>
          <w:sz w:val="24"/>
          <w:szCs w:val="24"/>
        </w:rPr>
        <w:t>9.1 Major Risks and Mitigation Strategies</w:t>
      </w:r>
      <w:bookmarkEnd w:id="23"/>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1942"/>
        <w:gridCol w:w="2672"/>
        <w:gridCol w:w="914"/>
        <w:gridCol w:w="2888"/>
      </w:tblGrid>
      <w:tr w:rsidR="00F56BE3" w:rsidRPr="009766EF" w14:paraId="191B4DA9" w14:textId="77777777">
        <w:trPr>
          <w:tblHeade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371268D3" w14:textId="77777777" w:rsidR="00F56BE3" w:rsidRPr="009766EF" w:rsidRDefault="006C6B5D" w:rsidP="009766EF">
            <w:pPr>
              <w:spacing w:line="360" w:lineRule="auto"/>
              <w:jc w:val="both"/>
              <w:rPr>
                <w:rFonts w:ascii="Times New Roman" w:hAnsi="Times New Roman" w:cs="Times New Roman"/>
                <w:b/>
                <w:bCs/>
                <w:color w:val="36363D"/>
                <w:sz w:val="24"/>
                <w:szCs w:val="24"/>
              </w:rPr>
            </w:pPr>
            <w:r w:rsidRPr="009766EF">
              <w:rPr>
                <w:rStyle w:val="Strong"/>
                <w:rFonts w:ascii="Times New Roman" w:eastAsia="SimSun" w:hAnsi="Times New Roman" w:cs="Times New Roman"/>
                <w:color w:val="36363D"/>
                <w:sz w:val="24"/>
                <w:szCs w:val="24"/>
                <w:lang w:val="en-US"/>
              </w:rPr>
              <w:t>Risk Category</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584C28AA" w14:textId="77777777" w:rsidR="00F56BE3" w:rsidRPr="009766EF" w:rsidRDefault="006C6B5D" w:rsidP="009766EF">
            <w:pPr>
              <w:spacing w:line="360" w:lineRule="auto"/>
              <w:jc w:val="both"/>
              <w:rPr>
                <w:rFonts w:ascii="Times New Roman" w:hAnsi="Times New Roman" w:cs="Times New Roman"/>
                <w:b/>
                <w:bCs/>
                <w:color w:val="36363D"/>
                <w:sz w:val="24"/>
                <w:szCs w:val="24"/>
              </w:rPr>
            </w:pPr>
            <w:r w:rsidRPr="009766EF">
              <w:rPr>
                <w:rStyle w:val="Strong"/>
                <w:rFonts w:ascii="Times New Roman" w:eastAsia="SimSun" w:hAnsi="Times New Roman" w:cs="Times New Roman"/>
                <w:color w:val="36363D"/>
                <w:sz w:val="24"/>
                <w:szCs w:val="24"/>
                <w:lang w:val="en-US"/>
              </w:rPr>
              <w:t>Description</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7CC0DC91" w14:textId="77777777" w:rsidR="00F56BE3" w:rsidRPr="009766EF" w:rsidRDefault="006C6B5D" w:rsidP="009766EF">
            <w:pPr>
              <w:spacing w:line="360" w:lineRule="auto"/>
              <w:jc w:val="both"/>
              <w:rPr>
                <w:rFonts w:ascii="Times New Roman" w:hAnsi="Times New Roman" w:cs="Times New Roman"/>
                <w:b/>
                <w:bCs/>
                <w:color w:val="36363D"/>
                <w:sz w:val="24"/>
                <w:szCs w:val="24"/>
              </w:rPr>
            </w:pPr>
            <w:r w:rsidRPr="009766EF">
              <w:rPr>
                <w:rStyle w:val="Strong"/>
                <w:rFonts w:ascii="Times New Roman" w:eastAsia="SimSun" w:hAnsi="Times New Roman" w:cs="Times New Roman"/>
                <w:color w:val="36363D"/>
                <w:sz w:val="24"/>
                <w:szCs w:val="24"/>
                <w:lang w:val="en-US"/>
              </w:rPr>
              <w:t>Impact</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0DDAAC93" w14:textId="77777777" w:rsidR="00F56BE3" w:rsidRPr="009766EF" w:rsidRDefault="006C6B5D" w:rsidP="009766EF">
            <w:pPr>
              <w:spacing w:line="360" w:lineRule="auto"/>
              <w:jc w:val="both"/>
              <w:rPr>
                <w:rFonts w:ascii="Times New Roman" w:hAnsi="Times New Roman" w:cs="Times New Roman"/>
                <w:b/>
                <w:bCs/>
                <w:color w:val="36363D"/>
                <w:sz w:val="24"/>
                <w:szCs w:val="24"/>
              </w:rPr>
            </w:pPr>
            <w:r w:rsidRPr="009766EF">
              <w:rPr>
                <w:rStyle w:val="Strong"/>
                <w:rFonts w:ascii="Times New Roman" w:eastAsia="SimSun" w:hAnsi="Times New Roman" w:cs="Times New Roman"/>
                <w:color w:val="36363D"/>
                <w:sz w:val="24"/>
                <w:szCs w:val="24"/>
                <w:lang w:val="en-US"/>
              </w:rPr>
              <w:t>Mitigation</w:t>
            </w:r>
          </w:p>
        </w:tc>
      </w:tr>
      <w:tr w:rsidR="00F56BE3" w:rsidRPr="009766EF" w14:paraId="7F3872DC"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477F0018"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Style w:val="Strong"/>
                <w:rFonts w:ascii="Times New Roman" w:eastAsia="SimSun" w:hAnsi="Times New Roman" w:cs="Times New Roman"/>
                <w:color w:val="36363D"/>
                <w:sz w:val="24"/>
                <w:szCs w:val="24"/>
                <w:lang w:val="en-US"/>
              </w:rPr>
              <w:t>Environmental Risks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6E337F4B"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Heavy rainfall, further landslides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48A753A3"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High</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56406390"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 xml:space="preserve">Slope </w:t>
            </w:r>
            <w:proofErr w:type="spellStart"/>
            <w:r w:rsidRPr="009766EF">
              <w:rPr>
                <w:rFonts w:ascii="Times New Roman" w:eastAsia="SimSun" w:hAnsi="Times New Roman" w:cs="Times New Roman"/>
                <w:color w:val="36363D"/>
                <w:sz w:val="24"/>
                <w:szCs w:val="24"/>
                <w:lang w:val="en-US"/>
              </w:rPr>
              <w:t>stabilisation</w:t>
            </w:r>
            <w:proofErr w:type="spellEnd"/>
            <w:r w:rsidRPr="009766EF">
              <w:rPr>
                <w:rFonts w:ascii="Times New Roman" w:eastAsia="SimSun" w:hAnsi="Times New Roman" w:cs="Times New Roman"/>
                <w:color w:val="36363D"/>
                <w:sz w:val="24"/>
                <w:szCs w:val="24"/>
                <w:lang w:val="en-US"/>
              </w:rPr>
              <w:t>, erosion control systems</w:t>
            </w:r>
          </w:p>
        </w:tc>
      </w:tr>
      <w:tr w:rsidR="00F56BE3" w:rsidRPr="009766EF" w14:paraId="7AC26243"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39B632D"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Style w:val="Strong"/>
                <w:rFonts w:ascii="Times New Roman" w:eastAsia="SimSun" w:hAnsi="Times New Roman" w:cs="Times New Roman"/>
                <w:color w:val="36363D"/>
                <w:sz w:val="24"/>
                <w:szCs w:val="24"/>
                <w:lang w:val="en-US"/>
              </w:rPr>
              <w:t>Technical Risks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B38758F"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Structural failure during reconstruction</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7002E256"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High</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9B1F2F5"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Use of accredited engineering methods; quality inspections</w:t>
            </w:r>
          </w:p>
        </w:tc>
      </w:tr>
      <w:tr w:rsidR="00F56BE3" w:rsidRPr="009766EF" w14:paraId="70013610"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0E40AC90"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Style w:val="Strong"/>
                <w:rFonts w:ascii="Times New Roman" w:eastAsia="SimSun" w:hAnsi="Times New Roman" w:cs="Times New Roman"/>
                <w:color w:val="36363D"/>
                <w:sz w:val="24"/>
                <w:szCs w:val="24"/>
                <w:lang w:val="en-US"/>
              </w:rPr>
              <w:t>Financial Risks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6228CC7A"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Cost overruns due to material price increases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2395F0D"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Medium</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7E0063CA"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Contingency reserves (10–15%); bulk procurement</w:t>
            </w:r>
          </w:p>
        </w:tc>
      </w:tr>
      <w:tr w:rsidR="00F56BE3" w:rsidRPr="009766EF" w14:paraId="11C5311C"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7984036A"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Style w:val="Strong"/>
                <w:rFonts w:ascii="Times New Roman" w:eastAsia="SimSun" w:hAnsi="Times New Roman" w:cs="Times New Roman"/>
                <w:color w:val="36363D"/>
                <w:sz w:val="24"/>
                <w:szCs w:val="24"/>
                <w:lang w:val="en-US"/>
              </w:rPr>
              <w:t>Schedule Risks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5883E03C"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Winter weather delays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563E38D5"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High</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2C1737D2"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Flexible scheduling; winter-specific operations</w:t>
            </w:r>
          </w:p>
        </w:tc>
      </w:tr>
      <w:tr w:rsidR="00F56BE3" w:rsidRPr="009766EF" w14:paraId="3DB0D98C"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4F9AD07"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Style w:val="Strong"/>
                <w:rFonts w:ascii="Times New Roman" w:eastAsia="SimSun" w:hAnsi="Times New Roman" w:cs="Times New Roman"/>
                <w:color w:val="36363D"/>
                <w:sz w:val="24"/>
                <w:szCs w:val="24"/>
                <w:lang w:val="en-US"/>
              </w:rPr>
              <w:t>Stakeholder Risks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096FC5AE"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Conflicts with Indigenous groups or local communities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1FFF596A"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Medium</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2215E9A3"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Early consultation, transparent communication</w:t>
            </w:r>
          </w:p>
        </w:tc>
      </w:tr>
      <w:tr w:rsidR="00F56BE3" w:rsidRPr="009766EF" w14:paraId="0C5A3814"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4496A6B4"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Style w:val="Strong"/>
                <w:rFonts w:ascii="Times New Roman" w:eastAsia="SimSun" w:hAnsi="Times New Roman" w:cs="Times New Roman"/>
                <w:color w:val="36363D"/>
                <w:sz w:val="24"/>
                <w:szCs w:val="24"/>
                <w:lang w:val="en-US"/>
              </w:rPr>
              <w:t>Health and Safety Risks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2860EDF"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Worker accidents on unstable terrain</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4BF565CA"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High</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204EDBFD" w14:textId="77777777" w:rsidR="00F56BE3" w:rsidRPr="009766EF" w:rsidRDefault="006C6B5D" w:rsidP="009766EF">
            <w:pPr>
              <w:spacing w:line="360" w:lineRule="auto"/>
              <w:jc w:val="both"/>
              <w:rPr>
                <w:rFonts w:ascii="Times New Roman" w:hAnsi="Times New Roman" w:cs="Times New Roman"/>
                <w:color w:val="36363D"/>
                <w:sz w:val="24"/>
                <w:szCs w:val="24"/>
              </w:rPr>
            </w:pPr>
            <w:r w:rsidRPr="009766EF">
              <w:rPr>
                <w:rFonts w:ascii="Times New Roman" w:eastAsia="SimSun" w:hAnsi="Times New Roman" w:cs="Times New Roman"/>
                <w:color w:val="36363D"/>
                <w:sz w:val="24"/>
                <w:szCs w:val="24"/>
                <w:lang w:val="en-US"/>
              </w:rPr>
              <w:t>Strict PPE protocols; daily safety briefings</w:t>
            </w:r>
          </w:p>
        </w:tc>
      </w:tr>
    </w:tbl>
    <w:p w14:paraId="7C260F75" w14:textId="77777777" w:rsidR="00F56BE3" w:rsidRPr="009766EF" w:rsidRDefault="00F56BE3" w:rsidP="009766EF">
      <w:pPr>
        <w:spacing w:line="360" w:lineRule="auto"/>
        <w:jc w:val="both"/>
        <w:rPr>
          <w:rFonts w:ascii="Times New Roman" w:eastAsia="SimSun" w:hAnsi="Times New Roman" w:cs="Times New Roman"/>
          <w:color w:val="36363D"/>
          <w:sz w:val="24"/>
          <w:szCs w:val="24"/>
          <w:shd w:val="clear" w:color="auto" w:fill="FFFFFF"/>
        </w:rPr>
      </w:pPr>
    </w:p>
    <w:p w14:paraId="5B2C048C"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Risk analysis is ceaseless and repetitive, encouraging adaptive change management (Kerzner, 2023).</w:t>
      </w:r>
    </w:p>
    <w:p w14:paraId="42B7513E" w14:textId="77777777" w:rsidR="00F56BE3" w:rsidRPr="009766EF" w:rsidRDefault="006C6B5D" w:rsidP="009766EF">
      <w:pPr>
        <w:pStyle w:val="Heading1"/>
        <w:spacing w:line="360" w:lineRule="auto"/>
        <w:rPr>
          <w:rFonts w:ascii="Times New Roman" w:hAnsi="Times New Roman" w:hint="default"/>
          <w:color w:val="36363D"/>
          <w:sz w:val="24"/>
          <w:szCs w:val="24"/>
        </w:rPr>
      </w:pPr>
      <w:bookmarkStart w:id="24" w:name="_Toc214570205"/>
      <w:r w:rsidRPr="009766EF">
        <w:rPr>
          <w:rFonts w:ascii="Times New Roman" w:hAnsi="Times New Roman" w:hint="default"/>
          <w:color w:val="36363D"/>
          <w:sz w:val="24"/>
          <w:szCs w:val="24"/>
        </w:rPr>
        <w:t>10. Conclusion</w:t>
      </w:r>
      <w:bookmarkEnd w:id="24"/>
    </w:p>
    <w:p w14:paraId="0DB47DF6"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t xml:space="preserve">In British Columbia, the floods of 2022 were a major catastrophe that led to a huge transportation and economic activity disruption as well as a public safety issue and, therefore, a need for a very well-organised project management response. Reconstructing Highway 5, a major route for vehicles and goods thus, the Project </w:t>
      </w:r>
      <w:r w:rsidRPr="009766EF">
        <w:rPr>
          <w:rFonts w:ascii="Times New Roman" w:eastAsia="SimSun" w:hAnsi="Times New Roman" w:cs="Times New Roman"/>
          <w:color w:val="36363D"/>
          <w:sz w:val="24"/>
          <w:szCs w:val="24"/>
          <w:shd w:val="clear" w:color="auto" w:fill="FFFFFF"/>
        </w:rPr>
        <w:lastRenderedPageBreak/>
        <w:t xml:space="preserve">Management Plan presents a thorough </w:t>
      </w:r>
      <w:r w:rsidRPr="009766EF">
        <w:rPr>
          <w:rFonts w:ascii="Times New Roman" w:eastAsia="SimSun" w:hAnsi="Times New Roman" w:cs="Times New Roman"/>
          <w:color w:val="36363D"/>
          <w:sz w:val="24"/>
          <w:szCs w:val="24"/>
          <w:shd w:val="clear" w:color="auto" w:fill="FFFFFF"/>
          <w:lang w:val="en-US"/>
        </w:rPr>
        <w:t>road-map</w:t>
      </w:r>
      <w:r w:rsidRPr="009766EF">
        <w:rPr>
          <w:rFonts w:ascii="Times New Roman" w:eastAsia="SimSun" w:hAnsi="Times New Roman" w:cs="Times New Roman"/>
          <w:color w:val="36363D"/>
          <w:sz w:val="24"/>
          <w:szCs w:val="24"/>
          <w:shd w:val="clear" w:color="auto" w:fill="FFFFFF"/>
        </w:rPr>
        <w:t xml:space="preserve"> for the 5-mil planned highway, along with the accompanying infrastructure that will be able to withstand any climate-related disturbances in the future.</w:t>
      </w:r>
    </w:p>
    <w:p w14:paraId="6050EFF3"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PMI (2021) and Kerzner (2023) suggest that the globally recognized project-management methodologies are the backbone of the plan which carefully outlines how the project should be defined and how we delineate its structure, how to allocate resources, involve participants, reduce the threats, and choose methods of execution. The hybrid project-management solution guarantees predictability and at the same time provides agility in responsiveness hence acting decisively in the ever-changing post-disaster environment.</w:t>
      </w:r>
    </w:p>
    <w:p w14:paraId="1C123637" w14:textId="77777777" w:rsidR="00F56BE3" w:rsidRPr="009766EF" w:rsidRDefault="00F56BE3" w:rsidP="009766EF">
      <w:pPr>
        <w:spacing w:line="360" w:lineRule="auto"/>
        <w:jc w:val="both"/>
        <w:rPr>
          <w:rFonts w:ascii="Times New Roman" w:eastAsia="SimSun" w:hAnsi="Times New Roman" w:cs="Times New Roman"/>
          <w:color w:val="36363D"/>
          <w:sz w:val="24"/>
          <w:szCs w:val="24"/>
          <w:shd w:val="clear" w:color="auto" w:fill="FFFFFF"/>
        </w:rPr>
      </w:pPr>
    </w:p>
    <w:p w14:paraId="01B695E7" w14:textId="77777777" w:rsidR="00F56BE3" w:rsidRPr="009766EF" w:rsidRDefault="006C6B5D" w:rsidP="009766EF">
      <w:pPr>
        <w:spacing w:line="360" w:lineRule="auto"/>
        <w:jc w:val="both"/>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lang w:val="en-US"/>
        </w:rPr>
        <w:t>Not only will the implementation of this project help to re-establish the damaged infrastructure, but it will also help to improve the resilience of the communities, promote economic recovery and help to integrate sustainable transportation mechanisms throughout British Columbia in the future as well.</w:t>
      </w:r>
    </w:p>
    <w:p w14:paraId="54A1820E" w14:textId="77777777" w:rsidR="00F56BE3" w:rsidRPr="009766EF" w:rsidRDefault="006C6B5D" w:rsidP="009766EF">
      <w:pPr>
        <w:spacing w:line="360" w:lineRule="auto"/>
        <w:rPr>
          <w:rFonts w:ascii="Times New Roman" w:eastAsia="SimSun" w:hAnsi="Times New Roman" w:cs="Times New Roman"/>
          <w:color w:val="36363D"/>
          <w:sz w:val="24"/>
          <w:szCs w:val="24"/>
          <w:shd w:val="clear" w:color="auto" w:fill="FFFFFF"/>
        </w:rPr>
      </w:pPr>
      <w:r w:rsidRPr="009766EF">
        <w:rPr>
          <w:rFonts w:ascii="Times New Roman" w:eastAsia="SimSun" w:hAnsi="Times New Roman" w:cs="Times New Roman"/>
          <w:color w:val="36363D"/>
          <w:sz w:val="24"/>
          <w:szCs w:val="24"/>
          <w:shd w:val="clear" w:color="auto" w:fill="FFFFFF"/>
        </w:rPr>
        <w:br w:type="page"/>
      </w:r>
    </w:p>
    <w:p w14:paraId="53072356" w14:textId="77777777" w:rsidR="00F56BE3" w:rsidRPr="009766EF" w:rsidRDefault="00F56BE3" w:rsidP="009766EF">
      <w:pPr>
        <w:spacing w:line="360" w:lineRule="auto"/>
        <w:jc w:val="both"/>
        <w:rPr>
          <w:rFonts w:ascii="Times New Roman" w:eastAsia="SimSun" w:hAnsi="Times New Roman" w:cs="Times New Roman"/>
          <w:color w:val="36363D"/>
          <w:sz w:val="24"/>
          <w:szCs w:val="24"/>
          <w:shd w:val="clear" w:color="auto" w:fill="FFFFFF"/>
        </w:rPr>
      </w:pPr>
    </w:p>
    <w:p w14:paraId="53E37953" w14:textId="77777777" w:rsidR="00F56BE3" w:rsidRPr="009766EF" w:rsidRDefault="006C6B5D" w:rsidP="009766EF">
      <w:pPr>
        <w:pStyle w:val="Heading1"/>
        <w:numPr>
          <w:ilvl w:val="0"/>
          <w:numId w:val="3"/>
        </w:numPr>
        <w:spacing w:line="360" w:lineRule="auto"/>
        <w:rPr>
          <w:rFonts w:ascii="Times New Roman" w:hAnsi="Times New Roman" w:hint="default"/>
          <w:color w:val="36363D"/>
          <w:sz w:val="24"/>
          <w:szCs w:val="24"/>
        </w:rPr>
      </w:pPr>
      <w:bookmarkStart w:id="25" w:name="_Toc214570206"/>
      <w:r w:rsidRPr="009766EF">
        <w:rPr>
          <w:rFonts w:ascii="Times New Roman" w:hAnsi="Times New Roman" w:hint="default"/>
          <w:color w:val="36363D"/>
          <w:sz w:val="24"/>
          <w:szCs w:val="24"/>
        </w:rPr>
        <w:t>References</w:t>
      </w:r>
      <w:bookmarkEnd w:id="25"/>
    </w:p>
    <w:p w14:paraId="58B2523F" w14:textId="77777777" w:rsidR="00F56BE3" w:rsidRPr="009766EF" w:rsidRDefault="006C6B5D" w:rsidP="009766EF">
      <w:pPr>
        <w:pStyle w:val="NormalWeb"/>
        <w:spacing w:line="360" w:lineRule="auto"/>
        <w:ind w:left="360" w:hangingChars="150" w:hanging="360"/>
        <w:jc w:val="both"/>
        <w:rPr>
          <w:color w:val="36363D"/>
        </w:rPr>
      </w:pPr>
      <w:r w:rsidRPr="009766EF">
        <w:rPr>
          <w:color w:val="36363D"/>
        </w:rPr>
        <w:t xml:space="preserve">Deszczyński, B., 2021. Relationship Management Maturity. In: </w:t>
      </w:r>
      <w:r w:rsidRPr="009766EF">
        <w:rPr>
          <w:rStyle w:val="Emphasis"/>
          <w:color w:val="36363D"/>
        </w:rPr>
        <w:t>Firm Competitive Advantage Through Relationship Management: A Theory for Successful Sustainable Growth.</w:t>
      </w:r>
      <w:r w:rsidRPr="009766EF">
        <w:rPr>
          <w:color w:val="36363D"/>
        </w:rPr>
        <w:t xml:space="preserve"> Cham: Springer International Publishing, pp.67-120. Available at: </w:t>
      </w:r>
      <w:hyperlink r:id="rId11" w:tgtFrame="_new" w:history="1">
        <w:r w:rsidRPr="009766EF">
          <w:rPr>
            <w:rStyle w:val="Hyperlink"/>
            <w:color w:val="36363D"/>
          </w:rPr>
          <w:t>https://link.springer.com/content/pdf/10.1007/978-3-030-67338-3_3.pdf</w:t>
        </w:r>
      </w:hyperlink>
      <w:r w:rsidRPr="009766EF">
        <w:rPr>
          <w:color w:val="36363D"/>
        </w:rPr>
        <w:t xml:space="preserve"> [Accessed 20 November 2025].</w:t>
      </w:r>
    </w:p>
    <w:p w14:paraId="4C0A26B5" w14:textId="77777777" w:rsidR="00F56BE3" w:rsidRPr="009766EF" w:rsidRDefault="006C6B5D" w:rsidP="009766EF">
      <w:pPr>
        <w:pStyle w:val="NormalWeb"/>
        <w:spacing w:line="360" w:lineRule="auto"/>
        <w:ind w:left="360" w:hangingChars="150" w:hanging="360"/>
        <w:jc w:val="both"/>
        <w:rPr>
          <w:color w:val="36363D"/>
        </w:rPr>
      </w:pPr>
      <w:r w:rsidRPr="009766EF">
        <w:rPr>
          <w:color w:val="36363D"/>
        </w:rPr>
        <w:t xml:space="preserve">Hillson, D. ed., 2023. </w:t>
      </w:r>
      <w:r w:rsidRPr="009766EF">
        <w:rPr>
          <w:rStyle w:val="Emphasis"/>
          <w:color w:val="36363D"/>
        </w:rPr>
        <w:t>The Risk Management Handbook: A Practical Guide to Managing the Multiple Dimensions of Risk.</w:t>
      </w:r>
      <w:r w:rsidRPr="009766EF">
        <w:rPr>
          <w:color w:val="36363D"/>
        </w:rPr>
        <w:t xml:space="preserve"> Kogan Page Publishers. Available at: </w:t>
      </w:r>
      <w:hyperlink r:id="rId12" w:tgtFrame="_new" w:history="1">
        <w:r w:rsidRPr="009766EF">
          <w:rPr>
            <w:rStyle w:val="Hyperlink"/>
            <w:color w:val="36363D"/>
          </w:rPr>
          <w:t>https://books.google.com/books?hl=enandlr=andid=xevMEAAAQBAJandoi=fndandpg=PP1</w:t>
        </w:r>
      </w:hyperlink>
      <w:r w:rsidRPr="009766EF">
        <w:rPr>
          <w:color w:val="36363D"/>
        </w:rPr>
        <w:t xml:space="preserve"> [Accessed 20 November 2025].</w:t>
      </w:r>
    </w:p>
    <w:p w14:paraId="3C7BD634" w14:textId="77777777" w:rsidR="00F56BE3" w:rsidRPr="009766EF" w:rsidRDefault="006C6B5D" w:rsidP="009766EF">
      <w:pPr>
        <w:pStyle w:val="NormalWeb"/>
        <w:spacing w:line="360" w:lineRule="auto"/>
        <w:ind w:left="360" w:hangingChars="150" w:hanging="360"/>
        <w:jc w:val="both"/>
        <w:rPr>
          <w:color w:val="36363D"/>
        </w:rPr>
      </w:pPr>
      <w:r w:rsidRPr="009766EF">
        <w:rPr>
          <w:color w:val="36363D"/>
        </w:rPr>
        <w:t xml:space="preserve">Huemann, M. and Turner, J.R. eds., 2024. </w:t>
      </w:r>
      <w:r w:rsidRPr="009766EF">
        <w:rPr>
          <w:rStyle w:val="Emphasis"/>
          <w:color w:val="36363D"/>
        </w:rPr>
        <w:t>The Handbook of Project Management.</w:t>
      </w:r>
      <w:r w:rsidRPr="009766EF">
        <w:rPr>
          <w:color w:val="36363D"/>
        </w:rPr>
        <w:t xml:space="preserve"> Routledge. Available at: </w:t>
      </w:r>
      <w:hyperlink r:id="rId13" w:tgtFrame="_new" w:history="1">
        <w:r w:rsidRPr="009766EF">
          <w:rPr>
            <w:rStyle w:val="Hyperlink"/>
            <w:color w:val="36363D"/>
          </w:rPr>
          <w:t>https://api.taylorfrancis.com/content/books/mono/download?identifierName=doiandidentifierValue=10.4324/9781003274179andtype=googlepdf</w:t>
        </w:r>
      </w:hyperlink>
      <w:r w:rsidRPr="009766EF">
        <w:rPr>
          <w:color w:val="36363D"/>
        </w:rPr>
        <w:t xml:space="preserve"> [Accessed 20 November 2025].</w:t>
      </w:r>
    </w:p>
    <w:p w14:paraId="75D56AAB" w14:textId="77777777" w:rsidR="00F56BE3" w:rsidRPr="009766EF" w:rsidRDefault="006C6B5D" w:rsidP="009766EF">
      <w:pPr>
        <w:pStyle w:val="NormalWeb"/>
        <w:spacing w:line="360" w:lineRule="auto"/>
        <w:ind w:left="360" w:hangingChars="150" w:hanging="360"/>
        <w:jc w:val="both"/>
        <w:rPr>
          <w:color w:val="36363D"/>
        </w:rPr>
      </w:pPr>
      <w:r w:rsidRPr="009766EF">
        <w:rPr>
          <w:color w:val="36363D"/>
        </w:rPr>
        <w:t xml:space="preserve">Jamal, Q., 2022. </w:t>
      </w:r>
      <w:r w:rsidRPr="009766EF">
        <w:rPr>
          <w:rStyle w:val="Emphasis"/>
          <w:color w:val="36363D"/>
        </w:rPr>
        <w:t>Managing Complex Projects in Agile Way of Working.</w:t>
      </w:r>
      <w:r w:rsidRPr="009766EF">
        <w:rPr>
          <w:color w:val="36363D"/>
        </w:rPr>
        <w:t xml:space="preserve"> Available at: </w:t>
      </w:r>
      <w:hyperlink r:id="rId14" w:tgtFrame="_new" w:history="1">
        <w:r w:rsidRPr="009766EF">
          <w:rPr>
            <w:rStyle w:val="Hyperlink"/>
            <w:color w:val="36363D"/>
          </w:rPr>
          <w:t>https://www.diva-portal.org/smash/get/diva2:1701152/FULLTEXT01.pdf</w:t>
        </w:r>
      </w:hyperlink>
      <w:r w:rsidRPr="009766EF">
        <w:rPr>
          <w:color w:val="36363D"/>
        </w:rPr>
        <w:t xml:space="preserve"> [Accessed 20 November 2025].</w:t>
      </w:r>
    </w:p>
    <w:p w14:paraId="176A23E6" w14:textId="77777777" w:rsidR="00F56BE3" w:rsidRPr="009766EF" w:rsidRDefault="006C6B5D" w:rsidP="009766EF">
      <w:pPr>
        <w:pStyle w:val="NormalWeb"/>
        <w:spacing w:line="360" w:lineRule="auto"/>
        <w:ind w:left="360" w:hangingChars="150" w:hanging="360"/>
        <w:jc w:val="both"/>
        <w:rPr>
          <w:color w:val="36363D"/>
        </w:rPr>
      </w:pPr>
      <w:r w:rsidRPr="009766EF">
        <w:rPr>
          <w:color w:val="36363D"/>
        </w:rPr>
        <w:t xml:space="preserve">Kerzner, H., 2023. </w:t>
      </w:r>
      <w:r w:rsidRPr="009766EF">
        <w:rPr>
          <w:rStyle w:val="Emphasis"/>
          <w:color w:val="36363D"/>
        </w:rPr>
        <w:t>Project Based Problem Solving and Decision Making: A Guide for Project Managers.</w:t>
      </w:r>
      <w:r w:rsidRPr="009766EF">
        <w:rPr>
          <w:color w:val="36363D"/>
        </w:rPr>
        <w:t xml:space="preserve"> John Wiley and Sons. Available at: </w:t>
      </w:r>
      <w:hyperlink r:id="rId15" w:tgtFrame="_new" w:history="1">
        <w:r w:rsidRPr="009766EF">
          <w:rPr>
            <w:rStyle w:val="Hyperlink"/>
            <w:color w:val="36363D"/>
          </w:rPr>
          <w:t>https://books.google.com/books?hl=enandlr=andid=ZyPcEAAAQBAJandoi=fndandpg=PR11</w:t>
        </w:r>
      </w:hyperlink>
      <w:r w:rsidRPr="009766EF">
        <w:rPr>
          <w:color w:val="36363D"/>
        </w:rPr>
        <w:t xml:space="preserve"> [Accessed 20 November 2025].</w:t>
      </w:r>
    </w:p>
    <w:p w14:paraId="5DEFF91B" w14:textId="77777777" w:rsidR="00F56BE3" w:rsidRPr="009766EF" w:rsidRDefault="006C6B5D" w:rsidP="009766EF">
      <w:pPr>
        <w:pStyle w:val="NormalWeb"/>
        <w:spacing w:line="360" w:lineRule="auto"/>
        <w:ind w:left="360" w:hangingChars="150" w:hanging="360"/>
        <w:jc w:val="both"/>
        <w:rPr>
          <w:color w:val="36363D"/>
        </w:rPr>
      </w:pPr>
      <w:r w:rsidRPr="009766EF">
        <w:rPr>
          <w:color w:val="36363D"/>
        </w:rPr>
        <w:t xml:space="preserve">Kerzner, H., Zeitoun, A. and Vargas, R.V., 2022. </w:t>
      </w:r>
      <w:r w:rsidRPr="009766EF">
        <w:rPr>
          <w:rStyle w:val="Emphasis"/>
          <w:color w:val="36363D"/>
        </w:rPr>
        <w:t>Project Management Next Generation: The Pillars for Organizational Excellence.</w:t>
      </w:r>
      <w:r w:rsidRPr="009766EF">
        <w:rPr>
          <w:color w:val="36363D"/>
        </w:rPr>
        <w:t xml:space="preserve"> John Wiley and Sons. Available at: </w:t>
      </w:r>
      <w:hyperlink r:id="rId16" w:tgtFrame="_new" w:history="1">
        <w:r w:rsidRPr="009766EF">
          <w:rPr>
            <w:rStyle w:val="Hyperlink"/>
            <w:color w:val="36363D"/>
          </w:rPr>
          <w:t>https://books.google.com/books?hl=enandlr=andid=Q2l6EAAAQBAJandoi=fndandpg=PR1</w:t>
        </w:r>
      </w:hyperlink>
      <w:r w:rsidRPr="009766EF">
        <w:rPr>
          <w:color w:val="36363D"/>
        </w:rPr>
        <w:t xml:space="preserve"> [Accessed 20 November 2025].</w:t>
      </w:r>
    </w:p>
    <w:p w14:paraId="5A3476BF" w14:textId="77777777" w:rsidR="00F56BE3" w:rsidRPr="009766EF" w:rsidRDefault="006C6B5D" w:rsidP="009766EF">
      <w:pPr>
        <w:pStyle w:val="NormalWeb"/>
        <w:spacing w:line="360" w:lineRule="auto"/>
        <w:ind w:left="360" w:hangingChars="150" w:hanging="360"/>
        <w:jc w:val="both"/>
        <w:rPr>
          <w:color w:val="36363D"/>
        </w:rPr>
      </w:pPr>
      <w:r w:rsidRPr="009766EF">
        <w:rPr>
          <w:color w:val="36363D"/>
        </w:rPr>
        <w:lastRenderedPageBreak/>
        <w:t xml:space="preserve">Meredith, J. and </w:t>
      </w:r>
      <w:proofErr w:type="spellStart"/>
      <w:r w:rsidRPr="009766EF">
        <w:rPr>
          <w:color w:val="36363D"/>
        </w:rPr>
        <w:t>Zwikael</w:t>
      </w:r>
      <w:proofErr w:type="spellEnd"/>
      <w:r w:rsidRPr="009766EF">
        <w:rPr>
          <w:color w:val="36363D"/>
        </w:rPr>
        <w:t xml:space="preserve">, O., 2024. Managing business case and benefits realization. In: M. Huemann and J.R. Turner, eds. </w:t>
      </w:r>
      <w:r w:rsidRPr="009766EF">
        <w:rPr>
          <w:rStyle w:val="Emphasis"/>
          <w:color w:val="36363D"/>
        </w:rPr>
        <w:t>The Handbook of Project Management.</w:t>
      </w:r>
      <w:r w:rsidRPr="009766EF">
        <w:rPr>
          <w:color w:val="36363D"/>
        </w:rPr>
        <w:t xml:space="preserve"> Routledge, pp.151-164. Available at: </w:t>
      </w:r>
      <w:hyperlink r:id="rId17" w:tgtFrame="_new" w:history="1">
        <w:r w:rsidRPr="009766EF">
          <w:rPr>
            <w:rStyle w:val="Hyperlink"/>
            <w:color w:val="36363D"/>
          </w:rPr>
          <w:t>https://www.taylorfrancis.com/chapters/edit/10.4324/9781003274179-13/managing-business-case-benefits-realization-jack-meredith-ofer-zwikael</w:t>
        </w:r>
      </w:hyperlink>
      <w:r w:rsidRPr="009766EF">
        <w:rPr>
          <w:color w:val="36363D"/>
        </w:rPr>
        <w:t xml:space="preserve"> [Accessed 20 November 2025].</w:t>
      </w:r>
    </w:p>
    <w:p w14:paraId="29BC537B" w14:textId="77777777" w:rsidR="00F56BE3" w:rsidRPr="009766EF" w:rsidRDefault="006C6B5D" w:rsidP="009766EF">
      <w:pPr>
        <w:pStyle w:val="NormalWeb"/>
        <w:spacing w:line="360" w:lineRule="auto"/>
        <w:ind w:left="360" w:hangingChars="150" w:hanging="360"/>
        <w:jc w:val="both"/>
        <w:rPr>
          <w:color w:val="36363D"/>
        </w:rPr>
      </w:pPr>
      <w:r w:rsidRPr="009766EF">
        <w:rPr>
          <w:color w:val="36363D"/>
        </w:rPr>
        <w:t xml:space="preserve">PMI, 2021. </w:t>
      </w:r>
      <w:r w:rsidRPr="009766EF">
        <w:rPr>
          <w:rStyle w:val="Emphasis"/>
          <w:color w:val="36363D"/>
        </w:rPr>
        <w:t>PMBOK® Guide.</w:t>
      </w:r>
      <w:r w:rsidRPr="009766EF">
        <w:rPr>
          <w:color w:val="36363D"/>
        </w:rPr>
        <w:t xml:space="preserve"> Available at: </w:t>
      </w:r>
      <w:hyperlink r:id="rId18" w:tgtFrame="_new" w:history="1">
        <w:r w:rsidRPr="009766EF">
          <w:rPr>
            <w:rStyle w:val="Hyperlink"/>
            <w:color w:val="36363D"/>
          </w:rPr>
          <w:t>https://www.pmi.org/standards/pmbok</w:t>
        </w:r>
      </w:hyperlink>
      <w:r w:rsidRPr="009766EF">
        <w:rPr>
          <w:color w:val="36363D"/>
        </w:rPr>
        <w:t xml:space="preserve"> [Accessed 20 November 2025].</w:t>
      </w:r>
    </w:p>
    <w:p w14:paraId="38DB6436" w14:textId="77777777" w:rsidR="00F56BE3" w:rsidRPr="009766EF" w:rsidRDefault="006C6B5D" w:rsidP="009766EF">
      <w:pPr>
        <w:pStyle w:val="NormalWeb"/>
        <w:spacing w:line="360" w:lineRule="auto"/>
        <w:ind w:left="360" w:hangingChars="150" w:hanging="360"/>
        <w:jc w:val="both"/>
        <w:rPr>
          <w:color w:val="36363D"/>
        </w:rPr>
      </w:pPr>
      <w:r w:rsidRPr="009766EF">
        <w:rPr>
          <w:color w:val="36363D"/>
        </w:rPr>
        <w:t xml:space="preserve">Roach, D.C., 2024. Project Management Essentials. In: </w:t>
      </w:r>
      <w:r w:rsidRPr="009766EF">
        <w:rPr>
          <w:rStyle w:val="Emphasis"/>
          <w:color w:val="36363D"/>
        </w:rPr>
        <w:t>The Innovation Approach: Overcoming the Limitations of Design Thinking and the Lean Startup.</w:t>
      </w:r>
      <w:r w:rsidRPr="009766EF">
        <w:rPr>
          <w:color w:val="36363D"/>
        </w:rPr>
        <w:t xml:space="preserve"> Emerald Publishing Limited, pp.199-214. Available at: </w:t>
      </w:r>
      <w:hyperlink r:id="rId19" w:tgtFrame="_new" w:history="1">
        <w:r w:rsidRPr="009766EF">
          <w:rPr>
            <w:rStyle w:val="Hyperlink"/>
            <w:color w:val="36363D"/>
          </w:rPr>
          <w:t>https://www.emerald.com/insight/content/doi/10.1108/978-1-83797-799-420241014</w:t>
        </w:r>
      </w:hyperlink>
      <w:r w:rsidRPr="009766EF">
        <w:rPr>
          <w:color w:val="36363D"/>
        </w:rPr>
        <w:t xml:space="preserve"> [Accessed 20 November 2025].</w:t>
      </w:r>
    </w:p>
    <w:p w14:paraId="53A02CE1" w14:textId="77777777" w:rsidR="00F56BE3" w:rsidRPr="009766EF" w:rsidRDefault="006C6B5D" w:rsidP="009766EF">
      <w:pPr>
        <w:pStyle w:val="NormalWeb"/>
        <w:spacing w:line="360" w:lineRule="auto"/>
        <w:ind w:left="360" w:hangingChars="150" w:hanging="360"/>
        <w:jc w:val="both"/>
        <w:rPr>
          <w:color w:val="36363D"/>
        </w:rPr>
      </w:pPr>
      <w:r w:rsidRPr="009766EF">
        <w:rPr>
          <w:color w:val="36363D"/>
        </w:rPr>
        <w:t xml:space="preserve">Turner, R. and Huemann, M., 2024. Managing project complexity. In: M. Huemann and J.R. Turner, eds. </w:t>
      </w:r>
      <w:r w:rsidRPr="009766EF">
        <w:rPr>
          <w:rStyle w:val="Emphasis"/>
          <w:color w:val="36363D"/>
        </w:rPr>
        <w:t>The Handbook of Project Management.</w:t>
      </w:r>
      <w:r w:rsidRPr="009766EF">
        <w:rPr>
          <w:color w:val="36363D"/>
        </w:rPr>
        <w:t xml:space="preserve"> Routledge, pp.58-73. Available at: </w:t>
      </w:r>
      <w:hyperlink r:id="rId20" w:tgtFrame="_new" w:history="1">
        <w:r w:rsidRPr="009766EF">
          <w:rPr>
            <w:rStyle w:val="Hyperlink"/>
            <w:color w:val="36363D"/>
          </w:rPr>
          <w:t>https://www.taylorfrancis.com/chapters/edit/10.4324/9781003274179-6/managing-project-complexity-rodney-turner-martina-huemann</w:t>
        </w:r>
      </w:hyperlink>
      <w:r w:rsidRPr="009766EF">
        <w:rPr>
          <w:color w:val="36363D"/>
        </w:rPr>
        <w:t xml:space="preserve"> [Accessed 20 November 2025].</w:t>
      </w:r>
    </w:p>
    <w:p w14:paraId="42E69598" w14:textId="77777777" w:rsidR="00F56BE3" w:rsidRPr="009766EF" w:rsidRDefault="006C6B5D" w:rsidP="009766EF">
      <w:pPr>
        <w:pStyle w:val="NormalWeb"/>
        <w:spacing w:line="360" w:lineRule="auto"/>
        <w:ind w:left="360" w:hangingChars="150" w:hanging="360"/>
        <w:jc w:val="both"/>
        <w:rPr>
          <w:color w:val="36363D"/>
        </w:rPr>
      </w:pPr>
      <w:r w:rsidRPr="009766EF">
        <w:rPr>
          <w:color w:val="36363D"/>
        </w:rPr>
        <w:t xml:space="preserve">Waterworth, A. and Gavin, C., 2024. </w:t>
      </w:r>
      <w:r w:rsidRPr="009766EF">
        <w:rPr>
          <w:rStyle w:val="Emphasis"/>
          <w:color w:val="36363D"/>
        </w:rPr>
        <w:t>Managing Projects.</w:t>
      </w:r>
      <w:r w:rsidRPr="009766EF">
        <w:rPr>
          <w:color w:val="36363D"/>
        </w:rPr>
        <w:t xml:space="preserve"> Routledge. Available at: </w:t>
      </w:r>
      <w:hyperlink r:id="rId21" w:tgtFrame="_new" w:history="1">
        <w:r w:rsidRPr="009766EF">
          <w:rPr>
            <w:rStyle w:val="Hyperlink"/>
            <w:color w:val="36363D"/>
          </w:rPr>
          <w:t>https://api.taylorfrancis.com/content/books/mono/download?identifierName=doiandidentifierValue=10.4324/9781003057246andtype=googlepdf</w:t>
        </w:r>
      </w:hyperlink>
      <w:r w:rsidRPr="009766EF">
        <w:rPr>
          <w:color w:val="36363D"/>
        </w:rPr>
        <w:t xml:space="preserve"> [Accessed 20 November 2025].</w:t>
      </w:r>
    </w:p>
    <w:sectPr w:rsidR="00F56BE3" w:rsidRPr="009766EF">
      <w:footerReference w:type="default" r:id="rId22"/>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G Times (WN)">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17D54" w14:textId="77777777" w:rsidR="00A21E3C" w:rsidRDefault="00A21E3C">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286230A2"/>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0000002"/>
    <w:multiLevelType w:val="hybridMultilevel"/>
    <w:tmpl w:val="00DE857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466D1A"/>
    <w:multiLevelType w:val="hybridMultilevel"/>
    <w:tmpl w:val="8FCC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002321"/>
    <w:multiLevelType w:val="hybridMultilevel"/>
    <w:tmpl w:val="92F65AF6"/>
    <w:lvl w:ilvl="0" w:tplc="587034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5C2F2F"/>
    <w:multiLevelType w:val="singleLevel"/>
    <w:tmpl w:val="C7815965"/>
    <w:lvl w:ilvl="0">
      <w:start w:val="11"/>
      <w:numFmt w:val="decimal"/>
      <w:suff w:val="space"/>
      <w:lvlText w:val="%1."/>
      <w:lvlJc w:val="left"/>
    </w:lvl>
  </w:abstractNum>
  <w:abstractNum w:abstractNumId="15"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FC123A0"/>
    <w:multiLevelType w:val="hybridMultilevel"/>
    <w:tmpl w:val="DEE4712C"/>
    <w:lvl w:ilvl="0" w:tplc="080E4D86">
      <w:start w:val="1"/>
      <w:numFmt w:val="bullet"/>
      <w:lvlText w:val=""/>
      <w:lvlJc w:val="left"/>
      <w:pPr>
        <w:ind w:left="720" w:hanging="360"/>
      </w:pPr>
      <w:rPr>
        <w:rFonts w:ascii="Symbol" w:hAnsi="Symbol" w:hint="default"/>
      </w:rPr>
    </w:lvl>
    <w:lvl w:ilvl="1" w:tplc="A612A282">
      <w:start w:val="1"/>
      <w:numFmt w:val="bullet"/>
      <w:lvlText w:val="o"/>
      <w:lvlJc w:val="left"/>
      <w:pPr>
        <w:ind w:left="1440" w:hanging="360"/>
      </w:pPr>
      <w:rPr>
        <w:rFonts w:ascii="Courier New" w:hAnsi="Courier New" w:hint="default"/>
      </w:rPr>
    </w:lvl>
    <w:lvl w:ilvl="2" w:tplc="E68E617A">
      <w:start w:val="1"/>
      <w:numFmt w:val="bullet"/>
      <w:lvlText w:val=""/>
      <w:lvlJc w:val="left"/>
      <w:pPr>
        <w:ind w:left="2160" w:hanging="360"/>
      </w:pPr>
      <w:rPr>
        <w:rFonts w:ascii="Wingdings" w:hAnsi="Wingdings" w:hint="default"/>
      </w:rPr>
    </w:lvl>
    <w:lvl w:ilvl="3" w:tplc="F3DA8D20">
      <w:start w:val="1"/>
      <w:numFmt w:val="bullet"/>
      <w:lvlText w:val=""/>
      <w:lvlJc w:val="left"/>
      <w:pPr>
        <w:ind w:left="2880" w:hanging="360"/>
      </w:pPr>
      <w:rPr>
        <w:rFonts w:ascii="Symbol" w:hAnsi="Symbol" w:hint="default"/>
      </w:rPr>
    </w:lvl>
    <w:lvl w:ilvl="4" w:tplc="AC4C6182">
      <w:start w:val="1"/>
      <w:numFmt w:val="bullet"/>
      <w:lvlText w:val="o"/>
      <w:lvlJc w:val="left"/>
      <w:pPr>
        <w:ind w:left="3600" w:hanging="360"/>
      </w:pPr>
      <w:rPr>
        <w:rFonts w:ascii="Courier New" w:hAnsi="Courier New" w:hint="default"/>
      </w:rPr>
    </w:lvl>
    <w:lvl w:ilvl="5" w:tplc="1D6AF3D8">
      <w:start w:val="1"/>
      <w:numFmt w:val="bullet"/>
      <w:lvlText w:val=""/>
      <w:lvlJc w:val="left"/>
      <w:pPr>
        <w:ind w:left="4320" w:hanging="360"/>
      </w:pPr>
      <w:rPr>
        <w:rFonts w:ascii="Wingdings" w:hAnsi="Wingdings" w:hint="default"/>
      </w:rPr>
    </w:lvl>
    <w:lvl w:ilvl="6" w:tplc="49F83F8A">
      <w:start w:val="1"/>
      <w:numFmt w:val="bullet"/>
      <w:lvlText w:val=""/>
      <w:lvlJc w:val="left"/>
      <w:pPr>
        <w:ind w:left="5040" w:hanging="360"/>
      </w:pPr>
      <w:rPr>
        <w:rFonts w:ascii="Symbol" w:hAnsi="Symbol" w:hint="default"/>
      </w:rPr>
    </w:lvl>
    <w:lvl w:ilvl="7" w:tplc="F0BACD6C">
      <w:start w:val="1"/>
      <w:numFmt w:val="bullet"/>
      <w:lvlText w:val="o"/>
      <w:lvlJc w:val="left"/>
      <w:pPr>
        <w:ind w:left="5760" w:hanging="360"/>
      </w:pPr>
      <w:rPr>
        <w:rFonts w:ascii="Courier New" w:hAnsi="Courier New" w:hint="default"/>
      </w:rPr>
    </w:lvl>
    <w:lvl w:ilvl="8" w:tplc="25242900">
      <w:start w:val="1"/>
      <w:numFmt w:val="bullet"/>
      <w:lvlText w:val=""/>
      <w:lvlJc w:val="left"/>
      <w:pPr>
        <w:ind w:left="6480" w:hanging="360"/>
      </w:pPr>
      <w:rPr>
        <w:rFonts w:ascii="Wingdings" w:hAnsi="Wingdings" w:hint="default"/>
      </w:rPr>
    </w:lvl>
  </w:abstractNum>
  <w:abstractNum w:abstractNumId="18" w15:restartNumberingAfterBreak="0">
    <w:nsid w:val="43567A1A"/>
    <w:multiLevelType w:val="hybridMultilevel"/>
    <w:tmpl w:val="123CCF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083351"/>
    <w:multiLevelType w:val="hybridMultilevel"/>
    <w:tmpl w:val="E5FC8384"/>
    <w:lvl w:ilvl="0" w:tplc="C07E3CA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6D6795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BAABDA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326895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5F8D75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7F0ACC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EAAB8B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DE0712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70A872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1127880"/>
    <w:multiLevelType w:val="hybridMultilevel"/>
    <w:tmpl w:val="252A042A"/>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22" w15:restartNumberingAfterBreak="0">
    <w:nsid w:val="5EDD1104"/>
    <w:multiLevelType w:val="hybridMultilevel"/>
    <w:tmpl w:val="CE203046"/>
    <w:lvl w:ilvl="0" w:tplc="7C1A6F9E">
      <w:start w:val="1"/>
      <w:numFmt w:val="bullet"/>
      <w:lvlText w:val="•"/>
      <w:lvlJc w:val="left"/>
      <w:pPr>
        <w:ind w:left="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A00678">
      <w:start w:val="1"/>
      <w:numFmt w:val="bullet"/>
      <w:lvlText w:val="o"/>
      <w:lvlJc w:val="left"/>
      <w:pPr>
        <w:ind w:left="1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EEDB56">
      <w:start w:val="1"/>
      <w:numFmt w:val="bullet"/>
      <w:lvlText w:val="▪"/>
      <w:lvlJc w:val="left"/>
      <w:pPr>
        <w:ind w:left="21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F88B04">
      <w:start w:val="1"/>
      <w:numFmt w:val="bullet"/>
      <w:lvlText w:val="•"/>
      <w:lvlJc w:val="left"/>
      <w:pPr>
        <w:ind w:left="2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36B872">
      <w:start w:val="1"/>
      <w:numFmt w:val="bullet"/>
      <w:lvlText w:val="o"/>
      <w:lvlJc w:val="left"/>
      <w:pPr>
        <w:ind w:left="35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3AEDA4">
      <w:start w:val="1"/>
      <w:numFmt w:val="bullet"/>
      <w:lvlText w:val="▪"/>
      <w:lvlJc w:val="left"/>
      <w:pPr>
        <w:ind w:left="42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4CF540">
      <w:start w:val="1"/>
      <w:numFmt w:val="bullet"/>
      <w:lvlText w:val="•"/>
      <w:lvlJc w:val="left"/>
      <w:pPr>
        <w:ind w:left="5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868">
      <w:start w:val="1"/>
      <w:numFmt w:val="bullet"/>
      <w:lvlText w:val="o"/>
      <w:lvlJc w:val="left"/>
      <w:pPr>
        <w:ind w:left="57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EE535C">
      <w:start w:val="1"/>
      <w:numFmt w:val="bullet"/>
      <w:lvlText w:val="▪"/>
      <w:lvlJc w:val="left"/>
      <w:pPr>
        <w:ind w:left="6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44644F"/>
    <w:multiLevelType w:val="hybridMultilevel"/>
    <w:tmpl w:val="F1D29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084271"/>
    <w:multiLevelType w:val="hybridMultilevel"/>
    <w:tmpl w:val="4C62A460"/>
    <w:lvl w:ilvl="0" w:tplc="9BF69440">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EAC1D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82D49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5C6BC3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02B7B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04830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6009A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32972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2E45BD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B4F4A67"/>
    <w:multiLevelType w:val="hybridMultilevel"/>
    <w:tmpl w:val="2DFA5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61892740">
    <w:abstractNumId w:val="2"/>
  </w:num>
  <w:num w:numId="2" w16cid:durableId="96602008">
    <w:abstractNumId w:val="1"/>
  </w:num>
  <w:num w:numId="3" w16cid:durableId="1582789613">
    <w:abstractNumId w:val="14"/>
  </w:num>
  <w:num w:numId="4" w16cid:durableId="1000160510">
    <w:abstractNumId w:val="3"/>
  </w:num>
  <w:num w:numId="5" w16cid:durableId="331690842">
    <w:abstractNumId w:val="13"/>
  </w:num>
  <w:num w:numId="6" w16cid:durableId="864905030">
    <w:abstractNumId w:val="28"/>
  </w:num>
  <w:num w:numId="7" w16cid:durableId="505629678">
    <w:abstractNumId w:val="19"/>
  </w:num>
  <w:num w:numId="8" w16cid:durableId="1748383284">
    <w:abstractNumId w:val="11"/>
  </w:num>
  <w:num w:numId="9" w16cid:durableId="523248179">
    <w:abstractNumId w:val="27"/>
  </w:num>
  <w:num w:numId="10" w16cid:durableId="108396767">
    <w:abstractNumId w:val="4"/>
  </w:num>
  <w:num w:numId="11" w16cid:durableId="645858666">
    <w:abstractNumId w:val="24"/>
  </w:num>
  <w:num w:numId="12" w16cid:durableId="99958754">
    <w:abstractNumId w:val="16"/>
  </w:num>
  <w:num w:numId="13" w16cid:durableId="1745033404">
    <w:abstractNumId w:val="6"/>
  </w:num>
  <w:num w:numId="14" w16cid:durableId="109058203">
    <w:abstractNumId w:val="7"/>
  </w:num>
  <w:num w:numId="15" w16cid:durableId="472648239">
    <w:abstractNumId w:val="12"/>
  </w:num>
  <w:num w:numId="16" w16cid:durableId="504250803">
    <w:abstractNumId w:val="23"/>
  </w:num>
  <w:num w:numId="17" w16cid:durableId="2013676452">
    <w:abstractNumId w:val="5"/>
  </w:num>
  <w:num w:numId="18" w16cid:durableId="266812595">
    <w:abstractNumId w:val="0"/>
  </w:num>
  <w:num w:numId="19" w16cid:durableId="348222975">
    <w:abstractNumId w:val="8"/>
  </w:num>
  <w:num w:numId="20" w16cid:durableId="319651257">
    <w:abstractNumId w:val="9"/>
  </w:num>
  <w:num w:numId="21" w16cid:durableId="186599699">
    <w:abstractNumId w:val="18"/>
  </w:num>
  <w:num w:numId="22" w16cid:durableId="1277641029">
    <w:abstractNumId w:val="29"/>
  </w:num>
  <w:num w:numId="23" w16cid:durableId="1071806320">
    <w:abstractNumId w:val="22"/>
  </w:num>
  <w:num w:numId="24" w16cid:durableId="1455441929">
    <w:abstractNumId w:val="26"/>
  </w:num>
  <w:num w:numId="25" w16cid:durableId="929852669">
    <w:abstractNumId w:val="20"/>
  </w:num>
  <w:num w:numId="26" w16cid:durableId="847719474">
    <w:abstractNumId w:val="15"/>
  </w:num>
  <w:num w:numId="27" w16cid:durableId="206070343">
    <w:abstractNumId w:val="25"/>
  </w:num>
  <w:num w:numId="28" w16cid:durableId="1856572268">
    <w:abstractNumId w:val="21"/>
  </w:num>
  <w:num w:numId="29" w16cid:durableId="545144635">
    <w:abstractNumId w:val="17"/>
  </w:num>
  <w:num w:numId="30" w16cid:durableId="14505406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6BE3"/>
    <w:rsid w:val="003E557D"/>
    <w:rsid w:val="003F46DF"/>
    <w:rsid w:val="006C6B5D"/>
    <w:rsid w:val="0089781A"/>
    <w:rsid w:val="009049C3"/>
    <w:rsid w:val="009766EF"/>
    <w:rsid w:val="00A21E3C"/>
    <w:rsid w:val="00B6522D"/>
    <w:rsid w:val="00C753C8"/>
    <w:rsid w:val="00CB2F6B"/>
    <w:rsid w:val="00F56BE3"/>
    <w:rsid w:val="00FD39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4FFFB8"/>
  <w15:docId w15:val="{4BFBF5CC-159E-495D-BAAC-9B94F7FC4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DengXian" w:hAnsi="Calibri" w:cs="SimSun"/>
      <w:lang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val="en-US" w:eastAsia="zh-CN"/>
    </w:rPr>
  </w:style>
  <w:style w:type="paragraph" w:styleId="Heading2">
    <w:name w:val="heading 2"/>
    <w:basedOn w:val="Normal"/>
    <w:next w:val="Normal"/>
    <w:link w:val="Heading2Char"/>
    <w:qFormat/>
    <w:pPr>
      <w:keepNext/>
      <w:keepLines/>
      <w:spacing w:before="260" w:after="260" w:line="416" w:lineRule="auto"/>
      <w:outlineLvl w:val="1"/>
    </w:pPr>
    <w:rPr>
      <w:b/>
      <w:bCs/>
      <w:sz w:val="32"/>
      <w:szCs w:val="32"/>
    </w:rPr>
  </w:style>
  <w:style w:type="paragraph" w:styleId="Heading3">
    <w:name w:val="heading 3"/>
    <w:next w:val="Normal"/>
    <w:qFormat/>
    <w:pPr>
      <w:spacing w:beforeAutospacing="1" w:afterAutospacing="1"/>
      <w:outlineLvl w:val="2"/>
    </w:pPr>
    <w:rPr>
      <w:rFonts w:ascii="SimSun" w:hAnsi="SimSun" w:hint="eastAsia"/>
      <w:b/>
      <w:bCs/>
      <w:sz w:val="27"/>
      <w:szCs w:val="27"/>
      <w:lang w:val="en-US" w:eastAsia="zh-CN"/>
    </w:rPr>
  </w:style>
  <w:style w:type="paragraph" w:styleId="Heading4">
    <w:name w:val="heading 4"/>
    <w:basedOn w:val="Normal"/>
    <w:next w:val="Normal"/>
    <w:link w:val="Heading4Char"/>
    <w:qFormat/>
    <w:rsid w:val="00FD3915"/>
    <w:pPr>
      <w:keepNext/>
      <w:spacing w:before="120" w:after="120"/>
      <w:jc w:val="center"/>
      <w:outlineLvl w:val="3"/>
    </w:pPr>
    <w:rPr>
      <w:rFonts w:ascii="Times New Roman" w:eastAsia="Times New Roman" w:hAnsi="Times New Roman" w:cs="Times New Roman"/>
      <w:sz w:val="40"/>
      <w:lang w:eastAsia="en-GB"/>
    </w:rPr>
  </w:style>
  <w:style w:type="paragraph" w:styleId="Heading6">
    <w:name w:val="heading 6"/>
    <w:basedOn w:val="Normal"/>
    <w:next w:val="Normal"/>
    <w:link w:val="Heading6Char"/>
    <w:qFormat/>
    <w:rsid w:val="00FD3915"/>
    <w:pPr>
      <w:keepNext/>
      <w:pBdr>
        <w:top w:val="single" w:sz="18" w:space="1" w:color="auto"/>
        <w:left w:val="single" w:sz="18" w:space="4" w:color="auto"/>
        <w:bottom w:val="single" w:sz="18" w:space="1" w:color="auto"/>
        <w:right w:val="single" w:sz="18" w:space="4" w:color="auto"/>
      </w:pBdr>
      <w:outlineLvl w:val="5"/>
    </w:pPr>
    <w:rPr>
      <w:rFonts w:ascii="Arial" w:eastAsia="Times New Roman"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Hyperlink">
    <w:name w:val="Hyperlink"/>
    <w:basedOn w:val="DefaultParagraphFont"/>
    <w:uiPriority w:val="99"/>
    <w:rPr>
      <w:color w:val="0000FF"/>
      <w:u w:val="single"/>
    </w:rPr>
  </w:style>
  <w:style w:type="paragraph" w:styleId="NormalWeb">
    <w:name w:val="Normal (Web)"/>
    <w:uiPriority w:val="99"/>
    <w:pPr>
      <w:spacing w:beforeAutospacing="1" w:afterAutospacing="1"/>
    </w:pPr>
    <w:rPr>
      <w:sz w:val="24"/>
      <w:szCs w:val="24"/>
      <w:lang w:val="en-US" w:eastAsia="zh-CN"/>
    </w:rPr>
  </w:style>
  <w:style w:type="character" w:styleId="Strong">
    <w:name w:val="Strong"/>
    <w:basedOn w:val="DefaultParagraphFont"/>
    <w:qFormat/>
    <w:rPr>
      <w:b/>
      <w:bCs/>
    </w:rPr>
  </w:style>
  <w:style w:type="paragraph" w:customStyle="1" w:styleId="WPSOffice1">
    <w:name w:val="WPSOffice手动目录 1"/>
  </w:style>
  <w:style w:type="paragraph" w:customStyle="1" w:styleId="WPSOffice2">
    <w:name w:val="WPSOffice手动目录 2"/>
    <w:pPr>
      <w:ind w:leftChars="200" w:left="200"/>
    </w:p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00"/>
    </w:pPr>
  </w:style>
  <w:style w:type="paragraph" w:styleId="TOCHeading">
    <w:name w:val="TOC Heading"/>
    <w:basedOn w:val="Heading1"/>
    <w:next w:val="Normal"/>
    <w:uiPriority w:val="39"/>
    <w:unhideWhenUsed/>
    <w:qFormat/>
    <w:rsid w:val="003F46DF"/>
    <w:pPr>
      <w:keepNext/>
      <w:keepLines/>
      <w:spacing w:before="240" w:beforeAutospacing="0" w:afterAutospacing="0" w:line="259" w:lineRule="auto"/>
      <w:outlineLvl w:val="9"/>
    </w:pPr>
    <w:rPr>
      <w:rFonts w:asciiTheme="majorHAnsi" w:eastAsiaTheme="majorEastAsia" w:hAnsiTheme="majorHAnsi" w:cstheme="majorBidi" w:hint="default"/>
      <w:b w:val="0"/>
      <w:bCs w:val="0"/>
      <w:color w:val="365F91" w:themeColor="accent1" w:themeShade="BF"/>
      <w:kern w:val="0"/>
      <w:sz w:val="32"/>
      <w:szCs w:val="32"/>
      <w:lang w:eastAsia="en-US"/>
    </w:rPr>
  </w:style>
  <w:style w:type="character" w:customStyle="1" w:styleId="Heading4Char">
    <w:name w:val="Heading 4 Char"/>
    <w:basedOn w:val="DefaultParagraphFont"/>
    <w:link w:val="Heading4"/>
    <w:rsid w:val="00FD3915"/>
    <w:rPr>
      <w:rFonts w:eastAsia="Times New Roman"/>
      <w:sz w:val="40"/>
    </w:rPr>
  </w:style>
  <w:style w:type="character" w:customStyle="1" w:styleId="Heading6Char">
    <w:name w:val="Heading 6 Char"/>
    <w:basedOn w:val="DefaultParagraphFont"/>
    <w:link w:val="Heading6"/>
    <w:rsid w:val="00FD3915"/>
    <w:rPr>
      <w:rFonts w:ascii="Arial" w:eastAsia="Times New Roman" w:hAnsi="Arial" w:cs="Arial"/>
      <w:b/>
      <w:bCs/>
      <w:sz w:val="24"/>
      <w:lang w:eastAsia="en-US"/>
    </w:rPr>
  </w:style>
  <w:style w:type="paragraph" w:styleId="Header">
    <w:name w:val="header"/>
    <w:basedOn w:val="Normal"/>
    <w:link w:val="HeaderChar"/>
    <w:rsid w:val="00FD3915"/>
    <w:pPr>
      <w:tabs>
        <w:tab w:val="center" w:pos="4153"/>
        <w:tab w:val="right" w:pos="8306"/>
      </w:tabs>
    </w:pPr>
    <w:rPr>
      <w:rFonts w:ascii="Times New Roman" w:eastAsia="Times New Roman" w:hAnsi="Times New Roman" w:cs="Times New Roman"/>
      <w:lang w:eastAsia="en-GB"/>
    </w:rPr>
  </w:style>
  <w:style w:type="character" w:customStyle="1" w:styleId="HeaderChar">
    <w:name w:val="Header Char"/>
    <w:basedOn w:val="DefaultParagraphFont"/>
    <w:link w:val="Header"/>
    <w:rsid w:val="00FD3915"/>
    <w:rPr>
      <w:rFonts w:eastAsia="Times New Roman"/>
    </w:rPr>
  </w:style>
  <w:style w:type="paragraph" w:styleId="Footer">
    <w:name w:val="footer"/>
    <w:basedOn w:val="Normal"/>
    <w:link w:val="FooterChar"/>
    <w:uiPriority w:val="99"/>
    <w:rsid w:val="00FD3915"/>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FD3915"/>
    <w:rPr>
      <w:rFonts w:eastAsia="Times New Roman"/>
    </w:rPr>
  </w:style>
  <w:style w:type="table" w:styleId="TableGrid">
    <w:name w:val="Table Grid"/>
    <w:basedOn w:val="TableNormal"/>
    <w:uiPriority w:val="39"/>
    <w:rsid w:val="00FD3915"/>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FD3915"/>
    <w:rPr>
      <w:rFonts w:ascii="Times New Roman" w:eastAsia="Times New Roman" w:hAnsi="Times New Roman" w:cs="Times New Roman"/>
      <w:sz w:val="16"/>
      <w:lang w:eastAsia="en-US"/>
    </w:rPr>
  </w:style>
  <w:style w:type="character" w:customStyle="1" w:styleId="BodyText2Char">
    <w:name w:val="Body Text 2 Char"/>
    <w:basedOn w:val="DefaultParagraphFont"/>
    <w:link w:val="BodyText2"/>
    <w:rsid w:val="00FD3915"/>
    <w:rPr>
      <w:rFonts w:eastAsia="Times New Roman"/>
      <w:sz w:val="16"/>
      <w:lang w:eastAsia="en-US"/>
    </w:rPr>
  </w:style>
  <w:style w:type="paragraph" w:customStyle="1" w:styleId="BodyText1">
    <w:name w:val="Body Text1"/>
    <w:basedOn w:val="Normal"/>
    <w:rsid w:val="00FD3915"/>
    <w:pPr>
      <w:tabs>
        <w:tab w:val="left" w:pos="720"/>
        <w:tab w:val="left" w:pos="1440"/>
      </w:tabs>
    </w:pPr>
    <w:rPr>
      <w:rFonts w:ascii="CG Times (WN)" w:eastAsia="Times New Roman" w:hAnsi="CG Times (WN)" w:cs="Times New Roman"/>
      <w:sz w:val="24"/>
      <w:lang w:eastAsia="en-US"/>
    </w:rPr>
  </w:style>
  <w:style w:type="paragraph" w:styleId="BalloonText">
    <w:name w:val="Balloon Text"/>
    <w:basedOn w:val="Normal"/>
    <w:link w:val="BalloonTextChar"/>
    <w:rsid w:val="00FD3915"/>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FD3915"/>
    <w:rPr>
      <w:rFonts w:ascii="Tahoma" w:eastAsia="Times New Roman" w:hAnsi="Tahoma" w:cs="Tahoma"/>
      <w:sz w:val="16"/>
      <w:szCs w:val="16"/>
    </w:rPr>
  </w:style>
  <w:style w:type="paragraph" w:customStyle="1" w:styleId="BulletedList">
    <w:name w:val="Bulleted List"/>
    <w:basedOn w:val="Normal"/>
    <w:rsid w:val="00FD3915"/>
    <w:pPr>
      <w:numPr>
        <w:numId w:val="8"/>
      </w:numPr>
      <w:spacing w:before="120" w:after="240"/>
    </w:pPr>
    <w:rPr>
      <w:rFonts w:ascii="Verdana" w:eastAsia="Times New Roman" w:hAnsi="Verdana" w:cs="Times New Roman"/>
      <w:sz w:val="16"/>
      <w:szCs w:val="24"/>
      <w:lang w:val="en-US" w:eastAsia="en-US"/>
    </w:rPr>
  </w:style>
  <w:style w:type="paragraph" w:styleId="ListParagraph">
    <w:name w:val="List Paragraph"/>
    <w:basedOn w:val="Normal"/>
    <w:uiPriority w:val="34"/>
    <w:qFormat/>
    <w:rsid w:val="00FD3915"/>
    <w:pPr>
      <w:ind w:left="720"/>
      <w:contextualSpacing/>
    </w:pPr>
    <w:rPr>
      <w:rFonts w:ascii="Times New Roman" w:eastAsia="Times New Roman" w:hAnsi="Times New Roman" w:cs="Times New Roman"/>
      <w:lang w:eastAsia="en-GB"/>
    </w:rPr>
  </w:style>
  <w:style w:type="paragraph" w:customStyle="1" w:styleId="Default">
    <w:name w:val="Default"/>
    <w:rsid w:val="00FD3915"/>
    <w:pPr>
      <w:autoSpaceDE w:val="0"/>
      <w:autoSpaceDN w:val="0"/>
      <w:adjustRightInd w:val="0"/>
    </w:pPr>
    <w:rPr>
      <w:rFonts w:ascii="Arial" w:eastAsia="Times New Roman" w:hAnsi="Arial" w:cs="Arial"/>
      <w:color w:val="000000"/>
      <w:sz w:val="24"/>
      <w:szCs w:val="24"/>
      <w:lang w:eastAsia="en-US"/>
    </w:rPr>
  </w:style>
  <w:style w:type="character" w:customStyle="1" w:styleId="Heading2Char">
    <w:name w:val="Heading 2 Char"/>
    <w:basedOn w:val="DefaultParagraphFont"/>
    <w:link w:val="Heading2"/>
    <w:rsid w:val="00FD3915"/>
    <w:rPr>
      <w:rFonts w:ascii="Calibri" w:eastAsia="DengXian" w:hAnsi="Calibri" w:cs="SimSun"/>
      <w:b/>
      <w:bCs/>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pi.taylorfrancis.com/content/books/mono/download?identifierName=doi&amp;identifierValue=10.4324/9781003274179&amp;type=googlepdf" TargetMode="External"/><Relationship Id="rId18" Type="http://schemas.openxmlformats.org/officeDocument/2006/relationships/hyperlink" Target="https://www.pmi.org/standards/pmbok" TargetMode="External"/><Relationship Id="rId3" Type="http://schemas.openxmlformats.org/officeDocument/2006/relationships/settings" Target="settings.xml"/><Relationship Id="rId21" Type="http://schemas.openxmlformats.org/officeDocument/2006/relationships/hyperlink" Target="https://api.taylorfrancis.com/content/books/mono/download?identifierName=doi&amp;identifierValue=10.4324/9781003057246&amp;type=googlepdf" TargetMode="External"/><Relationship Id="rId7" Type="http://schemas.openxmlformats.org/officeDocument/2006/relationships/image" Target="media/image2.png"/><Relationship Id="rId12" Type="http://schemas.openxmlformats.org/officeDocument/2006/relationships/hyperlink" Target="https://books.google.com/books?hl=en&amp;lr=&amp;id=xevMEAAAQBAJ&amp;oi=fnd&amp;pg=PP1" TargetMode="External"/><Relationship Id="rId17" Type="http://schemas.openxmlformats.org/officeDocument/2006/relationships/hyperlink" Target="https://www.taylorfrancis.com/chapters/edit/10.4324/9781003274179-13/managing-business-case-benefits-realization-jack-meredith-ofer-zwikael" TargetMode="External"/><Relationship Id="rId2" Type="http://schemas.openxmlformats.org/officeDocument/2006/relationships/styles" Target="styles.xml"/><Relationship Id="rId16" Type="http://schemas.openxmlformats.org/officeDocument/2006/relationships/hyperlink" Target="https://books.google.com/books?hl=en&amp;lr=&amp;id=Q2l6EAAAQBAJ&amp;oi=fnd&amp;pg=PR1" TargetMode="External"/><Relationship Id="rId20" Type="http://schemas.openxmlformats.org/officeDocument/2006/relationships/hyperlink" Target="https://www.taylorfrancis.com/chapters/edit/10.4324/9781003274179-6/managing-project-complexity-rodney-turner-martina-huemann"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link.springer.com/content/pdf/10.1007/978-3-030-67338-3_3.pdf"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books.google.com/books?hl=en&amp;lr=&amp;id=ZyPcEAAAQBAJ&amp;oi=fnd&amp;pg=PR11"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emerald.com/insight/content/doi/10.1108/978-1-83797-799-420241014"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diva-portal.org/smash/get/diva2:1701152/FULLTEXT01.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3822</Words>
  <Characters>21786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Ezzah Kamran (CHG)</cp:lastModifiedBy>
  <cp:revision>24</cp:revision>
  <dcterms:created xsi:type="dcterms:W3CDTF">2025-11-20T09:39:00Z</dcterms:created>
  <dcterms:modified xsi:type="dcterms:W3CDTF">2025-11-21T00:21:00Z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4e41ca5dd0fc4ef5b5fbd12524346f33</vt:lpwstr>
  </property>
</Properties>
</file>