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p1"/>
        <w:jc w:val="center"/>
        <w:rPr>
          <w:rFonts w:ascii="Arial" w:cs="Arial" w:hAnsi="Arial" w:eastAsia="Arial"/>
          <w:sz w:val="22"/>
          <w:szCs w:val="22"/>
          <w:u w:val="single"/>
        </w:rPr>
      </w:pPr>
      <w:r>
        <w:rPr>
          <w:rFonts w:ascii="Arial" w:hAnsi="Arial"/>
          <w:sz w:val="22"/>
          <w:szCs w:val="22"/>
          <w:u w:val="single"/>
          <w:rtl w:val="0"/>
          <w:lang w:val="en-US"/>
        </w:rPr>
        <w:t>My role as a future health and social care practitioner.</w:t>
      </w: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r>
        <w:rPr>
          <w:rFonts w:ascii="Arial" w:hAnsi="Arial"/>
          <w:sz w:val="22"/>
          <w:szCs w:val="22"/>
          <w:rtl w:val="0"/>
          <w:lang w:val="en-US"/>
        </w:rPr>
        <w:t xml:space="preserve">The focus of this topic is to see how I as a future health and social care practitioner would help to support and communicate with service users and family members relating back to the equality act 2010. How I would perform good administrative skills within practice around record keeping also relating to the protection act 2018. To reflect on what current skills I need to improve on or gain to work in collaborative partnership with other members of the health and social care act. </w:t>
      </w:r>
    </w:p>
    <w:p>
      <w:pPr>
        <w:pStyle w:val="p1"/>
        <w:rPr>
          <w:rFonts w:ascii="Arial" w:cs="Arial" w:hAnsi="Arial" w:eastAsia="Arial"/>
          <w:sz w:val="22"/>
          <w:szCs w:val="22"/>
        </w:rPr>
      </w:pPr>
    </w:p>
    <w:p>
      <w:pPr>
        <w:pStyle w:val="p1"/>
        <w:rPr>
          <w:rFonts w:ascii="Arial" w:cs="Arial" w:hAnsi="Arial" w:eastAsia="Arial"/>
          <w:sz w:val="22"/>
          <w:szCs w:val="22"/>
        </w:rPr>
      </w:pPr>
      <w:r>
        <w:rPr>
          <w:rFonts w:ascii="Arial" w:hAnsi="Arial"/>
          <w:sz w:val="22"/>
          <w:szCs w:val="22"/>
          <w:rtl w:val="0"/>
          <w:lang w:val="en-US"/>
        </w:rPr>
        <w:t xml:space="preserve">When working as a health and social care practitioner effective communication is important to keep positive relationships within service users and their family. It is important to understand the different types of communication to make sure the correct point is coming across such as verbal communication, which is communicating through speech. Non verbal communication which involves facial expressions, body language and physical gestures </w:t>
      </w:r>
      <w:r>
        <w:rPr>
          <w:rFonts w:ascii="Arial" w:hAnsi="Arial" w:hint="default"/>
          <w:sz w:val="22"/>
          <w:szCs w:val="22"/>
          <w:rtl w:val="0"/>
          <w:lang w:val="en-US"/>
        </w:rPr>
        <w:t>“</w:t>
      </w:r>
      <w:r>
        <w:rPr>
          <w:rFonts w:ascii="Arial" w:hAnsi="Arial"/>
          <w:sz w:val="22"/>
          <w:szCs w:val="22"/>
          <w:rtl w:val="0"/>
          <w:lang w:val="en-US"/>
        </w:rPr>
        <w:t>it is important to be aware of your own non-verbal communication, as well as the non-verbal communication of others, in order to effectively communicate.</w:t>
      </w:r>
      <w:r>
        <w:rPr>
          <w:rFonts w:ascii="Arial" w:hAnsi="Arial" w:hint="default"/>
          <w:sz w:val="22"/>
          <w:szCs w:val="22"/>
          <w:rtl w:val="0"/>
          <w:lang w:val="en-US"/>
        </w:rPr>
        <w:t>”</w:t>
      </w:r>
      <w:r>
        <w:rPr>
          <w:rFonts w:ascii="Arial" w:hAnsi="Arial"/>
          <w:sz w:val="22"/>
          <w:szCs w:val="22"/>
          <w:rtl w:val="0"/>
          <w:lang w:val="en-US"/>
        </w:rPr>
        <w:t xml:space="preserve">(TheAccessGroup, Neoma Toersen, 17/11/2025) Written communication using notes, emails, reports and letters. Visual communication can be using graphs, diagrams and charts. Health and social practitioners need to ensure to use these key strategies for effective communication such as, active learning which involves concentrating and understanding what is being said so they are able to respond correctly and give the right support. Showing empathy towards their service users and families this helps to support them and show they are being listened to of how they feel. Making sure to always treat everyone with respect, ensuring to value their opinions and experiences. Being cultural sensitive making sure to be mindful of cultural differences and adapt communication accordingly. Patience is key to having good communication allowing time for service users and families to explain and understanding to respond, this is important with complex and emotional situations. Allowing feedback to ensure questions are asked and answered to check for clarity and understanding. Health and social practitioners should ensure they follow and apply the Equality Act 2010. </w:t>
      </w:r>
      <w:r>
        <w:rPr>
          <w:rFonts w:ascii="Arial" w:hAnsi="Arial" w:hint="default"/>
          <w:sz w:val="22"/>
          <w:szCs w:val="22"/>
          <w:rtl w:val="0"/>
          <w:lang w:val="en-US"/>
        </w:rPr>
        <w:t>“</w:t>
      </w:r>
      <w:r>
        <w:rPr>
          <w:rFonts w:ascii="Arial" w:hAnsi="Arial"/>
          <w:sz w:val="22"/>
          <w:szCs w:val="22"/>
          <w:rtl w:val="0"/>
          <w:lang w:val="en-US"/>
        </w:rPr>
        <w:t>The Equality Act 2010 legally protects people from discrimination in the workplace and in wider society</w:t>
      </w:r>
      <w:r>
        <w:rPr>
          <w:rFonts w:ascii="Arial" w:hAnsi="Arial" w:hint="default"/>
          <w:sz w:val="22"/>
          <w:szCs w:val="22"/>
          <w:rtl w:val="0"/>
          <w:lang w:val="en-US"/>
        </w:rPr>
        <w:t>”</w:t>
      </w:r>
      <w:r>
        <w:rPr>
          <w:rFonts w:ascii="Arial" w:hAnsi="Arial"/>
          <w:sz w:val="22"/>
          <w:szCs w:val="22"/>
          <w:rtl w:val="0"/>
          <w:lang w:val="en-US"/>
        </w:rPr>
        <w:t>(Gov.uk, 27 February 2013). It allows service users and families to be protected and sets out different ways it</w:t>
      </w:r>
      <w:r>
        <w:rPr>
          <w:rFonts w:ascii="Arial" w:hAnsi="Arial" w:hint="default"/>
          <w:sz w:val="22"/>
          <w:szCs w:val="22"/>
          <w:rtl w:val="0"/>
          <w:lang w:val="en-US"/>
        </w:rPr>
        <w:t>’</w:t>
      </w:r>
      <w:r>
        <w:rPr>
          <w:rFonts w:ascii="Arial" w:hAnsi="Arial"/>
          <w:sz w:val="22"/>
          <w:szCs w:val="22"/>
          <w:rtl w:val="0"/>
          <w:lang w:val="en-US"/>
        </w:rPr>
        <w:t xml:space="preserve">s unlawful to treat somebody. Another another contributing component health and social practitioners can use is the Shannon Weaver model which is a mathematical model describing how communication happens from a sender to the receiver. The theory </w:t>
      </w:r>
      <w:r>
        <w:rPr>
          <w:rFonts w:ascii="Arial" w:hAnsi="Arial" w:hint="default"/>
          <w:sz w:val="22"/>
          <w:szCs w:val="22"/>
          <w:rtl w:val="0"/>
          <w:lang w:val="en-US"/>
        </w:rPr>
        <w:t>“</w:t>
      </w:r>
      <w:r>
        <w:rPr>
          <w:rFonts w:ascii="Arial" w:hAnsi="Arial"/>
          <w:sz w:val="22"/>
          <w:szCs w:val="22"/>
          <w:rtl w:val="0"/>
          <w:lang w:val="en-US"/>
        </w:rPr>
        <w:t>argues that human communication can be broken down into 6 key concepts: sender, encoder, channel, noise, decoder, and receiver.</w:t>
      </w:r>
      <w:r>
        <w:rPr>
          <w:rFonts w:ascii="Arial" w:hAnsi="Arial" w:hint="default"/>
          <w:sz w:val="22"/>
          <w:szCs w:val="22"/>
          <w:rtl w:val="0"/>
          <w:lang w:val="en-US"/>
        </w:rPr>
        <w:t xml:space="preserve">” </w:t>
      </w:r>
      <w:r>
        <w:rPr>
          <w:rFonts w:ascii="Arial" w:hAnsi="Arial"/>
          <w:sz w:val="22"/>
          <w:szCs w:val="22"/>
          <w:rtl w:val="0"/>
          <w:lang w:val="en-US"/>
        </w:rPr>
        <w:t>(HelpfulProfessor.com, Chris Drew, 20 March 2023) An example of this theory being used in practice is when phone calls are made from service users to health and social practitioners, the telephone is the encoder which turns the message into a form which is relayed through the wires which transmits data into the telephone which acts as the decoder.</w:t>
      </w:r>
      <w:r>
        <w:rPr>
          <w:rFonts w:ascii="Arial" w:hAnsi="Arial" w:hint="default"/>
          <w:sz w:val="22"/>
          <w:szCs w:val="22"/>
          <w:rtl w:val="0"/>
          <w:lang w:val="en-US"/>
        </w:rPr>
        <w:t> </w:t>
      </w:r>
      <w:r>
        <w:rPr>
          <w:rFonts w:ascii="Arial" w:hAnsi="Arial"/>
          <w:sz w:val="22"/>
          <w:szCs w:val="22"/>
          <w:rtl w:val="0"/>
          <w:lang w:val="en-US"/>
        </w:rPr>
        <w:t xml:space="preserve">In the future when I would work in the health and social sector I would make sure to maintain good communication by treating service users and their families with the same respect. I would make sure to actively listen to get the best understanding, to make sure to ask questions to enable to respond accordingly. Keeping communication consistent, having regular updates is important to make sure everyone is on the same page. Choosing the right way to communicate is also important as some service users struggle with over the phone appointments so allowing them to have face to face interactions help to get their clear point across. </w:t>
      </w:r>
    </w:p>
    <w:p>
      <w:pPr>
        <w:pStyle w:val="p2"/>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r>
        <w:rPr>
          <w:rFonts w:ascii="Arial" w:hAnsi="Arial"/>
          <w:sz w:val="22"/>
          <w:szCs w:val="22"/>
          <w:rtl w:val="0"/>
          <w:lang w:val="en-US"/>
        </w:rPr>
        <w:t xml:space="preserve">Health and social practitioners need to ensure they administrative good practice with record keeping. This allows service users to be correctly identified and the correct information, history notes is kept for files. When record keeping their are many important factors to follow to enable the correct information is given and privacy of service users is kept the factors are establishing who is to manage the process of records. Remember key details, the general medical council lists key information that should be included within a clinical report which are </w:t>
      </w:r>
      <w:r>
        <w:rPr>
          <w:rFonts w:ascii="Arial" w:hAnsi="Arial" w:hint="default"/>
          <w:sz w:val="22"/>
          <w:szCs w:val="22"/>
          <w:rtl w:val="0"/>
          <w:lang w:val="en-US"/>
        </w:rPr>
        <w:t>“</w:t>
      </w:r>
      <w:r>
        <w:rPr>
          <w:rFonts w:ascii="Arial" w:hAnsi="Arial"/>
          <w:sz w:val="22"/>
          <w:szCs w:val="22"/>
          <w:rtl w:val="0"/>
          <w:lang w:val="en-US"/>
        </w:rPr>
        <w:t>relevant clinical findings. The decisions made and the actions agreed, and who is making the decisions and agreeing the actions. The information given to patients. Any drugs prescribed or other investigation or treatment. Who is making the record and when.</w:t>
      </w:r>
      <w:r>
        <w:rPr>
          <w:rFonts w:ascii="Arial" w:hAnsi="Arial" w:hint="default"/>
          <w:sz w:val="22"/>
          <w:szCs w:val="22"/>
          <w:rtl w:val="0"/>
          <w:lang w:val="en-US"/>
        </w:rPr>
        <w:t xml:space="preserve">” </w:t>
      </w:r>
      <w:r>
        <w:rPr>
          <w:rFonts w:ascii="Arial" w:hAnsi="Arial"/>
          <w:sz w:val="22"/>
          <w:szCs w:val="22"/>
          <w:rtl w:val="0"/>
          <w:lang w:val="en-US"/>
        </w:rPr>
        <w:t>(Shredall Group, 23 July 2025) Organising files and guarantee safe disposal of expired documents, which allows files to easily be located and retrieve records. Monitoring records to ensure they are kept up to date, they are clear and legible records making sure they are in line with the data protection act 2018. This allows for accuracy, records should be made during the consultation or after and dated. Treat audio and visual recordings the same way for security and protection as such when most phone calls are made they are recorded for security reasons. Service users have to legal right to access their records and if errors are made they need to be rectified or deleted. Health and social</w:t>
      </w:r>
      <w:r>
        <w:rPr>
          <w:rFonts w:ascii="UICTFontTextStyleBody" w:cs="UICTFontTextStyleBody" w:hAnsi="UICTFontTextStyleBody" w:eastAsia="UICTFontTextStyleBody"/>
          <w:rtl w:val="0"/>
          <w:lang w:val="en-US"/>
        </w:rPr>
        <w:t xml:space="preserve"> </w:t>
      </w:r>
      <w:r>
        <w:rPr>
          <w:rFonts w:ascii="Arial" w:hAnsi="Arial"/>
          <w:sz w:val="22"/>
          <w:szCs w:val="22"/>
          <w:rtl w:val="0"/>
          <w:lang w:val="en-US"/>
        </w:rPr>
        <w:t xml:space="preserve">practitioners need to ensure they are following and applying the data protection act 2018 this controls how personal information is used by organisations. The </w:t>
      </w:r>
      <w:r>
        <w:rPr>
          <w:rFonts w:ascii="Arial" w:hAnsi="Arial" w:hint="default"/>
          <w:sz w:val="22"/>
          <w:szCs w:val="22"/>
          <w:rtl w:val="0"/>
          <w:lang w:val="en-US"/>
        </w:rPr>
        <w:t>“</w:t>
      </w:r>
      <w:r>
        <w:rPr>
          <w:rFonts w:ascii="Arial" w:hAnsi="Arial"/>
          <w:sz w:val="22"/>
          <w:szCs w:val="22"/>
          <w:rtl w:val="0"/>
          <w:lang w:val="en-US"/>
        </w:rPr>
        <w:t>key principles is therefore a fundamental building block for good data protection practice.</w:t>
      </w:r>
      <w:r>
        <w:rPr>
          <w:rFonts w:ascii="Arial" w:hAnsi="Arial" w:hint="default"/>
          <w:sz w:val="22"/>
          <w:szCs w:val="22"/>
          <w:rtl w:val="0"/>
          <w:lang w:val="en-US"/>
        </w:rPr>
        <w:t>”</w:t>
      </w:r>
      <w:r>
        <w:rPr>
          <w:rFonts w:ascii="Arial" w:hAnsi="Arial"/>
          <w:sz w:val="22"/>
          <w:szCs w:val="22"/>
          <w:rtl w:val="0"/>
          <w:lang w:val="en-US"/>
        </w:rPr>
        <w:t>(ico., 19 May 2023) If organisations fail to comply with the principles they could be fined.</w:t>
      </w:r>
      <w:r>
        <w:rPr>
          <w:rFonts w:ascii="Arial" w:hAnsi="Arial" w:hint="default"/>
          <w:sz w:val="22"/>
          <w:szCs w:val="22"/>
          <w:rtl w:val="0"/>
          <w:lang w:val="en-US"/>
        </w:rPr>
        <w:t> </w:t>
      </w:r>
      <w:r>
        <w:rPr>
          <w:rFonts w:ascii="Arial" w:hAnsi="Arial"/>
          <w:sz w:val="22"/>
          <w:szCs w:val="22"/>
          <w:rtl w:val="0"/>
          <w:lang w:val="en-US"/>
        </w:rPr>
        <w:t>How I would perform good administrative skills within professional practice around record keeping I would ensure accuracy, completeness and confidentiality. This is important as it protects service users rights, supports informed decision making, maintains legal and ethical standards. I would also adhere to organisational polices and legal requirements, documenting all relevant information promptly and securely. This helps to prevent errors, ensure quality of care and build trust between the service user and I.</w:t>
      </w:r>
    </w:p>
    <w:p>
      <w:pPr>
        <w:pStyle w:val="p2"/>
        <w:rPr>
          <w:rFonts w:ascii="Arial" w:cs="Arial" w:hAnsi="Arial" w:eastAsia="Arial"/>
          <w:sz w:val="22"/>
          <w:szCs w:val="22"/>
        </w:rPr>
      </w:pPr>
    </w:p>
    <w:p>
      <w:pPr>
        <w:pStyle w:val="p1"/>
        <w:rPr>
          <w:rFonts w:ascii="Arial" w:cs="Arial" w:hAnsi="Arial" w:eastAsia="Arial"/>
          <w:sz w:val="22"/>
          <w:szCs w:val="22"/>
        </w:rPr>
      </w:pPr>
      <w:r>
        <w:rPr>
          <w:rFonts w:ascii="Arial" w:hAnsi="Arial"/>
          <w:sz w:val="22"/>
          <w:szCs w:val="22"/>
          <w:rtl w:val="0"/>
          <w:lang w:val="en-US"/>
        </w:rPr>
        <w:t>To work effectively in partnership with a multi professional team in the health and social care sector I need to develop stronger communication skills. This is to ensure I</w:t>
      </w:r>
      <w:r>
        <w:rPr>
          <w:rFonts w:ascii="Arial" w:hAnsi="Arial" w:hint="default"/>
          <w:sz w:val="22"/>
          <w:szCs w:val="22"/>
          <w:rtl w:val="0"/>
          <w:lang w:val="en-US"/>
        </w:rPr>
        <w:t>’</w:t>
      </w:r>
      <w:r>
        <w:rPr>
          <w:rFonts w:ascii="Arial" w:hAnsi="Arial"/>
          <w:sz w:val="22"/>
          <w:szCs w:val="22"/>
          <w:rtl w:val="0"/>
          <w:lang w:val="en-US"/>
        </w:rPr>
        <w:t>m able to understand and offer support to those who need help, communication allows to build strong and enriching relationships. I need to enhance my understanding of different professional roles as this allows to promote better communication, understanding, collaboration and coordination among team members. This leads to improved service delivery and better outcomes for service users. Improving my ability to resolve conflict constructively, this allows to create positive relationships, improve team morals, enhance problem solving and leads to effective and sustainable solutions. To continue learning about new practices and technologies is also important to enhance the quality of care, improving efficiency and ensuring to keep up to date with the latest advancements. This helps lead to better service users outcomes and more effective service delivery.</w:t>
      </w:r>
      <w:r>
        <w:rPr>
          <w:rFonts w:ascii="Arial" w:hAnsi="Arial" w:hint="default"/>
          <w:sz w:val="22"/>
          <w:szCs w:val="22"/>
          <w:rtl w:val="0"/>
          <w:lang w:val="en-US"/>
        </w:rPr>
        <w:t> </w:t>
      </w:r>
    </w:p>
    <w:p>
      <w:pPr>
        <w:pStyle w:val="p1"/>
        <w:rPr>
          <w:rFonts w:ascii="Arial" w:cs="Arial" w:hAnsi="Arial" w:eastAsia="Arial"/>
          <w:sz w:val="22"/>
          <w:szCs w:val="22"/>
        </w:rPr>
      </w:pPr>
    </w:p>
    <w:p>
      <w:pPr>
        <w:pStyle w:val="p1"/>
        <w:rPr>
          <w:rFonts w:ascii="Arial" w:cs="Arial" w:hAnsi="Arial" w:eastAsia="Arial"/>
          <w:sz w:val="22"/>
          <w:szCs w:val="22"/>
        </w:rPr>
      </w:pPr>
      <w:r>
        <w:rPr>
          <w:rFonts w:ascii="Arial" w:hAnsi="Arial"/>
          <w:sz w:val="22"/>
          <w:szCs w:val="22"/>
          <w:rtl w:val="0"/>
          <w:lang w:val="en-US"/>
        </w:rPr>
        <w:t>In conclusion, effective communication between service users and health and social care practitioners is essential for delivering high quality care. It enhances trust, promotes shared decision making, and improves health outcomes. By prioritising clear, empathetic, and respectful communication it allows practitioners to have a better understanding and meet the needs of service users which leads  to more positive and effective care experiences.</w:t>
      </w:r>
    </w:p>
    <w:p>
      <w:pPr>
        <w:pStyle w:val="p1"/>
        <w:rPr>
          <w:rFonts w:ascii="Arial" w:cs="Arial" w:hAnsi="Arial" w:eastAsia="Arial"/>
          <w:sz w:val="22"/>
          <w:szCs w:val="22"/>
        </w:rPr>
      </w:pPr>
      <w:r>
        <w:rPr>
          <w:rFonts w:ascii="Arial" w:hAnsi="Arial"/>
          <w:sz w:val="22"/>
          <w:szCs w:val="22"/>
          <w:rtl w:val="0"/>
          <w:lang w:val="en-US"/>
        </w:rPr>
        <w:t>We also learn that maintaining accuracy, completeness, and confidentiality in documentation is crucial for protecting patient rights, supporting informed decisions, and upholding legal and ethical standards. By following the best practices such as clear record keeping and ensuring secure storage allows healthcare providers to enhance their quality of care, prevent errors, and create trust with patients. Regular training, reviews, and adherence to compliance requirements are also essential for maintaining effective and professional documentation practices.</w:t>
      </w: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rPr>
      </w:pPr>
    </w:p>
    <w:p>
      <w:pPr>
        <w:pStyle w:val="p1"/>
        <w:rPr>
          <w:rFonts w:ascii="Arial" w:cs="Arial" w:hAnsi="Arial" w:eastAsia="Arial"/>
          <w:sz w:val="22"/>
          <w:szCs w:val="22"/>
          <w:u w:val="single"/>
        </w:rPr>
      </w:pPr>
      <w:r>
        <w:rPr>
          <w:rFonts w:ascii="Arial" w:hAnsi="Arial"/>
          <w:sz w:val="22"/>
          <w:szCs w:val="22"/>
          <w:u w:val="single"/>
          <w:rtl w:val="0"/>
          <w:lang w:val="en-US"/>
        </w:rPr>
        <w:t>References</w:t>
      </w:r>
    </w:p>
    <w:p>
      <w:pPr>
        <w:pStyle w:val="p1"/>
        <w:rPr>
          <w:rFonts w:ascii="Arial" w:cs="Arial" w:hAnsi="Arial" w:eastAsia="Arial"/>
          <w:sz w:val="22"/>
          <w:szCs w:val="22"/>
          <w:u w:val="single"/>
        </w:rPr>
      </w:pPr>
    </w:p>
    <w:p>
      <w:pPr>
        <w:pStyle w:val="p1"/>
        <w:rPr>
          <w:rFonts w:ascii="Arial" w:cs="Arial" w:hAnsi="Arial" w:eastAsia="Arial"/>
          <w:sz w:val="22"/>
          <w:szCs w:val="22"/>
        </w:rPr>
      </w:pPr>
      <w:r>
        <w:rPr>
          <w:rFonts w:ascii="Arial" w:hAnsi="Arial" w:hint="default"/>
          <w:sz w:val="22"/>
          <w:szCs w:val="22"/>
          <w:rtl w:val="0"/>
          <w:lang w:val="en-US"/>
        </w:rPr>
        <w:t>“</w:t>
      </w:r>
      <w:r>
        <w:rPr>
          <w:rFonts w:ascii="Arial" w:hAnsi="Arial"/>
          <w:sz w:val="22"/>
          <w:szCs w:val="22"/>
          <w:rtl w:val="0"/>
          <w:lang w:val="en-US"/>
        </w:rPr>
        <w:t>it is important to be aware of your own non-verbal communication, as well as the non-verbal communication of others, in order to effectively communicate.</w:t>
      </w:r>
      <w:r>
        <w:rPr>
          <w:rFonts w:ascii="Arial" w:hAnsi="Arial" w:hint="default"/>
          <w:sz w:val="22"/>
          <w:szCs w:val="22"/>
          <w:rtl w:val="0"/>
          <w:lang w:val="en-US"/>
        </w:rPr>
        <w:t>”</w:t>
      </w:r>
      <w:r>
        <w:rPr>
          <w:rFonts w:ascii="Arial" w:hAnsi="Arial"/>
          <w:sz w:val="22"/>
          <w:szCs w:val="22"/>
          <w:rtl w:val="0"/>
          <w:lang w:val="en-US"/>
        </w:rPr>
        <w:t>(TheAccessGroup, Neoma Toersen, 17/11/2025)</w:t>
      </w:r>
      <w:r>
        <w:rPr>
          <w:rFonts w:ascii="Arial" w:hAnsi="Arial" w:hint="default"/>
          <w:sz w:val="22"/>
          <w:szCs w:val="22"/>
          <w:rtl w:val="0"/>
          <w:lang w:val="en-US"/>
        </w:rPr>
        <w:t> </w:t>
      </w:r>
    </w:p>
    <w:p>
      <w:pPr>
        <w:pStyle w:val="p1"/>
      </w:pPr>
      <w:r>
        <w:rPr>
          <w:rStyle w:val="Hyperlink.0"/>
        </w:rPr>
        <w:fldChar w:fldCharType="begin" w:fldLock="0"/>
      </w:r>
      <w:r>
        <w:rPr>
          <w:rStyle w:val="Hyperlink.0"/>
        </w:rPr>
        <w:instrText xml:space="preserve"> HYPERLINK "https://www.theaccessgroup.com/en-gb/blog/hsc-effective-communication-health-and-social-care/#:~:text=Examples%2520of%2520health%2520and%2520social%2520care%2520communication%2520methods,verbal%252C%2520written%2520and%2520visual%2520communication.&amp;text=This%2520is%2520the%2520most%2520common,and%2520involves%2520communicating%2520through%2520speech."</w:instrText>
      </w:r>
      <w:r>
        <w:rPr>
          <w:rStyle w:val="Hyperlink.0"/>
        </w:rPr>
        <w:fldChar w:fldCharType="separate" w:fldLock="0"/>
      </w:r>
      <w:r>
        <w:rPr>
          <w:rStyle w:val="Hyperlink.0"/>
          <w:rtl w:val="0"/>
        </w:rPr>
        <w:t>https://www.theaccessgroup.com/en-gb/blog/hsc-effective-communication-health-and-social-care/#:~:text=Examples%20of%20health%20and%20social%20care%20communication%20methods,verbal%2C%20written%20and%20visual%20communication.&amp;text=This%20is%20the%20most%20common,and%20involves%20communicating%20through%20speech.</w:t>
      </w:r>
      <w:r>
        <w:rPr/>
        <w:fldChar w:fldCharType="end" w:fldLock="0"/>
      </w:r>
    </w:p>
    <w:p>
      <w:pPr>
        <w:pStyle w:val="p1"/>
      </w:pPr>
    </w:p>
    <w:p>
      <w:pPr>
        <w:pStyle w:val="p1"/>
        <w:rPr>
          <w:rFonts w:ascii="Arial" w:cs="Arial" w:hAnsi="Arial" w:eastAsia="Arial"/>
          <w:sz w:val="22"/>
          <w:szCs w:val="22"/>
        </w:rPr>
      </w:pPr>
      <w:r>
        <w:rPr>
          <w:rFonts w:ascii="Arial" w:hAnsi="Arial" w:hint="default"/>
          <w:sz w:val="22"/>
          <w:szCs w:val="22"/>
          <w:rtl w:val="0"/>
          <w:lang w:val="en-US"/>
        </w:rPr>
        <w:t>“</w:t>
      </w:r>
      <w:r>
        <w:rPr>
          <w:rFonts w:ascii="Arial" w:hAnsi="Arial"/>
          <w:sz w:val="22"/>
          <w:szCs w:val="22"/>
          <w:rtl w:val="0"/>
          <w:lang w:val="en-US"/>
        </w:rPr>
        <w:t>The Equality Act 2010 legally protects people from discrimination in the workplace and in wider society</w:t>
      </w:r>
      <w:r>
        <w:rPr>
          <w:rFonts w:ascii="Arial" w:hAnsi="Arial" w:hint="default"/>
          <w:sz w:val="22"/>
          <w:szCs w:val="22"/>
          <w:rtl w:val="0"/>
          <w:lang w:val="en-US"/>
        </w:rPr>
        <w:t>”</w:t>
      </w:r>
      <w:r>
        <w:rPr>
          <w:rFonts w:ascii="Arial" w:hAnsi="Arial"/>
          <w:sz w:val="22"/>
          <w:szCs w:val="22"/>
          <w:rtl w:val="0"/>
          <w:lang w:val="en-US"/>
        </w:rPr>
        <w:t>(Gov.uk, 27 February 2013).</w:t>
      </w:r>
    </w:p>
    <w:p>
      <w:pPr>
        <w:pStyle w:val="p1"/>
        <w:rPr>
          <w:rFonts w:ascii="Arial" w:cs="Arial" w:hAnsi="Arial" w:eastAsia="Arial"/>
          <w:sz w:val="22"/>
          <w:szCs w:val="22"/>
          <w:u w:val="single"/>
        </w:rPr>
      </w:pPr>
      <w:r>
        <w:rPr>
          <w:rStyle w:val="Hyperlink.1"/>
        </w:rPr>
        <w:fldChar w:fldCharType="begin" w:fldLock="0"/>
      </w:r>
      <w:r>
        <w:rPr>
          <w:rStyle w:val="Hyperlink.1"/>
        </w:rPr>
        <w:instrText xml:space="preserve"> HYPERLINK "https://www.gov.uk/guidance/equality-act-2010-guidance"</w:instrText>
      </w:r>
      <w:r>
        <w:rPr>
          <w:rStyle w:val="Hyperlink.1"/>
        </w:rPr>
        <w:fldChar w:fldCharType="separate" w:fldLock="0"/>
      </w:r>
      <w:r>
        <w:rPr>
          <w:rStyle w:val="Hyperlink.1"/>
          <w:rtl w:val="0"/>
        </w:rPr>
        <w:t>https://www.gov.uk/guidance/equality-act-2010-guidance</w:t>
      </w:r>
      <w:r>
        <w:rPr/>
        <w:fldChar w:fldCharType="end" w:fldLock="0"/>
      </w:r>
    </w:p>
    <w:p>
      <w:pPr>
        <w:pStyle w:val="p1"/>
        <w:rPr>
          <w:rFonts w:ascii="Arial" w:cs="Arial" w:hAnsi="Arial" w:eastAsia="Arial"/>
          <w:sz w:val="22"/>
          <w:szCs w:val="22"/>
          <w:u w:val="single"/>
        </w:rPr>
      </w:pPr>
    </w:p>
    <w:p>
      <w:pPr>
        <w:pStyle w:val="p1"/>
        <w:rPr>
          <w:rFonts w:ascii="Arial" w:cs="Arial" w:hAnsi="Arial" w:eastAsia="Arial"/>
          <w:sz w:val="22"/>
          <w:szCs w:val="22"/>
        </w:rPr>
      </w:pPr>
      <w:r>
        <w:rPr>
          <w:rFonts w:ascii="Arial" w:hAnsi="Arial" w:hint="default"/>
          <w:sz w:val="22"/>
          <w:szCs w:val="22"/>
          <w:rtl w:val="0"/>
          <w:lang w:val="en-US"/>
        </w:rPr>
        <w:t>“</w:t>
      </w:r>
      <w:r>
        <w:rPr>
          <w:rFonts w:ascii="Arial" w:hAnsi="Arial"/>
          <w:sz w:val="22"/>
          <w:szCs w:val="22"/>
          <w:rtl w:val="0"/>
          <w:lang w:val="en-US"/>
        </w:rPr>
        <w:t>argues that human communication can be broken down into 6 key concepts: sender, encoder, channel, noise, decoder, and receiver.</w:t>
      </w:r>
      <w:r>
        <w:rPr>
          <w:rFonts w:ascii="Arial" w:hAnsi="Arial" w:hint="default"/>
          <w:sz w:val="22"/>
          <w:szCs w:val="22"/>
          <w:rtl w:val="0"/>
          <w:lang w:val="en-US"/>
        </w:rPr>
        <w:t xml:space="preserve">” </w:t>
      </w:r>
      <w:r>
        <w:rPr>
          <w:rFonts w:ascii="Arial" w:hAnsi="Arial"/>
          <w:sz w:val="22"/>
          <w:szCs w:val="22"/>
          <w:rtl w:val="0"/>
          <w:lang w:val="en-US"/>
        </w:rPr>
        <w:t>(HelpfulProfessor.com, Chris Drew, 20 March 2023)</w:t>
      </w:r>
    </w:p>
    <w:p>
      <w:pPr>
        <w:pStyle w:val="p1"/>
        <w:rPr>
          <w:rFonts w:ascii="Arial" w:cs="Arial" w:hAnsi="Arial" w:eastAsia="Arial"/>
          <w:sz w:val="22"/>
          <w:szCs w:val="22"/>
          <w:u w:val="single"/>
        </w:rPr>
      </w:pPr>
      <w:r>
        <w:rPr>
          <w:rStyle w:val="Hyperlink.1"/>
        </w:rPr>
        <w:fldChar w:fldCharType="begin" w:fldLock="0"/>
      </w:r>
      <w:r>
        <w:rPr>
          <w:rStyle w:val="Hyperlink.1"/>
        </w:rPr>
        <w:instrText xml:space="preserve"> HYPERLINK "https://helpfulprofessor.com/shannon-weaver-model/%23:~:text=The%2520Shannon%2520and%2520Weaver%2520model%2520is%2520a%2520linear%2520model%2520of,sending%2520and%2520receiving%2520the%2520message"</w:instrText>
      </w:r>
      <w:r>
        <w:rPr>
          <w:rStyle w:val="Hyperlink.1"/>
        </w:rPr>
        <w:fldChar w:fldCharType="separate" w:fldLock="0"/>
      </w:r>
      <w:r>
        <w:rPr>
          <w:rStyle w:val="Hyperlink.1"/>
          <w:rtl w:val="0"/>
        </w:rPr>
        <w:t>https://helpfulprofessor.com/shannon-weaver-model/#:~:text=The%20Shannon%20and%20Weaver%20model%20is%20a%20linear%20model%20of,sending%20and%20receiving%20the%20message</w:t>
      </w:r>
      <w:r>
        <w:rPr/>
        <w:fldChar w:fldCharType="end" w:fldLock="0"/>
      </w:r>
      <w:r>
        <w:rPr>
          <w:rFonts w:ascii="Arial" w:hAnsi="Arial"/>
          <w:sz w:val="22"/>
          <w:szCs w:val="22"/>
          <w:u w:val="single"/>
          <w:rtl w:val="0"/>
          <w:lang w:val="en-US"/>
        </w:rPr>
        <w:t>.</w:t>
      </w:r>
    </w:p>
    <w:p>
      <w:pPr>
        <w:pStyle w:val="p1"/>
        <w:rPr>
          <w:rFonts w:ascii="Arial" w:cs="Arial" w:hAnsi="Arial" w:eastAsia="Arial"/>
          <w:sz w:val="22"/>
          <w:szCs w:val="22"/>
          <w:u w:val="single"/>
        </w:rPr>
      </w:pPr>
    </w:p>
    <w:p>
      <w:pPr>
        <w:pStyle w:val="p1"/>
        <w:rPr>
          <w:rFonts w:ascii="Arial" w:cs="Arial" w:hAnsi="Arial" w:eastAsia="Arial"/>
          <w:sz w:val="22"/>
          <w:szCs w:val="22"/>
        </w:rPr>
      </w:pPr>
      <w:r>
        <w:rPr>
          <w:rFonts w:ascii="Arial" w:hAnsi="Arial" w:hint="default"/>
          <w:sz w:val="22"/>
          <w:szCs w:val="22"/>
          <w:rtl w:val="0"/>
          <w:lang w:val="en-US"/>
        </w:rPr>
        <w:t>“</w:t>
      </w:r>
      <w:r>
        <w:rPr>
          <w:rFonts w:ascii="Arial" w:hAnsi="Arial"/>
          <w:sz w:val="22"/>
          <w:szCs w:val="22"/>
          <w:rtl w:val="0"/>
          <w:lang w:val="en-US"/>
        </w:rPr>
        <w:t>relevant clinical findings. The decisions made and the actions agreed, and who is making the decisions and agreeing the actions. The information given to patients. Any drugs prescribed or other investigation or treatment. Who is making the record and when.</w:t>
      </w:r>
      <w:r>
        <w:rPr>
          <w:rFonts w:ascii="Arial" w:hAnsi="Arial" w:hint="default"/>
          <w:sz w:val="22"/>
          <w:szCs w:val="22"/>
          <w:rtl w:val="0"/>
          <w:lang w:val="en-US"/>
        </w:rPr>
        <w:t xml:space="preserve">” </w:t>
      </w:r>
      <w:r>
        <w:rPr>
          <w:rFonts w:ascii="Arial" w:hAnsi="Arial"/>
          <w:sz w:val="22"/>
          <w:szCs w:val="22"/>
          <w:rtl w:val="0"/>
          <w:lang w:val="en-US"/>
        </w:rPr>
        <w:t>(Shredall Group, 23 July 2025)</w:t>
      </w:r>
    </w:p>
    <w:p>
      <w:pPr>
        <w:pStyle w:val="p1"/>
        <w:rPr>
          <w:rFonts w:ascii="Arial" w:cs="Arial" w:hAnsi="Arial" w:eastAsia="Arial"/>
          <w:sz w:val="22"/>
          <w:szCs w:val="22"/>
          <w:u w:val="single"/>
        </w:rPr>
      </w:pPr>
      <w:r>
        <w:rPr>
          <w:rStyle w:val="Hyperlink.1"/>
        </w:rPr>
        <w:fldChar w:fldCharType="begin" w:fldLock="0"/>
      </w:r>
      <w:r>
        <w:rPr>
          <w:rStyle w:val="Hyperlink.1"/>
        </w:rPr>
        <w:instrText xml:space="preserve"> HYPERLINK "https://www.shredall.co.uk/blogs/blog/10-principles-of-good-medical-record-keeping"</w:instrText>
      </w:r>
      <w:r>
        <w:rPr>
          <w:rStyle w:val="Hyperlink.1"/>
        </w:rPr>
        <w:fldChar w:fldCharType="separate" w:fldLock="0"/>
      </w:r>
      <w:r>
        <w:rPr>
          <w:rStyle w:val="Hyperlink.1"/>
          <w:rtl w:val="0"/>
        </w:rPr>
        <w:t>https://www.shredall.co.uk/blogs/blog/10-principles-of-good-medical-record-keeping</w:t>
      </w:r>
      <w:r>
        <w:rPr/>
        <w:fldChar w:fldCharType="end" w:fldLock="0"/>
      </w:r>
    </w:p>
    <w:p>
      <w:pPr>
        <w:pStyle w:val="p1"/>
        <w:rPr>
          <w:rFonts w:ascii="Arial" w:cs="Arial" w:hAnsi="Arial" w:eastAsia="Arial"/>
          <w:sz w:val="22"/>
          <w:szCs w:val="22"/>
          <w:u w:val="single"/>
        </w:rPr>
      </w:pPr>
    </w:p>
    <w:p>
      <w:pPr>
        <w:pStyle w:val="p1"/>
        <w:rPr>
          <w:rFonts w:ascii="Arial" w:cs="Arial" w:hAnsi="Arial" w:eastAsia="Arial"/>
          <w:sz w:val="22"/>
          <w:szCs w:val="22"/>
        </w:rPr>
      </w:pPr>
      <w:r>
        <w:rPr>
          <w:rFonts w:ascii="Arial" w:hAnsi="Arial" w:hint="default"/>
          <w:sz w:val="22"/>
          <w:szCs w:val="22"/>
          <w:rtl w:val="0"/>
          <w:lang w:val="en-US"/>
        </w:rPr>
        <w:t>“</w:t>
      </w:r>
      <w:r>
        <w:rPr>
          <w:rFonts w:ascii="Arial" w:hAnsi="Arial"/>
          <w:sz w:val="22"/>
          <w:szCs w:val="22"/>
          <w:rtl w:val="0"/>
          <w:lang w:val="en-US"/>
        </w:rPr>
        <w:t>key principles is therefore a fundamental building block for good data protection practice.</w:t>
      </w:r>
      <w:r>
        <w:rPr>
          <w:rFonts w:ascii="Arial" w:hAnsi="Arial" w:hint="default"/>
          <w:sz w:val="22"/>
          <w:szCs w:val="22"/>
          <w:rtl w:val="0"/>
          <w:lang w:val="en-US"/>
        </w:rPr>
        <w:t>”</w:t>
      </w:r>
      <w:r>
        <w:rPr>
          <w:rFonts w:ascii="Arial" w:hAnsi="Arial"/>
          <w:sz w:val="22"/>
          <w:szCs w:val="22"/>
          <w:rtl w:val="0"/>
          <w:lang w:val="en-US"/>
        </w:rPr>
        <w:t>(ico., 19 May 2023)</w:t>
      </w:r>
    </w:p>
    <w:p>
      <w:pPr>
        <w:pStyle w:val="p1"/>
      </w:pPr>
      <w:r>
        <w:rPr>
          <w:rStyle w:val="Hyperlink.1"/>
        </w:rPr>
        <w:fldChar w:fldCharType="begin" w:fldLock="0"/>
      </w:r>
      <w:r>
        <w:rPr>
          <w:rStyle w:val="Hyperlink.1"/>
        </w:rPr>
        <w:instrText xml:space="preserve"> HYPERLINK "https://ico.org.uk/for-organisations/uk-gdpr-guidance-and-resources/data-protection-principles/a-guide-to-the-data-protection-principles/%23top"</w:instrText>
      </w:r>
      <w:r>
        <w:rPr>
          <w:rStyle w:val="Hyperlink.1"/>
        </w:rPr>
        <w:fldChar w:fldCharType="separate" w:fldLock="0"/>
      </w:r>
      <w:r>
        <w:rPr>
          <w:rStyle w:val="Hyperlink.1"/>
          <w:rtl w:val="0"/>
        </w:rPr>
        <w:t>https://ico.org.uk/for-organisations/uk-gdpr-guidance-and-resources/data-protection-principles/a-guide-to-the-data-protection-principles/#top</w:t>
      </w:r>
      <w:r>
        <w:rPr/>
        <w:fldChar w:fldCharType="end" w:fldLock="0"/>
      </w:r>
      <w:r>
        <w:rPr>
          <w:rFonts w:ascii="Arial" w:cs="Arial" w:hAnsi="Arial" w:eastAsia="Arial"/>
          <w:sz w:val="22"/>
          <w:szCs w:val="22"/>
          <w:u w:val="single"/>
        </w:r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mbria">
    <w:charset w:val="00"/>
    <w:family w:val="roman"/>
    <w:pitch w:val="default"/>
  </w:font>
  <w:font w:name="Calibri">
    <w:charset w:val="00"/>
    <w:family w:val="roman"/>
    <w:pitch w:val="default"/>
  </w:font>
  <w:font w:name="UICTFontTextStyleBody">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p2"/>
      <w:rPr>
        <w:rFonts w:ascii="Arial" w:cs="Arial" w:hAnsi="Arial" w:eastAsia="Arial"/>
        <w:sz w:val="22"/>
        <w:szCs w:val="22"/>
      </w:rPr>
    </w:pPr>
    <w:r>
      <w:rPr>
        <w:rFonts w:ascii="Arial" w:hAnsi="Arial"/>
        <w:sz w:val="22"/>
        <w:szCs w:val="22"/>
        <w:rtl w:val="0"/>
        <w:lang w:val="en-US"/>
      </w:rPr>
      <w:t>Nyall Berry</w:t>
    </w:r>
    <w:r>
      <w:rPr>
        <w:rFonts w:ascii="Arial" w:hAnsi="Arial" w:hint="default"/>
        <w:sz w:val="22"/>
        <w:szCs w:val="22"/>
        <w:rtl w:val="0"/>
        <w:lang w:val="en-US"/>
      </w:rPr>
      <w:t> </w:t>
    </w:r>
  </w:p>
  <w:p>
    <w:pPr>
      <w:pStyle w:val="p2"/>
      <w:rPr>
        <w:rFonts w:ascii="Arial" w:cs="Arial" w:hAnsi="Arial" w:eastAsia="Arial"/>
        <w:sz w:val="22"/>
        <w:szCs w:val="22"/>
      </w:rPr>
    </w:pPr>
    <w:r>
      <w:rPr>
        <w:rFonts w:ascii="Arial" w:hAnsi="Arial"/>
        <w:sz w:val="22"/>
        <w:szCs w:val="22"/>
        <w:rtl w:val="0"/>
        <w:lang w:val="en-US"/>
      </w:rPr>
      <w:t>2329185</w:t>
    </w:r>
    <w:r>
      <w:rPr>
        <w:rFonts w:ascii="Arial" w:hAnsi="Arial" w:hint="default"/>
        <w:sz w:val="22"/>
        <w:szCs w:val="22"/>
        <w:rtl w:val="0"/>
        <w:lang w:val="en-US"/>
      </w:rPr>
      <w:t> </w:t>
    </w:r>
  </w:p>
  <w:p>
    <w:pPr>
      <w:pStyle w:val="p2"/>
      <w:rPr>
        <w:rFonts w:ascii="Arial" w:cs="Arial" w:hAnsi="Arial" w:eastAsia="Arial"/>
        <w:sz w:val="22"/>
        <w:szCs w:val="22"/>
      </w:rPr>
    </w:pPr>
    <w:r>
      <w:rPr>
        <w:rFonts w:ascii="Arial" w:hAnsi="Arial"/>
        <w:sz w:val="22"/>
        <w:szCs w:val="22"/>
        <w:rtl w:val="0"/>
        <w:lang w:val="en-US"/>
      </w:rPr>
      <w:t>Introduction</w:t>
    </w:r>
    <w:r>
      <w:rPr>
        <w:rFonts w:ascii="Arial" w:hAnsi="Arial"/>
        <w:sz w:val="22"/>
        <w:szCs w:val="22"/>
        <w:rtl w:val="0"/>
        <w:lang w:val="en-US"/>
      </w:rPr>
      <w:t xml:space="preserve"> to Health and Social Care (LCHS4003_BIRM)</w:t>
    </w:r>
  </w:p>
  <w:p>
    <w:pPr>
      <w:pStyle w:val="p2"/>
    </w:pPr>
    <w:r>
      <w:rPr>
        <w:rFonts w:ascii="Arial" w:hAnsi="Arial"/>
        <w:sz w:val="22"/>
        <w:szCs w:val="22"/>
        <w:rtl w:val="0"/>
        <w:lang w:val="en-US"/>
      </w:rPr>
      <w:t>Lecturer: Yousaf Jamil</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p2">
    <w:name w:val="p2"/>
    <w:next w:val="p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paragraph" w:styleId="p1">
    <w:name w:val="p1"/>
    <w:next w:val="p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UICTFontTextStyleBody" w:cs="UICTFontTextStyleBody" w:hAnsi="UICTFontTextStyleBody" w:eastAsia="UICTFontTextStyleBody"/>
    </w:rPr>
  </w:style>
  <w:style w:type="character" w:styleId="Hyperlink.1">
    <w:name w:val="Hyperlink.1"/>
    <w:basedOn w:val="Link"/>
    <w:next w:val="Hyperlink.1"/>
    <w:rPr>
      <w:rFonts w:ascii="Arial" w:cs="Arial" w:hAnsi="Arial" w:eastAsia="Arial"/>
      <w:sz w:val="22"/>
      <w:szCs w:val="22"/>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