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FDF4C79" w:rsidP="50268F94" w:rsidRDefault="1FDF4C79" w14:paraId="6CFC6783" w14:textId="78187E96">
      <w:pPr>
        <w:spacing w:before="0" w:beforeAutospacing="off" w:after="160" w:afterAutospacing="off" w:line="257" w:lineRule="auto"/>
        <w:rPr>
          <w:rFonts w:ascii="Calibri" w:hAnsi="Calibri" w:eastAsia="Calibri" w:cs="Calibri"/>
          <w:b w:val="1"/>
          <w:bCs w:val="1"/>
          <w:noProof w:val="0"/>
          <w:color w:val="156082" w:themeColor="accent1" w:themeTint="FF" w:themeShade="FF"/>
          <w:sz w:val="24"/>
          <w:szCs w:val="24"/>
          <w:lang w:val="en-US"/>
        </w:rPr>
      </w:pPr>
      <w:r w:rsidRPr="50268F94" w:rsidR="1FDF4C79">
        <w:rPr>
          <w:rFonts w:ascii="Calibri" w:hAnsi="Calibri" w:eastAsia="Calibri" w:cs="Calibri"/>
          <w:b w:val="1"/>
          <w:bCs w:val="1"/>
          <w:noProof w:val="0"/>
          <w:color w:val="156082" w:themeColor="accent1" w:themeTint="FF" w:themeShade="FF"/>
          <w:sz w:val="24"/>
          <w:szCs w:val="24"/>
          <w:lang w:val="en-US"/>
        </w:rPr>
        <w:t>Efficient Logistic Birmingham Depot</w:t>
      </w:r>
    </w:p>
    <w:p w:rsidR="1FDF4C79" w:rsidP="50268F94" w:rsidRDefault="1FDF4C79" w14:paraId="0272345F" w14:textId="1529E4DD">
      <w:pPr>
        <w:spacing w:before="0" w:beforeAutospacing="off" w:after="160" w:afterAutospacing="off" w:line="257" w:lineRule="auto"/>
        <w:rPr>
          <w:rFonts w:ascii="Calibri" w:hAnsi="Calibri" w:eastAsia="Calibri" w:cs="Calibri"/>
          <w:b w:val="1"/>
          <w:bCs w:val="1"/>
          <w:noProof w:val="0"/>
          <w:color w:val="156082" w:themeColor="accent1" w:themeTint="FF" w:themeShade="FF"/>
          <w:sz w:val="24"/>
          <w:szCs w:val="24"/>
          <w:lang w:val="en-US"/>
        </w:rPr>
      </w:pPr>
      <w:r w:rsidRPr="50268F94" w:rsidR="1FDF4C79">
        <w:rPr>
          <w:rFonts w:ascii="Calibri" w:hAnsi="Calibri" w:eastAsia="Calibri" w:cs="Calibri"/>
          <w:b w:val="1"/>
          <w:bCs w:val="1"/>
          <w:noProof w:val="0"/>
          <w:color w:val="156082" w:themeColor="accent1" w:themeTint="FF" w:themeShade="FF"/>
          <w:sz w:val="24"/>
          <w:szCs w:val="24"/>
          <w:lang w:val="en-US"/>
        </w:rPr>
        <w:t>Business Transformation, Digital Technology Trends and Flexible Working Arrangements: An HR Perspective</w:t>
      </w:r>
      <w:r w:rsidRPr="50268F94" w:rsidR="1FDF4C79">
        <w:rPr>
          <w:rFonts w:ascii="Calibri" w:hAnsi="Calibri" w:eastAsia="Calibri" w:cs="Calibri"/>
          <w:b w:val="1"/>
          <w:bCs w:val="1"/>
          <w:noProof w:val="0"/>
          <w:color w:val="156082" w:themeColor="accent1" w:themeTint="FF" w:themeShade="FF"/>
          <w:sz w:val="24"/>
          <w:szCs w:val="24"/>
          <w:lang w:val="en-US"/>
        </w:rPr>
        <w:t xml:space="preserve"> </w:t>
      </w:r>
    </w:p>
    <w:p w:rsidR="1FDF4C79" w:rsidP="50268F94" w:rsidRDefault="1FDF4C79" w14:paraId="4AA6AD7E" w14:textId="2592451C">
      <w:pPr>
        <w:spacing w:before="0" w:beforeAutospacing="off" w:after="160" w:afterAutospacing="off" w:line="257" w:lineRule="auto"/>
      </w:pPr>
      <w:r w:rsidRPr="50268F94" w:rsidR="1FDF4C79">
        <w:rPr>
          <w:rFonts w:ascii="Calibri" w:hAnsi="Calibri" w:eastAsia="Calibri" w:cs="Calibri"/>
          <w:b w:val="1"/>
          <w:bCs w:val="1"/>
          <w:noProof w:val="0"/>
          <w:sz w:val="22"/>
          <w:szCs w:val="22"/>
          <w:lang w:val="en-US"/>
        </w:rPr>
        <w:t>Name:</w:t>
      </w:r>
      <w:r w:rsidRPr="50268F94" w:rsidR="1FDF4C79">
        <w:rPr>
          <w:rFonts w:ascii="Calibri" w:hAnsi="Calibri" w:eastAsia="Calibri" w:cs="Calibri"/>
          <w:noProof w:val="0"/>
          <w:sz w:val="22"/>
          <w:szCs w:val="22"/>
          <w:lang w:val="en-US"/>
        </w:rPr>
        <w:t xml:space="preserve"> Dariush Nezamalmolki </w:t>
      </w:r>
      <w:r>
        <w:br/>
      </w:r>
      <w:r w:rsidRPr="50268F94" w:rsidR="1FDF4C79">
        <w:rPr>
          <w:rFonts w:ascii="Calibri" w:hAnsi="Calibri" w:eastAsia="Calibri" w:cs="Calibri"/>
          <w:noProof w:val="0"/>
          <w:sz w:val="22"/>
          <w:szCs w:val="22"/>
          <w:lang w:val="en-US"/>
        </w:rPr>
        <w:t xml:space="preserve"> </w:t>
      </w:r>
      <w:r w:rsidRPr="50268F94" w:rsidR="1FDF4C79">
        <w:rPr>
          <w:rFonts w:ascii="Calibri" w:hAnsi="Calibri" w:eastAsia="Calibri" w:cs="Calibri"/>
          <w:b w:val="1"/>
          <w:bCs w:val="1"/>
          <w:noProof w:val="0"/>
          <w:sz w:val="22"/>
          <w:szCs w:val="22"/>
          <w:lang w:val="en-US"/>
        </w:rPr>
        <w:t>Student Number:</w:t>
      </w:r>
      <w:r w:rsidRPr="50268F94" w:rsidR="1FDF4C79">
        <w:rPr>
          <w:rFonts w:ascii="Calibri" w:hAnsi="Calibri" w:eastAsia="Calibri" w:cs="Calibri"/>
          <w:noProof w:val="0"/>
          <w:sz w:val="22"/>
          <w:szCs w:val="22"/>
          <w:lang w:val="en-US"/>
        </w:rPr>
        <w:t xml:space="preserve"> 2407310 </w:t>
      </w:r>
      <w:r>
        <w:br/>
      </w:r>
      <w:r w:rsidRPr="50268F94" w:rsidR="1FDF4C79">
        <w:rPr>
          <w:rFonts w:ascii="Calibri" w:hAnsi="Calibri" w:eastAsia="Calibri" w:cs="Calibri"/>
          <w:noProof w:val="0"/>
          <w:sz w:val="22"/>
          <w:szCs w:val="22"/>
          <w:lang w:val="en-US"/>
        </w:rPr>
        <w:t xml:space="preserve"> </w:t>
      </w:r>
      <w:r w:rsidRPr="50268F94" w:rsidR="1FDF4C79">
        <w:rPr>
          <w:rFonts w:ascii="Calibri" w:hAnsi="Calibri" w:eastAsia="Calibri" w:cs="Calibri"/>
          <w:b w:val="1"/>
          <w:bCs w:val="1"/>
          <w:noProof w:val="0"/>
          <w:sz w:val="22"/>
          <w:szCs w:val="22"/>
          <w:lang w:val="en-US"/>
        </w:rPr>
        <w:t>Module Code:</w:t>
      </w:r>
      <w:r w:rsidRPr="50268F94" w:rsidR="1FDF4C79">
        <w:rPr>
          <w:rFonts w:ascii="Calibri" w:hAnsi="Calibri" w:eastAsia="Calibri" w:cs="Calibri"/>
          <w:noProof w:val="0"/>
          <w:sz w:val="22"/>
          <w:szCs w:val="22"/>
          <w:lang w:val="en-US"/>
        </w:rPr>
        <w:t xml:space="preserve"> LCLM5002 </w:t>
      </w:r>
      <w:r>
        <w:br/>
      </w:r>
      <w:r w:rsidRPr="50268F94" w:rsidR="1FDF4C79">
        <w:rPr>
          <w:rFonts w:ascii="Calibri" w:hAnsi="Calibri" w:eastAsia="Calibri" w:cs="Calibri"/>
          <w:noProof w:val="0"/>
          <w:sz w:val="22"/>
          <w:szCs w:val="22"/>
          <w:lang w:val="en-US"/>
        </w:rPr>
        <w:t xml:space="preserve"> </w:t>
      </w:r>
      <w:r w:rsidRPr="50268F94" w:rsidR="1FDF4C79">
        <w:rPr>
          <w:rFonts w:ascii="Calibri" w:hAnsi="Calibri" w:eastAsia="Calibri" w:cs="Calibri"/>
          <w:b w:val="1"/>
          <w:bCs w:val="1"/>
          <w:noProof w:val="0"/>
          <w:sz w:val="22"/>
          <w:szCs w:val="22"/>
          <w:lang w:val="en-US"/>
        </w:rPr>
        <w:t>Module Title:</w:t>
      </w:r>
      <w:r w:rsidRPr="50268F94" w:rsidR="1FDF4C79">
        <w:rPr>
          <w:rFonts w:ascii="Calibri" w:hAnsi="Calibri" w:eastAsia="Calibri" w:cs="Calibri"/>
          <w:noProof w:val="0"/>
          <w:sz w:val="22"/>
          <w:szCs w:val="22"/>
          <w:lang w:val="en-US"/>
        </w:rPr>
        <w:t xml:space="preserve"> Developing and Managing Individuals and Teams </w:t>
      </w:r>
      <w:r>
        <w:br/>
      </w:r>
      <w:r w:rsidRPr="50268F94" w:rsidR="1FDF4C79">
        <w:rPr>
          <w:rFonts w:ascii="Calibri" w:hAnsi="Calibri" w:eastAsia="Calibri" w:cs="Calibri"/>
          <w:noProof w:val="0"/>
          <w:sz w:val="22"/>
          <w:szCs w:val="22"/>
          <w:lang w:val="en-US"/>
        </w:rPr>
        <w:t xml:space="preserve"> </w:t>
      </w:r>
      <w:r w:rsidRPr="50268F94" w:rsidR="1FDF4C79">
        <w:rPr>
          <w:rFonts w:ascii="Calibri" w:hAnsi="Calibri" w:eastAsia="Calibri" w:cs="Calibri"/>
          <w:b w:val="1"/>
          <w:bCs w:val="1"/>
          <w:noProof w:val="0"/>
          <w:sz w:val="22"/>
          <w:szCs w:val="22"/>
          <w:lang w:val="en-US"/>
        </w:rPr>
        <w:t>Lecturer:</w:t>
      </w:r>
      <w:r w:rsidRPr="50268F94" w:rsidR="1FDF4C79">
        <w:rPr>
          <w:rFonts w:ascii="Calibri" w:hAnsi="Calibri" w:eastAsia="Calibri" w:cs="Calibri"/>
          <w:noProof w:val="0"/>
          <w:sz w:val="22"/>
          <w:szCs w:val="22"/>
          <w:lang w:val="en-US"/>
        </w:rPr>
        <w:t xml:space="preserve"> Doreen Nyaa Amundam </w:t>
      </w:r>
    </w:p>
    <w:p w:rsidR="1FDF4C79" w:rsidP="50268F94" w:rsidRDefault="1FDF4C79" w14:paraId="379F51A9" w14:textId="78C9BC22">
      <w:pPr>
        <w:spacing w:before="0" w:beforeAutospacing="off" w:after="160" w:afterAutospacing="off" w:line="257" w:lineRule="auto"/>
        <w:rPr>
          <w:rFonts w:ascii="Calibri" w:hAnsi="Calibri" w:eastAsia="Calibri" w:cs="Calibri"/>
          <w:b w:val="1"/>
          <w:bCs w:val="1"/>
          <w:noProof w:val="0"/>
          <w:sz w:val="22"/>
          <w:szCs w:val="22"/>
          <w:lang w:val="en-US"/>
        </w:rPr>
      </w:pPr>
      <w:r w:rsidRPr="50268F94" w:rsidR="1FDF4C79">
        <w:rPr>
          <w:rFonts w:ascii="Calibri" w:hAnsi="Calibri" w:eastAsia="Calibri" w:cs="Calibri"/>
          <w:b w:val="1"/>
          <w:bCs w:val="1"/>
          <w:noProof w:val="0"/>
          <w:sz w:val="22"/>
          <w:szCs w:val="22"/>
          <w:lang w:val="en-US"/>
        </w:rPr>
        <w:t xml:space="preserve"> </w:t>
      </w:r>
    </w:p>
    <w:p w:rsidR="6A25D5F1" w:rsidP="50268F94" w:rsidRDefault="6A25D5F1" w14:paraId="58AFDDD6" w14:textId="5607D100">
      <w:pPr>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r w:rsidRPr="50268F94" w:rsidR="6A25D5F1">
        <w:rPr>
          <w:rFonts w:ascii="Calibri" w:hAnsi="Calibri" w:eastAsia="Calibri" w:cs="Calibri"/>
          <w:b w:val="1"/>
          <w:bCs w:val="1"/>
          <w:noProof w:val="0"/>
          <w:color w:val="156082" w:themeColor="accent1" w:themeTint="FF" w:themeShade="FF"/>
          <w:sz w:val="22"/>
          <w:szCs w:val="22"/>
          <w:lang w:val="en-US"/>
        </w:rPr>
        <w:t>Table of Contents</w:t>
      </w:r>
    </w:p>
    <w:p w:rsidR="6A25D5F1" w:rsidP="50268F94" w:rsidRDefault="6A25D5F1" w14:paraId="75A0D8E9" w14:textId="794A9535">
      <w:pPr>
        <w:pStyle w:val="ListParagraph"/>
        <w:numPr>
          <w:ilvl w:val="0"/>
          <w:numId w:val="10"/>
        </w:numPr>
        <w:spacing w:before="240" w:beforeAutospacing="off" w:after="240" w:afterAutospacing="off"/>
        <w:rPr>
          <w:rFonts w:ascii="Calibri" w:hAnsi="Calibri" w:eastAsia="Calibri" w:cs="Calibri"/>
          <w:b w:val="1"/>
          <w:bCs w:val="1"/>
          <w:noProof w:val="0"/>
          <w:sz w:val="22"/>
          <w:szCs w:val="22"/>
          <w:lang w:val="en-US"/>
        </w:rPr>
      </w:pPr>
      <w:r w:rsidRPr="50268F94" w:rsidR="6A25D5F1">
        <w:rPr>
          <w:rFonts w:ascii="Calibri" w:hAnsi="Calibri" w:eastAsia="Calibri" w:cs="Calibri"/>
          <w:b w:val="1"/>
          <w:bCs w:val="1"/>
          <w:noProof w:val="0"/>
          <w:sz w:val="22"/>
          <w:szCs w:val="22"/>
          <w:lang w:val="en-US"/>
        </w:rPr>
        <w:t>Introduction</w:t>
      </w:r>
      <w:r w:rsidRPr="50268F94" w:rsidR="6A25D5F1">
        <w:rPr>
          <w:rFonts w:ascii="Calibri" w:hAnsi="Calibri" w:eastAsia="Calibri" w:cs="Calibri"/>
          <w:b w:val="1"/>
          <w:bCs w:val="1"/>
          <w:noProof w:val="0"/>
          <w:sz w:val="22"/>
          <w:szCs w:val="22"/>
          <w:lang w:val="en-US"/>
        </w:rPr>
        <w:t xml:space="preserve"> .................................................. Page 1</w:t>
      </w:r>
    </w:p>
    <w:p w:rsidR="6A25D5F1" w:rsidP="50268F94" w:rsidRDefault="6A25D5F1" w14:paraId="4333DC02" w14:textId="1EB17B7D">
      <w:pPr>
        <w:pStyle w:val="ListParagraph"/>
        <w:numPr>
          <w:ilvl w:val="0"/>
          <w:numId w:val="10"/>
        </w:numPr>
        <w:spacing w:before="240" w:beforeAutospacing="off" w:after="240" w:afterAutospacing="off"/>
        <w:rPr>
          <w:rFonts w:ascii="Calibri" w:hAnsi="Calibri" w:eastAsia="Calibri" w:cs="Calibri"/>
          <w:b w:val="1"/>
          <w:bCs w:val="1"/>
          <w:noProof w:val="0"/>
          <w:sz w:val="22"/>
          <w:szCs w:val="22"/>
          <w:lang w:val="en-US"/>
        </w:rPr>
      </w:pPr>
      <w:r w:rsidRPr="50268F94" w:rsidR="6A25D5F1">
        <w:rPr>
          <w:rFonts w:ascii="Calibri" w:hAnsi="Calibri" w:eastAsia="Calibri" w:cs="Calibri"/>
          <w:b w:val="1"/>
          <w:bCs w:val="1"/>
          <w:noProof w:val="0"/>
          <w:sz w:val="22"/>
          <w:szCs w:val="22"/>
          <w:lang w:val="en-US"/>
        </w:rPr>
        <w:t>Factors Related to Business Transformation, Digital Technology Trends and Flexible Working</w:t>
      </w:r>
      <w:r w:rsidRPr="50268F94" w:rsidR="6A25D5F1">
        <w:rPr>
          <w:rFonts w:ascii="Calibri" w:hAnsi="Calibri" w:eastAsia="Calibri" w:cs="Calibri"/>
          <w:b w:val="1"/>
          <w:bCs w:val="1"/>
          <w:noProof w:val="0"/>
          <w:sz w:val="22"/>
          <w:szCs w:val="22"/>
          <w:lang w:val="en-US"/>
        </w:rPr>
        <w:t xml:space="preserve"> ........ Page 2</w:t>
      </w:r>
      <w:r>
        <w:br/>
      </w:r>
      <w:r w:rsidRPr="50268F94" w:rsidR="6A25D5F1">
        <w:rPr>
          <w:rFonts w:ascii="Calibri" w:hAnsi="Calibri" w:eastAsia="Calibri" w:cs="Calibri"/>
          <w:b w:val="1"/>
          <w:bCs w:val="1"/>
          <w:noProof w:val="0"/>
          <w:sz w:val="22"/>
          <w:szCs w:val="22"/>
          <w:lang w:val="en-US"/>
        </w:rPr>
        <w:t xml:space="preserve">  2.1 Business Transformation Factors .......................... Page 2</w:t>
      </w:r>
      <w:r>
        <w:br/>
      </w:r>
      <w:r w:rsidRPr="50268F94" w:rsidR="6A25D5F1">
        <w:rPr>
          <w:rFonts w:ascii="Calibri" w:hAnsi="Calibri" w:eastAsia="Calibri" w:cs="Calibri"/>
          <w:b w:val="1"/>
          <w:bCs w:val="1"/>
          <w:noProof w:val="0"/>
          <w:sz w:val="22"/>
          <w:szCs w:val="22"/>
          <w:lang w:val="en-US"/>
        </w:rPr>
        <w:t xml:space="preserve">  2.2 Digital Technology Trends ................................ Page 2–3</w:t>
      </w:r>
      <w:r>
        <w:br/>
      </w:r>
      <w:r w:rsidRPr="50268F94" w:rsidR="6A25D5F1">
        <w:rPr>
          <w:rFonts w:ascii="Calibri" w:hAnsi="Calibri" w:eastAsia="Calibri" w:cs="Calibri"/>
          <w:b w:val="1"/>
          <w:bCs w:val="1"/>
          <w:noProof w:val="0"/>
          <w:sz w:val="22"/>
          <w:szCs w:val="22"/>
          <w:lang w:val="en-US"/>
        </w:rPr>
        <w:t xml:space="preserve">  2.3 Flexible Working Arrangements ........................... Page 3</w:t>
      </w:r>
    </w:p>
    <w:p w:rsidR="6A25D5F1" w:rsidP="50268F94" w:rsidRDefault="6A25D5F1" w14:paraId="39ED1CE4" w14:textId="5235AA4F">
      <w:pPr>
        <w:pStyle w:val="ListParagraph"/>
        <w:numPr>
          <w:ilvl w:val="0"/>
          <w:numId w:val="10"/>
        </w:numPr>
        <w:spacing w:before="240" w:beforeAutospacing="off" w:after="240" w:afterAutospacing="off"/>
        <w:rPr>
          <w:rFonts w:ascii="Calibri" w:hAnsi="Calibri" w:eastAsia="Calibri" w:cs="Calibri"/>
          <w:b w:val="1"/>
          <w:bCs w:val="1"/>
          <w:noProof w:val="0"/>
          <w:sz w:val="22"/>
          <w:szCs w:val="22"/>
          <w:lang w:val="en-US"/>
        </w:rPr>
      </w:pPr>
      <w:r w:rsidRPr="50268F94" w:rsidR="6A25D5F1">
        <w:rPr>
          <w:rFonts w:ascii="Calibri" w:hAnsi="Calibri" w:eastAsia="Calibri" w:cs="Calibri"/>
          <w:b w:val="1"/>
          <w:bCs w:val="1"/>
          <w:noProof w:val="0"/>
          <w:sz w:val="22"/>
          <w:szCs w:val="22"/>
          <w:lang w:val="en-US"/>
        </w:rPr>
        <w:t>HR Practices for Managing Transformation</w:t>
      </w:r>
      <w:r w:rsidRPr="50268F94" w:rsidR="6A25D5F1">
        <w:rPr>
          <w:rFonts w:ascii="Calibri" w:hAnsi="Calibri" w:eastAsia="Calibri" w:cs="Calibri"/>
          <w:b w:val="1"/>
          <w:bCs w:val="1"/>
          <w:noProof w:val="0"/>
          <w:sz w:val="22"/>
          <w:szCs w:val="22"/>
          <w:lang w:val="en-US"/>
        </w:rPr>
        <w:t xml:space="preserve"> ............ Page 3–5</w:t>
      </w:r>
      <w:r>
        <w:br/>
      </w:r>
      <w:r w:rsidRPr="50268F94" w:rsidR="6A25D5F1">
        <w:rPr>
          <w:rFonts w:ascii="Calibri" w:hAnsi="Calibri" w:eastAsia="Calibri" w:cs="Calibri"/>
          <w:b w:val="1"/>
          <w:bCs w:val="1"/>
          <w:noProof w:val="0"/>
          <w:sz w:val="22"/>
          <w:szCs w:val="22"/>
          <w:lang w:val="en-US"/>
        </w:rPr>
        <w:t xml:space="preserve">  3.1 HR Practices for Business Transformation .............. Page 3</w:t>
      </w:r>
      <w:r>
        <w:br/>
      </w:r>
      <w:r w:rsidRPr="50268F94" w:rsidR="6A25D5F1">
        <w:rPr>
          <w:rFonts w:ascii="Calibri" w:hAnsi="Calibri" w:eastAsia="Calibri" w:cs="Calibri"/>
          <w:b w:val="1"/>
          <w:bCs w:val="1"/>
          <w:noProof w:val="0"/>
          <w:sz w:val="22"/>
          <w:szCs w:val="22"/>
          <w:lang w:val="en-US"/>
        </w:rPr>
        <w:t xml:space="preserve">  3.2 HR Practices for Digital Technology Trends .......... Page 4</w:t>
      </w:r>
      <w:r>
        <w:br/>
      </w:r>
      <w:r w:rsidRPr="50268F94" w:rsidR="6A25D5F1">
        <w:rPr>
          <w:rFonts w:ascii="Calibri" w:hAnsi="Calibri" w:eastAsia="Calibri" w:cs="Calibri"/>
          <w:b w:val="1"/>
          <w:bCs w:val="1"/>
          <w:noProof w:val="0"/>
          <w:sz w:val="22"/>
          <w:szCs w:val="22"/>
          <w:lang w:val="en-US"/>
        </w:rPr>
        <w:t xml:space="preserve">  3.3 HR Practices for Flexible Working ........................ Page 4–5</w:t>
      </w:r>
    </w:p>
    <w:p w:rsidR="6A25D5F1" w:rsidP="50268F94" w:rsidRDefault="6A25D5F1" w14:paraId="4657E788" w14:textId="15A674BA">
      <w:pPr>
        <w:pStyle w:val="ListParagraph"/>
        <w:numPr>
          <w:ilvl w:val="0"/>
          <w:numId w:val="10"/>
        </w:numPr>
        <w:spacing w:before="240" w:beforeAutospacing="off" w:after="240" w:afterAutospacing="off"/>
        <w:rPr>
          <w:rFonts w:ascii="Calibri" w:hAnsi="Calibri" w:eastAsia="Calibri" w:cs="Calibri"/>
          <w:b w:val="1"/>
          <w:bCs w:val="1"/>
          <w:noProof w:val="0"/>
          <w:sz w:val="22"/>
          <w:szCs w:val="22"/>
          <w:lang w:val="en-US"/>
        </w:rPr>
      </w:pPr>
      <w:r w:rsidRPr="50268F94" w:rsidR="6A25D5F1">
        <w:rPr>
          <w:rFonts w:ascii="Calibri" w:hAnsi="Calibri" w:eastAsia="Calibri" w:cs="Calibri"/>
          <w:b w:val="1"/>
          <w:bCs w:val="1"/>
          <w:noProof w:val="0"/>
          <w:sz w:val="22"/>
          <w:szCs w:val="22"/>
          <w:lang w:val="en-US"/>
        </w:rPr>
        <w:t>Role of Departmental Managers in Transformation</w:t>
      </w:r>
      <w:r w:rsidRPr="50268F94" w:rsidR="6A25D5F1">
        <w:rPr>
          <w:rFonts w:ascii="Calibri" w:hAnsi="Calibri" w:eastAsia="Calibri" w:cs="Calibri"/>
          <w:b w:val="1"/>
          <w:bCs w:val="1"/>
          <w:noProof w:val="0"/>
          <w:sz w:val="22"/>
          <w:szCs w:val="22"/>
          <w:lang w:val="en-US"/>
        </w:rPr>
        <w:t xml:space="preserve"> .... Page 5–6</w:t>
      </w:r>
      <w:r>
        <w:br/>
      </w:r>
      <w:r w:rsidRPr="50268F94" w:rsidR="6A25D5F1">
        <w:rPr>
          <w:rFonts w:ascii="Calibri" w:hAnsi="Calibri" w:eastAsia="Calibri" w:cs="Calibri"/>
          <w:b w:val="1"/>
          <w:bCs w:val="1"/>
          <w:noProof w:val="0"/>
          <w:sz w:val="22"/>
          <w:szCs w:val="22"/>
          <w:lang w:val="en-US"/>
        </w:rPr>
        <w:t xml:space="preserve">  4.1 Leadership and Accountability ............................ Page 5</w:t>
      </w:r>
      <w:r>
        <w:br/>
      </w:r>
      <w:r w:rsidRPr="50268F94" w:rsidR="6A25D5F1">
        <w:rPr>
          <w:rFonts w:ascii="Calibri" w:hAnsi="Calibri" w:eastAsia="Calibri" w:cs="Calibri"/>
          <w:b w:val="1"/>
          <w:bCs w:val="1"/>
          <w:noProof w:val="0"/>
          <w:sz w:val="22"/>
          <w:szCs w:val="22"/>
          <w:lang w:val="en-US"/>
        </w:rPr>
        <w:t xml:space="preserve">  4.2 Embedding Contemporary HR Practices ................ Page 5–6</w:t>
      </w:r>
      <w:r>
        <w:br/>
      </w:r>
      <w:r w:rsidRPr="50268F94" w:rsidR="6A25D5F1">
        <w:rPr>
          <w:rFonts w:ascii="Calibri" w:hAnsi="Calibri" w:eastAsia="Calibri" w:cs="Calibri"/>
          <w:b w:val="1"/>
          <w:bCs w:val="1"/>
          <w:noProof w:val="0"/>
          <w:sz w:val="22"/>
          <w:szCs w:val="22"/>
          <w:lang w:val="en-US"/>
        </w:rPr>
        <w:t xml:space="preserve">  4.3 Change Communication and Trust ......................... Page 6</w:t>
      </w:r>
    </w:p>
    <w:p w:rsidR="6A25D5F1" w:rsidP="50268F94" w:rsidRDefault="6A25D5F1" w14:paraId="416CDED8" w14:textId="7C89DDEC">
      <w:pPr>
        <w:pStyle w:val="ListParagraph"/>
        <w:numPr>
          <w:ilvl w:val="0"/>
          <w:numId w:val="10"/>
        </w:numPr>
        <w:spacing w:before="240" w:beforeAutospacing="off" w:after="240" w:afterAutospacing="off"/>
        <w:rPr>
          <w:rFonts w:ascii="Calibri" w:hAnsi="Calibri" w:eastAsia="Calibri" w:cs="Calibri"/>
          <w:b w:val="1"/>
          <w:bCs w:val="1"/>
          <w:noProof w:val="0"/>
          <w:sz w:val="22"/>
          <w:szCs w:val="22"/>
          <w:lang w:val="en-US"/>
        </w:rPr>
      </w:pPr>
      <w:r w:rsidRPr="50268F94" w:rsidR="6A25D5F1">
        <w:rPr>
          <w:rFonts w:ascii="Calibri" w:hAnsi="Calibri" w:eastAsia="Calibri" w:cs="Calibri"/>
          <w:b w:val="1"/>
          <w:bCs w:val="1"/>
          <w:noProof w:val="0"/>
          <w:sz w:val="22"/>
          <w:szCs w:val="22"/>
          <w:lang w:val="en-US"/>
        </w:rPr>
        <w:t>Conclusion and Recommendations ....................... Page 6–9</w:t>
      </w:r>
      <w:r>
        <w:br/>
      </w:r>
      <w:r w:rsidRPr="50268F94" w:rsidR="6A25D5F1">
        <w:rPr>
          <w:rFonts w:ascii="Calibri" w:hAnsi="Calibri" w:eastAsia="Calibri" w:cs="Calibri"/>
          <w:b w:val="1"/>
          <w:bCs w:val="1"/>
          <w:noProof w:val="0"/>
          <w:sz w:val="22"/>
          <w:szCs w:val="22"/>
          <w:lang w:val="en-US"/>
        </w:rPr>
        <w:t xml:space="preserve">  5.1 Conclusion ....................................................... Page 6–7</w:t>
      </w:r>
      <w:r>
        <w:br/>
      </w:r>
      <w:r w:rsidRPr="50268F94" w:rsidR="6A25D5F1">
        <w:rPr>
          <w:rFonts w:ascii="Calibri" w:hAnsi="Calibri" w:eastAsia="Calibri" w:cs="Calibri"/>
          <w:b w:val="1"/>
          <w:bCs w:val="1"/>
          <w:noProof w:val="0"/>
          <w:sz w:val="22"/>
          <w:szCs w:val="22"/>
          <w:lang w:val="en-US"/>
        </w:rPr>
        <w:t xml:space="preserve">  5.2 Recommendations .............................................. Page 7</w:t>
      </w:r>
    </w:p>
    <w:p w:rsidR="6A25D5F1" w:rsidP="50268F94" w:rsidRDefault="6A25D5F1" w14:paraId="7B821AEE" w14:textId="5DD34CE7">
      <w:pPr>
        <w:pStyle w:val="ListParagraph"/>
        <w:numPr>
          <w:ilvl w:val="0"/>
          <w:numId w:val="10"/>
        </w:numPr>
        <w:spacing w:before="240" w:beforeAutospacing="off" w:after="240" w:afterAutospacing="off"/>
        <w:rPr>
          <w:rFonts w:ascii="Calibri" w:hAnsi="Calibri" w:eastAsia="Calibri" w:cs="Calibri"/>
          <w:b w:val="1"/>
          <w:bCs w:val="1"/>
          <w:noProof w:val="0"/>
          <w:sz w:val="22"/>
          <w:szCs w:val="22"/>
          <w:lang w:val="en-US"/>
        </w:rPr>
      </w:pPr>
      <w:r w:rsidRPr="50268F94" w:rsidR="6A25D5F1">
        <w:rPr>
          <w:rFonts w:ascii="Calibri" w:hAnsi="Calibri" w:eastAsia="Calibri" w:cs="Calibri"/>
          <w:b w:val="1"/>
          <w:bCs w:val="1"/>
          <w:noProof w:val="0"/>
          <w:sz w:val="22"/>
          <w:szCs w:val="22"/>
          <w:lang w:val="en-US"/>
        </w:rPr>
        <w:t>Reference List .................................................. Page 9</w:t>
      </w:r>
      <w:r w:rsidRPr="50268F94" w:rsidR="75D82B4D">
        <w:rPr>
          <w:rFonts w:ascii="Calibri" w:hAnsi="Calibri" w:eastAsia="Calibri" w:cs="Calibri"/>
          <w:b w:val="1"/>
          <w:bCs w:val="1"/>
          <w:noProof w:val="0"/>
          <w:sz w:val="22"/>
          <w:szCs w:val="22"/>
          <w:lang w:val="en-US"/>
        </w:rPr>
        <w:t>-10</w:t>
      </w:r>
    </w:p>
    <w:p w:rsidR="50268F94" w:rsidP="50268F94" w:rsidRDefault="50268F94" w14:paraId="78961030" w14:textId="5433953B">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61BA7838" w14:textId="20949AC7">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06ABDDB8" w14:textId="1DD23B45">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06E6A3DF" w14:textId="32135C04">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32BACB39" w14:textId="6EC846AB">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1665CD18" w14:textId="75061BD2">
      <w:pPr>
        <w:pStyle w:val="Normal"/>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77EE3536" w:rsidP="50268F94" w:rsidRDefault="77EE3536" w14:paraId="1C6B1BC7" w14:textId="12620A5A">
      <w:pPr>
        <w:pStyle w:val="Normal"/>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r w:rsidRPr="50268F94" w:rsidR="77EE3536">
        <w:rPr>
          <w:rFonts w:ascii="Calibri" w:hAnsi="Calibri" w:eastAsia="Calibri" w:cs="Calibri"/>
          <w:b w:val="1"/>
          <w:bCs w:val="1"/>
          <w:noProof w:val="0"/>
          <w:color w:val="156082" w:themeColor="accent1" w:themeTint="FF" w:themeShade="FF"/>
          <w:sz w:val="22"/>
          <w:szCs w:val="22"/>
          <w:lang w:val="en-US"/>
        </w:rPr>
        <w:t>Page 1</w:t>
      </w:r>
    </w:p>
    <w:p w:rsidR="1FDF4C79" w:rsidP="50268F94" w:rsidRDefault="1FDF4C79" w14:paraId="62E504E6" w14:textId="5CCA0FB9">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1FDF4C79">
        <w:rPr>
          <w:rFonts w:ascii="Calibri" w:hAnsi="Calibri" w:eastAsia="Calibri" w:cs="Calibri"/>
          <w:b w:val="1"/>
          <w:bCs w:val="1"/>
          <w:noProof w:val="0"/>
          <w:color w:val="156082" w:themeColor="accent1" w:themeTint="FF" w:themeShade="FF"/>
          <w:sz w:val="22"/>
          <w:szCs w:val="22"/>
          <w:lang w:val="en-US"/>
        </w:rPr>
        <w:t>1. Introduction</w:t>
      </w:r>
      <w:r w:rsidRPr="50268F94" w:rsidR="1FDF4C79">
        <w:rPr>
          <w:rFonts w:ascii="Calibri" w:hAnsi="Calibri" w:eastAsia="Calibri" w:cs="Calibri"/>
          <w:noProof w:val="0"/>
          <w:color w:val="156082" w:themeColor="accent1" w:themeTint="FF" w:themeShade="FF"/>
          <w:sz w:val="22"/>
          <w:szCs w:val="22"/>
          <w:lang w:val="en-US"/>
        </w:rPr>
        <w:t xml:space="preserve"> </w:t>
      </w:r>
    </w:p>
    <w:p w:rsidR="1FDF4C79" w:rsidP="50268F94" w:rsidRDefault="1FDF4C79" w14:paraId="6390DD19" w14:textId="110B9C60">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Efficient Logistic is a UK-based Delivery Service Partner (DSP) working with leading clients such as Amazon and HelloFresh. The organisation operates depots in London and Birmingham and has embarked on a major business transformation journey to improve efficiency, digital capability and service quality. In the Birmingham depot, rapid technological and structural change has created both opportunity and disruption for staff, resulting in a rising number of employee grievances during the transition phase. </w:t>
      </w:r>
    </w:p>
    <w:p w:rsidR="1FDF4C79" w:rsidP="50268F94" w:rsidRDefault="1FDF4C79" w14:paraId="2F1D02AB" w14:textId="52A6F690">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This report examines how the human resources (HR) function can support Efficient Logistic’s transformation agenda through effective management of three interrelated factors: </w:t>
      </w:r>
      <w:r w:rsidRPr="50268F94" w:rsidR="1FDF4C79">
        <w:rPr>
          <w:rFonts w:ascii="Calibri" w:hAnsi="Calibri" w:eastAsia="Calibri" w:cs="Calibri"/>
          <w:b w:val="1"/>
          <w:bCs w:val="1"/>
          <w:noProof w:val="0"/>
          <w:sz w:val="22"/>
          <w:szCs w:val="22"/>
          <w:lang w:val="en-US"/>
        </w:rPr>
        <w:t>business transformation</w:t>
      </w:r>
      <w:r w:rsidRPr="50268F94" w:rsidR="1FDF4C79">
        <w:rPr>
          <w:rFonts w:ascii="Calibri" w:hAnsi="Calibri" w:eastAsia="Calibri" w:cs="Calibri"/>
          <w:noProof w:val="0"/>
          <w:sz w:val="22"/>
          <w:szCs w:val="22"/>
          <w:lang w:val="en-US"/>
        </w:rPr>
        <w:t xml:space="preserve">, </w:t>
      </w:r>
      <w:r w:rsidRPr="50268F94" w:rsidR="1FDF4C79">
        <w:rPr>
          <w:rFonts w:ascii="Calibri" w:hAnsi="Calibri" w:eastAsia="Calibri" w:cs="Calibri"/>
          <w:b w:val="1"/>
          <w:bCs w:val="1"/>
          <w:noProof w:val="0"/>
          <w:sz w:val="22"/>
          <w:szCs w:val="22"/>
          <w:lang w:val="en-US"/>
        </w:rPr>
        <w:t>digital technology trends</w:t>
      </w:r>
      <w:r w:rsidRPr="50268F94" w:rsidR="1FDF4C79">
        <w:rPr>
          <w:rFonts w:ascii="Calibri" w:hAnsi="Calibri" w:eastAsia="Calibri" w:cs="Calibri"/>
          <w:noProof w:val="0"/>
          <w:sz w:val="22"/>
          <w:szCs w:val="22"/>
          <w:lang w:val="en-US"/>
        </w:rPr>
        <w:t xml:space="preserve">, and </w:t>
      </w:r>
      <w:r w:rsidRPr="50268F94" w:rsidR="1FDF4C79">
        <w:rPr>
          <w:rFonts w:ascii="Calibri" w:hAnsi="Calibri" w:eastAsia="Calibri" w:cs="Calibri"/>
          <w:b w:val="1"/>
          <w:bCs w:val="1"/>
          <w:noProof w:val="0"/>
          <w:sz w:val="22"/>
          <w:szCs w:val="22"/>
          <w:lang w:val="en-US"/>
        </w:rPr>
        <w:t>flexible working arrangements</w:t>
      </w:r>
      <w:r w:rsidRPr="50268F94" w:rsidR="1FDF4C79">
        <w:rPr>
          <w:rFonts w:ascii="Calibri" w:hAnsi="Calibri" w:eastAsia="Calibri" w:cs="Calibri"/>
          <w:noProof w:val="0"/>
          <w:sz w:val="22"/>
          <w:szCs w:val="22"/>
          <w:lang w:val="en-US"/>
        </w:rPr>
        <w:t xml:space="preserve">. It evaluates how contemporary HR practices can be applied to address these challenges and critically considers the role of departmental managers in implementing them urgently and effectively. The report concludes with practical recommendations to promote sustainable employee engagement and operational success within the depot. </w:t>
      </w:r>
    </w:p>
    <w:p w:rsidR="1FDF4C79" w:rsidP="50268F94" w:rsidRDefault="1FDF4C79" w14:paraId="175C941C" w14:textId="31E328E1">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 </w:t>
      </w:r>
    </w:p>
    <w:p w:rsidR="50268F94" w:rsidP="50268F94" w:rsidRDefault="50268F94" w14:paraId="1CE0ABD3" w14:textId="0D1EFC0A">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1EE34088" w14:textId="2FF9DA2A">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14C1A7D9" w14:textId="266E3A2D">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700418AE" w14:textId="2A9C75B1">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6ACB90AB" w14:textId="3F7A3BD6">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18681FE1" w14:textId="1977699B">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1ECB5EC1" w14:textId="04EAB588">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6E4A983C" w14:textId="64F771B2">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42C8B739" w14:textId="46E71A4F">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5E1BFE0F" w14:textId="7E009FB7">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72275082" w14:textId="4F222B6C">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212501E5" w14:textId="7BBA2D2F">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1D9045B5" w14:textId="5586AA42">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2C9B064F" w14:textId="449DE63B">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6AC688CC" w14:textId="0C12E2D6">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2D7966A8" w14:textId="346BFD8F">
      <w:pPr>
        <w:pStyle w:val="Normal"/>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6F6F5474" w14:textId="08B445E1">
      <w:pPr>
        <w:pStyle w:val="Normal"/>
        <w:spacing w:before="0" w:beforeAutospacing="off" w:after="160" w:afterAutospacing="off" w:line="257" w:lineRule="auto"/>
        <w:rPr>
          <w:rFonts w:ascii="Calibri" w:hAnsi="Calibri" w:eastAsia="Calibri" w:cs="Calibri"/>
          <w:b w:val="1"/>
          <w:bCs w:val="1"/>
          <w:noProof w:val="0"/>
          <w:sz w:val="22"/>
          <w:szCs w:val="22"/>
          <w:lang w:val="en-US"/>
        </w:rPr>
      </w:pPr>
    </w:p>
    <w:p w:rsidR="585FFA86" w:rsidP="50268F94" w:rsidRDefault="585FFA86" w14:paraId="6542B4F2" w14:textId="3EBE9EF4">
      <w:pPr>
        <w:pStyle w:val="Normal"/>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585FFA86">
        <w:rPr>
          <w:rFonts w:ascii="Calibri" w:hAnsi="Calibri" w:eastAsia="Calibri" w:cs="Calibri"/>
          <w:b w:val="1"/>
          <w:bCs w:val="1"/>
          <w:noProof w:val="0"/>
          <w:color w:val="156082" w:themeColor="accent1" w:themeTint="FF" w:themeShade="FF"/>
          <w:sz w:val="22"/>
          <w:szCs w:val="22"/>
          <w:lang w:val="en-US"/>
        </w:rPr>
        <w:t>Page 2</w:t>
      </w:r>
    </w:p>
    <w:p w:rsidR="1FDF4C79" w:rsidP="50268F94" w:rsidRDefault="1FDF4C79" w14:paraId="1B74978F" w14:textId="15DA19C2">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1FDF4C79">
        <w:rPr>
          <w:rFonts w:ascii="Calibri" w:hAnsi="Calibri" w:eastAsia="Calibri" w:cs="Calibri"/>
          <w:b w:val="1"/>
          <w:bCs w:val="1"/>
          <w:noProof w:val="0"/>
          <w:color w:val="156082" w:themeColor="accent1" w:themeTint="FF" w:themeShade="FF"/>
          <w:sz w:val="22"/>
          <w:szCs w:val="22"/>
          <w:lang w:val="en-US"/>
        </w:rPr>
        <w:t>2. Factors Related to Business Transformation, Digital Technology Trends and Flexible Working</w:t>
      </w:r>
      <w:r w:rsidRPr="50268F94" w:rsidR="1FDF4C79">
        <w:rPr>
          <w:rFonts w:ascii="Calibri" w:hAnsi="Calibri" w:eastAsia="Calibri" w:cs="Calibri"/>
          <w:noProof w:val="0"/>
          <w:color w:val="156082" w:themeColor="accent1" w:themeTint="FF" w:themeShade="FF"/>
          <w:sz w:val="22"/>
          <w:szCs w:val="22"/>
          <w:lang w:val="en-US"/>
        </w:rPr>
        <w:t xml:space="preserve"> </w:t>
      </w:r>
    </w:p>
    <w:p w:rsidR="1FDF4C79" w:rsidP="50268F94" w:rsidRDefault="1FDF4C79" w14:paraId="52A37339" w14:textId="7E942E51">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1FDF4C79">
        <w:rPr>
          <w:rFonts w:ascii="Calibri" w:hAnsi="Calibri" w:eastAsia="Calibri" w:cs="Calibri"/>
          <w:b w:val="1"/>
          <w:bCs w:val="1"/>
          <w:noProof w:val="0"/>
          <w:color w:val="156082" w:themeColor="accent1" w:themeTint="FF" w:themeShade="FF"/>
          <w:sz w:val="22"/>
          <w:szCs w:val="22"/>
          <w:lang w:val="en-US"/>
        </w:rPr>
        <w:t>2.1 Business Transformation Factors</w:t>
      </w:r>
      <w:r w:rsidRPr="50268F94" w:rsidR="1FDF4C79">
        <w:rPr>
          <w:rFonts w:ascii="Calibri" w:hAnsi="Calibri" w:eastAsia="Calibri" w:cs="Calibri"/>
          <w:noProof w:val="0"/>
          <w:color w:val="156082" w:themeColor="accent1" w:themeTint="FF" w:themeShade="FF"/>
          <w:sz w:val="22"/>
          <w:szCs w:val="22"/>
          <w:lang w:val="en-US"/>
        </w:rPr>
        <w:t xml:space="preserve"> </w:t>
      </w:r>
    </w:p>
    <w:p w:rsidR="1FDF4C79" w:rsidP="50268F94" w:rsidRDefault="1FDF4C79" w14:paraId="0E3F2A05" w14:textId="7CA9DC2D">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Business transformation at Efficient Logistic is driven by the need for scalability, competitive advantage and customer responsiveness. According to Armstrong (2020), organisational transformation often involves realignment of structure, systems and culture to support new strategic priorities. For Efficient Logistic, this includes automating delivery processes, expanding operations and embedding a performance-driven culture. However, such large-scale change inevitably generates uncertainty, resistance and skill gaps among employees (Kotter, 2012). </w:t>
      </w:r>
    </w:p>
    <w:p w:rsidR="1FDF4C79" w:rsidP="50268F94" w:rsidRDefault="1FDF4C79" w14:paraId="00D208FA" w14:textId="29DC2D46">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In logistics, transformation requires stronger leadership, clearer communication, and an adaptive workforce capable of managing rapid change. Employees at the Birmingham depot face new expectations in data literacy, compliance, and digital communication. The HR department must therefore align transformation initiatives with employee development and wellbeing (CIPD, 2023a). Without this alignment, morale may decline and turnover may increase—factors that have already contributed to grievance cases within the depot. </w:t>
      </w:r>
    </w:p>
    <w:p w:rsidR="1FDF4C79" w:rsidP="50268F94" w:rsidRDefault="1FDF4C79" w14:paraId="7BD5B123" w14:textId="075565D8">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1FDF4C79">
        <w:rPr>
          <w:rFonts w:ascii="Calibri" w:hAnsi="Calibri" w:eastAsia="Calibri" w:cs="Calibri"/>
          <w:b w:val="1"/>
          <w:bCs w:val="1"/>
          <w:noProof w:val="0"/>
          <w:color w:val="156082" w:themeColor="accent1" w:themeTint="FF" w:themeShade="FF"/>
          <w:sz w:val="22"/>
          <w:szCs w:val="22"/>
          <w:lang w:val="en-US"/>
        </w:rPr>
        <w:t>2.2 Digital Technology Trends</w:t>
      </w:r>
      <w:r w:rsidRPr="50268F94" w:rsidR="1FDF4C79">
        <w:rPr>
          <w:rFonts w:ascii="Calibri" w:hAnsi="Calibri" w:eastAsia="Calibri" w:cs="Calibri"/>
          <w:noProof w:val="0"/>
          <w:color w:val="156082" w:themeColor="accent1" w:themeTint="FF" w:themeShade="FF"/>
          <w:sz w:val="22"/>
          <w:szCs w:val="22"/>
          <w:lang w:val="en-US"/>
        </w:rPr>
        <w:t xml:space="preserve"> </w:t>
      </w:r>
    </w:p>
    <w:p w:rsidR="3E359B5A" w:rsidP="50268F94" w:rsidRDefault="3E359B5A" w14:paraId="5F3B2F9E" w14:textId="18AA1065">
      <w:pPr>
        <w:spacing w:before="0" w:beforeAutospacing="off" w:after="160" w:afterAutospacing="off" w:line="257" w:lineRule="auto"/>
      </w:pPr>
      <w:r w:rsidRPr="50268F94" w:rsidR="3E359B5A">
        <w:rPr>
          <w:rFonts w:ascii="Calibri" w:hAnsi="Calibri" w:eastAsia="Calibri" w:cs="Calibri"/>
          <w:noProof w:val="0"/>
          <w:sz w:val="22"/>
          <w:szCs w:val="22"/>
          <w:lang w:val="en-US"/>
        </w:rPr>
        <w:t>Digitalization</w:t>
      </w:r>
      <w:r w:rsidRPr="50268F94" w:rsidR="1FDF4C79">
        <w:rPr>
          <w:rFonts w:ascii="Calibri" w:hAnsi="Calibri" w:eastAsia="Calibri" w:cs="Calibri"/>
          <w:noProof w:val="0"/>
          <w:sz w:val="22"/>
          <w:szCs w:val="22"/>
          <w:lang w:val="en-US"/>
        </w:rPr>
        <w:t xml:space="preserve"> has become a defining feature of </w:t>
      </w:r>
      <w:r w:rsidRPr="50268F94" w:rsidR="1FDF4C79">
        <w:rPr>
          <w:rFonts w:ascii="Calibri" w:hAnsi="Calibri" w:eastAsia="Calibri" w:cs="Calibri"/>
          <w:noProof w:val="0"/>
          <w:sz w:val="22"/>
          <w:szCs w:val="22"/>
          <w:lang w:val="en-US"/>
        </w:rPr>
        <w:t>logistics</w:t>
      </w:r>
      <w:r w:rsidRPr="50268F94" w:rsidR="1FDF4C79">
        <w:rPr>
          <w:rFonts w:ascii="Calibri" w:hAnsi="Calibri" w:eastAsia="Calibri" w:cs="Calibri"/>
          <w:noProof w:val="0"/>
          <w:sz w:val="22"/>
          <w:szCs w:val="22"/>
          <w:lang w:val="en-US"/>
        </w:rPr>
        <w:t xml:space="preserve"> management. Emerging technologies such as artificial intelligence (AI), telematics, route </w:t>
      </w:r>
      <w:r w:rsidRPr="50268F94" w:rsidR="1FDF4C79">
        <w:rPr>
          <w:rFonts w:ascii="Calibri" w:hAnsi="Calibri" w:eastAsia="Calibri" w:cs="Calibri"/>
          <w:noProof w:val="0"/>
          <w:sz w:val="22"/>
          <w:szCs w:val="22"/>
          <w:lang w:val="en-US"/>
        </w:rPr>
        <w:t>optimisation</w:t>
      </w:r>
      <w:r w:rsidRPr="50268F94" w:rsidR="1FDF4C79">
        <w:rPr>
          <w:rFonts w:ascii="Calibri" w:hAnsi="Calibri" w:eastAsia="Calibri" w:cs="Calibri"/>
          <w:noProof w:val="0"/>
          <w:sz w:val="22"/>
          <w:szCs w:val="22"/>
          <w:lang w:val="en-US"/>
        </w:rPr>
        <w:t xml:space="preserve"> </w:t>
      </w:r>
      <w:r w:rsidRPr="50268F94" w:rsidR="1FDF4C79">
        <w:rPr>
          <w:rFonts w:ascii="Calibri" w:hAnsi="Calibri" w:eastAsia="Calibri" w:cs="Calibri"/>
          <w:noProof w:val="0"/>
          <w:sz w:val="22"/>
          <w:szCs w:val="22"/>
          <w:lang w:val="en-US"/>
        </w:rPr>
        <w:t>software</w:t>
      </w:r>
      <w:r w:rsidRPr="50268F94" w:rsidR="1FDF4C79">
        <w:rPr>
          <w:rFonts w:ascii="Calibri" w:hAnsi="Calibri" w:eastAsia="Calibri" w:cs="Calibri"/>
          <w:noProof w:val="0"/>
          <w:sz w:val="22"/>
          <w:szCs w:val="22"/>
          <w:lang w:val="en-US"/>
        </w:rPr>
        <w:t xml:space="preserve"> and HR analytics are reshaping how work is designed and managed (Parry &amp; Battista, 2019). For Efficient Logistic, digital transformation means adopting data-driven dashboards for driver performance, customer </w:t>
      </w:r>
      <w:r w:rsidRPr="50268F94" w:rsidR="1FDF4C79">
        <w:rPr>
          <w:rFonts w:ascii="Calibri" w:hAnsi="Calibri" w:eastAsia="Calibri" w:cs="Calibri"/>
          <w:noProof w:val="0"/>
          <w:sz w:val="22"/>
          <w:szCs w:val="22"/>
          <w:lang w:val="en-US"/>
        </w:rPr>
        <w:t>feedback</w:t>
      </w:r>
      <w:r w:rsidRPr="50268F94" w:rsidR="1FDF4C79">
        <w:rPr>
          <w:rFonts w:ascii="Calibri" w:hAnsi="Calibri" w:eastAsia="Calibri" w:cs="Calibri"/>
          <w:noProof w:val="0"/>
          <w:sz w:val="22"/>
          <w:szCs w:val="22"/>
          <w:lang w:val="en-US"/>
        </w:rPr>
        <w:t xml:space="preserve"> and real-time delivery tracking. While these innovations enhance efficiency, they also require digital upskilling, new ethical standards for data use, and a supportive culture that encourages experimentation (Ulrich et al., 2017). </w:t>
      </w:r>
    </w:p>
    <w:p w:rsidR="1FDF4C79" w:rsidP="50268F94" w:rsidRDefault="1FDF4C79" w14:paraId="0FC86E40" w14:textId="3482E859">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From an HR perspective, the integration of digital HR systems—such as e-recruitment, e-learning and self-service portals—can streamline processes but may also depersonalise employee interactions if not managed sensitively (Torrington et al., 2020). The challenge is balancing technological advancement with the human aspects of leadership, empathy and inclusion. </w:t>
      </w:r>
    </w:p>
    <w:p w:rsidR="1FDF4C79" w:rsidP="50268F94" w:rsidRDefault="1FDF4C79" w14:paraId="5AF0C23B" w14:textId="5ADC2070">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1FDF4C79">
        <w:rPr>
          <w:rFonts w:ascii="Calibri" w:hAnsi="Calibri" w:eastAsia="Calibri" w:cs="Calibri"/>
          <w:b w:val="1"/>
          <w:bCs w:val="1"/>
          <w:noProof w:val="0"/>
          <w:color w:val="156082" w:themeColor="accent1" w:themeTint="FF" w:themeShade="FF"/>
          <w:sz w:val="22"/>
          <w:szCs w:val="22"/>
          <w:lang w:val="en-US"/>
        </w:rPr>
        <w:t>2.3 Flexible Working Arrangements</w:t>
      </w:r>
      <w:r w:rsidRPr="50268F94" w:rsidR="1FDF4C79">
        <w:rPr>
          <w:rFonts w:ascii="Calibri" w:hAnsi="Calibri" w:eastAsia="Calibri" w:cs="Calibri"/>
          <w:noProof w:val="0"/>
          <w:color w:val="156082" w:themeColor="accent1" w:themeTint="FF" w:themeShade="FF"/>
          <w:sz w:val="22"/>
          <w:szCs w:val="22"/>
          <w:lang w:val="en-US"/>
        </w:rPr>
        <w:t xml:space="preserve"> </w:t>
      </w:r>
    </w:p>
    <w:p w:rsidR="1FDF4C79" w:rsidP="50268F94" w:rsidRDefault="1FDF4C79" w14:paraId="29FF7A12" w14:textId="0794D117">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The COVID-19 pandemic accelerated flexible work practices across industries, and logistics is no exception. Although much of Efficient Logistic’s workforce performs operational, on-site duties, administrative and managerial roles have shifted towards hybrid or flexible scheduling. Flexible working can improve job satisfaction, work–life balance and productivity (CIPD, 2022). However, poorly managed flexibility can lead to inequality between remote-eligible and site-bound employees, reduced team cohesion and communication barriers (Hill et al., 2021). </w:t>
      </w:r>
    </w:p>
    <w:p w:rsidR="1FDF4C79" w:rsidP="50268F94" w:rsidRDefault="1FDF4C79" w14:paraId="1F2C59A1" w14:textId="3F73D624">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In the Birmingham depot, balancing flexibility for office staff with fairness for delivery drivers is a sensitive issue that directly influences employee relations. HR must ensure policies promote inclusivity and transparent criteria for remote work, while maintaining performance and service standards. </w:t>
      </w:r>
    </w:p>
    <w:p w:rsidR="1FDF4C79" w:rsidP="50268F94" w:rsidRDefault="1FDF4C79" w14:paraId="5F5A9912" w14:textId="72135133">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 </w:t>
      </w:r>
    </w:p>
    <w:p w:rsidR="1FDF4C79" w:rsidP="50268F94" w:rsidRDefault="1FDF4C79" w14:paraId="1102F2B5" w14:textId="167A10E9">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 </w:t>
      </w:r>
    </w:p>
    <w:p w:rsidR="1FDF4C79" w:rsidP="50268F94" w:rsidRDefault="1FDF4C79" w14:paraId="44407893" w14:textId="02A4AB98">
      <w:pPr>
        <w:spacing w:before="0" w:beforeAutospacing="off" w:after="160" w:afterAutospacing="off" w:line="257" w:lineRule="auto"/>
      </w:pPr>
      <w:r w:rsidRPr="50268F94" w:rsidR="1FDF4C79">
        <w:rPr>
          <w:rFonts w:ascii="Calibri" w:hAnsi="Calibri" w:eastAsia="Calibri" w:cs="Calibri"/>
          <w:noProof w:val="0"/>
          <w:sz w:val="22"/>
          <w:szCs w:val="22"/>
          <w:lang w:val="en-US"/>
        </w:rPr>
        <w:t xml:space="preserve"> </w:t>
      </w:r>
    </w:p>
    <w:p w:rsidR="5373B11E" w:rsidP="50268F94" w:rsidRDefault="5373B11E" w14:paraId="160F83D0" w14:textId="2EBB61D6">
      <w:pPr>
        <w:pStyle w:val="Normal"/>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5373B11E">
        <w:rPr>
          <w:rFonts w:ascii="Calibri" w:hAnsi="Calibri" w:eastAsia="Calibri" w:cs="Calibri"/>
          <w:b w:val="1"/>
          <w:bCs w:val="1"/>
          <w:noProof w:val="0"/>
          <w:color w:val="156082" w:themeColor="accent1" w:themeTint="FF" w:themeShade="FF"/>
          <w:sz w:val="22"/>
          <w:szCs w:val="22"/>
          <w:lang w:val="en-US"/>
        </w:rPr>
        <w:t>Page 3</w:t>
      </w:r>
      <w:r w:rsidRPr="50268F94" w:rsidR="1FDF4C79">
        <w:rPr>
          <w:rFonts w:ascii="Calibri" w:hAnsi="Calibri" w:eastAsia="Calibri" w:cs="Calibri"/>
          <w:noProof w:val="0"/>
          <w:sz w:val="22"/>
          <w:szCs w:val="22"/>
          <w:lang w:val="en-US"/>
        </w:rPr>
        <w:t xml:space="preserve"> </w:t>
      </w:r>
    </w:p>
    <w:p w:rsidR="30252A27" w:rsidP="50268F94" w:rsidRDefault="30252A27" w14:paraId="482FED58" w14:textId="02562602">
      <w:pPr>
        <w:spacing w:before="240" w:beforeAutospacing="off" w:after="240" w:afterAutospacing="off"/>
      </w:pPr>
      <w:r w:rsidRPr="50268F94" w:rsidR="30252A27">
        <w:rPr>
          <w:rFonts w:ascii="Calibri" w:hAnsi="Calibri" w:eastAsia="Calibri" w:cs="Calibri"/>
          <w:noProof w:val="0"/>
          <w:sz w:val="22"/>
          <w:szCs w:val="22"/>
          <w:lang w:val="en-US"/>
        </w:rPr>
        <w:t>Efficient Logistic’s ongoing transformation requires the HR function to implement contemporary practices that strategically address business transformation, digital technology trends, and flexible working arrangements. Evaluating these practices demonstrates how HR can both facilitate organisational change and enhance employee engagement.</w:t>
      </w:r>
    </w:p>
    <w:p w:rsidR="30252A27" w:rsidP="50268F94" w:rsidRDefault="30252A27" w14:paraId="4A4D6BCF" w14:textId="105D98EC">
      <w:pPr>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r w:rsidRPr="50268F94" w:rsidR="30252A27">
        <w:rPr>
          <w:rFonts w:ascii="Calibri" w:hAnsi="Calibri" w:eastAsia="Calibri" w:cs="Calibri"/>
          <w:b w:val="1"/>
          <w:bCs w:val="1"/>
          <w:noProof w:val="0"/>
          <w:color w:val="156082" w:themeColor="accent1" w:themeTint="FF" w:themeShade="FF"/>
          <w:sz w:val="22"/>
          <w:szCs w:val="22"/>
          <w:lang w:val="en-US"/>
        </w:rPr>
        <w:t>HR Practices for Business Transformation</w:t>
      </w:r>
    </w:p>
    <w:p w:rsidR="30252A27" w:rsidP="50268F94" w:rsidRDefault="30252A27" w14:paraId="31F307D6" w14:textId="0BD8BB55">
      <w:pPr>
        <w:spacing w:before="240" w:beforeAutospacing="off" w:after="240" w:afterAutospacing="off"/>
      </w:pPr>
      <w:r w:rsidRPr="50268F94" w:rsidR="30252A27">
        <w:rPr>
          <w:rFonts w:ascii="Calibri" w:hAnsi="Calibri" w:eastAsia="Calibri" w:cs="Calibri"/>
          <w:noProof w:val="0"/>
          <w:sz w:val="22"/>
          <w:szCs w:val="22"/>
          <w:lang w:val="en-US"/>
        </w:rPr>
        <w:t>Strategic alignment between HR and organisational change is critical during large-scale transformation. Kotter’s (2012) eight-step change model highlights the importance of establishing urgency, building coalitions, empowering employees, and embedding new practices. For Efficient Logistic, HR can use strategic workforce planning to anticipate skill gaps and future talent requirements, ensuring the right personnel are in place to support transformation objectives. Learning and development (L&amp;D) frameworks, such as the 70-20-10 model, provide a structured approach to skill acquisition, combining experiential learning, social learning, and formal training (Armstrong &amp; Taylor, 2023). These frameworks equip employees with both technical and leadership capabilities required in a digitally evolving logistics environment.</w:t>
      </w:r>
    </w:p>
    <w:p w:rsidR="30252A27" w:rsidP="50268F94" w:rsidRDefault="30252A27" w14:paraId="2291CF5A" w14:textId="6CDEC924">
      <w:pPr>
        <w:spacing w:before="240" w:beforeAutospacing="off" w:after="240" w:afterAutospacing="off"/>
      </w:pPr>
      <w:r w:rsidRPr="50268F94" w:rsidR="30252A27">
        <w:rPr>
          <w:rFonts w:ascii="Calibri" w:hAnsi="Calibri" w:eastAsia="Calibri" w:cs="Calibri"/>
          <w:noProof w:val="0"/>
          <w:sz w:val="22"/>
          <w:szCs w:val="22"/>
          <w:lang w:val="en-US"/>
        </w:rPr>
        <w:t>Consultative forums and employee involvement initiatives can reduce resistance to change by fostering trust and participation (Schein, 2013). Transparent communication during restructuring also supports psychological safety, allowing employees to voice concerns without fear of reprisal. Performance management systems linked to transformation goals can further align individual contributions with organisational objectives (CIPD, 2023b). For example, KPIs that measure digital skill acquisition or innovative contributions reinforce the connection between personal growth and company success. Collectively, these HR practices create a supportive environment where transformation is embraced rather than resisted.</w:t>
      </w:r>
    </w:p>
    <w:p w:rsidR="30252A27" w:rsidP="50268F94" w:rsidRDefault="30252A27" w14:paraId="4346084A" w14:textId="0893FE37">
      <w:pPr>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r w:rsidRPr="50268F94" w:rsidR="30252A27">
        <w:rPr>
          <w:rFonts w:ascii="Calibri" w:hAnsi="Calibri" w:eastAsia="Calibri" w:cs="Calibri"/>
          <w:b w:val="1"/>
          <w:bCs w:val="1"/>
          <w:noProof w:val="0"/>
          <w:color w:val="156082" w:themeColor="accent1" w:themeTint="FF" w:themeShade="FF"/>
          <w:sz w:val="22"/>
          <w:szCs w:val="22"/>
          <w:lang w:val="en-US"/>
        </w:rPr>
        <w:t>HR Practices for Digital Technology Trends</w:t>
      </w:r>
    </w:p>
    <w:p w:rsidR="30252A27" w:rsidP="50268F94" w:rsidRDefault="30252A27" w14:paraId="0B703999" w14:textId="1BAE9367">
      <w:pPr>
        <w:spacing w:before="240" w:beforeAutospacing="off" w:after="240" w:afterAutospacing="off"/>
      </w:pPr>
      <w:r w:rsidRPr="50268F94" w:rsidR="30252A27">
        <w:rPr>
          <w:rFonts w:ascii="Calibri" w:hAnsi="Calibri" w:eastAsia="Calibri" w:cs="Calibri"/>
          <w:noProof w:val="0"/>
          <w:sz w:val="22"/>
          <w:szCs w:val="22"/>
          <w:lang w:val="en-US"/>
        </w:rPr>
        <w:t>Digitalisation in logistics requires HR to champion capability building and the responsible use of technology. Evidence shows that effective e-HRM relies on developing both technical and social competencies (Bondarouk &amp; Brewster, 2016). Efficient Logistic can implement digital literacy programmes and mentorship schemes that combine formal training with peer learning to ensure employees are confident using new systems.</w:t>
      </w:r>
    </w:p>
    <w:p w:rsidR="3BB38701" w:rsidP="50268F94" w:rsidRDefault="3BB38701" w14:paraId="0E740ABB" w14:textId="38C1F028">
      <w:pPr>
        <w:pStyle w:val="Normal"/>
        <w:spacing w:before="240" w:beforeAutospacing="off" w:after="240" w:afterAutospacing="off"/>
        <w:rPr>
          <w:rFonts w:ascii="Calibri" w:hAnsi="Calibri" w:eastAsia="Calibri" w:cs="Calibri"/>
          <w:noProof w:val="0"/>
          <w:sz w:val="22"/>
          <w:szCs w:val="22"/>
          <w:lang w:val="en-US"/>
        </w:rPr>
      </w:pPr>
      <w:r w:rsidRPr="50268F94" w:rsidR="3BB38701">
        <w:rPr>
          <w:rFonts w:ascii="Calibri" w:hAnsi="Calibri" w:eastAsia="Calibri" w:cs="Calibri"/>
          <w:b w:val="1"/>
          <w:bCs w:val="1"/>
          <w:noProof w:val="0"/>
          <w:color w:val="156082" w:themeColor="accent1" w:themeTint="FF" w:themeShade="FF"/>
          <w:sz w:val="22"/>
          <w:szCs w:val="22"/>
          <w:lang w:val="en-US"/>
        </w:rPr>
        <w:t>Page 4</w:t>
      </w:r>
    </w:p>
    <w:p w:rsidR="30252A27" w:rsidP="50268F94" w:rsidRDefault="30252A27" w14:paraId="1B236183" w14:textId="37E3A393">
      <w:pPr>
        <w:pStyle w:val="Normal"/>
        <w:spacing w:before="240" w:beforeAutospacing="off" w:after="240" w:afterAutospacing="off"/>
        <w:rPr>
          <w:rFonts w:ascii="Calibri" w:hAnsi="Calibri" w:eastAsia="Calibri" w:cs="Calibri"/>
          <w:noProof w:val="0"/>
          <w:color w:val="156082" w:themeColor="accent1" w:themeTint="FF" w:themeShade="FF"/>
          <w:sz w:val="22"/>
          <w:szCs w:val="22"/>
          <w:lang w:val="en-US"/>
        </w:rPr>
      </w:pPr>
      <w:r w:rsidRPr="50268F94" w:rsidR="30252A27">
        <w:rPr>
          <w:rFonts w:ascii="Calibri" w:hAnsi="Calibri" w:eastAsia="Calibri" w:cs="Calibri"/>
          <w:noProof w:val="0"/>
          <w:sz w:val="22"/>
          <w:szCs w:val="22"/>
          <w:lang w:val="en-US"/>
        </w:rPr>
        <w:t xml:space="preserve">HR analytics enables data-driven decision-making in areas such as absenteeism, turnover, and performance management (Marler &amp; Boudreau, 2017). However, ethical use of data is essential; clear communication about privacy safeguards </w:t>
      </w:r>
      <w:r w:rsidRPr="50268F94" w:rsidR="30252A27">
        <w:rPr>
          <w:rFonts w:ascii="Calibri" w:hAnsi="Calibri" w:eastAsia="Calibri" w:cs="Calibri"/>
          <w:noProof w:val="0"/>
          <w:sz w:val="22"/>
          <w:szCs w:val="22"/>
          <w:lang w:val="en-US"/>
        </w:rPr>
        <w:t>maintains</w:t>
      </w:r>
      <w:r w:rsidRPr="50268F94" w:rsidR="30252A27">
        <w:rPr>
          <w:rFonts w:ascii="Calibri" w:hAnsi="Calibri" w:eastAsia="Calibri" w:cs="Calibri"/>
          <w:noProof w:val="0"/>
          <w:sz w:val="22"/>
          <w:szCs w:val="22"/>
          <w:lang w:val="en-US"/>
        </w:rPr>
        <w:t xml:space="preserve"> employee trust. AI-assisted recruitment tools can enhance fairness and efficiency, provided algorithms are </w:t>
      </w:r>
      <w:r w:rsidRPr="50268F94" w:rsidR="30252A27">
        <w:rPr>
          <w:rFonts w:ascii="Calibri" w:hAnsi="Calibri" w:eastAsia="Calibri" w:cs="Calibri"/>
          <w:noProof w:val="0"/>
          <w:sz w:val="22"/>
          <w:szCs w:val="22"/>
          <w:lang w:val="en-US"/>
        </w:rPr>
        <w:t>monitored</w:t>
      </w:r>
      <w:r w:rsidRPr="50268F94" w:rsidR="30252A27">
        <w:rPr>
          <w:rFonts w:ascii="Calibri" w:hAnsi="Calibri" w:eastAsia="Calibri" w:cs="Calibri"/>
          <w:noProof w:val="0"/>
          <w:sz w:val="22"/>
          <w:szCs w:val="22"/>
          <w:lang w:val="en-US"/>
        </w:rPr>
        <w:t xml:space="preserve"> to prevent bias (CIPD, 2022).</w:t>
      </w:r>
    </w:p>
    <w:p w:rsidR="30252A27" w:rsidP="50268F94" w:rsidRDefault="30252A27" w14:paraId="43E7AB9F" w14:textId="7B90C228">
      <w:pPr>
        <w:spacing w:before="240" w:beforeAutospacing="off" w:after="240" w:afterAutospacing="off"/>
      </w:pPr>
      <w:r w:rsidRPr="50268F94" w:rsidR="30252A27">
        <w:rPr>
          <w:rFonts w:ascii="Calibri" w:hAnsi="Calibri" w:eastAsia="Calibri" w:cs="Calibri"/>
          <w:noProof w:val="0"/>
          <w:sz w:val="22"/>
          <w:szCs w:val="22"/>
          <w:lang w:val="en-US"/>
        </w:rPr>
        <w:t>E-learning platforms support continuous upskilling in compliance, safety, and leadership, enabling employees to adapt to changing operational requirements. Ulrich et al. (2017) argue that digital HR should create “value through organisation,” meaning technology should augment rather than replace human interaction. HR practices that integrate automation with opportunities for feedback, coaching, and dialogue ensure employees feel valued and included rather than controlled or surveilled.</w:t>
      </w:r>
    </w:p>
    <w:p w:rsidR="30252A27" w:rsidP="50268F94" w:rsidRDefault="30252A27" w14:paraId="4FB21767" w14:textId="51DE6235">
      <w:pPr>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r w:rsidRPr="50268F94" w:rsidR="30252A27">
        <w:rPr>
          <w:rFonts w:ascii="Calibri" w:hAnsi="Calibri" w:eastAsia="Calibri" w:cs="Calibri"/>
          <w:b w:val="1"/>
          <w:bCs w:val="1"/>
          <w:noProof w:val="0"/>
          <w:color w:val="156082" w:themeColor="accent1" w:themeTint="FF" w:themeShade="FF"/>
          <w:sz w:val="22"/>
          <w:szCs w:val="22"/>
          <w:lang w:val="en-US"/>
        </w:rPr>
        <w:t>HR Practices for Flexible Working</w:t>
      </w:r>
      <w:r w:rsidRPr="50268F94" w:rsidR="46CCDA7B">
        <w:rPr>
          <w:rFonts w:ascii="Calibri" w:hAnsi="Calibri" w:eastAsia="Calibri" w:cs="Calibri"/>
          <w:b w:val="1"/>
          <w:bCs w:val="1"/>
          <w:noProof w:val="0"/>
          <w:color w:val="156082" w:themeColor="accent1" w:themeTint="FF" w:themeShade="FF"/>
          <w:sz w:val="22"/>
          <w:szCs w:val="22"/>
          <w:lang w:val="en-US"/>
        </w:rPr>
        <w:t xml:space="preserve"> </w:t>
      </w:r>
    </w:p>
    <w:p w:rsidR="30252A27" w:rsidP="50268F94" w:rsidRDefault="30252A27" w14:paraId="7754B1D1" w14:textId="3EB0ED44">
      <w:pPr>
        <w:spacing w:before="240" w:beforeAutospacing="off" w:after="240" w:afterAutospacing="off"/>
      </w:pPr>
      <w:r w:rsidRPr="50268F94" w:rsidR="30252A27">
        <w:rPr>
          <w:rFonts w:ascii="Calibri" w:hAnsi="Calibri" w:eastAsia="Calibri" w:cs="Calibri"/>
          <w:noProof w:val="0"/>
          <w:sz w:val="22"/>
          <w:szCs w:val="22"/>
          <w:lang w:val="en-US"/>
        </w:rPr>
        <w:t>Flexible working has become a central component of employee engagement strategies. Contemporary HR practices—such as hybrid scheduling, job-sharing, and compressed hours—improve retention and work–life balance when applied equitably (Hill et al., 2021). Efficient Logistic should adopt the CIPD’s flexible-by-design framework, embedding flexibility into job design from inception (CIPD, 2023a).</w:t>
      </w:r>
    </w:p>
    <w:p w:rsidR="30252A27" w:rsidP="50268F94" w:rsidRDefault="30252A27" w14:paraId="7E03607B" w14:textId="59743D22">
      <w:pPr>
        <w:spacing w:before="240" w:beforeAutospacing="off" w:after="240" w:afterAutospacing="off"/>
      </w:pPr>
      <w:r w:rsidRPr="50268F94" w:rsidR="30252A27">
        <w:rPr>
          <w:rFonts w:ascii="Calibri" w:hAnsi="Calibri" w:eastAsia="Calibri" w:cs="Calibri"/>
          <w:noProof w:val="0"/>
          <w:sz w:val="22"/>
          <w:szCs w:val="22"/>
          <w:lang w:val="en-US"/>
        </w:rPr>
        <w:t>Managers can operationalise results-only work environment (ROWE) principles, focusing on outputs rather than physical presence (Kelly et al., 2020). This approach requires digital collaboration tools and performance metrics aligned with deliverables, ensuring accountability without micromanagement. HR can further support flexible work through wellbeing initiatives, including employee assistance programmes and workload management resources, to reduce isolation risks among remote or hybrid employees (Torrington et al., 2020).</w:t>
      </w:r>
    </w:p>
    <w:p w:rsidR="30252A27" w:rsidP="50268F94" w:rsidRDefault="30252A27" w14:paraId="557ED485" w14:textId="78A31C84">
      <w:pPr>
        <w:spacing w:before="240" w:beforeAutospacing="off" w:after="240" w:afterAutospacing="off"/>
      </w:pPr>
      <w:r w:rsidRPr="50268F94" w:rsidR="30252A27">
        <w:rPr>
          <w:rFonts w:ascii="Calibri" w:hAnsi="Calibri" w:eastAsia="Calibri" w:cs="Calibri"/>
          <w:noProof w:val="0"/>
          <w:sz w:val="22"/>
          <w:szCs w:val="22"/>
          <w:lang w:val="en-US"/>
        </w:rPr>
        <w:t>Inclusive communication strategies, such as virtual town halls, online forums, and anonymous feedback channels, maintain cohesion between on-site and remote staff. When flexibility is implemented with fairness, trust, and transparent processes, it enhances engagement, innovation, and organisational performance.</w:t>
      </w:r>
    </w:p>
    <w:p w:rsidR="30252A27" w:rsidP="50268F94" w:rsidRDefault="30252A27" w14:paraId="6400BB2C" w14:textId="4A0AC944">
      <w:pPr>
        <w:spacing w:before="240" w:beforeAutospacing="off" w:after="240" w:afterAutospacing="off"/>
      </w:pPr>
      <w:r w:rsidRPr="50268F94" w:rsidR="30252A27">
        <w:rPr>
          <w:rFonts w:ascii="Calibri" w:hAnsi="Calibri" w:eastAsia="Calibri" w:cs="Calibri"/>
          <w:noProof w:val="0"/>
          <w:sz w:val="22"/>
          <w:szCs w:val="22"/>
          <w:lang w:val="en-US"/>
        </w:rPr>
        <w:t xml:space="preserve">In conclusion, contemporary HR practices provide a comprehensive toolkit for addressing the challenges of business transformation, digital technology integration, and flexible working. By strategically aligning workforce development, ethical technology adoption, and </w:t>
      </w:r>
      <w:r w:rsidRPr="50268F94" w:rsidR="30252A27">
        <w:rPr>
          <w:rFonts w:ascii="Calibri" w:hAnsi="Calibri" w:eastAsia="Calibri" w:cs="Calibri"/>
          <w:noProof w:val="0"/>
          <w:sz w:val="22"/>
          <w:szCs w:val="22"/>
          <w:lang w:val="en-US"/>
        </w:rPr>
        <w:t>equitable</w:t>
      </w:r>
      <w:r w:rsidRPr="50268F94" w:rsidR="30252A27">
        <w:rPr>
          <w:rFonts w:ascii="Calibri" w:hAnsi="Calibri" w:eastAsia="Calibri" w:cs="Calibri"/>
          <w:noProof w:val="0"/>
          <w:sz w:val="22"/>
          <w:szCs w:val="22"/>
          <w:lang w:val="en-US"/>
        </w:rPr>
        <w:t xml:space="preserve"> flexibility measures, Efficient Logistic can navigate disruption while fostering a motivated, skilled, and resilient workforce. These </w:t>
      </w:r>
    </w:p>
    <w:p w:rsidR="3F088F78" w:rsidP="50268F94" w:rsidRDefault="3F088F78" w14:paraId="4DBAD8F7" w14:textId="75398154">
      <w:pPr>
        <w:pStyle w:val="Normal"/>
        <w:spacing w:before="240" w:beforeAutospacing="off" w:after="240" w:afterAutospacing="off"/>
        <w:rPr>
          <w:rFonts w:ascii="Calibri" w:hAnsi="Calibri" w:eastAsia="Calibri" w:cs="Calibri"/>
          <w:noProof w:val="0"/>
          <w:color w:val="156082" w:themeColor="accent1" w:themeTint="FF" w:themeShade="FF"/>
          <w:sz w:val="22"/>
          <w:szCs w:val="22"/>
          <w:lang w:val="en-US"/>
        </w:rPr>
      </w:pPr>
      <w:r w:rsidRPr="50268F94" w:rsidR="3F088F78">
        <w:rPr>
          <w:rFonts w:ascii="Calibri" w:hAnsi="Calibri" w:eastAsia="Calibri" w:cs="Calibri"/>
          <w:b w:val="1"/>
          <w:bCs w:val="1"/>
          <w:noProof w:val="0"/>
          <w:color w:val="156082" w:themeColor="accent1" w:themeTint="FF" w:themeShade="FF"/>
          <w:sz w:val="22"/>
          <w:szCs w:val="22"/>
          <w:lang w:val="en-US"/>
        </w:rPr>
        <w:t>Page 5</w:t>
      </w:r>
    </w:p>
    <w:p w:rsidR="3F088F78" w:rsidP="50268F94" w:rsidRDefault="3F088F78" w14:paraId="34B635D1" w14:textId="433A0F34">
      <w:pPr>
        <w:spacing w:before="240" w:beforeAutospacing="off" w:after="240" w:afterAutospacing="off"/>
      </w:pPr>
      <w:r w:rsidRPr="50268F94" w:rsidR="3F088F78">
        <w:rPr>
          <w:rFonts w:ascii="Calibri" w:hAnsi="Calibri" w:eastAsia="Calibri" w:cs="Calibri"/>
          <w:noProof w:val="0"/>
          <w:sz w:val="22"/>
          <w:szCs w:val="22"/>
          <w:lang w:val="en-US"/>
        </w:rPr>
        <w:t>Practices</w:t>
      </w:r>
      <w:r w:rsidRPr="50268F94" w:rsidR="30252A27">
        <w:rPr>
          <w:rFonts w:ascii="Calibri" w:hAnsi="Calibri" w:eastAsia="Calibri" w:cs="Calibri"/>
          <w:noProof w:val="0"/>
          <w:sz w:val="22"/>
          <w:szCs w:val="22"/>
          <w:lang w:val="en-US"/>
        </w:rPr>
        <w:t xml:space="preserve"> ensure that transformation initiatives are sustainable, employee-centric, and supportive of long-term operational success.</w:t>
      </w:r>
    </w:p>
    <w:p w:rsidR="0009065C" w:rsidP="50268F94" w:rsidRDefault="0009065C" w14:paraId="520F2B8C" w14:textId="2CF54FD1">
      <w:pPr>
        <w:spacing w:before="240" w:beforeAutospacing="off" w:after="240" w:afterAutospacing="off"/>
      </w:pPr>
      <w:r w:rsidRPr="50268F94" w:rsidR="0009065C">
        <w:rPr>
          <w:rFonts w:ascii="Calibri" w:hAnsi="Calibri" w:eastAsia="Calibri" w:cs="Calibri"/>
          <w:noProof w:val="0"/>
          <w:sz w:val="22"/>
          <w:szCs w:val="22"/>
          <w:lang w:val="en-US"/>
        </w:rPr>
        <w:t>Departmental managers are crucial in translating HR strategies into practice, particularly during Efficient Logistic’s ongoing transformation. Their role as change agents, digital champions, and culture carriers (Ulrich et al., 2017) determines whether business transformation, digital adoption, and flexible working arrangements are successfully embedded. A critical evaluation highlights three key areas: leadership and accountability, embedding HR practices, and change communication.</w:t>
      </w:r>
    </w:p>
    <w:p w:rsidR="0009065C" w:rsidP="50268F94" w:rsidRDefault="0009065C" w14:paraId="0783B674" w14:textId="6593550C">
      <w:pPr>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r w:rsidRPr="50268F94" w:rsidR="0009065C">
        <w:rPr>
          <w:rFonts w:ascii="Calibri" w:hAnsi="Calibri" w:eastAsia="Calibri" w:cs="Calibri"/>
          <w:b w:val="1"/>
          <w:bCs w:val="1"/>
          <w:noProof w:val="0"/>
          <w:color w:val="156082" w:themeColor="accent1" w:themeTint="FF" w:themeShade="FF"/>
          <w:sz w:val="22"/>
          <w:szCs w:val="22"/>
          <w:lang w:val="en-US"/>
        </w:rPr>
        <w:t>Leadership and Accou</w:t>
      </w:r>
      <w:r w:rsidRPr="50268F94" w:rsidR="0009065C">
        <w:rPr>
          <w:rFonts w:ascii="Calibri" w:hAnsi="Calibri" w:eastAsia="Calibri" w:cs="Calibri"/>
          <w:b w:val="1"/>
          <w:bCs w:val="1"/>
          <w:noProof w:val="0"/>
          <w:color w:val="156082" w:themeColor="accent1" w:themeTint="FF" w:themeShade="FF"/>
          <w:sz w:val="22"/>
          <w:szCs w:val="22"/>
          <w:lang w:val="en-US"/>
        </w:rPr>
        <w:t>ntability</w:t>
      </w:r>
    </w:p>
    <w:p w:rsidR="0009065C" w:rsidP="50268F94" w:rsidRDefault="0009065C" w14:paraId="08A69774" w14:textId="143D00BD">
      <w:pPr>
        <w:spacing w:before="240" w:beforeAutospacing="off" w:after="240" w:afterAutospacing="off"/>
      </w:pPr>
      <w:r w:rsidRPr="50268F94" w:rsidR="0009065C">
        <w:rPr>
          <w:rFonts w:ascii="Calibri" w:hAnsi="Calibri" w:eastAsia="Calibri" w:cs="Calibri"/>
          <w:noProof w:val="0"/>
          <w:sz w:val="22"/>
          <w:szCs w:val="22"/>
          <w:lang w:val="en-US"/>
        </w:rPr>
        <w:t>Change urgency must be driven from middle management as well as senior leaders (Kotter, 2012). Departmental managers set expectations, model adaptable behaviours, and explain the strategic rationale for initiatives. Performance accountability frameworks, including metrics for engagement, turnover, and training completion, ensure responsibility is clear and measurable. Regular progress reviews with HR sustain momentum and identify challenges early.</w:t>
      </w:r>
    </w:p>
    <w:p w:rsidR="0009065C" w:rsidP="50268F94" w:rsidRDefault="0009065C" w14:paraId="32C5D9E2" w14:textId="3AD62A6A">
      <w:pPr>
        <w:spacing w:before="240" w:beforeAutospacing="off" w:after="240" w:afterAutospacing="off"/>
      </w:pPr>
      <w:r w:rsidRPr="50268F94" w:rsidR="0009065C">
        <w:rPr>
          <w:rFonts w:ascii="Calibri" w:hAnsi="Calibri" w:eastAsia="Calibri" w:cs="Calibri"/>
          <w:noProof w:val="0"/>
          <w:sz w:val="22"/>
          <w:szCs w:val="22"/>
          <w:lang w:val="en-US"/>
        </w:rPr>
        <w:t>However, not all managers possess the skills to lead transformational change. Without targeted development, they may default to transactional styles, focusing on routine compliance rather than fostering engagement. Leadership programmes that cultivate emotional intelligence, coaching, and digital confidence are essential (Goleman, 2018), enabling managers to guide employees through change while mitigating resistance.</w:t>
      </w:r>
    </w:p>
    <w:p w:rsidR="0009065C" w:rsidP="50268F94" w:rsidRDefault="0009065C" w14:paraId="1307A5C8" w14:textId="5FE9E647">
      <w:pPr>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r w:rsidRPr="50268F94" w:rsidR="0009065C">
        <w:rPr>
          <w:rFonts w:ascii="Calibri" w:hAnsi="Calibri" w:eastAsia="Calibri" w:cs="Calibri"/>
          <w:b w:val="1"/>
          <w:bCs w:val="1"/>
          <w:noProof w:val="0"/>
          <w:color w:val="156082" w:themeColor="accent1" w:themeTint="FF" w:themeShade="FF"/>
          <w:sz w:val="22"/>
          <w:szCs w:val="22"/>
          <w:lang w:val="en-US"/>
        </w:rPr>
        <w:t>Embedding Contemporary HR Practices</w:t>
      </w:r>
    </w:p>
    <w:p w:rsidR="0009065C" w:rsidP="50268F94" w:rsidRDefault="0009065C" w14:paraId="159CE6D7" w14:textId="7D048644">
      <w:pPr>
        <w:spacing w:before="240" w:beforeAutospacing="off" w:after="240" w:afterAutospacing="off"/>
      </w:pPr>
      <w:r w:rsidRPr="50268F94" w:rsidR="0009065C">
        <w:rPr>
          <w:rFonts w:ascii="Calibri" w:hAnsi="Calibri" w:eastAsia="Calibri" w:cs="Calibri"/>
          <w:noProof w:val="0"/>
          <w:sz w:val="22"/>
          <w:szCs w:val="22"/>
          <w:lang w:val="en-US"/>
        </w:rPr>
        <w:t>Effective integration of HR initiatives into daily operations is vital. Managers can reinforce transformation by linking team briefings and individual objectives to organisational goals. Role-modelling behaviours—using HR platforms, adopting flexible schedules, and engaging with learning programmes—signals authenticity and encourages adoption (Schein, 2013).</w:t>
      </w:r>
    </w:p>
    <w:p w:rsidR="0009065C" w:rsidP="50268F94" w:rsidRDefault="0009065C" w14:paraId="022ABC51" w14:textId="51BFE133">
      <w:pPr>
        <w:spacing w:before="240" w:beforeAutospacing="off" w:after="240" w:afterAutospacing="off"/>
      </w:pPr>
      <w:r w:rsidRPr="50268F94" w:rsidR="0009065C">
        <w:rPr>
          <w:rFonts w:ascii="Calibri" w:hAnsi="Calibri" w:eastAsia="Calibri" w:cs="Calibri"/>
          <w:noProof w:val="0"/>
          <w:sz w:val="22"/>
          <w:szCs w:val="22"/>
          <w:lang w:val="en-US"/>
        </w:rPr>
        <w:t>Employee resistance often arises when change is perceived as imposed. Managers can counter this through participatory problem-solving, consultative forums, and transparent feedback loops. Inclusive leadership, coupled with consistent communication, reduces grievances and strengthens engagement during technological and cultural shifts (CIPD, 2023b).</w:t>
      </w:r>
    </w:p>
    <w:tbl>
      <w:tblPr>
        <w:tblStyle w:val="GridTable5Dark-Accent1"/>
        <w:bidiVisual w:val="0"/>
        <w:tblW w:w="0" w:type="auto"/>
        <w:tblLayout w:type="fixed"/>
        <w:tblLook w:val="06A0" w:firstRow="1" w:lastRow="0" w:firstColumn="1" w:lastColumn="0" w:noHBand="1" w:noVBand="1"/>
      </w:tblPr>
      <w:tblGrid>
        <w:gridCol w:w="1778"/>
        <w:gridCol w:w="2833"/>
        <w:gridCol w:w="1533"/>
        <w:gridCol w:w="3340"/>
      </w:tblGrid>
      <w:tr w:rsidR="50268F94" w:rsidTr="50268F94" w14:paraId="031C242C">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744D6522" w14:textId="53C20052">
            <w:pPr>
              <w:spacing w:before="0" w:beforeAutospacing="off" w:after="0" w:afterAutospacing="off"/>
              <w:jc w:val="center"/>
              <w:rPr>
                <w:b w:val="1"/>
                <w:bCs w:val="1"/>
                <w:sz w:val="22"/>
                <w:szCs w:val="22"/>
              </w:rPr>
            </w:pPr>
            <w:r w:rsidRPr="50268F94" w:rsidR="50268F94">
              <w:rPr>
                <w:b w:val="1"/>
                <w:bCs w:val="1"/>
                <w:sz w:val="22"/>
                <w:szCs w:val="22"/>
              </w:rPr>
              <w:t>HR Focus</w:t>
            </w: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422B7151" w14:textId="4B454CDD">
            <w:pPr>
              <w:spacing w:before="0" w:beforeAutospacing="off" w:after="0" w:afterAutospacing="off"/>
              <w:jc w:val="center"/>
              <w:rPr>
                <w:b w:val="1"/>
                <w:bCs w:val="1"/>
                <w:sz w:val="22"/>
                <w:szCs w:val="22"/>
              </w:rPr>
            </w:pPr>
            <w:r w:rsidRPr="50268F94" w:rsidR="50268F94">
              <w:rPr>
                <w:b w:val="1"/>
                <w:bCs w:val="1"/>
                <w:sz w:val="22"/>
                <w:szCs w:val="22"/>
              </w:rPr>
              <w:t>Practice / Initiative</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574E3591" w14:textId="17325F8E">
            <w:pPr>
              <w:spacing w:before="0" w:beforeAutospacing="off" w:after="0" w:afterAutospacing="off"/>
              <w:jc w:val="center"/>
              <w:rPr>
                <w:b w:val="1"/>
                <w:bCs w:val="1"/>
                <w:sz w:val="22"/>
                <w:szCs w:val="22"/>
              </w:rPr>
            </w:pPr>
            <w:r w:rsidRPr="50268F94" w:rsidR="50268F94">
              <w:rPr>
                <w:b w:val="1"/>
                <w:bCs w:val="1"/>
                <w:sz w:val="22"/>
                <w:szCs w:val="22"/>
              </w:rPr>
              <w:t>Responsible</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574349BD" w14:textId="50769BD8">
            <w:pPr>
              <w:spacing w:before="0" w:beforeAutospacing="off" w:after="0" w:afterAutospacing="off"/>
              <w:jc w:val="center"/>
              <w:rPr>
                <w:b w:val="1"/>
                <w:bCs w:val="1"/>
                <w:sz w:val="22"/>
                <w:szCs w:val="22"/>
              </w:rPr>
            </w:pPr>
            <w:r w:rsidRPr="50268F94" w:rsidR="50268F94">
              <w:rPr>
                <w:b w:val="1"/>
                <w:bCs w:val="1"/>
                <w:sz w:val="22"/>
                <w:szCs w:val="22"/>
              </w:rPr>
              <w:t>Outcome</w:t>
            </w:r>
          </w:p>
        </w:tc>
      </w:tr>
      <w:tr w:rsidR="50268F94" w:rsidTr="50268F94" w14:paraId="6B8F2F75">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4292408B" w14:textId="19CA5E0C">
            <w:pPr>
              <w:spacing w:before="0" w:beforeAutospacing="off" w:after="0" w:afterAutospacing="off"/>
              <w:rPr>
                <w:b w:val="1"/>
                <w:bCs w:val="1"/>
                <w:sz w:val="22"/>
                <w:szCs w:val="22"/>
              </w:rPr>
            </w:pPr>
            <w:r w:rsidRPr="50268F94" w:rsidR="50268F94">
              <w:rPr>
                <w:b w:val="1"/>
                <w:bCs w:val="1"/>
                <w:sz w:val="22"/>
                <w:szCs w:val="22"/>
              </w:rPr>
              <w:t>Digital HR</w:t>
            </w: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598A18A0" w14:textId="4CFAF43A">
            <w:pPr>
              <w:spacing w:before="0" w:beforeAutospacing="off" w:after="0" w:afterAutospacing="off"/>
              <w:rPr>
                <w:sz w:val="22"/>
                <w:szCs w:val="22"/>
              </w:rPr>
            </w:pPr>
            <w:r w:rsidRPr="50268F94" w:rsidR="50268F94">
              <w:rPr>
                <w:sz w:val="22"/>
                <w:szCs w:val="22"/>
              </w:rPr>
              <w:t>Digital literacy &amp; mentorship</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4DF81F83" w14:textId="33E62A8E">
            <w:pPr>
              <w:spacing w:before="0" w:beforeAutospacing="off" w:after="0" w:afterAutospacing="off"/>
              <w:rPr>
                <w:sz w:val="22"/>
                <w:szCs w:val="22"/>
              </w:rPr>
            </w:pPr>
            <w:r w:rsidRPr="50268F94" w:rsidR="50268F94">
              <w:rPr>
                <w:sz w:val="22"/>
                <w:szCs w:val="22"/>
              </w:rPr>
              <w:t>HR, 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421A77F1" w14:textId="5416E4B4">
            <w:pPr>
              <w:spacing w:before="0" w:beforeAutospacing="off" w:after="0" w:afterAutospacing="off"/>
              <w:rPr>
                <w:sz w:val="22"/>
                <w:szCs w:val="22"/>
              </w:rPr>
            </w:pPr>
            <w:r w:rsidRPr="50268F94" w:rsidR="50268F94">
              <w:rPr>
                <w:sz w:val="22"/>
                <w:szCs w:val="22"/>
              </w:rPr>
              <w:t>Confident use of new systems; knowledge sharing</w:t>
            </w:r>
          </w:p>
        </w:tc>
      </w:tr>
      <w:tr w:rsidR="50268F94" w:rsidTr="50268F94" w14:paraId="6D3F2D0B">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55CCEFF5" w14:textId="59083D0B">
            <w:pPr>
              <w:rPr>
                <w:sz w:val="22"/>
                <w:szCs w:val="22"/>
              </w:rPr>
            </w:pP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59F725D9" w14:textId="0499F900">
            <w:pPr>
              <w:spacing w:before="0" w:beforeAutospacing="off" w:after="0" w:afterAutospacing="off"/>
              <w:rPr>
                <w:sz w:val="22"/>
                <w:szCs w:val="22"/>
              </w:rPr>
            </w:pPr>
            <w:r w:rsidRPr="50268F94" w:rsidR="50268F94">
              <w:rPr>
                <w:sz w:val="22"/>
                <w:szCs w:val="22"/>
              </w:rPr>
              <w:t>HR analytics &amp; AI recruitment</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3BDEFD1E" w14:textId="6FDE562D">
            <w:pPr>
              <w:spacing w:before="0" w:beforeAutospacing="off" w:after="0" w:afterAutospacing="off"/>
              <w:rPr>
                <w:sz w:val="22"/>
                <w:szCs w:val="22"/>
              </w:rPr>
            </w:pPr>
            <w:r w:rsidRPr="50268F94" w:rsidR="50268F94">
              <w:rPr>
                <w:sz w:val="22"/>
                <w:szCs w:val="22"/>
              </w:rPr>
              <w:t>HR, 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2FDA4983" w14:textId="5440CFAC">
            <w:pPr>
              <w:spacing w:before="0" w:beforeAutospacing="off" w:after="0" w:afterAutospacing="off"/>
              <w:rPr>
                <w:sz w:val="22"/>
                <w:szCs w:val="22"/>
              </w:rPr>
            </w:pPr>
            <w:r w:rsidRPr="50268F94" w:rsidR="50268F94">
              <w:rPr>
                <w:sz w:val="22"/>
                <w:szCs w:val="22"/>
              </w:rPr>
              <w:t>Data-driven decisions; fairer hiring; privacy maintained</w:t>
            </w:r>
          </w:p>
        </w:tc>
      </w:tr>
      <w:tr w:rsidR="50268F94" w:rsidTr="50268F94" w14:paraId="44449186">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662A8AFA" w14:textId="28618A1E">
            <w:pPr>
              <w:rPr>
                <w:sz w:val="22"/>
                <w:szCs w:val="22"/>
              </w:rPr>
            </w:pP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79A8B4BC" w14:textId="5CE1E06A">
            <w:pPr>
              <w:spacing w:before="0" w:beforeAutospacing="off" w:after="0" w:afterAutospacing="off"/>
              <w:rPr>
                <w:sz w:val="22"/>
                <w:szCs w:val="22"/>
              </w:rPr>
            </w:pPr>
            <w:r w:rsidRPr="50268F94" w:rsidR="50268F94">
              <w:rPr>
                <w:sz w:val="22"/>
                <w:szCs w:val="22"/>
              </w:rPr>
              <w:t>E-learning &amp; tech + feedback</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2B7FEE87" w14:textId="199EC6C6">
            <w:pPr>
              <w:spacing w:before="0" w:beforeAutospacing="off" w:after="0" w:afterAutospacing="off"/>
              <w:rPr>
                <w:sz w:val="22"/>
                <w:szCs w:val="22"/>
              </w:rPr>
            </w:pPr>
            <w:r w:rsidRPr="50268F94" w:rsidR="50268F94">
              <w:rPr>
                <w:sz w:val="22"/>
                <w:szCs w:val="22"/>
              </w:rPr>
              <w:t>HR, 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29931141" w14:textId="06B55A76">
            <w:pPr>
              <w:spacing w:before="0" w:beforeAutospacing="off" w:after="0" w:afterAutospacing="off"/>
              <w:rPr>
                <w:sz w:val="22"/>
                <w:szCs w:val="22"/>
              </w:rPr>
            </w:pPr>
            <w:r w:rsidRPr="50268F94" w:rsidR="50268F94">
              <w:rPr>
                <w:sz w:val="22"/>
                <w:szCs w:val="22"/>
              </w:rPr>
              <w:t>Continuous upskilling; employees feel valued</w:t>
            </w:r>
          </w:p>
        </w:tc>
      </w:tr>
      <w:tr w:rsidR="50268F94" w:rsidTr="50268F94" w14:paraId="31D27031">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2F3F1FB6" w14:textId="566349A3">
            <w:pPr>
              <w:spacing w:before="0" w:beforeAutospacing="off" w:after="0" w:afterAutospacing="off"/>
              <w:rPr>
                <w:b w:val="1"/>
                <w:bCs w:val="1"/>
                <w:sz w:val="22"/>
                <w:szCs w:val="22"/>
              </w:rPr>
            </w:pPr>
            <w:r w:rsidRPr="50268F94" w:rsidR="50268F94">
              <w:rPr>
                <w:b w:val="1"/>
                <w:bCs w:val="1"/>
                <w:sz w:val="22"/>
                <w:szCs w:val="22"/>
              </w:rPr>
              <w:t>Flexible Working</w:t>
            </w: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6D77C4F9" w14:textId="6223BF40">
            <w:pPr>
              <w:spacing w:before="0" w:beforeAutospacing="off" w:after="0" w:afterAutospacing="off"/>
              <w:rPr>
                <w:sz w:val="22"/>
                <w:szCs w:val="22"/>
              </w:rPr>
            </w:pPr>
            <w:r w:rsidRPr="50268F94" w:rsidR="50268F94">
              <w:rPr>
                <w:sz w:val="22"/>
                <w:szCs w:val="22"/>
              </w:rPr>
              <w:t>Hybrid, job-sharing, compressed hours</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54D5162C" w14:textId="1167F265">
            <w:pPr>
              <w:spacing w:before="0" w:beforeAutospacing="off" w:after="0" w:afterAutospacing="off"/>
              <w:rPr>
                <w:sz w:val="22"/>
                <w:szCs w:val="22"/>
              </w:rPr>
            </w:pPr>
            <w:r w:rsidRPr="50268F94" w:rsidR="50268F94">
              <w:rPr>
                <w:sz w:val="22"/>
                <w:szCs w:val="22"/>
              </w:rPr>
              <w:t>HR, 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471F6628" w14:textId="6D4CFEB5">
            <w:pPr>
              <w:spacing w:before="0" w:beforeAutospacing="off" w:after="0" w:afterAutospacing="off"/>
              <w:rPr>
                <w:sz w:val="22"/>
                <w:szCs w:val="22"/>
              </w:rPr>
            </w:pPr>
            <w:r w:rsidRPr="50268F94" w:rsidR="50268F94">
              <w:rPr>
                <w:sz w:val="22"/>
                <w:szCs w:val="22"/>
              </w:rPr>
              <w:t>Better work-life balance; higher retention</w:t>
            </w:r>
          </w:p>
        </w:tc>
      </w:tr>
      <w:tr w:rsidR="50268F94" w:rsidTr="50268F94" w14:paraId="6EA00136">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32F3781D" w14:textId="0A46D8E6">
            <w:pPr>
              <w:rPr>
                <w:sz w:val="22"/>
                <w:szCs w:val="22"/>
              </w:rPr>
            </w:pP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5F70E7CA" w14:textId="6DA0D90A">
            <w:pPr>
              <w:spacing w:before="0" w:beforeAutospacing="off" w:after="0" w:afterAutospacing="off"/>
              <w:rPr>
                <w:sz w:val="22"/>
                <w:szCs w:val="22"/>
              </w:rPr>
            </w:pPr>
            <w:r w:rsidRPr="50268F94" w:rsidR="50268F94">
              <w:rPr>
                <w:sz w:val="22"/>
                <w:szCs w:val="22"/>
              </w:rPr>
              <w:t>Results-only work (ROWE)</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30C42441" w14:textId="710DD1DB">
            <w:pPr>
              <w:spacing w:before="0" w:beforeAutospacing="off" w:after="0" w:afterAutospacing="off"/>
              <w:rPr>
                <w:sz w:val="22"/>
                <w:szCs w:val="22"/>
              </w:rPr>
            </w:pPr>
            <w:r w:rsidRPr="50268F94" w:rsidR="50268F94">
              <w:rPr>
                <w:sz w:val="22"/>
                <w:szCs w:val="22"/>
              </w:rPr>
              <w:t>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5DACED89" w14:textId="4B5BEADB">
            <w:pPr>
              <w:spacing w:before="0" w:beforeAutospacing="off" w:after="0" w:afterAutospacing="off"/>
              <w:rPr>
                <w:sz w:val="22"/>
                <w:szCs w:val="22"/>
              </w:rPr>
            </w:pPr>
            <w:r w:rsidRPr="50268F94" w:rsidR="50268F94">
              <w:rPr>
                <w:sz w:val="22"/>
                <w:szCs w:val="22"/>
              </w:rPr>
              <w:t>Productivity-focused; reduced micromanagement</w:t>
            </w:r>
          </w:p>
        </w:tc>
      </w:tr>
      <w:tr w:rsidR="50268F94" w:rsidTr="50268F94" w14:paraId="029635BC">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4AD6873F" w14:textId="08DC9291">
            <w:pPr>
              <w:rPr>
                <w:sz w:val="22"/>
                <w:szCs w:val="22"/>
              </w:rPr>
            </w:pP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2657F818" w14:textId="30DF5708">
            <w:pPr>
              <w:spacing w:before="0" w:beforeAutospacing="off" w:after="0" w:afterAutospacing="off"/>
              <w:rPr>
                <w:sz w:val="22"/>
                <w:szCs w:val="22"/>
              </w:rPr>
            </w:pPr>
            <w:r w:rsidRPr="50268F94" w:rsidR="50268F94">
              <w:rPr>
                <w:sz w:val="22"/>
                <w:szCs w:val="22"/>
              </w:rPr>
              <w:t>Wellbeing &amp; inclusive communication</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11F6851E" w14:textId="41970339">
            <w:pPr>
              <w:spacing w:before="0" w:beforeAutospacing="off" w:after="0" w:afterAutospacing="off"/>
              <w:rPr>
                <w:sz w:val="22"/>
                <w:szCs w:val="22"/>
              </w:rPr>
            </w:pPr>
            <w:r w:rsidRPr="50268F94" w:rsidR="50268F94">
              <w:rPr>
                <w:sz w:val="22"/>
                <w:szCs w:val="22"/>
              </w:rPr>
              <w:t>HR, 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68D965CA" w14:textId="4FAE0DF5">
            <w:pPr>
              <w:spacing w:before="0" w:beforeAutospacing="off" w:after="0" w:afterAutospacing="off"/>
              <w:rPr>
                <w:sz w:val="22"/>
                <w:szCs w:val="22"/>
              </w:rPr>
            </w:pPr>
            <w:r w:rsidRPr="50268F94" w:rsidR="50268F94">
              <w:rPr>
                <w:sz w:val="22"/>
                <w:szCs w:val="22"/>
              </w:rPr>
              <w:t>Cohesion, reduced isolation, improved engagement</w:t>
            </w:r>
          </w:p>
        </w:tc>
      </w:tr>
      <w:tr w:rsidR="50268F94" w:rsidTr="50268F94" w14:paraId="116110FB">
        <w:trPr>
          <w:trHeight w:val="30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08FC5D10" w14:textId="38D44985">
            <w:pPr>
              <w:spacing w:before="0" w:beforeAutospacing="off" w:after="0" w:afterAutospacing="off"/>
              <w:rPr>
                <w:b w:val="1"/>
                <w:bCs w:val="1"/>
                <w:sz w:val="22"/>
                <w:szCs w:val="22"/>
              </w:rPr>
            </w:pPr>
            <w:r w:rsidRPr="50268F94" w:rsidR="50268F94">
              <w:rPr>
                <w:b w:val="1"/>
                <w:bCs w:val="1"/>
                <w:sz w:val="22"/>
                <w:szCs w:val="22"/>
              </w:rPr>
              <w:t>Leadership &amp; Embedding</w:t>
            </w: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54C8D590" w14:textId="439F9560">
            <w:pPr>
              <w:spacing w:before="0" w:beforeAutospacing="off" w:after="0" w:afterAutospacing="off"/>
              <w:rPr>
                <w:sz w:val="22"/>
                <w:szCs w:val="22"/>
              </w:rPr>
            </w:pPr>
            <w:r w:rsidRPr="50268F94" w:rsidR="50268F94">
              <w:rPr>
                <w:sz w:val="22"/>
                <w:szCs w:val="22"/>
              </w:rPr>
              <w:t>Leadership programs &amp; accountability</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78A6DB98" w14:textId="4AA8E417">
            <w:pPr>
              <w:spacing w:before="0" w:beforeAutospacing="off" w:after="0" w:afterAutospacing="off"/>
              <w:rPr>
                <w:sz w:val="22"/>
                <w:szCs w:val="22"/>
              </w:rPr>
            </w:pPr>
            <w:r w:rsidRPr="50268F94" w:rsidR="50268F94">
              <w:rPr>
                <w:sz w:val="22"/>
                <w:szCs w:val="22"/>
              </w:rPr>
              <w:t>HR, 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098364E8" w14:textId="79D19E92">
            <w:pPr>
              <w:spacing w:before="0" w:beforeAutospacing="off" w:after="0" w:afterAutospacing="off"/>
              <w:rPr>
                <w:sz w:val="22"/>
                <w:szCs w:val="22"/>
              </w:rPr>
            </w:pPr>
            <w:r w:rsidRPr="50268F94" w:rsidR="50268F94">
              <w:rPr>
                <w:sz w:val="22"/>
                <w:szCs w:val="22"/>
              </w:rPr>
              <w:t>Change-ready managers; clear responsibility</w:t>
            </w:r>
          </w:p>
        </w:tc>
      </w:tr>
      <w:tr w:rsidR="50268F94" w:rsidTr="50268F94" w14:paraId="2F7B9879">
        <w:trPr>
          <w:trHeight w:val="450"/>
        </w:trPr>
        <w:tc>
          <w:tcPr>
            <w:cnfStyle w:val="001000000000" w:firstRow="0" w:lastRow="0" w:firstColumn="1" w:lastColumn="0" w:oddVBand="0" w:evenVBand="0" w:oddHBand="0" w:evenHBand="0" w:firstRowFirstColumn="0" w:firstRowLastColumn="0" w:lastRowFirstColumn="0" w:lastRowLastColumn="0"/>
            <w:tcW w:w="1778" w:type="dxa"/>
            <w:tcMar/>
          </w:tcPr>
          <w:p w:rsidR="50268F94" w:rsidP="50268F94" w:rsidRDefault="50268F94" w14:paraId="44D24980" w14:textId="08AED272">
            <w:pPr>
              <w:rPr>
                <w:sz w:val="22"/>
                <w:szCs w:val="22"/>
              </w:rPr>
            </w:pPr>
          </w:p>
        </w:tc>
        <w:tc>
          <w:tcPr>
            <w:cnfStyle w:val="000000000000" w:firstRow="0" w:lastRow="0" w:firstColumn="0" w:lastColumn="0" w:oddVBand="0" w:evenVBand="0" w:oddHBand="0" w:evenHBand="0" w:firstRowFirstColumn="0" w:firstRowLastColumn="0" w:lastRowFirstColumn="0" w:lastRowLastColumn="0"/>
            <w:tcW w:w="2833" w:type="dxa"/>
            <w:tcMar/>
          </w:tcPr>
          <w:p w:rsidR="50268F94" w:rsidP="50268F94" w:rsidRDefault="50268F94" w14:paraId="38385D58" w14:textId="6E53581B">
            <w:pPr>
              <w:spacing w:before="0" w:beforeAutospacing="off" w:after="0" w:afterAutospacing="off"/>
              <w:rPr>
                <w:sz w:val="22"/>
                <w:szCs w:val="22"/>
              </w:rPr>
            </w:pPr>
            <w:r w:rsidRPr="50268F94" w:rsidR="50268F94">
              <w:rPr>
                <w:sz w:val="22"/>
                <w:szCs w:val="22"/>
              </w:rPr>
              <w:t>Role-modeling &amp; participatory problem-solving</w:t>
            </w:r>
          </w:p>
        </w:tc>
        <w:tc>
          <w:tcPr>
            <w:cnfStyle w:val="000000000000" w:firstRow="0" w:lastRow="0" w:firstColumn="0" w:lastColumn="0" w:oddVBand="0" w:evenVBand="0" w:oddHBand="0" w:evenHBand="0" w:firstRowFirstColumn="0" w:firstRowLastColumn="0" w:lastRowFirstColumn="0" w:lastRowLastColumn="0"/>
            <w:tcW w:w="1533" w:type="dxa"/>
            <w:tcMar/>
          </w:tcPr>
          <w:p w:rsidR="50268F94" w:rsidP="50268F94" w:rsidRDefault="50268F94" w14:paraId="488764B6" w14:textId="20BB1387">
            <w:pPr>
              <w:spacing w:before="0" w:beforeAutospacing="off" w:after="0" w:afterAutospacing="off"/>
              <w:rPr>
                <w:sz w:val="22"/>
                <w:szCs w:val="22"/>
              </w:rPr>
            </w:pPr>
            <w:r w:rsidRPr="50268F94" w:rsidR="50268F94">
              <w:rPr>
                <w:sz w:val="22"/>
                <w:szCs w:val="22"/>
              </w:rPr>
              <w:t>Managers</w:t>
            </w:r>
          </w:p>
        </w:tc>
        <w:tc>
          <w:tcPr>
            <w:cnfStyle w:val="000000000000" w:firstRow="0" w:lastRow="0" w:firstColumn="0" w:lastColumn="0" w:oddVBand="0" w:evenVBand="0" w:oddHBand="0" w:evenHBand="0" w:firstRowFirstColumn="0" w:firstRowLastColumn="0" w:lastRowFirstColumn="0" w:lastRowLastColumn="0"/>
            <w:tcW w:w="3340" w:type="dxa"/>
            <w:tcMar/>
          </w:tcPr>
          <w:p w:rsidR="50268F94" w:rsidP="50268F94" w:rsidRDefault="50268F94" w14:paraId="1840FCD4" w14:textId="50F37E40">
            <w:pPr>
              <w:spacing w:before="0" w:beforeAutospacing="off" w:after="0" w:afterAutospacing="off"/>
              <w:rPr>
                <w:sz w:val="22"/>
                <w:szCs w:val="22"/>
              </w:rPr>
            </w:pPr>
            <w:r w:rsidRPr="50268F94" w:rsidR="50268F94">
              <w:rPr>
                <w:sz w:val="22"/>
                <w:szCs w:val="22"/>
              </w:rPr>
              <w:t>Smooth adoption of HR initiatives; reduced resistance</w:t>
            </w:r>
          </w:p>
        </w:tc>
      </w:tr>
    </w:tbl>
    <w:p w:rsidR="50268F94" w:rsidP="50268F94" w:rsidRDefault="50268F94" w14:paraId="2C048FBC" w14:textId="574CCCAB">
      <w:pPr>
        <w:spacing w:before="240" w:beforeAutospacing="off" w:after="240" w:afterAutospacing="off"/>
        <w:rPr>
          <w:rFonts w:ascii="Calibri" w:hAnsi="Calibri" w:eastAsia="Calibri" w:cs="Calibri"/>
          <w:noProof w:val="0"/>
          <w:sz w:val="22"/>
          <w:szCs w:val="22"/>
          <w:lang w:val="en-US"/>
        </w:rPr>
      </w:pPr>
    </w:p>
    <w:p w:rsidR="50268F94" w:rsidP="50268F94" w:rsidRDefault="50268F94" w14:paraId="230CAFDC" w14:textId="416CBBBC">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7D2D9482" w14:textId="18F59220">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0A1E2E34" w14:textId="5EE93FD5">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26B93644" w14:textId="4EF92EDD">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1C57A7FA" w14:textId="03D4E52E">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7F156B58" w14:textId="668C09D0">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2A535006" w14:textId="088C7CF9">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6353AA41" w14:textId="3DFAAA9D">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45DC0B45" w14:textId="76E01244">
      <w:pPr>
        <w:pStyle w:val="Normal"/>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p>
    <w:p w:rsidR="57DCD1E4" w:rsidP="50268F94" w:rsidRDefault="57DCD1E4" w14:paraId="14A14E7D" w14:textId="4A6A720E">
      <w:pPr>
        <w:pStyle w:val="Normal"/>
        <w:spacing w:before="240" w:beforeAutospacing="off" w:after="240" w:afterAutospacing="off"/>
        <w:rPr>
          <w:rFonts w:ascii="Calibri" w:hAnsi="Calibri" w:eastAsia="Calibri" w:cs="Calibri"/>
          <w:noProof w:val="0"/>
          <w:color w:val="156082" w:themeColor="accent1" w:themeTint="FF" w:themeShade="FF"/>
          <w:sz w:val="22"/>
          <w:szCs w:val="22"/>
          <w:lang w:val="en-US"/>
        </w:rPr>
      </w:pPr>
      <w:r w:rsidRPr="50268F94" w:rsidR="57DCD1E4">
        <w:rPr>
          <w:rFonts w:ascii="Calibri" w:hAnsi="Calibri" w:eastAsia="Calibri" w:cs="Calibri"/>
          <w:b w:val="1"/>
          <w:bCs w:val="1"/>
          <w:noProof w:val="0"/>
          <w:color w:val="156082" w:themeColor="accent1" w:themeTint="FF" w:themeShade="FF"/>
          <w:sz w:val="22"/>
          <w:szCs w:val="22"/>
          <w:lang w:val="en-US"/>
        </w:rPr>
        <w:t>Page 6</w:t>
      </w:r>
    </w:p>
    <w:p w:rsidR="0009065C" w:rsidP="50268F94" w:rsidRDefault="0009065C" w14:paraId="6A2E14BB" w14:textId="5B58B79C">
      <w:pPr>
        <w:spacing w:before="240" w:beforeAutospacing="off" w:after="240" w:afterAutospacing="off"/>
        <w:rPr>
          <w:rFonts w:ascii="Calibri" w:hAnsi="Calibri" w:eastAsia="Calibri" w:cs="Calibri"/>
          <w:b w:val="1"/>
          <w:bCs w:val="1"/>
          <w:noProof w:val="0"/>
          <w:color w:val="156082" w:themeColor="accent1" w:themeTint="FF" w:themeShade="FF"/>
          <w:sz w:val="22"/>
          <w:szCs w:val="22"/>
          <w:lang w:val="en-US"/>
        </w:rPr>
      </w:pPr>
      <w:r w:rsidRPr="50268F94" w:rsidR="0009065C">
        <w:rPr>
          <w:rFonts w:ascii="Calibri" w:hAnsi="Calibri" w:eastAsia="Calibri" w:cs="Calibri"/>
          <w:b w:val="1"/>
          <w:bCs w:val="1"/>
          <w:noProof w:val="0"/>
          <w:color w:val="156082" w:themeColor="accent1" w:themeTint="FF" w:themeShade="FF"/>
          <w:sz w:val="22"/>
          <w:szCs w:val="22"/>
          <w:lang w:val="en-US"/>
        </w:rPr>
        <w:t>Change Communication and Trust</w:t>
      </w:r>
    </w:p>
    <w:p w:rsidR="0009065C" w:rsidP="50268F94" w:rsidRDefault="0009065C" w14:paraId="51F393C7" w14:textId="65E47849">
      <w:pPr>
        <w:spacing w:before="240" w:beforeAutospacing="off" w:after="240" w:afterAutospacing="off"/>
      </w:pPr>
      <w:r w:rsidRPr="50268F94" w:rsidR="0009065C">
        <w:rPr>
          <w:rFonts w:ascii="Calibri" w:hAnsi="Calibri" w:eastAsia="Calibri" w:cs="Calibri"/>
          <w:noProof w:val="0"/>
          <w:sz w:val="22"/>
          <w:szCs w:val="22"/>
          <w:lang w:val="en-US"/>
        </w:rPr>
        <w:t>Sustaining trust during rapid transformation requires authentic, two-way communication. Schein’s (2013) “humble inquiry” approach—listening before directing—builds psychological safety and cooperation. Managers should demonstrate empathy, recognise contributions, and maintain fairness, particularly in balancing workloads between on-site and remote staff.</w:t>
      </w:r>
    </w:p>
    <w:p w:rsidR="0009065C" w:rsidP="50268F94" w:rsidRDefault="0009065C" w14:paraId="505079F4" w14:textId="6BF3522C">
      <w:pPr>
        <w:spacing w:before="240" w:beforeAutospacing="off" w:after="240" w:afterAutospacing="off"/>
      </w:pPr>
      <w:r w:rsidRPr="50268F94" w:rsidR="0009065C">
        <w:rPr>
          <w:rFonts w:ascii="Calibri" w:hAnsi="Calibri" w:eastAsia="Calibri" w:cs="Calibri"/>
          <w:noProof w:val="0"/>
          <w:sz w:val="22"/>
          <w:szCs w:val="22"/>
          <w:lang w:val="en-US"/>
        </w:rPr>
        <w:t>HR support is essential for urgent implementation. Accessible guidance, coaching, and clear policy updates enable managers to act decisively. By embedding contemporary HR practices through daily routines, authentic role-modelling, and inclusive communication, departmental managers can stabilise morale, foster engagement, and drive operational excellence.</w:t>
      </w:r>
    </w:p>
    <w:p w:rsidR="0009065C" w:rsidP="50268F94" w:rsidRDefault="0009065C" w14:paraId="70B86041" w14:textId="4C14D4B2">
      <w:pPr>
        <w:spacing w:before="240" w:beforeAutospacing="off" w:after="240" w:afterAutospacing="off"/>
      </w:pPr>
      <w:r w:rsidRPr="50268F94" w:rsidR="0009065C">
        <w:rPr>
          <w:rFonts w:ascii="Calibri" w:hAnsi="Calibri" w:eastAsia="Calibri" w:cs="Calibri"/>
          <w:noProof w:val="0"/>
          <w:sz w:val="22"/>
          <w:szCs w:val="22"/>
          <w:lang w:val="en-US"/>
        </w:rPr>
        <w:t>In conclusion, departmental managers act as the bridge between HR strategy and frontline execution. Their ability to lead with accountability, integrate HR initiatives into daily work, and communicate transparently is pivotal for the urgent adoption of transformation, digital, and flexible working practices. When supported with targeted development and structured guidance, managers ensure these initiatives enhance both employee wellbeing and organisational performance amid rapid change.</w:t>
      </w:r>
    </w:p>
    <w:p w:rsidR="50268F94" w:rsidP="50268F94" w:rsidRDefault="50268F94" w14:paraId="3F5F6D99" w14:textId="66A23B11">
      <w:pPr>
        <w:spacing w:before="240" w:beforeAutospacing="off" w:after="240" w:afterAutospacing="off"/>
        <w:rPr>
          <w:rFonts w:ascii="Calibri" w:hAnsi="Calibri" w:eastAsia="Calibri" w:cs="Calibri"/>
          <w:noProof w:val="0"/>
          <w:sz w:val="22"/>
          <w:szCs w:val="22"/>
          <w:lang w:val="en-US"/>
        </w:rPr>
      </w:pPr>
    </w:p>
    <w:p w:rsidR="6EA95783" w:rsidP="50268F94" w:rsidRDefault="6EA95783" w14:paraId="51372E60" w14:textId="1F6B1A70">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5. Conclusion and Recommendations</w:t>
      </w:r>
      <w:r w:rsidRPr="50268F94" w:rsidR="6EA95783">
        <w:rPr>
          <w:rFonts w:ascii="Calibri" w:hAnsi="Calibri" w:eastAsia="Calibri" w:cs="Calibri"/>
          <w:noProof w:val="0"/>
          <w:color w:val="156082" w:themeColor="accent1" w:themeTint="FF" w:themeShade="FF"/>
          <w:sz w:val="22"/>
          <w:szCs w:val="22"/>
          <w:lang w:val="en-US"/>
        </w:rPr>
        <w:t xml:space="preserve"> </w:t>
      </w:r>
    </w:p>
    <w:p w:rsidR="6EA95783" w:rsidP="50268F94" w:rsidRDefault="6EA95783" w14:paraId="2402DDB0" w14:textId="67C52E8E">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5.1 Conclusion</w:t>
      </w:r>
      <w:r w:rsidRPr="50268F94" w:rsidR="6EA95783">
        <w:rPr>
          <w:rFonts w:ascii="Calibri" w:hAnsi="Calibri" w:eastAsia="Calibri" w:cs="Calibri"/>
          <w:noProof w:val="0"/>
          <w:color w:val="156082" w:themeColor="accent1" w:themeTint="FF" w:themeShade="FF"/>
          <w:sz w:val="22"/>
          <w:szCs w:val="22"/>
          <w:lang w:val="en-US"/>
        </w:rPr>
        <w:t xml:space="preserve"> </w:t>
      </w:r>
    </w:p>
    <w:p w:rsidR="6EA95783" w:rsidP="50268F94" w:rsidRDefault="6EA95783" w14:paraId="3F1A77AD" w14:textId="7DCC6946">
      <w:pPr>
        <w:spacing w:before="0" w:beforeAutospacing="off" w:after="160" w:afterAutospacing="off" w:line="257" w:lineRule="auto"/>
      </w:pPr>
      <w:r w:rsidRPr="50268F94" w:rsidR="6EA95783">
        <w:rPr>
          <w:rFonts w:ascii="Calibri" w:hAnsi="Calibri" w:eastAsia="Calibri" w:cs="Calibri"/>
          <w:noProof w:val="0"/>
          <w:sz w:val="22"/>
          <w:szCs w:val="22"/>
          <w:lang w:val="en-US"/>
        </w:rPr>
        <w:t xml:space="preserve">Efficient Logistic’s business transformation in Birmingham is shaped by three critical factors: the need to modernise operations, the impact of digital technology, and the evolution of flexible working practices. These developments create opportunities for innovation and performance improvement but also heighten HR challenges around capability, engagement and equity. </w:t>
      </w:r>
    </w:p>
    <w:p w:rsidR="6EA95783" w:rsidP="50268F94" w:rsidRDefault="6EA95783" w14:paraId="6A0DB85E" w14:textId="2A63E18D">
      <w:pPr>
        <w:spacing w:before="0" w:beforeAutospacing="off" w:after="160" w:afterAutospacing="off" w:line="257" w:lineRule="auto"/>
      </w:pPr>
      <w:r w:rsidRPr="50268F94" w:rsidR="6EA95783">
        <w:rPr>
          <w:rFonts w:ascii="Calibri" w:hAnsi="Calibri" w:eastAsia="Calibri" w:cs="Calibri"/>
          <w:noProof w:val="0"/>
          <w:sz w:val="22"/>
          <w:szCs w:val="22"/>
          <w:lang w:val="en-US"/>
        </w:rPr>
        <w:t xml:space="preserve">Contemporary HR practices—such as strategic workforce planning, digital skills training, e-HR systems and flexible work frameworks—offer effective responses. However, their success depends on the commitment and competence of departmental managers to embed them consistently. HR must therefore position itself as a strategic partner, enabling managers to act as leaders of change rather than administrators of policy. </w:t>
      </w:r>
    </w:p>
    <w:p w:rsidR="50268F94" w:rsidP="50268F94" w:rsidRDefault="50268F94" w14:paraId="4149DF6B" w14:textId="5D4E18FA">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61650139" w14:textId="4B4EA19D">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50268F94" w:rsidP="50268F94" w:rsidRDefault="50268F94" w14:paraId="0CA9FE01" w14:textId="3C3C1459">
      <w:pPr>
        <w:spacing w:before="0" w:beforeAutospacing="off" w:after="160" w:afterAutospacing="off" w:line="257" w:lineRule="auto"/>
        <w:rPr>
          <w:rFonts w:ascii="Calibri" w:hAnsi="Calibri" w:eastAsia="Calibri" w:cs="Calibri"/>
          <w:b w:val="1"/>
          <w:bCs w:val="1"/>
          <w:noProof w:val="0"/>
          <w:color w:val="156082" w:themeColor="accent1" w:themeTint="FF" w:themeShade="FF"/>
          <w:sz w:val="22"/>
          <w:szCs w:val="22"/>
          <w:lang w:val="en-US"/>
        </w:rPr>
      </w:pPr>
    </w:p>
    <w:p w:rsidR="2EDD1CD6" w:rsidP="50268F94" w:rsidRDefault="2EDD1CD6" w14:paraId="13A69B2E" w14:textId="16F2308F">
      <w:pPr>
        <w:pStyle w:val="Normal"/>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2EDD1CD6">
        <w:rPr>
          <w:rFonts w:ascii="Calibri" w:hAnsi="Calibri" w:eastAsia="Calibri" w:cs="Calibri"/>
          <w:b w:val="1"/>
          <w:bCs w:val="1"/>
          <w:noProof w:val="0"/>
          <w:color w:val="156082" w:themeColor="accent1" w:themeTint="FF" w:themeShade="FF"/>
          <w:sz w:val="22"/>
          <w:szCs w:val="22"/>
          <w:lang w:val="en-US"/>
        </w:rPr>
        <w:t>Page 7</w:t>
      </w:r>
    </w:p>
    <w:p w:rsidR="6EA95783" w:rsidP="50268F94" w:rsidRDefault="6EA95783" w14:paraId="3620F36F" w14:textId="74F547F5">
      <w:pPr>
        <w:spacing w:before="0" w:beforeAutospacing="off" w:after="160" w:afterAutospacing="off" w:line="257" w:lineRule="auto"/>
        <w:rPr>
          <w:rFonts w:ascii="Calibri" w:hAnsi="Calibri" w:eastAsia="Calibri" w:cs="Calibri"/>
          <w:noProof w:val="0"/>
          <w:color w:val="156082" w:themeColor="accent1" w:themeTint="FF" w:themeShade="FF"/>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5.2 Recommendations</w:t>
      </w:r>
      <w:r w:rsidRPr="50268F94" w:rsidR="6EA95783">
        <w:rPr>
          <w:rFonts w:ascii="Calibri" w:hAnsi="Calibri" w:eastAsia="Calibri" w:cs="Calibri"/>
          <w:noProof w:val="0"/>
          <w:color w:val="156082" w:themeColor="accent1" w:themeTint="FF" w:themeShade="FF"/>
          <w:sz w:val="22"/>
          <w:szCs w:val="22"/>
          <w:lang w:val="en-US"/>
        </w:rPr>
        <w:t xml:space="preserve"> </w:t>
      </w:r>
    </w:p>
    <w:p w:rsidR="6EA95783" w:rsidP="50268F94" w:rsidRDefault="6EA95783" w14:paraId="5300758D" w14:textId="5B70FD24">
      <w:pPr>
        <w:pStyle w:val="ListParagraph"/>
        <w:numPr>
          <w:ilvl w:val="0"/>
          <w:numId w:val="3"/>
        </w:numPr>
        <w:spacing w:before="0" w:beforeAutospacing="off" w:after="0" w:afterAutospacing="off" w:line="257" w:lineRule="auto"/>
        <w:rPr>
          <w:rFonts w:ascii="Calibri" w:hAnsi="Calibri" w:eastAsia="Calibri" w:cs="Calibri"/>
          <w:noProof w:val="0"/>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 xml:space="preserve">Develop a Change Readiness </w:t>
      </w:r>
      <w:r w:rsidRPr="50268F94" w:rsidR="6EA95783">
        <w:rPr>
          <w:rFonts w:ascii="Calibri" w:hAnsi="Calibri" w:eastAsia="Calibri" w:cs="Calibri"/>
          <w:b w:val="1"/>
          <w:bCs w:val="1"/>
          <w:noProof w:val="0"/>
          <w:color w:val="156082" w:themeColor="accent1" w:themeTint="FF" w:themeShade="FF"/>
          <w:sz w:val="22"/>
          <w:szCs w:val="22"/>
          <w:lang w:val="en-US"/>
        </w:rPr>
        <w:t>Programme</w:t>
      </w:r>
      <w:r w:rsidRPr="50268F94" w:rsidR="6EA95783">
        <w:rPr>
          <w:rFonts w:ascii="Calibri" w:hAnsi="Calibri" w:eastAsia="Calibri" w:cs="Calibri"/>
          <w:b w:val="1"/>
          <w:bCs w:val="1"/>
          <w:noProof w:val="0"/>
          <w:color w:val="156082" w:themeColor="accent1" w:themeTint="FF" w:themeShade="FF"/>
          <w:sz w:val="22"/>
          <w:szCs w:val="22"/>
          <w:lang w:val="en-US"/>
        </w:rPr>
        <w:t>:</w:t>
      </w:r>
      <w:r w:rsidRPr="50268F94" w:rsidR="6EA95783">
        <w:rPr>
          <w:rFonts w:ascii="Calibri" w:hAnsi="Calibri" w:eastAsia="Calibri" w:cs="Calibri"/>
          <w:noProof w:val="0"/>
          <w:color w:val="156082" w:themeColor="accent1" w:themeTint="FF" w:themeShade="FF"/>
          <w:sz w:val="22"/>
          <w:szCs w:val="22"/>
          <w:lang w:val="en-US"/>
        </w:rPr>
        <w:t xml:space="preserve"> </w:t>
      </w:r>
      <w:r>
        <w:br/>
      </w:r>
      <w:r w:rsidRPr="50268F94" w:rsidR="6EA95783">
        <w:rPr>
          <w:rFonts w:ascii="Calibri" w:hAnsi="Calibri" w:eastAsia="Calibri" w:cs="Calibri"/>
          <w:noProof w:val="0"/>
          <w:sz w:val="22"/>
          <w:szCs w:val="22"/>
          <w:lang w:val="en-US"/>
        </w:rPr>
        <w:t xml:space="preserve"> Implement a structured change-management initiative, using Kotter’s (2012) model, to build awareness, </w:t>
      </w:r>
      <w:r w:rsidRPr="50268F94" w:rsidR="6EA95783">
        <w:rPr>
          <w:rFonts w:ascii="Calibri" w:hAnsi="Calibri" w:eastAsia="Calibri" w:cs="Calibri"/>
          <w:noProof w:val="0"/>
          <w:sz w:val="22"/>
          <w:szCs w:val="22"/>
          <w:lang w:val="en-US"/>
        </w:rPr>
        <w:t>participation</w:t>
      </w:r>
      <w:r w:rsidRPr="50268F94" w:rsidR="6EA95783">
        <w:rPr>
          <w:rFonts w:ascii="Calibri" w:hAnsi="Calibri" w:eastAsia="Calibri" w:cs="Calibri"/>
          <w:noProof w:val="0"/>
          <w:sz w:val="22"/>
          <w:szCs w:val="22"/>
          <w:lang w:val="en-US"/>
        </w:rPr>
        <w:t xml:space="preserve"> and resilience across teams. </w:t>
      </w:r>
    </w:p>
    <w:p w:rsidR="6EA95783" w:rsidP="50268F94" w:rsidRDefault="6EA95783" w14:paraId="577C74F1" w14:textId="3F8AE8CB">
      <w:pPr>
        <w:pStyle w:val="ListParagraph"/>
        <w:numPr>
          <w:ilvl w:val="0"/>
          <w:numId w:val="4"/>
        </w:numPr>
        <w:spacing w:before="0" w:beforeAutospacing="off" w:after="0" w:afterAutospacing="off" w:line="257" w:lineRule="auto"/>
        <w:rPr>
          <w:rFonts w:ascii="Calibri" w:hAnsi="Calibri" w:eastAsia="Calibri" w:cs="Calibri"/>
          <w:noProof w:val="0"/>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Introduce a Digital Capability Framework:</w:t>
      </w:r>
      <w:r w:rsidRPr="50268F94" w:rsidR="6EA95783">
        <w:rPr>
          <w:rFonts w:ascii="Calibri" w:hAnsi="Calibri" w:eastAsia="Calibri" w:cs="Calibri"/>
          <w:noProof w:val="0"/>
          <w:color w:val="156082" w:themeColor="accent1" w:themeTint="FF" w:themeShade="FF"/>
          <w:sz w:val="22"/>
          <w:szCs w:val="22"/>
          <w:lang w:val="en-US"/>
        </w:rPr>
        <w:t xml:space="preserve"> </w:t>
      </w:r>
      <w:r>
        <w:br/>
      </w:r>
      <w:r w:rsidRPr="50268F94" w:rsidR="6EA95783">
        <w:rPr>
          <w:rFonts w:ascii="Calibri" w:hAnsi="Calibri" w:eastAsia="Calibri" w:cs="Calibri"/>
          <w:noProof w:val="0"/>
          <w:sz w:val="22"/>
          <w:szCs w:val="22"/>
          <w:lang w:val="en-US"/>
        </w:rPr>
        <w:t xml:space="preserve"> Define essential digital competencies for each role, supported by blended learning (e-learning, workshops, mentoring). Link achievement to appraisal outcomes. </w:t>
      </w:r>
    </w:p>
    <w:p w:rsidR="6EA95783" w:rsidP="50268F94" w:rsidRDefault="6EA95783" w14:paraId="171607F1" w14:textId="13907FE0">
      <w:pPr>
        <w:pStyle w:val="ListParagraph"/>
        <w:numPr>
          <w:ilvl w:val="0"/>
          <w:numId w:val="5"/>
        </w:numPr>
        <w:spacing w:before="0" w:beforeAutospacing="off" w:after="0" w:afterAutospacing="off" w:line="257" w:lineRule="auto"/>
        <w:rPr>
          <w:rFonts w:ascii="Calibri" w:hAnsi="Calibri" w:eastAsia="Calibri" w:cs="Calibri"/>
          <w:noProof w:val="0"/>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Strengthen Leadership Development:</w:t>
      </w:r>
      <w:r w:rsidRPr="50268F94" w:rsidR="6EA95783">
        <w:rPr>
          <w:rFonts w:ascii="Calibri" w:hAnsi="Calibri" w:eastAsia="Calibri" w:cs="Calibri"/>
          <w:noProof w:val="0"/>
          <w:color w:val="156082" w:themeColor="accent1" w:themeTint="FF" w:themeShade="FF"/>
          <w:sz w:val="22"/>
          <w:szCs w:val="22"/>
          <w:lang w:val="en-US"/>
        </w:rPr>
        <w:t xml:space="preserve"> </w:t>
      </w:r>
      <w:r>
        <w:br/>
      </w:r>
      <w:r w:rsidRPr="50268F94" w:rsidR="6EA95783">
        <w:rPr>
          <w:rFonts w:ascii="Calibri" w:hAnsi="Calibri" w:eastAsia="Calibri" w:cs="Calibri"/>
          <w:noProof w:val="0"/>
          <w:sz w:val="22"/>
          <w:szCs w:val="22"/>
          <w:lang w:val="en-US"/>
        </w:rPr>
        <w:t xml:space="preserve"> Provide coaching and emotional-intelligence training for departmental managers to improve communication, </w:t>
      </w:r>
      <w:r w:rsidRPr="50268F94" w:rsidR="6EA95783">
        <w:rPr>
          <w:rFonts w:ascii="Calibri" w:hAnsi="Calibri" w:eastAsia="Calibri" w:cs="Calibri"/>
          <w:noProof w:val="0"/>
          <w:sz w:val="22"/>
          <w:szCs w:val="22"/>
          <w:lang w:val="en-US"/>
        </w:rPr>
        <w:t>empathy</w:t>
      </w:r>
      <w:r w:rsidRPr="50268F94" w:rsidR="6EA95783">
        <w:rPr>
          <w:rFonts w:ascii="Calibri" w:hAnsi="Calibri" w:eastAsia="Calibri" w:cs="Calibri"/>
          <w:noProof w:val="0"/>
          <w:sz w:val="22"/>
          <w:szCs w:val="22"/>
          <w:lang w:val="en-US"/>
        </w:rPr>
        <w:t xml:space="preserve"> and trust-building. </w:t>
      </w:r>
    </w:p>
    <w:p w:rsidR="6EA95783" w:rsidP="50268F94" w:rsidRDefault="6EA95783" w14:paraId="3AC92BDB" w14:textId="6FA5BF1F">
      <w:pPr>
        <w:pStyle w:val="ListParagraph"/>
        <w:numPr>
          <w:ilvl w:val="0"/>
          <w:numId w:val="6"/>
        </w:numPr>
        <w:spacing w:before="0" w:beforeAutospacing="off" w:after="0" w:afterAutospacing="off" w:line="257" w:lineRule="auto"/>
        <w:rPr>
          <w:rFonts w:ascii="Calibri" w:hAnsi="Calibri" w:eastAsia="Calibri" w:cs="Calibri"/>
          <w:noProof w:val="0"/>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Formalise</w:t>
      </w:r>
      <w:r w:rsidRPr="50268F94" w:rsidR="6EA95783">
        <w:rPr>
          <w:rFonts w:ascii="Calibri" w:hAnsi="Calibri" w:eastAsia="Calibri" w:cs="Calibri"/>
          <w:b w:val="1"/>
          <w:bCs w:val="1"/>
          <w:noProof w:val="0"/>
          <w:color w:val="156082" w:themeColor="accent1" w:themeTint="FF" w:themeShade="FF"/>
          <w:sz w:val="22"/>
          <w:szCs w:val="22"/>
          <w:lang w:val="en-US"/>
        </w:rPr>
        <w:t xml:space="preserve"> Flexible Working Policy</w:t>
      </w:r>
      <w:r w:rsidRPr="50268F94" w:rsidR="6EA95783">
        <w:rPr>
          <w:rFonts w:ascii="Calibri" w:hAnsi="Calibri" w:eastAsia="Calibri" w:cs="Calibri"/>
          <w:b w:val="1"/>
          <w:bCs w:val="1"/>
          <w:noProof w:val="0"/>
          <w:sz w:val="22"/>
          <w:szCs w:val="22"/>
          <w:lang w:val="en-US"/>
        </w:rPr>
        <w:t>:</w:t>
      </w:r>
      <w:r w:rsidRPr="50268F94" w:rsidR="6EA95783">
        <w:rPr>
          <w:rFonts w:ascii="Calibri" w:hAnsi="Calibri" w:eastAsia="Calibri" w:cs="Calibri"/>
          <w:noProof w:val="0"/>
          <w:sz w:val="22"/>
          <w:szCs w:val="22"/>
          <w:lang w:val="en-US"/>
        </w:rPr>
        <w:t xml:space="preserve"> </w:t>
      </w:r>
      <w:r>
        <w:br/>
      </w:r>
      <w:r w:rsidRPr="50268F94" w:rsidR="6EA95783">
        <w:rPr>
          <w:rFonts w:ascii="Calibri" w:hAnsi="Calibri" w:eastAsia="Calibri" w:cs="Calibri"/>
          <w:noProof w:val="0"/>
          <w:sz w:val="22"/>
          <w:szCs w:val="22"/>
          <w:lang w:val="en-US"/>
        </w:rPr>
        <w:t xml:space="preserve"> Adopt CIPD’s “flexible-by-design” principles, ensuring clarity, fairness and inclusion between depot and office-based roles. </w:t>
      </w:r>
    </w:p>
    <w:p w:rsidR="6EA95783" w:rsidP="50268F94" w:rsidRDefault="6EA95783" w14:paraId="689CD0CB" w14:textId="3B4731EE">
      <w:pPr>
        <w:pStyle w:val="ListParagraph"/>
        <w:numPr>
          <w:ilvl w:val="0"/>
          <w:numId w:val="7"/>
        </w:numPr>
        <w:spacing w:before="0" w:beforeAutospacing="off" w:after="0" w:afterAutospacing="off" w:line="257" w:lineRule="auto"/>
        <w:rPr>
          <w:rFonts w:ascii="Calibri" w:hAnsi="Calibri" w:eastAsia="Calibri" w:cs="Calibri"/>
          <w:noProof w:val="0"/>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Enhance Employee Voice:</w:t>
      </w:r>
      <w:r w:rsidRPr="50268F94" w:rsidR="6EA95783">
        <w:rPr>
          <w:rFonts w:ascii="Calibri" w:hAnsi="Calibri" w:eastAsia="Calibri" w:cs="Calibri"/>
          <w:noProof w:val="0"/>
          <w:color w:val="156082" w:themeColor="accent1" w:themeTint="FF" w:themeShade="FF"/>
          <w:sz w:val="22"/>
          <w:szCs w:val="22"/>
          <w:lang w:val="en-US"/>
        </w:rPr>
        <w:t xml:space="preserve"> </w:t>
      </w:r>
      <w:r>
        <w:br/>
      </w:r>
      <w:r w:rsidRPr="50268F94" w:rsidR="6EA95783">
        <w:rPr>
          <w:rFonts w:ascii="Calibri" w:hAnsi="Calibri" w:eastAsia="Calibri" w:cs="Calibri"/>
          <w:noProof w:val="0"/>
          <w:sz w:val="22"/>
          <w:szCs w:val="22"/>
          <w:lang w:val="en-US"/>
        </w:rPr>
        <w:t xml:space="preserve"> Establish quarterly engagement surveys, focus groups and anonymous feedback systems to </w:t>
      </w:r>
      <w:r w:rsidRPr="50268F94" w:rsidR="6EA95783">
        <w:rPr>
          <w:rFonts w:ascii="Calibri" w:hAnsi="Calibri" w:eastAsia="Calibri" w:cs="Calibri"/>
          <w:noProof w:val="0"/>
          <w:sz w:val="22"/>
          <w:szCs w:val="22"/>
          <w:lang w:val="en-US"/>
        </w:rPr>
        <w:t>identify</w:t>
      </w:r>
      <w:r w:rsidRPr="50268F94" w:rsidR="6EA95783">
        <w:rPr>
          <w:rFonts w:ascii="Calibri" w:hAnsi="Calibri" w:eastAsia="Calibri" w:cs="Calibri"/>
          <w:noProof w:val="0"/>
          <w:sz w:val="22"/>
          <w:szCs w:val="22"/>
          <w:lang w:val="en-US"/>
        </w:rPr>
        <w:t xml:space="preserve"> issues early and reduce grievances. </w:t>
      </w:r>
    </w:p>
    <w:p w:rsidR="6EA95783" w:rsidP="50268F94" w:rsidRDefault="6EA95783" w14:paraId="63056AAF" w14:textId="5BA4A1E1">
      <w:pPr>
        <w:pStyle w:val="ListParagraph"/>
        <w:numPr>
          <w:ilvl w:val="0"/>
          <w:numId w:val="8"/>
        </w:numPr>
        <w:spacing w:before="0" w:beforeAutospacing="off" w:after="0" w:afterAutospacing="off" w:line="257" w:lineRule="auto"/>
        <w:rPr>
          <w:rFonts w:ascii="Calibri" w:hAnsi="Calibri" w:eastAsia="Calibri" w:cs="Calibri"/>
          <w:noProof w:val="0"/>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Integrate HR Analytics:</w:t>
      </w:r>
      <w:r w:rsidRPr="50268F94" w:rsidR="6EA95783">
        <w:rPr>
          <w:rFonts w:ascii="Calibri" w:hAnsi="Calibri" w:eastAsia="Calibri" w:cs="Calibri"/>
          <w:noProof w:val="0"/>
          <w:color w:val="156082" w:themeColor="accent1" w:themeTint="FF" w:themeShade="FF"/>
          <w:sz w:val="22"/>
          <w:szCs w:val="22"/>
          <w:lang w:val="en-US"/>
        </w:rPr>
        <w:t xml:space="preserve"> </w:t>
      </w:r>
      <w:r>
        <w:br/>
      </w:r>
      <w:r w:rsidRPr="50268F94" w:rsidR="6EA95783">
        <w:rPr>
          <w:rFonts w:ascii="Calibri" w:hAnsi="Calibri" w:eastAsia="Calibri" w:cs="Calibri"/>
          <w:noProof w:val="0"/>
          <w:sz w:val="22"/>
          <w:szCs w:val="22"/>
          <w:lang w:val="en-US"/>
        </w:rPr>
        <w:t xml:space="preserve"> Use data dashboards to </w:t>
      </w:r>
      <w:r w:rsidRPr="50268F94" w:rsidR="6EA95783">
        <w:rPr>
          <w:rFonts w:ascii="Calibri" w:hAnsi="Calibri" w:eastAsia="Calibri" w:cs="Calibri"/>
          <w:noProof w:val="0"/>
          <w:sz w:val="22"/>
          <w:szCs w:val="22"/>
          <w:lang w:val="en-US"/>
        </w:rPr>
        <w:t>monitor</w:t>
      </w:r>
      <w:r w:rsidRPr="50268F94" w:rsidR="6EA95783">
        <w:rPr>
          <w:rFonts w:ascii="Calibri" w:hAnsi="Calibri" w:eastAsia="Calibri" w:cs="Calibri"/>
          <w:noProof w:val="0"/>
          <w:sz w:val="22"/>
          <w:szCs w:val="22"/>
          <w:lang w:val="en-US"/>
        </w:rPr>
        <w:t xml:space="preserve"> key indicators—absenteeism, turnover, wellbeing—and inform proactive interventions. </w:t>
      </w:r>
    </w:p>
    <w:p w:rsidR="6EA95783" w:rsidP="50268F94" w:rsidRDefault="6EA95783" w14:paraId="171459EB" w14:textId="2D86623A">
      <w:pPr>
        <w:pStyle w:val="ListParagraph"/>
        <w:numPr>
          <w:ilvl w:val="0"/>
          <w:numId w:val="9"/>
        </w:numPr>
        <w:spacing w:before="0" w:beforeAutospacing="off" w:after="0" w:afterAutospacing="off" w:line="257" w:lineRule="auto"/>
        <w:rPr>
          <w:rFonts w:ascii="Calibri" w:hAnsi="Calibri" w:eastAsia="Calibri" w:cs="Calibri"/>
          <w:noProof w:val="0"/>
          <w:sz w:val="22"/>
          <w:szCs w:val="22"/>
          <w:lang w:val="en-US"/>
        </w:rPr>
      </w:pPr>
      <w:r w:rsidRPr="50268F94" w:rsidR="6EA95783">
        <w:rPr>
          <w:rFonts w:ascii="Calibri" w:hAnsi="Calibri" w:eastAsia="Calibri" w:cs="Calibri"/>
          <w:b w:val="1"/>
          <w:bCs w:val="1"/>
          <w:noProof w:val="0"/>
          <w:color w:val="156082" w:themeColor="accent1" w:themeTint="FF" w:themeShade="FF"/>
          <w:sz w:val="22"/>
          <w:szCs w:val="22"/>
          <w:lang w:val="en-US"/>
        </w:rPr>
        <w:t>Promote a Culture of Continuous Learning:</w:t>
      </w:r>
      <w:r w:rsidRPr="50268F94" w:rsidR="6EA95783">
        <w:rPr>
          <w:rFonts w:ascii="Calibri" w:hAnsi="Calibri" w:eastAsia="Calibri" w:cs="Calibri"/>
          <w:noProof w:val="0"/>
          <w:color w:val="156082" w:themeColor="accent1" w:themeTint="FF" w:themeShade="FF"/>
          <w:sz w:val="22"/>
          <w:szCs w:val="22"/>
          <w:lang w:val="en-US"/>
        </w:rPr>
        <w:t xml:space="preserve"> </w:t>
      </w:r>
      <w:r>
        <w:br/>
      </w:r>
      <w:r w:rsidRPr="50268F94" w:rsidR="6EA95783">
        <w:rPr>
          <w:rFonts w:ascii="Calibri" w:hAnsi="Calibri" w:eastAsia="Calibri" w:cs="Calibri"/>
          <w:noProof w:val="0"/>
          <w:sz w:val="22"/>
          <w:szCs w:val="22"/>
          <w:lang w:val="en-US"/>
        </w:rPr>
        <w:t xml:space="preserve"> </w:t>
      </w:r>
      <w:r w:rsidRPr="50268F94" w:rsidR="6EA95783">
        <w:rPr>
          <w:rFonts w:ascii="Calibri" w:hAnsi="Calibri" w:eastAsia="Calibri" w:cs="Calibri"/>
          <w:noProof w:val="0"/>
          <w:sz w:val="22"/>
          <w:szCs w:val="22"/>
          <w:lang w:val="en-US"/>
        </w:rPr>
        <w:t>Recognise</w:t>
      </w:r>
      <w:r w:rsidRPr="50268F94" w:rsidR="6EA95783">
        <w:rPr>
          <w:rFonts w:ascii="Calibri" w:hAnsi="Calibri" w:eastAsia="Calibri" w:cs="Calibri"/>
          <w:noProof w:val="0"/>
          <w:sz w:val="22"/>
          <w:szCs w:val="22"/>
          <w:lang w:val="en-US"/>
        </w:rPr>
        <w:t xml:space="preserve"> and reward innovation, knowledge-</w:t>
      </w:r>
      <w:r w:rsidRPr="50268F94" w:rsidR="6EA95783">
        <w:rPr>
          <w:rFonts w:ascii="Calibri" w:hAnsi="Calibri" w:eastAsia="Calibri" w:cs="Calibri"/>
          <w:noProof w:val="0"/>
          <w:sz w:val="22"/>
          <w:szCs w:val="22"/>
          <w:lang w:val="en-US"/>
        </w:rPr>
        <w:t>sharing</w:t>
      </w:r>
      <w:r w:rsidRPr="50268F94" w:rsidR="6EA95783">
        <w:rPr>
          <w:rFonts w:ascii="Calibri" w:hAnsi="Calibri" w:eastAsia="Calibri" w:cs="Calibri"/>
          <w:noProof w:val="0"/>
          <w:sz w:val="22"/>
          <w:szCs w:val="22"/>
          <w:lang w:val="en-US"/>
        </w:rPr>
        <w:t xml:space="preserve"> and adaptability to reinforce transformation as an ongoing process rather than a one-off event. </w:t>
      </w:r>
    </w:p>
    <w:p w:rsidR="6EA95783" w:rsidP="50268F94" w:rsidRDefault="6EA95783" w14:paraId="4CB56FB2" w14:textId="292D1B0B">
      <w:pPr>
        <w:spacing w:before="0" w:beforeAutospacing="off" w:after="160" w:afterAutospacing="off" w:line="257" w:lineRule="auto"/>
      </w:pPr>
      <w:r w:rsidRPr="50268F94" w:rsidR="6EA95783">
        <w:rPr>
          <w:rFonts w:ascii="Calibri" w:hAnsi="Calibri" w:eastAsia="Calibri" w:cs="Calibri"/>
          <w:noProof w:val="0"/>
          <w:sz w:val="22"/>
          <w:szCs w:val="22"/>
          <w:lang w:val="en-US"/>
        </w:rPr>
        <w:t>By implementing these recommendations with urgency and collaboration, Efficient Logistic can create a high-performing, digitally capable and resilient workforce ready to meet future challenges in the logistics sector.</w:t>
      </w:r>
    </w:p>
    <w:p w:rsidR="50268F94" w:rsidP="50268F94" w:rsidRDefault="50268F94" w14:paraId="0779FEC9" w14:textId="7FE6725E">
      <w:pPr>
        <w:spacing w:before="0" w:beforeAutospacing="off" w:after="160" w:afterAutospacing="off" w:line="257" w:lineRule="auto"/>
        <w:rPr>
          <w:rFonts w:ascii="Calibri" w:hAnsi="Calibri" w:eastAsia="Calibri" w:cs="Calibri"/>
          <w:b w:val="1"/>
          <w:bCs w:val="1"/>
          <w:noProof w:val="0"/>
          <w:sz w:val="22"/>
          <w:szCs w:val="22"/>
          <w:lang w:val="en-US"/>
        </w:rPr>
      </w:pPr>
    </w:p>
    <w:p w:rsidR="50268F94" w:rsidP="50268F94" w:rsidRDefault="50268F94" w14:paraId="6A66A313" w14:textId="11E523C1">
      <w:pPr>
        <w:pStyle w:val="Heading2"/>
        <w:spacing w:before="299" w:beforeAutospacing="off" w:after="299" w:afterAutospacing="off"/>
        <w:rPr>
          <w:rFonts w:ascii="Aptos" w:hAnsi="Aptos" w:eastAsia="Aptos" w:cs="Aptos"/>
          <w:b w:val="1"/>
          <w:bCs w:val="1"/>
          <w:noProof w:val="0"/>
          <w:sz w:val="36"/>
          <w:szCs w:val="36"/>
          <w:lang w:val="en-US"/>
        </w:rPr>
      </w:pPr>
    </w:p>
    <w:p w:rsidR="50268F94" w:rsidP="50268F94" w:rsidRDefault="50268F94" w14:paraId="51CB1073" w14:textId="4ECD1E6E">
      <w:pPr>
        <w:pStyle w:val="Heading2"/>
        <w:spacing w:before="299" w:beforeAutospacing="off" w:after="299" w:afterAutospacing="off"/>
        <w:rPr>
          <w:rFonts w:ascii="Aptos" w:hAnsi="Aptos" w:eastAsia="Aptos" w:cs="Aptos"/>
          <w:b w:val="1"/>
          <w:bCs w:val="1"/>
          <w:noProof w:val="0"/>
          <w:sz w:val="36"/>
          <w:szCs w:val="36"/>
          <w:lang w:val="en-US"/>
        </w:rPr>
      </w:pPr>
    </w:p>
    <w:p w:rsidR="0A91EC8D" w:rsidP="50268F94" w:rsidRDefault="0A91EC8D" w14:paraId="531B091E" w14:textId="3ED8A5C8">
      <w:pPr>
        <w:pStyle w:val="Heading2"/>
        <w:spacing w:before="299" w:beforeAutospacing="off" w:after="299" w:afterAutospacing="off"/>
        <w:rPr>
          <w:rFonts w:ascii="Aptos" w:hAnsi="Aptos" w:eastAsia="Aptos" w:cs="Aptos"/>
          <w:b w:val="1"/>
          <w:bCs w:val="1"/>
          <w:noProof w:val="0"/>
          <w:sz w:val="22"/>
          <w:szCs w:val="22"/>
          <w:lang w:val="en-US"/>
        </w:rPr>
      </w:pPr>
      <w:r w:rsidRPr="50268F94" w:rsidR="0A91EC8D">
        <w:rPr>
          <w:rFonts w:ascii="Aptos" w:hAnsi="Aptos" w:eastAsia="Aptos" w:cs="Aptos"/>
          <w:b w:val="1"/>
          <w:bCs w:val="1"/>
          <w:noProof w:val="0"/>
          <w:sz w:val="22"/>
          <w:szCs w:val="22"/>
          <w:lang w:val="en-US"/>
        </w:rPr>
        <w:t xml:space="preserve">Page </w:t>
      </w:r>
      <w:r w:rsidRPr="50268F94" w:rsidR="7732C7CC">
        <w:rPr>
          <w:rFonts w:ascii="Aptos" w:hAnsi="Aptos" w:eastAsia="Aptos" w:cs="Aptos"/>
          <w:b w:val="1"/>
          <w:bCs w:val="1"/>
          <w:noProof w:val="0"/>
          <w:sz w:val="22"/>
          <w:szCs w:val="22"/>
          <w:lang w:val="en-US"/>
        </w:rPr>
        <w:t>8</w:t>
      </w:r>
    </w:p>
    <w:p w:rsidR="0A91EC8D" w:rsidP="50268F94" w:rsidRDefault="0A91EC8D" w14:paraId="3FE72063" w14:textId="5B14CFD7">
      <w:pPr>
        <w:pStyle w:val="Heading2"/>
        <w:spacing w:before="299" w:beforeAutospacing="off" w:after="299" w:afterAutospacing="off"/>
        <w:rPr>
          <w:rFonts w:ascii="Aptos" w:hAnsi="Aptos" w:eastAsia="Aptos" w:cs="Aptos"/>
          <w:b w:val="1"/>
          <w:bCs w:val="1"/>
          <w:noProof w:val="0"/>
          <w:sz w:val="22"/>
          <w:szCs w:val="22"/>
          <w:lang w:val="en-US"/>
        </w:rPr>
      </w:pPr>
      <w:r w:rsidRPr="50268F94" w:rsidR="0A91EC8D">
        <w:rPr>
          <w:rFonts w:ascii="Aptos" w:hAnsi="Aptos" w:eastAsia="Aptos" w:cs="Aptos"/>
          <w:b w:val="1"/>
          <w:bCs w:val="1"/>
          <w:noProof w:val="0"/>
          <w:sz w:val="22"/>
          <w:szCs w:val="22"/>
          <w:lang w:val="en-US"/>
        </w:rPr>
        <w:t>Reference List (Harvard Style)</w:t>
      </w:r>
    </w:p>
    <w:p w:rsidR="0A91EC8D" w:rsidP="50268F94" w:rsidRDefault="0A91EC8D" w14:paraId="6F3A5718" w14:textId="758B77F8">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Armstrong, M. (2020)</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i w:val="1"/>
          <w:iCs w:val="1"/>
          <w:noProof w:val="0"/>
          <w:sz w:val="22"/>
          <w:szCs w:val="22"/>
          <w:lang w:val="en-US"/>
        </w:rPr>
        <w:t>Armstrong’s</w:t>
      </w:r>
      <w:r w:rsidRPr="50268F94" w:rsidR="0A91EC8D">
        <w:rPr>
          <w:rFonts w:ascii="Aptos" w:hAnsi="Aptos" w:eastAsia="Aptos" w:cs="Aptos"/>
          <w:i w:val="1"/>
          <w:iCs w:val="1"/>
          <w:noProof w:val="0"/>
          <w:sz w:val="22"/>
          <w:szCs w:val="22"/>
          <w:lang w:val="en-US"/>
        </w:rPr>
        <w:t xml:space="preserve"> Handbook of Human Resource Management Practice.</w:t>
      </w:r>
      <w:r w:rsidRPr="50268F94" w:rsidR="0A91EC8D">
        <w:rPr>
          <w:rFonts w:ascii="Aptos" w:hAnsi="Aptos" w:eastAsia="Aptos" w:cs="Aptos"/>
          <w:noProof w:val="0"/>
          <w:sz w:val="22"/>
          <w:szCs w:val="22"/>
          <w:lang w:val="en-US"/>
        </w:rPr>
        <w:t xml:space="preserve"> 15th ed. London: Kogan Page.</w:t>
      </w:r>
    </w:p>
    <w:p w:rsidR="0A91EC8D" w:rsidP="50268F94" w:rsidRDefault="0A91EC8D" w14:paraId="14725D21" w14:textId="18D1D550">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Armstrong, </w:t>
      </w:r>
      <w:r w:rsidRPr="50268F94" w:rsidR="0A91EC8D">
        <w:rPr>
          <w:rFonts w:ascii="Aptos" w:hAnsi="Aptos" w:eastAsia="Aptos" w:cs="Aptos"/>
          <w:noProof w:val="0"/>
          <w:sz w:val="22"/>
          <w:szCs w:val="22"/>
          <w:lang w:val="en-US"/>
        </w:rPr>
        <w:t>M.</w:t>
      </w:r>
      <w:r w:rsidRPr="50268F94" w:rsidR="0A91EC8D">
        <w:rPr>
          <w:rFonts w:ascii="Aptos" w:hAnsi="Aptos" w:eastAsia="Aptos" w:cs="Aptos"/>
          <w:noProof w:val="0"/>
          <w:sz w:val="22"/>
          <w:szCs w:val="22"/>
          <w:lang w:val="en-US"/>
        </w:rPr>
        <w:t xml:space="preserve"> and Taylor, S. (2023)</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i w:val="1"/>
          <w:iCs w:val="1"/>
          <w:noProof w:val="0"/>
          <w:sz w:val="22"/>
          <w:szCs w:val="22"/>
          <w:lang w:val="en-US"/>
        </w:rPr>
        <w:t>Armstrong’s</w:t>
      </w:r>
      <w:r w:rsidRPr="50268F94" w:rsidR="0A91EC8D">
        <w:rPr>
          <w:rFonts w:ascii="Aptos" w:hAnsi="Aptos" w:eastAsia="Aptos" w:cs="Aptos"/>
          <w:i w:val="1"/>
          <w:iCs w:val="1"/>
          <w:noProof w:val="0"/>
          <w:sz w:val="22"/>
          <w:szCs w:val="22"/>
          <w:lang w:val="en-US"/>
        </w:rPr>
        <w:t xml:space="preserve"> Handbook of Strategic Human Resource Management.</w:t>
      </w:r>
      <w:r w:rsidRPr="50268F94" w:rsidR="0A91EC8D">
        <w:rPr>
          <w:rFonts w:ascii="Aptos" w:hAnsi="Aptos" w:eastAsia="Aptos" w:cs="Aptos"/>
          <w:noProof w:val="0"/>
          <w:sz w:val="22"/>
          <w:szCs w:val="22"/>
          <w:lang w:val="en-US"/>
        </w:rPr>
        <w:t xml:space="preserve"> 7th ed. London: Kogan Page.</w:t>
      </w:r>
    </w:p>
    <w:p w:rsidR="0A91EC8D" w:rsidP="50268F94" w:rsidRDefault="0A91EC8D" w14:paraId="755181B2" w14:textId="611AA3C0">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Bondarouk</w:t>
      </w:r>
      <w:r w:rsidRPr="50268F94" w:rsidR="0A91EC8D">
        <w:rPr>
          <w:rFonts w:ascii="Aptos" w:hAnsi="Aptos" w:eastAsia="Aptos" w:cs="Aptos"/>
          <w:noProof w:val="0"/>
          <w:sz w:val="22"/>
          <w:szCs w:val="22"/>
          <w:lang w:val="en-US"/>
        </w:rPr>
        <w:t>, T. and Brewster, C. (2016) ‘</w:t>
      </w:r>
      <w:r w:rsidRPr="50268F94" w:rsidR="0A91EC8D">
        <w:rPr>
          <w:rFonts w:ascii="Aptos" w:hAnsi="Aptos" w:eastAsia="Aptos" w:cs="Aptos"/>
          <w:noProof w:val="0"/>
          <w:sz w:val="22"/>
          <w:szCs w:val="22"/>
          <w:lang w:val="en-US"/>
        </w:rPr>
        <w:t>Conceptualising</w:t>
      </w:r>
      <w:r w:rsidRPr="50268F94" w:rsidR="0A91EC8D">
        <w:rPr>
          <w:rFonts w:ascii="Aptos" w:hAnsi="Aptos" w:eastAsia="Aptos" w:cs="Aptos"/>
          <w:noProof w:val="0"/>
          <w:sz w:val="22"/>
          <w:szCs w:val="22"/>
          <w:lang w:val="en-US"/>
        </w:rPr>
        <w:t xml:space="preserve"> the future of HRM and technology research’, </w:t>
      </w:r>
      <w:r w:rsidRPr="50268F94" w:rsidR="0A91EC8D">
        <w:rPr>
          <w:rFonts w:ascii="Aptos" w:hAnsi="Aptos" w:eastAsia="Aptos" w:cs="Aptos"/>
          <w:i w:val="1"/>
          <w:iCs w:val="1"/>
          <w:noProof w:val="0"/>
          <w:sz w:val="22"/>
          <w:szCs w:val="22"/>
          <w:lang w:val="en-US"/>
        </w:rPr>
        <w:t>International Journal of Human Resource Management,</w:t>
      </w:r>
      <w:r w:rsidRPr="50268F94" w:rsidR="0A91EC8D">
        <w:rPr>
          <w:rFonts w:ascii="Aptos" w:hAnsi="Aptos" w:eastAsia="Aptos" w:cs="Aptos"/>
          <w:noProof w:val="0"/>
          <w:sz w:val="22"/>
          <w:szCs w:val="22"/>
          <w:lang w:val="en-US"/>
        </w:rPr>
        <w:t xml:space="preserve"> 27(21), pp. 2652–2671.</w:t>
      </w:r>
    </w:p>
    <w:p w:rsidR="0A91EC8D" w:rsidP="50268F94" w:rsidRDefault="0A91EC8D" w14:paraId="1652CA73" w14:textId="658DED42">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CIPD (2022) </w:t>
      </w:r>
      <w:r w:rsidRPr="50268F94" w:rsidR="0A91EC8D">
        <w:rPr>
          <w:rFonts w:ascii="Aptos" w:hAnsi="Aptos" w:eastAsia="Aptos" w:cs="Aptos"/>
          <w:i w:val="1"/>
          <w:iCs w:val="1"/>
          <w:noProof w:val="0"/>
          <w:sz w:val="22"/>
          <w:szCs w:val="22"/>
          <w:lang w:val="en-US"/>
        </w:rPr>
        <w:t>Flexible Working: The Business Case.</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noProof w:val="0"/>
          <w:sz w:val="22"/>
          <w:szCs w:val="22"/>
          <w:lang w:val="en-US"/>
        </w:rPr>
        <w:t>[Online].</w:t>
      </w:r>
      <w:r w:rsidRPr="50268F94" w:rsidR="0A91EC8D">
        <w:rPr>
          <w:rFonts w:ascii="Aptos" w:hAnsi="Aptos" w:eastAsia="Aptos" w:cs="Aptos"/>
          <w:noProof w:val="0"/>
          <w:sz w:val="22"/>
          <w:szCs w:val="22"/>
          <w:lang w:val="en-US"/>
        </w:rPr>
        <w:t xml:space="preserve"> Available at: </w:t>
      </w:r>
      <w:hyperlink r:id="Rbc1230d99c0440be">
        <w:r w:rsidRPr="50268F94" w:rsidR="0A91EC8D">
          <w:rPr>
            <w:rStyle w:val="Hyperlink"/>
            <w:rFonts w:ascii="Aptos" w:hAnsi="Aptos" w:eastAsia="Aptos" w:cs="Aptos"/>
            <w:noProof w:val="0"/>
            <w:sz w:val="22"/>
            <w:szCs w:val="22"/>
            <w:lang w:val="en-US"/>
          </w:rPr>
          <w:t>https://www.cipd.co.uk</w:t>
        </w:r>
      </w:hyperlink>
      <w:r w:rsidRPr="50268F94" w:rsidR="0A91EC8D">
        <w:rPr>
          <w:rFonts w:ascii="Aptos" w:hAnsi="Aptos" w:eastAsia="Aptos" w:cs="Aptos"/>
          <w:noProof w:val="0"/>
          <w:sz w:val="22"/>
          <w:szCs w:val="22"/>
          <w:lang w:val="en-US"/>
        </w:rPr>
        <w:t xml:space="preserve"> [Accessed 3 Nov 2025].</w:t>
      </w:r>
    </w:p>
    <w:p w:rsidR="0A91EC8D" w:rsidP="50268F94" w:rsidRDefault="0A91EC8D" w14:paraId="6479E0CD" w14:textId="0E8D0F40">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CIPD (2023a) </w:t>
      </w:r>
      <w:r w:rsidRPr="50268F94" w:rsidR="0A91EC8D">
        <w:rPr>
          <w:rFonts w:ascii="Aptos" w:hAnsi="Aptos" w:eastAsia="Aptos" w:cs="Aptos"/>
          <w:i w:val="1"/>
          <w:iCs w:val="1"/>
          <w:noProof w:val="0"/>
          <w:sz w:val="22"/>
          <w:szCs w:val="22"/>
          <w:lang w:val="en-US"/>
        </w:rPr>
        <w:t>Flexible by Design – Embedding Flexibility in Workplace Culture.</w:t>
      </w:r>
      <w:r w:rsidRPr="50268F94" w:rsidR="0A91EC8D">
        <w:rPr>
          <w:rFonts w:ascii="Aptos" w:hAnsi="Aptos" w:eastAsia="Aptos" w:cs="Aptos"/>
          <w:noProof w:val="0"/>
          <w:sz w:val="22"/>
          <w:szCs w:val="22"/>
          <w:lang w:val="en-US"/>
        </w:rPr>
        <w:t xml:space="preserve"> London: CIPD.</w:t>
      </w:r>
    </w:p>
    <w:p w:rsidR="0A91EC8D" w:rsidP="50268F94" w:rsidRDefault="0A91EC8D" w14:paraId="55405512" w14:textId="4770D291">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CIPD (2023b) </w:t>
      </w:r>
      <w:r w:rsidRPr="50268F94" w:rsidR="0A91EC8D">
        <w:rPr>
          <w:rFonts w:ascii="Aptos" w:hAnsi="Aptos" w:eastAsia="Aptos" w:cs="Aptos"/>
          <w:i w:val="1"/>
          <w:iCs w:val="1"/>
          <w:noProof w:val="0"/>
          <w:sz w:val="22"/>
          <w:szCs w:val="22"/>
          <w:lang w:val="en-US"/>
        </w:rPr>
        <w:t>People Analytics and Evidence-Based HR.</w:t>
      </w:r>
      <w:r w:rsidRPr="50268F94" w:rsidR="0A91EC8D">
        <w:rPr>
          <w:rFonts w:ascii="Aptos" w:hAnsi="Aptos" w:eastAsia="Aptos" w:cs="Aptos"/>
          <w:noProof w:val="0"/>
          <w:sz w:val="22"/>
          <w:szCs w:val="22"/>
          <w:lang w:val="en-US"/>
        </w:rPr>
        <w:t xml:space="preserve"> London: CIPD.</w:t>
      </w:r>
    </w:p>
    <w:p w:rsidR="0A91EC8D" w:rsidP="50268F94" w:rsidRDefault="0A91EC8D" w14:paraId="7CC50B14" w14:textId="7D282494">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Goleman, D. (2018)</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i w:val="1"/>
          <w:iCs w:val="1"/>
          <w:noProof w:val="0"/>
          <w:sz w:val="22"/>
          <w:szCs w:val="22"/>
          <w:lang w:val="en-US"/>
        </w:rPr>
        <w:t>Working</w:t>
      </w:r>
      <w:r w:rsidRPr="50268F94" w:rsidR="0A91EC8D">
        <w:rPr>
          <w:rFonts w:ascii="Aptos" w:hAnsi="Aptos" w:eastAsia="Aptos" w:cs="Aptos"/>
          <w:i w:val="1"/>
          <w:iCs w:val="1"/>
          <w:noProof w:val="0"/>
          <w:sz w:val="22"/>
          <w:szCs w:val="22"/>
          <w:lang w:val="en-US"/>
        </w:rPr>
        <w:t xml:space="preserve"> with Emotional Intelligence.</w:t>
      </w:r>
      <w:r w:rsidRPr="50268F94" w:rsidR="0A91EC8D">
        <w:rPr>
          <w:rFonts w:ascii="Aptos" w:hAnsi="Aptos" w:eastAsia="Aptos" w:cs="Aptos"/>
          <w:noProof w:val="0"/>
          <w:sz w:val="22"/>
          <w:szCs w:val="22"/>
          <w:lang w:val="en-US"/>
        </w:rPr>
        <w:t xml:space="preserve"> London: Bloomsbury.</w:t>
      </w:r>
    </w:p>
    <w:p w:rsidR="0A91EC8D" w:rsidP="50268F94" w:rsidRDefault="0A91EC8D" w14:paraId="57DE68E7" w14:textId="3D0A1226">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Hill, E. J., Kelley, E. </w:t>
      </w:r>
      <w:r w:rsidRPr="50268F94" w:rsidR="0A91EC8D">
        <w:rPr>
          <w:rFonts w:ascii="Aptos" w:hAnsi="Aptos" w:eastAsia="Aptos" w:cs="Aptos"/>
          <w:noProof w:val="0"/>
          <w:sz w:val="22"/>
          <w:szCs w:val="22"/>
          <w:lang w:val="en-US"/>
        </w:rPr>
        <w:t>L.</w:t>
      </w:r>
      <w:r w:rsidRPr="50268F94" w:rsidR="0A91EC8D">
        <w:rPr>
          <w:rFonts w:ascii="Aptos" w:hAnsi="Aptos" w:eastAsia="Aptos" w:cs="Aptos"/>
          <w:noProof w:val="0"/>
          <w:sz w:val="22"/>
          <w:szCs w:val="22"/>
          <w:lang w:val="en-US"/>
        </w:rPr>
        <w:t xml:space="preserve"> and Moen, P. (2021) ‘Results-only work environments and the future of flexibility’, </w:t>
      </w:r>
      <w:r w:rsidRPr="50268F94" w:rsidR="0A91EC8D">
        <w:rPr>
          <w:rFonts w:ascii="Aptos" w:hAnsi="Aptos" w:eastAsia="Aptos" w:cs="Aptos"/>
          <w:i w:val="1"/>
          <w:iCs w:val="1"/>
          <w:noProof w:val="0"/>
          <w:sz w:val="22"/>
          <w:szCs w:val="22"/>
          <w:lang w:val="en-US"/>
        </w:rPr>
        <w:t>Human Relations,</w:t>
      </w:r>
      <w:r w:rsidRPr="50268F94" w:rsidR="0A91EC8D">
        <w:rPr>
          <w:rFonts w:ascii="Aptos" w:hAnsi="Aptos" w:eastAsia="Aptos" w:cs="Aptos"/>
          <w:noProof w:val="0"/>
          <w:sz w:val="22"/>
          <w:szCs w:val="22"/>
          <w:lang w:val="en-US"/>
        </w:rPr>
        <w:t xml:space="preserve"> 74(9), pp. 1485–1507.</w:t>
      </w:r>
    </w:p>
    <w:p w:rsidR="0A91EC8D" w:rsidP="50268F94" w:rsidRDefault="0A91EC8D" w14:paraId="07EC3B16" w14:textId="5D0EEBEB">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Kotter, J. P. (2012)</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i w:val="1"/>
          <w:iCs w:val="1"/>
          <w:noProof w:val="0"/>
          <w:sz w:val="22"/>
          <w:szCs w:val="22"/>
          <w:lang w:val="en-US"/>
        </w:rPr>
        <w:t>Leading</w:t>
      </w:r>
      <w:r w:rsidRPr="50268F94" w:rsidR="0A91EC8D">
        <w:rPr>
          <w:rFonts w:ascii="Aptos" w:hAnsi="Aptos" w:eastAsia="Aptos" w:cs="Aptos"/>
          <w:i w:val="1"/>
          <w:iCs w:val="1"/>
          <w:noProof w:val="0"/>
          <w:sz w:val="22"/>
          <w:szCs w:val="22"/>
          <w:lang w:val="en-US"/>
        </w:rPr>
        <w:t xml:space="preserve"> Change.</w:t>
      </w:r>
      <w:r w:rsidRPr="50268F94" w:rsidR="0A91EC8D">
        <w:rPr>
          <w:rFonts w:ascii="Aptos" w:hAnsi="Aptos" w:eastAsia="Aptos" w:cs="Aptos"/>
          <w:noProof w:val="0"/>
          <w:sz w:val="22"/>
          <w:szCs w:val="22"/>
          <w:lang w:val="en-US"/>
        </w:rPr>
        <w:t xml:space="preserve"> Boston: Harvard Business Press.</w:t>
      </w:r>
    </w:p>
    <w:p w:rsidR="0A91EC8D" w:rsidP="50268F94" w:rsidRDefault="0A91EC8D" w14:paraId="69F89C0E" w14:textId="3E409052">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b w:val="1"/>
          <w:bCs w:val="1"/>
          <w:noProof w:val="0"/>
          <w:color w:val="156082" w:themeColor="accent1" w:themeTint="FF" w:themeShade="FF"/>
          <w:sz w:val="22"/>
          <w:szCs w:val="22"/>
          <w:lang w:val="en-US"/>
        </w:rPr>
        <w:t xml:space="preserve">Page </w:t>
      </w:r>
      <w:r w:rsidRPr="50268F94" w:rsidR="5DE9465D">
        <w:rPr>
          <w:rFonts w:ascii="Aptos" w:hAnsi="Aptos" w:eastAsia="Aptos" w:cs="Aptos"/>
          <w:b w:val="1"/>
          <w:bCs w:val="1"/>
          <w:noProof w:val="0"/>
          <w:color w:val="156082" w:themeColor="accent1" w:themeTint="FF" w:themeShade="FF"/>
          <w:sz w:val="22"/>
          <w:szCs w:val="22"/>
          <w:lang w:val="en-US"/>
        </w:rPr>
        <w:t xml:space="preserve">9 </w:t>
      </w:r>
    </w:p>
    <w:p w:rsidR="0A91EC8D" w:rsidP="50268F94" w:rsidRDefault="0A91EC8D" w14:paraId="24239E86" w14:textId="7F54A11F">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Marler, J. </w:t>
      </w:r>
      <w:r w:rsidRPr="50268F94" w:rsidR="0A91EC8D">
        <w:rPr>
          <w:rFonts w:ascii="Aptos" w:hAnsi="Aptos" w:eastAsia="Aptos" w:cs="Aptos"/>
          <w:noProof w:val="0"/>
          <w:sz w:val="22"/>
          <w:szCs w:val="22"/>
          <w:lang w:val="en-US"/>
        </w:rPr>
        <w:t>H.</w:t>
      </w:r>
      <w:r w:rsidRPr="50268F94" w:rsidR="0A91EC8D">
        <w:rPr>
          <w:rFonts w:ascii="Aptos" w:hAnsi="Aptos" w:eastAsia="Aptos" w:cs="Aptos"/>
          <w:noProof w:val="0"/>
          <w:sz w:val="22"/>
          <w:szCs w:val="22"/>
          <w:lang w:val="en-US"/>
        </w:rPr>
        <w:t xml:space="preserve"> and Boudreau, J. W. (2017) ‘An evidence-based review of HR Analytics’, </w:t>
      </w:r>
      <w:r w:rsidRPr="50268F94" w:rsidR="0A91EC8D">
        <w:rPr>
          <w:rFonts w:ascii="Aptos" w:hAnsi="Aptos" w:eastAsia="Aptos" w:cs="Aptos"/>
          <w:i w:val="1"/>
          <w:iCs w:val="1"/>
          <w:noProof w:val="0"/>
          <w:sz w:val="22"/>
          <w:szCs w:val="22"/>
          <w:lang w:val="en-US"/>
        </w:rPr>
        <w:t>International Journal of Human Resource Management,</w:t>
      </w:r>
      <w:r w:rsidRPr="50268F94" w:rsidR="0A91EC8D">
        <w:rPr>
          <w:rFonts w:ascii="Aptos" w:hAnsi="Aptos" w:eastAsia="Aptos" w:cs="Aptos"/>
          <w:noProof w:val="0"/>
          <w:sz w:val="22"/>
          <w:szCs w:val="22"/>
          <w:lang w:val="en-US"/>
        </w:rPr>
        <w:t xml:space="preserve"> 28(1), pp. 3–26.</w:t>
      </w:r>
    </w:p>
    <w:p w:rsidR="0A91EC8D" w:rsidP="50268F94" w:rsidRDefault="0A91EC8D" w14:paraId="5253A53F" w14:textId="6B3EACC5">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Parry, </w:t>
      </w:r>
      <w:r w:rsidRPr="50268F94" w:rsidR="0A91EC8D">
        <w:rPr>
          <w:rFonts w:ascii="Aptos" w:hAnsi="Aptos" w:eastAsia="Aptos" w:cs="Aptos"/>
          <w:noProof w:val="0"/>
          <w:sz w:val="22"/>
          <w:szCs w:val="22"/>
          <w:lang w:val="en-US"/>
        </w:rPr>
        <w:t>E.</w:t>
      </w:r>
      <w:r w:rsidRPr="50268F94" w:rsidR="0A91EC8D">
        <w:rPr>
          <w:rFonts w:ascii="Aptos" w:hAnsi="Aptos" w:eastAsia="Aptos" w:cs="Aptos"/>
          <w:noProof w:val="0"/>
          <w:sz w:val="22"/>
          <w:szCs w:val="22"/>
          <w:lang w:val="en-US"/>
        </w:rPr>
        <w:t xml:space="preserve"> and Battista, V. (2019) ‘The impact of emerging technologies on work: A review of the evidence’, </w:t>
      </w:r>
      <w:r w:rsidRPr="50268F94" w:rsidR="0A91EC8D">
        <w:rPr>
          <w:rFonts w:ascii="Aptos" w:hAnsi="Aptos" w:eastAsia="Aptos" w:cs="Aptos"/>
          <w:i w:val="1"/>
          <w:iCs w:val="1"/>
          <w:noProof w:val="0"/>
          <w:sz w:val="22"/>
          <w:szCs w:val="22"/>
          <w:lang w:val="en-US"/>
        </w:rPr>
        <w:t>CIPD Research Report.</w:t>
      </w:r>
      <w:r w:rsidRPr="50268F94" w:rsidR="0A91EC8D">
        <w:rPr>
          <w:rFonts w:ascii="Aptos" w:hAnsi="Aptos" w:eastAsia="Aptos" w:cs="Aptos"/>
          <w:noProof w:val="0"/>
          <w:sz w:val="22"/>
          <w:szCs w:val="22"/>
          <w:lang w:val="en-US"/>
        </w:rPr>
        <w:t xml:space="preserve"> London: CIPD.</w:t>
      </w:r>
    </w:p>
    <w:p w:rsidR="0A91EC8D" w:rsidP="50268F94" w:rsidRDefault="0A91EC8D" w14:paraId="33506202" w14:textId="5ABA17F4">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Schein, E. H. (2013)</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i w:val="1"/>
          <w:iCs w:val="1"/>
          <w:noProof w:val="0"/>
          <w:sz w:val="22"/>
          <w:szCs w:val="22"/>
          <w:lang w:val="en-US"/>
        </w:rPr>
        <w:t>Humble</w:t>
      </w:r>
      <w:r w:rsidRPr="50268F94" w:rsidR="0A91EC8D">
        <w:rPr>
          <w:rFonts w:ascii="Aptos" w:hAnsi="Aptos" w:eastAsia="Aptos" w:cs="Aptos"/>
          <w:i w:val="1"/>
          <w:iCs w:val="1"/>
          <w:noProof w:val="0"/>
          <w:sz w:val="22"/>
          <w:szCs w:val="22"/>
          <w:lang w:val="en-US"/>
        </w:rPr>
        <w:t xml:space="preserve"> Inquiry: The Gentle Art of Asking Instead of Telling.</w:t>
      </w:r>
      <w:r w:rsidRPr="50268F94" w:rsidR="0A91EC8D">
        <w:rPr>
          <w:rFonts w:ascii="Aptos" w:hAnsi="Aptos" w:eastAsia="Aptos" w:cs="Aptos"/>
          <w:noProof w:val="0"/>
          <w:sz w:val="22"/>
          <w:szCs w:val="22"/>
          <w:lang w:val="en-US"/>
        </w:rPr>
        <w:t xml:space="preserve"> San Francisco: Berrett-Koehler.</w:t>
      </w:r>
    </w:p>
    <w:p w:rsidR="0A91EC8D" w:rsidP="50268F94" w:rsidRDefault="0A91EC8D" w14:paraId="1799E4C8" w14:textId="23218117">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Torrington, D., Hall, L., Taylor, </w:t>
      </w:r>
      <w:r w:rsidRPr="50268F94" w:rsidR="0A91EC8D">
        <w:rPr>
          <w:rFonts w:ascii="Aptos" w:hAnsi="Aptos" w:eastAsia="Aptos" w:cs="Aptos"/>
          <w:noProof w:val="0"/>
          <w:sz w:val="22"/>
          <w:szCs w:val="22"/>
          <w:lang w:val="en-US"/>
        </w:rPr>
        <w:t>S.</w:t>
      </w:r>
      <w:r w:rsidRPr="50268F94" w:rsidR="0A91EC8D">
        <w:rPr>
          <w:rFonts w:ascii="Aptos" w:hAnsi="Aptos" w:eastAsia="Aptos" w:cs="Aptos"/>
          <w:noProof w:val="0"/>
          <w:sz w:val="22"/>
          <w:szCs w:val="22"/>
          <w:lang w:val="en-US"/>
        </w:rPr>
        <w:t xml:space="preserve"> and Atkinson, C. (2020)</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i w:val="1"/>
          <w:iCs w:val="1"/>
          <w:noProof w:val="0"/>
          <w:sz w:val="22"/>
          <w:szCs w:val="22"/>
          <w:lang w:val="en-US"/>
        </w:rPr>
        <w:t>Human</w:t>
      </w:r>
      <w:r w:rsidRPr="50268F94" w:rsidR="0A91EC8D">
        <w:rPr>
          <w:rFonts w:ascii="Aptos" w:hAnsi="Aptos" w:eastAsia="Aptos" w:cs="Aptos"/>
          <w:i w:val="1"/>
          <w:iCs w:val="1"/>
          <w:noProof w:val="0"/>
          <w:sz w:val="22"/>
          <w:szCs w:val="22"/>
          <w:lang w:val="en-US"/>
        </w:rPr>
        <w:t xml:space="preserve"> Resource Management.</w:t>
      </w:r>
      <w:r w:rsidRPr="50268F94" w:rsidR="0A91EC8D">
        <w:rPr>
          <w:rFonts w:ascii="Aptos" w:hAnsi="Aptos" w:eastAsia="Aptos" w:cs="Aptos"/>
          <w:noProof w:val="0"/>
          <w:sz w:val="22"/>
          <w:szCs w:val="22"/>
          <w:lang w:val="en-US"/>
        </w:rPr>
        <w:t xml:space="preserve"> 11th ed. Harlow: Pearson.</w:t>
      </w:r>
    </w:p>
    <w:p w:rsidR="0A91EC8D" w:rsidP="50268F94" w:rsidRDefault="0A91EC8D" w14:paraId="4377C48A" w14:textId="3FDE6F08">
      <w:pPr>
        <w:spacing w:before="240" w:beforeAutospacing="off" w:after="240" w:afterAutospacing="off"/>
        <w:rPr>
          <w:rFonts w:ascii="Aptos" w:hAnsi="Aptos" w:eastAsia="Aptos" w:cs="Aptos"/>
          <w:noProof w:val="0"/>
          <w:sz w:val="22"/>
          <w:szCs w:val="22"/>
          <w:lang w:val="en-US"/>
        </w:rPr>
      </w:pPr>
      <w:r w:rsidRPr="50268F94" w:rsidR="0A91EC8D">
        <w:rPr>
          <w:rFonts w:ascii="Aptos" w:hAnsi="Aptos" w:eastAsia="Aptos" w:cs="Aptos"/>
          <w:noProof w:val="0"/>
          <w:sz w:val="22"/>
          <w:szCs w:val="22"/>
          <w:lang w:val="en-US"/>
        </w:rPr>
        <w:t xml:space="preserve">Ulrich, D., </w:t>
      </w:r>
      <w:r w:rsidRPr="50268F94" w:rsidR="0A91EC8D">
        <w:rPr>
          <w:rFonts w:ascii="Aptos" w:hAnsi="Aptos" w:eastAsia="Aptos" w:cs="Aptos"/>
          <w:noProof w:val="0"/>
          <w:sz w:val="22"/>
          <w:szCs w:val="22"/>
          <w:lang w:val="en-US"/>
        </w:rPr>
        <w:t>Kryscynski</w:t>
      </w:r>
      <w:r w:rsidRPr="50268F94" w:rsidR="0A91EC8D">
        <w:rPr>
          <w:rFonts w:ascii="Aptos" w:hAnsi="Aptos" w:eastAsia="Aptos" w:cs="Aptos"/>
          <w:noProof w:val="0"/>
          <w:sz w:val="22"/>
          <w:szCs w:val="22"/>
          <w:lang w:val="en-US"/>
        </w:rPr>
        <w:t>, D., Ulrich, M. and Brockbank, W. (2017)</w:t>
      </w:r>
      <w:r w:rsidRPr="50268F94" w:rsidR="0A91EC8D">
        <w:rPr>
          <w:rFonts w:ascii="Aptos" w:hAnsi="Aptos" w:eastAsia="Aptos" w:cs="Aptos"/>
          <w:noProof w:val="0"/>
          <w:sz w:val="22"/>
          <w:szCs w:val="22"/>
          <w:lang w:val="en-US"/>
        </w:rPr>
        <w:t xml:space="preserve"> </w:t>
      </w:r>
      <w:r w:rsidRPr="50268F94" w:rsidR="0A91EC8D">
        <w:rPr>
          <w:rFonts w:ascii="Aptos" w:hAnsi="Aptos" w:eastAsia="Aptos" w:cs="Aptos"/>
          <w:i w:val="1"/>
          <w:iCs w:val="1"/>
          <w:noProof w:val="0"/>
          <w:sz w:val="22"/>
          <w:szCs w:val="22"/>
          <w:lang w:val="en-US"/>
        </w:rPr>
        <w:t>Victory</w:t>
      </w:r>
      <w:r w:rsidRPr="50268F94" w:rsidR="0A91EC8D">
        <w:rPr>
          <w:rFonts w:ascii="Aptos" w:hAnsi="Aptos" w:eastAsia="Aptos" w:cs="Aptos"/>
          <w:i w:val="1"/>
          <w:iCs w:val="1"/>
          <w:noProof w:val="0"/>
          <w:sz w:val="22"/>
          <w:szCs w:val="22"/>
          <w:lang w:val="en-US"/>
        </w:rPr>
        <w:t xml:space="preserve"> Through Organization: Why the War for Talent Is Failing Your Company and What You Can Do About It.</w:t>
      </w:r>
      <w:r w:rsidRPr="50268F94" w:rsidR="0A91EC8D">
        <w:rPr>
          <w:rFonts w:ascii="Aptos" w:hAnsi="Aptos" w:eastAsia="Aptos" w:cs="Aptos"/>
          <w:noProof w:val="0"/>
          <w:sz w:val="22"/>
          <w:szCs w:val="22"/>
          <w:lang w:val="en-US"/>
        </w:rPr>
        <w:t xml:space="preserve"> New York: McGraw-Hill Education.</w:t>
      </w:r>
    </w:p>
    <w:p w:rsidR="50268F94" w:rsidP="50268F94" w:rsidRDefault="50268F94" w14:paraId="4993772B" w14:textId="021087B5">
      <w:pPr>
        <w:pStyle w:val="Normal"/>
        <w:rPr>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0">
    <w:nsid w:val="595089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50a31eb"/>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829cc0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a30d40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2f172d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c65848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3f62d8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add4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f7d30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e185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3851D6"/>
    <w:rsid w:val="0009065C"/>
    <w:rsid w:val="01223A9C"/>
    <w:rsid w:val="02371318"/>
    <w:rsid w:val="03320E0A"/>
    <w:rsid w:val="03F44C3E"/>
    <w:rsid w:val="099CF29F"/>
    <w:rsid w:val="0A91EC8D"/>
    <w:rsid w:val="0DA00F52"/>
    <w:rsid w:val="0DA00F52"/>
    <w:rsid w:val="145B29EA"/>
    <w:rsid w:val="19988562"/>
    <w:rsid w:val="1C7B89B5"/>
    <w:rsid w:val="1D708F1F"/>
    <w:rsid w:val="1FDF4C79"/>
    <w:rsid w:val="286ACADF"/>
    <w:rsid w:val="2EDD1CD6"/>
    <w:rsid w:val="30252A27"/>
    <w:rsid w:val="322649BE"/>
    <w:rsid w:val="3310945E"/>
    <w:rsid w:val="3348CEB0"/>
    <w:rsid w:val="38F0552F"/>
    <w:rsid w:val="39BB6BE3"/>
    <w:rsid w:val="3BB38701"/>
    <w:rsid w:val="3E359B5A"/>
    <w:rsid w:val="3EA29D21"/>
    <w:rsid w:val="3F088F78"/>
    <w:rsid w:val="3F437C76"/>
    <w:rsid w:val="42F3EE5F"/>
    <w:rsid w:val="45017F28"/>
    <w:rsid w:val="4588C3D9"/>
    <w:rsid w:val="46CCDA7B"/>
    <w:rsid w:val="4A3851D6"/>
    <w:rsid w:val="50268F94"/>
    <w:rsid w:val="5351157C"/>
    <w:rsid w:val="5373B11E"/>
    <w:rsid w:val="5439FB2E"/>
    <w:rsid w:val="54DB026F"/>
    <w:rsid w:val="57489E44"/>
    <w:rsid w:val="57DCD1E4"/>
    <w:rsid w:val="585FFA86"/>
    <w:rsid w:val="58B2915C"/>
    <w:rsid w:val="59AA3297"/>
    <w:rsid w:val="5A0853C6"/>
    <w:rsid w:val="5DE9465D"/>
    <w:rsid w:val="6338D329"/>
    <w:rsid w:val="65B991FC"/>
    <w:rsid w:val="65C1BBB8"/>
    <w:rsid w:val="6758DE49"/>
    <w:rsid w:val="6A25D5F1"/>
    <w:rsid w:val="6CEAE7F1"/>
    <w:rsid w:val="6EA95783"/>
    <w:rsid w:val="6EABCA7A"/>
    <w:rsid w:val="6F2DC86B"/>
    <w:rsid w:val="6F2DC86B"/>
    <w:rsid w:val="71855C7E"/>
    <w:rsid w:val="718BDE5C"/>
    <w:rsid w:val="73E0B569"/>
    <w:rsid w:val="752D420E"/>
    <w:rsid w:val="754F9448"/>
    <w:rsid w:val="75D82B4D"/>
    <w:rsid w:val="7732C7CC"/>
    <w:rsid w:val="77EE3536"/>
    <w:rsid w:val="79288733"/>
    <w:rsid w:val="7AC916D5"/>
    <w:rsid w:val="7CD8619F"/>
    <w:rsid w:val="7FAB38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6CF63"/>
  <w15:chartTrackingRefBased/>
  <w15:docId w15:val="{74A77DBF-8283-4206-8364-E8A998EDE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0268F94"/>
    <w:pPr>
      <w:spacing/>
      <w:ind w:left="720"/>
      <w:contextualSpacing/>
    </w:pPr>
  </w:style>
  <w:style w:type="character" w:styleId="Hyperlink">
    <w:uiPriority w:val="99"/>
    <w:name w:val="Hyperlink"/>
    <w:basedOn w:val="DefaultParagraphFont"/>
    <w:unhideWhenUsed/>
    <w:rsid w:val="50268F9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ipd.co.uk/" TargetMode="External" Id="Rbc1230d99c0440be" /><Relationship Type="http://schemas.openxmlformats.org/officeDocument/2006/relationships/numbering" Target="numbering.xml" Id="R1c306476697941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2025-11-04T14:27:41.3256377Z</dcterms:created>
  <dcterms:modified xsi:type="dcterms:W3CDTF">2025-11-04T16:22:47.2482742Z</dcterms:modified>
  <dc:creator>Dariush Nezamalmolki (2407310)</dc:creator>
  <lastModifiedBy>Dariush Nezamalmolki (2407310)</lastModifiedBy>
</coreProperties>
</file>