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C1345" w14:textId="77777777" w:rsidR="00250C4F" w:rsidRPr="0075677F" w:rsidRDefault="00250C4F" w:rsidP="00250C4F">
      <w:pPr>
        <w:jc w:val="both"/>
        <w:textAlignment w:val="baseline"/>
        <w:rPr>
          <w:rFonts w:ascii="Arial" w:hAnsi="Arial" w:cs="Arial"/>
          <w:color w:val="000000"/>
          <w:u w:val="single"/>
        </w:rPr>
      </w:pPr>
      <w:r w:rsidRPr="0075677F">
        <w:rPr>
          <w:rFonts w:ascii="Arial" w:hAnsi="Arial" w:cs="Arial"/>
          <w:color w:val="000000"/>
          <w:u w:val="single"/>
        </w:rPr>
        <w:t>SECTION 1</w:t>
      </w:r>
    </w:p>
    <w:p w14:paraId="515C2684"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p>
    <w:p w14:paraId="573E77E2"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 xml:space="preserve">Douglass (2019) describes leadership as a tool which implements change to successfully obtain set goals made by people with a collaborative purpose. Similarly, Toomer </w:t>
      </w:r>
      <w:r w:rsidRPr="0075677F">
        <w:rPr>
          <w:rStyle w:val="normaltextrun"/>
          <w:rFonts w:ascii="Arial" w:hAnsi="Arial" w:cs="Arial"/>
          <w:i/>
          <w:iCs/>
          <w:color w:val="000000"/>
        </w:rPr>
        <w:t>et al</w:t>
      </w:r>
      <w:r w:rsidRPr="0075677F">
        <w:rPr>
          <w:rStyle w:val="normaltextrun"/>
          <w:rFonts w:ascii="Arial" w:hAnsi="Arial" w:cs="Arial"/>
          <w:color w:val="000000"/>
        </w:rPr>
        <w:t>. (2018) suggests that team focused individuals create an ethos for effective team performance, as the team’s goals are placed above their own. This suggests that for success, the catalytic leader should create a culture which is team orientated, with the organisation’s vision expressed clearly.</w:t>
      </w:r>
    </w:p>
    <w:p w14:paraId="128A0274"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p>
    <w:p w14:paraId="538CDE74" w14:textId="77777777" w:rsidR="00250C4F" w:rsidRPr="0075677F" w:rsidRDefault="00250C4F" w:rsidP="00250C4F">
      <w:pPr>
        <w:pStyle w:val="NormalWeb"/>
        <w:spacing w:before="0" w:beforeAutospacing="0" w:after="0" w:afterAutospacing="0"/>
        <w:rPr>
          <w:rFonts w:ascii="Arial" w:hAnsi="Arial" w:cs="Arial"/>
        </w:rPr>
      </w:pPr>
      <w:r w:rsidRPr="0075677F">
        <w:rPr>
          <w:rStyle w:val="normaltextrun"/>
          <w:rFonts w:ascii="Arial" w:hAnsi="Arial" w:cs="Arial"/>
          <w:color w:val="000000"/>
        </w:rPr>
        <w:t xml:space="preserve">According to Veazey (2018), the importance of effective leadership in early years is placed directly after the teaching itself and results in a workforce which works in partnership to deliver and improve on the best quality learning environment for children and staff. Similarly, Douglass (2019) highlights that leadership is the foundation of a successful team which improves and maintains the quality of teaching and experiences delivered to children within the educational setting. Douglass (2019) further acknowledges research which suggests that good quality interactions and relationships are key to children learning, developing and reaching their individual outcomes.  </w:t>
      </w:r>
    </w:p>
    <w:p w14:paraId="5E3ED876"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p>
    <w:p w14:paraId="2C031C48"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 xml:space="preserve">Eckert (2021) acknowledges that leadership is automatically associated with an individual’s position of authority within a working environment. However, research by Toomer </w:t>
      </w:r>
      <w:r w:rsidRPr="0075677F">
        <w:rPr>
          <w:rStyle w:val="normaltextrun"/>
          <w:rFonts w:ascii="Arial" w:hAnsi="Arial" w:cs="Arial"/>
          <w:i/>
          <w:iCs/>
          <w:color w:val="000000"/>
        </w:rPr>
        <w:t>et al</w:t>
      </w:r>
      <w:r w:rsidRPr="0075677F">
        <w:rPr>
          <w:rStyle w:val="normaltextrun"/>
          <w:rFonts w:ascii="Arial" w:hAnsi="Arial" w:cs="Arial"/>
          <w:color w:val="000000"/>
        </w:rPr>
        <w:t xml:space="preserve">. (2018) suggests that catalytic leadership is not determined on one’s title and recognises that an individual can be a leader, regardless of their level of authority within an organisation. Eckert (2021) views catalytic leadership as the greatest hope for schools today and suggests that effective leadership requires the addition of catalysts. According to BBC Bitesize (2022) a catalyst is the essential substance to accelerate the rate of reaction between chemicals and produce change within a chemical reaction. </w:t>
      </w:r>
    </w:p>
    <w:p w14:paraId="0E60C1D6"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p>
    <w:p w14:paraId="30F8F3C1"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Similarly, in educational terms, Eckert (2021) suggests that a catalyst within a school environment effectively improves the quality of work which already exists withing the setting. Furthermore, Eckert (2021) acknowledges that when leaders work alone, there comes a point where they are unable to offer any additional support to the workforce, which leads to sustainable collective leadership where one person is not doing it all. Eckert (2021) continues to explain that working flexibly alongside teacher leaders enables administrators to share their workload and allows them to make the necessary changes to improve the quality of service and recognise that the student’s work is paramount to their success. Wenner and Campbell (2017) imply that each individual within an organisation has the ability to be a catalytic leader, with an essential and independent role in quality improvement. This suggests that if improved learning is evident through Catalytic leadership, it is evident that the setting is successful and sustainable.</w:t>
      </w:r>
    </w:p>
    <w:p w14:paraId="59ABF1C1" w14:textId="77777777" w:rsidR="00250C4F" w:rsidRPr="0075677F" w:rsidRDefault="00250C4F" w:rsidP="00250C4F">
      <w:pPr>
        <w:rPr>
          <w:rStyle w:val="normaltextrun"/>
          <w:rFonts w:ascii="Arial" w:hAnsi="Arial" w:cs="Arial"/>
          <w:color w:val="000000"/>
        </w:rPr>
      </w:pPr>
    </w:p>
    <w:p w14:paraId="34664D42"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Connor (2013) describes a catalytic leader as an individual who is the driving force for change and suggests that this type of leader is able to communicate effectively to motivate the workforce, using different methods of working together to problem solve and shape the setting’s future and successfully achieve set</w:t>
      </w:r>
      <w:r w:rsidRPr="0075677F">
        <w:rPr>
          <w:rStyle w:val="normaltextrun"/>
          <w:rFonts w:ascii="Arial" w:hAnsi="Arial" w:cs="Arial"/>
          <w:b/>
          <w:bCs/>
          <w:color w:val="000000"/>
        </w:rPr>
        <w:t xml:space="preserve"> </w:t>
      </w:r>
      <w:r w:rsidRPr="0075677F">
        <w:rPr>
          <w:rStyle w:val="normaltextrun"/>
          <w:rFonts w:ascii="Arial" w:hAnsi="Arial" w:cs="Arial"/>
          <w:color w:val="000000"/>
        </w:rPr>
        <w:t xml:space="preserve">goals. Furthermore, Douglass (2019) describes leadership as an essential element for the innovations designed for successful performance within an organisation, with the focus on creating a positive environment for the team and organisation to achieve sustainable </w:t>
      </w:r>
      <w:r w:rsidRPr="0075677F">
        <w:rPr>
          <w:rStyle w:val="normaltextrun"/>
          <w:rFonts w:ascii="Arial" w:hAnsi="Arial" w:cs="Arial"/>
          <w:color w:val="000000"/>
        </w:rPr>
        <w:lastRenderedPageBreak/>
        <w:t xml:space="preserve">growth and success (Salimi, no date a). Moreover, Powers (2017) describes Catalytic leaders as energetic individuals who are able to bring out the best in the people around them and influence their participation in the process of change. Similarly, Zachery (2011) suggests that by working alongside another, a catalyst leader influences other practitioners to improve their performance and achieve more than what they would accomplish alone.    </w:t>
      </w:r>
    </w:p>
    <w:p w14:paraId="53AEB624" w14:textId="77777777" w:rsidR="00250C4F" w:rsidRPr="0075677F" w:rsidRDefault="00250C4F" w:rsidP="00250C4F">
      <w:pPr>
        <w:pStyle w:val="NormalWeb"/>
        <w:spacing w:before="0" w:beforeAutospacing="0" w:after="0" w:afterAutospacing="0"/>
        <w:rPr>
          <w:rStyle w:val="normaltextrun"/>
          <w:rFonts w:ascii="Arial" w:hAnsi="Arial" w:cs="Arial"/>
        </w:rPr>
      </w:pPr>
    </w:p>
    <w:p w14:paraId="708E62C2"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However, Connor (2013) identifies the risks attached to catalytic leadership, as some changes within an organisation may be greater than others. Similarly, Douglass (2019) highlights that the ability to manage, balance and prioritise time is a challenge which may arise for leaders, although these are essential skills for Early Years leadership and the successful function of the setting. Furthermore, Douglass (2019) explains that the broad scope of the definition of leadership causes confusion over its role, leaving leaders uncertain of their duties, frequently feeling that they lack in the skill or ability to perform their role to a satisfactory standard that meets the organisations goals. </w:t>
      </w:r>
    </w:p>
    <w:p w14:paraId="216FAAF5" w14:textId="77777777" w:rsidR="00250C4F" w:rsidRPr="0075677F" w:rsidRDefault="00250C4F" w:rsidP="00250C4F">
      <w:pPr>
        <w:rPr>
          <w:rStyle w:val="normaltextrun"/>
          <w:rFonts w:ascii="Arial" w:hAnsi="Arial" w:cs="Arial"/>
          <w:color w:val="000000"/>
        </w:rPr>
      </w:pPr>
    </w:p>
    <w:p w14:paraId="53FE43DB"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Moreover, research by Cooper (2014) identifies the misunderstanding of the term leadership. As a result, many early years teachers are fearful and reluctant to involve leadership as part of their everyday practice within the setting. Similarly, research carried out by McDowall Clark (2012) suggests that the term is used generically, and its true meaning is not as clear as it could be, resulting in the inability of Early Years leaders to lead confidently. However, Academic Library (2022) suggests that with appropriate mentoring from school leaders, any practitioner within the school environment can develop the skills to become a Catalytic leader, improving the quality of teaching they deliver to children (McDowall Clark, 2012). This suggests that professional development will enable the practitioner to contribute effectively to reach the school’s desired outcomes (Joiner, 2017).</w:t>
      </w:r>
    </w:p>
    <w:p w14:paraId="5C7E1401" w14:textId="77777777" w:rsidR="00250C4F" w:rsidRPr="0075677F" w:rsidRDefault="00250C4F" w:rsidP="00250C4F">
      <w:pPr>
        <w:rPr>
          <w:rStyle w:val="normaltextrun"/>
          <w:rFonts w:ascii="Arial" w:hAnsi="Arial" w:cs="Arial"/>
          <w:color w:val="000000"/>
        </w:rPr>
      </w:pPr>
    </w:p>
    <w:p w14:paraId="6BD25655"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Cooper (2014) identifies that while positional leaders lead based on their authority, teacher leadership is essential in an Early Years setting. This research highlights teacher’s rights to enforce leadership in everyday practice within the classroom, based on their knowledge, commitment and competence. Furthermore, Cooper (2014) recognises the range in which teachers may undertake leadership, from sharing their expert knowledge to establishing new ways to supporting the workforce and achieve the setting’s goals. This suggests the importance of teamwork within an organisation, where each staff member is a catalyst for change. </w:t>
      </w:r>
    </w:p>
    <w:p w14:paraId="7F46F143" w14:textId="77777777" w:rsidR="00250C4F" w:rsidRPr="0075677F" w:rsidRDefault="00250C4F" w:rsidP="00250C4F">
      <w:pPr>
        <w:rPr>
          <w:rStyle w:val="normaltextrun"/>
          <w:rFonts w:ascii="Arial" w:hAnsi="Arial" w:cs="Arial"/>
          <w:color w:val="000000"/>
        </w:rPr>
      </w:pPr>
    </w:p>
    <w:p w14:paraId="5FA2973E" w14:textId="77777777" w:rsidR="00250C4F" w:rsidRPr="0075677F" w:rsidRDefault="00250C4F" w:rsidP="00250C4F">
      <w:pPr>
        <w:pStyle w:val="NormalWeb"/>
        <w:spacing w:before="0" w:beforeAutospacing="0" w:after="0" w:afterAutospacing="0"/>
        <w:rPr>
          <w:rFonts w:ascii="Arial" w:hAnsi="Arial" w:cs="Arial"/>
        </w:rPr>
      </w:pPr>
      <w:r w:rsidRPr="0075677F">
        <w:rPr>
          <w:rStyle w:val="normaltextrun"/>
          <w:rFonts w:ascii="Arial" w:hAnsi="Arial" w:cs="Arial"/>
          <w:color w:val="000000"/>
        </w:rPr>
        <w:t xml:space="preserve">Research by Ankrum (2016) confirms that although teacher leaders are an unused asset in schools, the title ‘teacher leader’ does not have to be in existence for teachers to see themselves as a leader. It is identified that teachers will lead within their workplace if they are encouraged to do so by school leaders. This suggests the formation of a positive relationship between staff, creating a school community with a shared leadership which can be embraced as a catalyst for change to maximise the schools’ outcomes and achievements (Ankrum, 2016). Joiner (2017) supports this and suggests that a Catalytic leader excels above all other leadership styles in adapting to the ever changing educational environment. </w:t>
      </w:r>
    </w:p>
    <w:p w14:paraId="7B9101C2" w14:textId="77777777" w:rsidR="00250C4F" w:rsidRPr="0075677F" w:rsidRDefault="00250C4F" w:rsidP="00250C4F">
      <w:pPr>
        <w:rPr>
          <w:rStyle w:val="normaltextrun"/>
          <w:rFonts w:ascii="Arial" w:hAnsi="Arial" w:cs="Arial"/>
          <w:color w:val="000000"/>
        </w:rPr>
      </w:pPr>
    </w:p>
    <w:p w14:paraId="04FD6053" w14:textId="77777777" w:rsidR="00250C4F" w:rsidRPr="0075677F" w:rsidRDefault="00250C4F" w:rsidP="00250C4F">
      <w:pPr>
        <w:rPr>
          <w:rFonts w:ascii="Arial" w:hAnsi="Arial" w:cs="Arial"/>
          <w:color w:val="333333"/>
          <w:shd w:val="clear" w:color="auto" w:fill="FFFFFF"/>
        </w:rPr>
      </w:pPr>
      <w:r w:rsidRPr="0075677F">
        <w:rPr>
          <w:rStyle w:val="normaltextrun"/>
          <w:rFonts w:ascii="Arial" w:hAnsi="Arial" w:cs="Arial"/>
          <w:color w:val="000000"/>
        </w:rPr>
        <w:t xml:space="preserve">Betterworks (2021) describes </w:t>
      </w:r>
      <w:r w:rsidRPr="0075677F">
        <w:rPr>
          <w:rFonts w:ascii="Arial" w:hAnsi="Arial" w:cs="Arial"/>
          <w:color w:val="333333"/>
          <w:shd w:val="clear" w:color="auto" w:fill="FFFFFF"/>
        </w:rPr>
        <w:t xml:space="preserve">Agile Leadership as a leadership style which aspires to create a successful operational workforce by eliminating the barriers to achieve set </w:t>
      </w:r>
      <w:r w:rsidRPr="0075677F">
        <w:rPr>
          <w:rFonts w:ascii="Arial" w:hAnsi="Arial" w:cs="Arial"/>
          <w:color w:val="333333"/>
          <w:shd w:val="clear" w:color="auto" w:fill="FFFFFF"/>
        </w:rPr>
        <w:lastRenderedPageBreak/>
        <w:t xml:space="preserve">goals and improve outcomes. Salimi (no date c) recognises that many associate Agile Leadership with Catalyst Leadership. However, Salimi (no date c) disagrees with this statement and describes Agile Leadership as an individual who as well as being a Catalyst Leader, has the ability to change and adapt their leadership style according to the circumstances and challenges of the situation they are presented with, demonstrating Expert and Achiever leadership styles. This suggests that leadership requires more than one type of style and the ability to adjust these styles is key to successful leadership. However, Powers (2017) believes that the key to successful Catalytic leadership is to be proficient in each leadership style. </w:t>
      </w:r>
    </w:p>
    <w:p w14:paraId="0764F28C" w14:textId="77777777" w:rsidR="00250C4F" w:rsidRPr="0075677F" w:rsidRDefault="00250C4F" w:rsidP="00250C4F">
      <w:pPr>
        <w:rPr>
          <w:rFonts w:ascii="Arial" w:hAnsi="Arial" w:cs="Arial"/>
          <w:color w:val="333333"/>
          <w:shd w:val="clear" w:color="auto" w:fill="FFFFFF"/>
        </w:rPr>
      </w:pPr>
    </w:p>
    <w:p w14:paraId="46B9A6A5" w14:textId="77777777" w:rsidR="00250C4F" w:rsidRPr="0075677F" w:rsidRDefault="00250C4F" w:rsidP="00250C4F">
      <w:pPr>
        <w:pStyle w:val="NormalWeb"/>
        <w:spacing w:before="0" w:beforeAutospacing="0" w:after="0" w:afterAutospacing="0"/>
        <w:rPr>
          <w:rFonts w:ascii="Arial" w:hAnsi="Arial" w:cs="Arial"/>
        </w:rPr>
      </w:pPr>
      <w:r w:rsidRPr="0075677F">
        <w:rPr>
          <w:rStyle w:val="normaltextrun"/>
          <w:rFonts w:ascii="Arial" w:hAnsi="Arial" w:cs="Arial"/>
          <w:color w:val="000000"/>
        </w:rPr>
        <w:t xml:space="preserve">Joiner (2017) claims that only 10% of leaders have the capability and skills to successfully lead catalytically. </w:t>
      </w:r>
      <w:r w:rsidRPr="0075677F">
        <w:rPr>
          <w:rFonts w:ascii="Arial" w:hAnsi="Arial" w:cs="Arial"/>
          <w:color w:val="333333"/>
          <w:shd w:val="clear" w:color="auto" w:fill="FFFFFF"/>
        </w:rPr>
        <w:t>Salimi (no date c) recognises the need for practitioners to broaden their knowledge and expand on their existing leadership skills to improve agility in leadership, leading to individuals becoming an Expert, Achiever and Catalyst Leader. Furthermore, Salimi (no date c) suggests that an Expert Leader within an organisation is a significant form of leadership style, as expertise in a specific area is essential for improvement. However, in comparison to a Catalyst Leader who forms relationships and works as part of the team, Salimi (no date b) highlights Expert Leaders are leaders who prefer to work alone in order to accomplish each a goal.</w:t>
      </w:r>
    </w:p>
    <w:p w14:paraId="5B3AF436" w14:textId="77777777" w:rsidR="00250C4F" w:rsidRPr="0075677F" w:rsidRDefault="00250C4F" w:rsidP="00250C4F">
      <w:pPr>
        <w:rPr>
          <w:rFonts w:ascii="Arial" w:hAnsi="Arial" w:cs="Arial"/>
          <w:color w:val="333333"/>
          <w:shd w:val="clear" w:color="auto" w:fill="FFFFFF"/>
        </w:rPr>
      </w:pPr>
    </w:p>
    <w:p w14:paraId="7FB7A783" w14:textId="77777777" w:rsidR="00250C4F" w:rsidRPr="0075677F" w:rsidRDefault="00250C4F" w:rsidP="00250C4F">
      <w:pPr>
        <w:rPr>
          <w:rFonts w:ascii="Arial" w:hAnsi="Arial" w:cs="Arial"/>
          <w:color w:val="333333"/>
          <w:shd w:val="clear" w:color="auto" w:fill="FFFFFF"/>
        </w:rPr>
      </w:pPr>
      <w:r w:rsidRPr="0075677F">
        <w:rPr>
          <w:rFonts w:ascii="Arial" w:hAnsi="Arial" w:cs="Arial"/>
          <w:color w:val="333333"/>
          <w:shd w:val="clear" w:color="auto" w:fill="FFFFFF"/>
        </w:rPr>
        <w:t>McMinn (2017) highlights the variation between an achiever, one who gets the task done, and a leader, one who completes a task through others. Salimi (no date b) suggests that accomplishing tasks through motivation, delegation and getting the most out of a team, is a key feature of an Achiever Leader. As opposed to an Expert Leader, Achiever Leaders lead set goals and recognises their team as a significant form of support to achieve and improve their organisations goals.</w:t>
      </w:r>
    </w:p>
    <w:p w14:paraId="43A23C02" w14:textId="77777777" w:rsidR="00250C4F" w:rsidRPr="0075677F" w:rsidRDefault="00250C4F" w:rsidP="00250C4F">
      <w:pPr>
        <w:rPr>
          <w:rStyle w:val="normaltextrun"/>
          <w:rFonts w:ascii="Arial" w:hAnsi="Arial" w:cs="Arial"/>
          <w:color w:val="000000"/>
        </w:rPr>
      </w:pPr>
    </w:p>
    <w:p w14:paraId="41E4F676"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American Sociological Association (no date) describes sociology as the study of society and its changes, which have negative outcomes on human behaviour. Similarly, Musgrave (2017) suggests that the study of sociology provides clear and unchanging assumptions relating to the society in which a child lives. Dobreva (2018) describes social institutions as the standards within society which are controlled by the child’s behaviour to meet their social needs. Furthermore, Musgrave (2017) suggests that the education system is the social institution with the highest priority in today’s society. </w:t>
      </w:r>
    </w:p>
    <w:p w14:paraId="07CFEFA0" w14:textId="77777777" w:rsidR="00250C4F" w:rsidRPr="0075677F" w:rsidRDefault="00250C4F" w:rsidP="00250C4F">
      <w:pPr>
        <w:rPr>
          <w:rStyle w:val="normaltextrun"/>
          <w:rFonts w:ascii="Arial" w:hAnsi="Arial" w:cs="Arial"/>
          <w:color w:val="000000"/>
        </w:rPr>
      </w:pPr>
    </w:p>
    <w:p w14:paraId="4F289009" w14:textId="77777777" w:rsidR="00250C4F" w:rsidRPr="0075677F" w:rsidRDefault="00250C4F" w:rsidP="00250C4F">
      <w:pPr>
        <w:rPr>
          <w:rFonts w:ascii="Arial" w:hAnsi="Arial" w:cs="Arial"/>
          <w:color w:val="000000"/>
        </w:rPr>
      </w:pPr>
      <w:r w:rsidRPr="0075677F">
        <w:rPr>
          <w:rStyle w:val="normaltextrun"/>
          <w:rFonts w:ascii="Arial" w:hAnsi="Arial" w:cs="Arial"/>
          <w:color w:val="000000"/>
        </w:rPr>
        <w:t xml:space="preserve">Research by American Sociological Association (2022) explores how social institutions and children’s life experiences influence their education and social development. </w:t>
      </w:r>
      <w:r w:rsidRPr="0075677F">
        <w:rPr>
          <w:rFonts w:ascii="Arial" w:hAnsi="Arial" w:cs="Arial"/>
          <w:color w:val="0B0C0C"/>
        </w:rPr>
        <w:t xml:space="preserve">GOV.UK (2017) suggests that ‘social determinants’ are the social and economic circumstances in which a person is born, raised, lives and works. It is acknowledged that children who grow up in deprived areas often experience sociological issues and are more likely to not attend school, which has a detrimental effect on their educational development and future achievements. This suggests their disadvantages are taken into adulthood, putting their future outcomes in life, such as employment possibilities, at risk. </w:t>
      </w:r>
    </w:p>
    <w:p w14:paraId="622A8AF9" w14:textId="77777777" w:rsidR="00250C4F" w:rsidRPr="0075677F" w:rsidRDefault="00250C4F" w:rsidP="00250C4F">
      <w:pPr>
        <w:rPr>
          <w:rStyle w:val="normaltextrun"/>
          <w:rFonts w:ascii="Arial" w:hAnsi="Arial" w:cs="Arial"/>
          <w:color w:val="000000"/>
        </w:rPr>
      </w:pPr>
    </w:p>
    <w:p w14:paraId="15226D44"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Sakar (2021) suggests that children’s educational outcomes are interrupted by sociological factors, such as poverty. Similarly, O’Sullivan (2019) describes poverty as a trap created by failing systems and policies, causing children to suffer and </w:t>
      </w:r>
      <w:r w:rsidRPr="0075677F">
        <w:rPr>
          <w:rStyle w:val="normaltextrun"/>
          <w:rFonts w:ascii="Arial" w:hAnsi="Arial" w:cs="Arial"/>
          <w:color w:val="000000"/>
        </w:rPr>
        <w:lastRenderedPageBreak/>
        <w:t xml:space="preserve">become separated from society. It is acknowledged that children who are born into poverty are less likely to reach their educational potential and it is identified that childcare and education is to be essential for educational success. Her research identified that children living in poverty do not have access to good quality nurseries, therefore are deprived from early education, resulting in poor language development, which is fundamental for the child’s long-term educational achievements. In agreeance, Health Engine (2022) suggests that accessing early childhood education enables the child to form social relationships with other children and adults, developing pro-social behaviour (Ding </w:t>
      </w:r>
      <w:r w:rsidRPr="0075677F">
        <w:rPr>
          <w:rStyle w:val="normaltextrun"/>
          <w:rFonts w:ascii="Arial" w:hAnsi="Arial" w:cs="Arial"/>
          <w:i/>
          <w:iCs/>
          <w:color w:val="000000"/>
        </w:rPr>
        <w:t>et al., 2018)</w:t>
      </w:r>
      <w:r w:rsidRPr="0075677F">
        <w:rPr>
          <w:rStyle w:val="normaltextrun"/>
          <w:rFonts w:ascii="Arial" w:hAnsi="Arial" w:cs="Arial"/>
          <w:color w:val="000000"/>
        </w:rPr>
        <w:t>.</w:t>
      </w:r>
    </w:p>
    <w:p w14:paraId="64C69860" w14:textId="77777777" w:rsidR="00250C4F" w:rsidRPr="0075677F" w:rsidRDefault="00250C4F" w:rsidP="00250C4F">
      <w:pPr>
        <w:rPr>
          <w:rStyle w:val="normaltextrun"/>
          <w:rFonts w:ascii="Arial" w:hAnsi="Arial" w:cs="Arial"/>
          <w:color w:val="000000"/>
        </w:rPr>
      </w:pPr>
    </w:p>
    <w:p w14:paraId="31D09070"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As cited in Aubrey and Riley (2019), Bronfenbrenner believed that the social relationships children form within their immediate environment play a role in their future educational achievements. Similarly, Sakar (2021) suggests that individuals who form the social structure of a child’s society has an influence on the child’s views on learning, becoming a stopping point for gaining a high quality education. This suggests that children learn and behave in a certain way by observing others in their environment, such as their parents. Western Governors University (2022) refers to this as Bronfenbrenner’s Social Learning Theory. </w:t>
      </w:r>
    </w:p>
    <w:p w14:paraId="2941F24E" w14:textId="77777777" w:rsidR="00250C4F" w:rsidRPr="0075677F" w:rsidRDefault="00250C4F" w:rsidP="00250C4F">
      <w:pPr>
        <w:rPr>
          <w:rStyle w:val="normaltextrun"/>
          <w:rFonts w:ascii="Arial" w:hAnsi="Arial" w:cs="Arial"/>
          <w:color w:val="000000"/>
        </w:rPr>
      </w:pPr>
    </w:p>
    <w:p w14:paraId="61F9571A"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Bronfenbrenner (cited in Aubrey and Riley, 2019) suggests that when parents demonstrate a negative attitude towards learning, it affects the child’s view and prevents the child from achieving a sufficient education. This implies that teachers and other professionals have a duty to effectively communicate with children to support their sociological issues and increase their educational attainment. However, research by Olalekan (2016) implies that peer relationship should be considered as a factor which influence educational achievements. </w:t>
      </w:r>
    </w:p>
    <w:p w14:paraId="358F6633" w14:textId="77777777" w:rsidR="00250C4F" w:rsidRPr="0075677F" w:rsidRDefault="00250C4F" w:rsidP="00250C4F">
      <w:pPr>
        <w:rPr>
          <w:rStyle w:val="normaltextrun"/>
          <w:rFonts w:ascii="Arial" w:hAnsi="Arial" w:cs="Arial"/>
          <w:color w:val="000000"/>
        </w:rPr>
      </w:pPr>
    </w:p>
    <w:p w14:paraId="59507FA1"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Health Engine (2022) suggests that social environments influence the quality of social relationships that children form and their ability to achieve their goals. It is acknowledged that children who experience positive social relationships have better educational attainment and are more likely to participate in their learning, as opposed to those who live in deprived social environments. However, Smith (2020) suggests that as children from low socio-economic conditions get older, the attainment gap between them and their peers get bigger. It is suggested that this is due to teachers having a lower attainment prediction on the child’s future development. This suggests that the educational setting negatively impacts the child’s attainment as they place the child in groups for lower ability. </w:t>
      </w:r>
    </w:p>
    <w:p w14:paraId="003D19CF" w14:textId="77777777" w:rsidR="00250C4F" w:rsidRPr="0075677F" w:rsidRDefault="00250C4F" w:rsidP="00250C4F">
      <w:pPr>
        <w:rPr>
          <w:rStyle w:val="normaltextrun"/>
          <w:rFonts w:ascii="Arial" w:hAnsi="Arial" w:cs="Arial"/>
          <w:color w:val="000000"/>
        </w:rPr>
      </w:pPr>
    </w:p>
    <w:p w14:paraId="4313D744"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It is evident that Catalytic leadership is essential for school and pupil success, as working in collaboration increases the quality of the child’s learning experiences and school improvements. Findings provide confirmation that sociological factors can negatively influence the child’s educational outcomes. Therefore, teachers have a duty of care to support children and enhance their learning, regardless of their socio-economic status.</w:t>
      </w:r>
    </w:p>
    <w:p w14:paraId="6B3626F7" w14:textId="77777777" w:rsidR="00250C4F" w:rsidRDefault="00250C4F" w:rsidP="00250C4F">
      <w:pPr>
        <w:rPr>
          <w:rStyle w:val="normaltextrun"/>
          <w:rFonts w:ascii="Arial" w:hAnsi="Arial" w:cs="Arial"/>
          <w:color w:val="000000"/>
        </w:rPr>
      </w:pPr>
    </w:p>
    <w:p w14:paraId="1781C31A" w14:textId="77777777" w:rsidR="00250C4F" w:rsidRDefault="00250C4F" w:rsidP="00250C4F">
      <w:pPr>
        <w:rPr>
          <w:rStyle w:val="normaltextrun"/>
          <w:rFonts w:ascii="Arial" w:hAnsi="Arial" w:cs="Arial"/>
          <w:color w:val="000000"/>
        </w:rPr>
      </w:pPr>
    </w:p>
    <w:p w14:paraId="6826692D" w14:textId="77777777" w:rsidR="00250C4F" w:rsidRPr="0075677F" w:rsidRDefault="00250C4F" w:rsidP="00250C4F">
      <w:pPr>
        <w:rPr>
          <w:rFonts w:ascii="Arial" w:hAnsi="Arial" w:cs="Arial"/>
          <w:color w:val="000000"/>
          <w:u w:val="single"/>
        </w:rPr>
      </w:pPr>
      <w:r w:rsidRPr="0075677F">
        <w:rPr>
          <w:rStyle w:val="normaltextrun"/>
          <w:rFonts w:ascii="Arial" w:hAnsi="Arial" w:cs="Arial"/>
          <w:color w:val="000000"/>
          <w:u w:val="single"/>
        </w:rPr>
        <w:t>SECTION 2</w:t>
      </w:r>
    </w:p>
    <w:p w14:paraId="249DCE0C"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p>
    <w:p w14:paraId="54F66F03" w14:textId="77777777" w:rsidR="00250C4F" w:rsidRPr="0075677F" w:rsidRDefault="00250C4F" w:rsidP="00250C4F">
      <w:pPr>
        <w:pStyle w:val="NormalWeb"/>
        <w:spacing w:before="0" w:beforeAutospacing="0" w:after="0" w:afterAutospacing="0"/>
        <w:rPr>
          <w:rFonts w:ascii="Arial" w:hAnsi="Arial" w:cs="Arial"/>
        </w:rPr>
      </w:pPr>
      <w:r w:rsidRPr="0075677F">
        <w:rPr>
          <w:rStyle w:val="normaltextrun"/>
          <w:rFonts w:ascii="Arial" w:hAnsi="Arial" w:cs="Arial"/>
          <w:color w:val="000000"/>
        </w:rPr>
        <w:t>According to Kosher, Ben-Arieh and Hendelsman (2016)</w:t>
      </w:r>
      <w:r w:rsidRPr="0075677F">
        <w:rPr>
          <w:rFonts w:ascii="Arial" w:hAnsi="Arial" w:cs="Arial"/>
        </w:rPr>
        <w:t xml:space="preserve">, social workers have worked for over a century to provide support for individuals, families and </w:t>
      </w:r>
      <w:r w:rsidRPr="0075677F">
        <w:rPr>
          <w:rFonts w:ascii="Arial" w:hAnsi="Arial" w:cs="Arial"/>
        </w:rPr>
        <w:lastRenderedPageBreak/>
        <w:t>communities to improve their living conditions and circumstances. It is acknowledged that rights-based social work transfers attention from human needs to human rights and seeks social workers and other organisations to work in partnership to provide the population with an improved quality of service.</w:t>
      </w:r>
    </w:p>
    <w:p w14:paraId="0D0D98F7"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p>
    <w:p w14:paraId="5DB1EB29"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r w:rsidRPr="0075677F">
        <w:rPr>
          <w:rStyle w:val="normaltextrun"/>
          <w:rFonts w:ascii="Arial" w:hAnsi="Arial" w:cs="Arial"/>
          <w:color w:val="000000"/>
        </w:rPr>
        <w:t>A dated document, Mountz (1980) reported that historically children were a personal possession to their parents and had little or no rights by law. Children could be sold, forced to work for long periods of time in factories and mines, or live under the rules of an institution. At the time of this report, Mountz (1980) stated that although children’s rights had become apparent over the previous two decades, it was highlighted that the protection and legal rights of adults was of greater importance than those of children. Similarly, Humanium (no date a) recognises that during the ancient past, it was not thought of to safeguard children. However, the NSPCC (2022b) suggests that laws to summon an individual who is accused of child cruelty have been operational since the 1880’s and since this time, factors such as child abuse deaths have contributed to the development of today’s child protection system in the UK (NSPCC, 2022b).</w:t>
      </w:r>
    </w:p>
    <w:p w14:paraId="0D975CEA"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p>
    <w:p w14:paraId="02D42865" w14:textId="77777777" w:rsidR="00250C4F" w:rsidRPr="0075677F" w:rsidRDefault="00250C4F" w:rsidP="00250C4F">
      <w:pPr>
        <w:pStyle w:val="NormalWeb"/>
        <w:spacing w:before="0" w:beforeAutospacing="0" w:after="0" w:afterAutospacing="0"/>
        <w:rPr>
          <w:rFonts w:ascii="Arial" w:hAnsi="Arial" w:cs="Arial"/>
        </w:rPr>
      </w:pPr>
      <w:r w:rsidRPr="0075677F">
        <w:rPr>
          <w:rStyle w:val="normaltextrun"/>
          <w:rFonts w:ascii="Arial" w:hAnsi="Arial" w:cs="Arial"/>
          <w:color w:val="000000"/>
        </w:rPr>
        <w:t>Bureau International (2014) acknowledges the 19</w:t>
      </w:r>
      <w:r w:rsidRPr="0075677F">
        <w:rPr>
          <w:rStyle w:val="normaltextrun"/>
          <w:rFonts w:ascii="Arial" w:hAnsi="Arial" w:cs="Arial"/>
          <w:color w:val="000000"/>
          <w:vertAlign w:val="superscript"/>
        </w:rPr>
        <w:t>th</w:t>
      </w:r>
      <w:r w:rsidRPr="0075677F">
        <w:rPr>
          <w:rStyle w:val="normaltextrun"/>
          <w:rFonts w:ascii="Arial" w:hAnsi="Arial" w:cs="Arial"/>
          <w:color w:val="000000"/>
        </w:rPr>
        <w:t xml:space="preserve"> century to mark the beginning of children’s rights, when children were identified as an individual in need of security. During this time, laws controlling child labour were passed and equal educational opportunities were made available to every child. However, Suson (2016) faces difficulties in today’s society when thinking of a world that does not protect children and their rights. Suson (2016) suggests that the First World War resulted in the death of many children and young people and led to the international community recognising the difficult challenges that children experienced throughout their lives, resulting in the creation of </w:t>
      </w:r>
      <w:r w:rsidRPr="0075677F">
        <w:rPr>
          <w:rFonts w:ascii="Arial" w:hAnsi="Arial" w:cs="Arial"/>
        </w:rPr>
        <w:t>Save the Children, which was founded by Eglantyne Jebb (Cole-Alback, 2021).</w:t>
      </w:r>
    </w:p>
    <w:p w14:paraId="201E64B0" w14:textId="77777777" w:rsidR="00250C4F" w:rsidRPr="0075677F" w:rsidRDefault="00250C4F" w:rsidP="00250C4F">
      <w:pPr>
        <w:pStyle w:val="NormalWeb"/>
        <w:spacing w:before="0" w:beforeAutospacing="0" w:after="0" w:afterAutospacing="0"/>
        <w:rPr>
          <w:rFonts w:ascii="Arial" w:hAnsi="Arial" w:cs="Arial"/>
        </w:rPr>
      </w:pPr>
      <w:r w:rsidRPr="0075677F">
        <w:rPr>
          <w:rFonts w:ascii="Arial" w:hAnsi="Arial" w:cs="Arial"/>
        </w:rPr>
        <w:t xml:space="preserve"> </w:t>
      </w:r>
    </w:p>
    <w:p w14:paraId="49097E0B"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r w:rsidRPr="0075677F">
        <w:rPr>
          <w:rStyle w:val="normaltextrun"/>
          <w:rFonts w:ascii="Arial" w:hAnsi="Arial" w:cs="Arial"/>
          <w:color w:val="000000"/>
        </w:rPr>
        <w:t xml:space="preserve">Consequently, following the First World War, Jebb outlined the first international convention </w:t>
      </w:r>
      <w:r w:rsidRPr="0075677F">
        <w:rPr>
          <w:rFonts w:ascii="Arial" w:hAnsi="Arial" w:cs="Arial"/>
        </w:rPr>
        <w:t>(Cole-Alback, 2021)</w:t>
      </w:r>
      <w:r w:rsidRPr="0075677F">
        <w:rPr>
          <w:rStyle w:val="normaltextrun"/>
          <w:rFonts w:ascii="Arial" w:hAnsi="Arial" w:cs="Arial"/>
          <w:color w:val="000000"/>
        </w:rPr>
        <w:t xml:space="preserve">, which was established by law, called the ‘1924 Geneve Declaration on the Rights of the Child’, referred to as GDRC (Suson, 2016). This Declaration made it mandatory for all adults to provide children with their basic needs, to the best of the adult’s ability, in line with the five rights of the GDRC and became the basis of todays United Nations Convention on the Rights of the Child, also known as the UNCRC (Geneve Declaration on the Rights of the Child, 1924). Under this Declaration, children had the right to be given a home, sufficient and good quality food, taken care of when ill and assisted to first in times of danger, receive support to gain an education and protection against child labour. This suggests that each parent had a duty to do everything in their power to care for and protect their child, as well as the recognition that children’s lives mattered and were of the same importance as adult’s. However, although the recognition of children’s rights dates back to the 19th century, </w:t>
      </w:r>
      <w:r w:rsidRPr="0075677F">
        <w:rPr>
          <w:rFonts w:ascii="Arial" w:hAnsi="Arial" w:cs="Arial"/>
        </w:rPr>
        <w:t xml:space="preserve">Cole-Alback (2021) implies that some individuals regard children’s rights a new concept in society. </w:t>
      </w:r>
    </w:p>
    <w:p w14:paraId="0C354F21"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p>
    <w:p w14:paraId="74296460"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r w:rsidRPr="0075677F">
        <w:rPr>
          <w:rStyle w:val="normaltextrun"/>
          <w:rFonts w:ascii="Arial" w:hAnsi="Arial" w:cs="Arial"/>
          <w:color w:val="000000"/>
        </w:rPr>
        <w:t xml:space="preserve">The Second World War mirrored the First (Suson, 2016) and led to the development of UNICEF in 1946 (UNICEF, no date c), which later led to the adoption of the Universal Declaration of Human Rights in 1948 (United Nations, no date). It is described as a significant document that identified the failure to meet certain standards of the Geneve Declaration on the Rights of the Child, 1924, which had to </w:t>
      </w:r>
      <w:r w:rsidRPr="0075677F">
        <w:rPr>
          <w:rStyle w:val="normaltextrun"/>
          <w:rFonts w:ascii="Arial" w:hAnsi="Arial" w:cs="Arial"/>
          <w:color w:val="000000"/>
        </w:rPr>
        <w:lastRenderedPageBreak/>
        <w:t xml:space="preserve">undergo changes to protect the human rights of all individuals across each nation, creating a second draft of the Declaration in 1959 (Humanium, no date b). </w:t>
      </w:r>
      <w:r w:rsidRPr="0075677F">
        <w:rPr>
          <w:rFonts w:ascii="Arial" w:hAnsi="Arial" w:cs="Arial"/>
        </w:rPr>
        <w:t xml:space="preserve">Cole-Alback (2021) states that although not a legal document, the Declaration set agreed standards that governments were obligated to maintain. This suggests that the rights of children and young people would be supported. </w:t>
      </w:r>
      <w:r w:rsidRPr="0075677F">
        <w:rPr>
          <w:rStyle w:val="normaltextrun"/>
          <w:rFonts w:ascii="Arial" w:hAnsi="Arial" w:cs="Arial"/>
          <w:color w:val="000000"/>
        </w:rPr>
        <w:t>As acknowledgment to the existence of this Declaration, the most legally enforced agreement in history was established, called the 1989: Convention on the Rights of the Child (Suson, 2016).</w:t>
      </w:r>
    </w:p>
    <w:p w14:paraId="72FCAA56"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p>
    <w:p w14:paraId="621FA1FF" w14:textId="77777777" w:rsidR="00250C4F" w:rsidRPr="0075677F" w:rsidRDefault="00250C4F" w:rsidP="00250C4F">
      <w:pPr>
        <w:pStyle w:val="paragraph"/>
        <w:spacing w:before="0" w:beforeAutospacing="0" w:after="0" w:afterAutospacing="0"/>
        <w:textAlignment w:val="baseline"/>
        <w:rPr>
          <w:rStyle w:val="eop"/>
          <w:rFonts w:ascii="Arial" w:hAnsi="Arial" w:cs="Arial"/>
          <w:color w:val="000000"/>
        </w:rPr>
      </w:pPr>
      <w:r w:rsidRPr="0075677F">
        <w:rPr>
          <w:rStyle w:val="normaltextrun"/>
          <w:rFonts w:ascii="Arial" w:hAnsi="Arial" w:cs="Arial"/>
          <w:color w:val="000000"/>
        </w:rPr>
        <w:t>According to UNICEF (no date a), the UNCRC, was opened by the UN General Assembly on 20th November 1989 and came into force in 1991, setting out 42 articles on</w:t>
      </w:r>
      <w:r w:rsidRPr="0075677F">
        <w:rPr>
          <w:rStyle w:val="apple-converted-space"/>
          <w:rFonts w:ascii="Arial" w:hAnsi="Arial" w:cs="Arial"/>
          <w:color w:val="000000"/>
        </w:rPr>
        <w:t> </w:t>
      </w:r>
      <w:r w:rsidRPr="0075677F">
        <w:rPr>
          <w:rStyle w:val="normaltextrun"/>
          <w:rFonts w:ascii="Arial" w:hAnsi="Arial" w:cs="Arial"/>
          <w:color w:val="000000"/>
        </w:rPr>
        <w:t>human rights. Its aim was to ensure that all individuals under the age of 18 around the world, receive the civil, political, economic, social and cultural rights that they were entitled to, regardless of their</w:t>
      </w:r>
      <w:r w:rsidRPr="0075677F">
        <w:rPr>
          <w:rStyle w:val="apple-converted-space"/>
          <w:rFonts w:ascii="Arial" w:hAnsi="Arial" w:cs="Arial"/>
          <w:color w:val="000000"/>
        </w:rPr>
        <w:t> </w:t>
      </w:r>
      <w:r w:rsidRPr="0075677F">
        <w:rPr>
          <w:rStyle w:val="normaltextrun"/>
          <w:rFonts w:ascii="Arial" w:hAnsi="Arial" w:cs="Arial"/>
          <w:color w:val="000000"/>
        </w:rPr>
        <w:t>ethnicity, gender, religion, language or ability. UNICEF (no date b) states that each right is no more important than another, that all rights are</w:t>
      </w:r>
      <w:r w:rsidRPr="0075677F">
        <w:rPr>
          <w:rStyle w:val="apple-converted-space"/>
          <w:rFonts w:ascii="Arial" w:hAnsi="Arial" w:cs="Arial"/>
          <w:color w:val="000000"/>
        </w:rPr>
        <w:t> </w:t>
      </w:r>
      <w:r w:rsidRPr="0075677F">
        <w:rPr>
          <w:rStyle w:val="contextualspellingandgrammarerror"/>
          <w:rFonts w:ascii="Arial" w:hAnsi="Arial" w:cs="Arial"/>
          <w:color w:val="000000"/>
        </w:rPr>
        <w:t>connected,</w:t>
      </w:r>
      <w:r w:rsidRPr="0075677F">
        <w:rPr>
          <w:rStyle w:val="apple-converted-space"/>
          <w:rFonts w:ascii="Arial" w:hAnsi="Arial" w:cs="Arial"/>
          <w:color w:val="000000"/>
        </w:rPr>
        <w:t> </w:t>
      </w:r>
      <w:r w:rsidRPr="0075677F">
        <w:rPr>
          <w:rStyle w:val="normaltextrun"/>
          <w:rFonts w:ascii="Arial" w:hAnsi="Arial" w:cs="Arial"/>
          <w:color w:val="000000"/>
        </w:rPr>
        <w:t>and that the convention relates to how adults, governments and organisations form a partnership to ensure each child has access to their rights. </w:t>
      </w:r>
      <w:r w:rsidRPr="0075677F">
        <w:rPr>
          <w:rStyle w:val="eop"/>
          <w:rFonts w:ascii="Arial" w:hAnsi="Arial" w:cs="Arial"/>
        </w:rPr>
        <w:t xml:space="preserve">​Similarly, Lievens (no date) identifies that stood alone, the UNCRC highlights the importance of children’s rights. This suggests that all individuals have freedom and are valued and protected in society. </w:t>
      </w:r>
    </w:p>
    <w:p w14:paraId="72969E1B" w14:textId="77777777" w:rsidR="00250C4F" w:rsidRPr="0075677F" w:rsidRDefault="00250C4F" w:rsidP="00250C4F">
      <w:pPr>
        <w:pStyle w:val="paragraph"/>
        <w:spacing w:before="0" w:beforeAutospacing="0" w:after="0" w:afterAutospacing="0"/>
        <w:textAlignment w:val="baseline"/>
        <w:rPr>
          <w:rStyle w:val="eop"/>
          <w:rFonts w:ascii="Arial" w:hAnsi="Arial" w:cs="Arial"/>
        </w:rPr>
      </w:pPr>
    </w:p>
    <w:p w14:paraId="173C7649" w14:textId="77777777" w:rsidR="00250C4F" w:rsidRPr="0075677F" w:rsidRDefault="00250C4F" w:rsidP="00250C4F">
      <w:pPr>
        <w:rPr>
          <w:rStyle w:val="normaltextrun"/>
          <w:rFonts w:ascii="Arial" w:hAnsi="Arial" w:cs="Arial"/>
        </w:rPr>
      </w:pPr>
      <w:r w:rsidRPr="0075677F">
        <w:rPr>
          <w:rStyle w:val="eop"/>
          <w:rFonts w:ascii="Arial" w:hAnsi="Arial" w:cs="Arial"/>
        </w:rPr>
        <w:t xml:space="preserve">However, Baillie (no date) acknowledges that since the formation of the UNCRC in 1989, childhood experiences have been affected by the progression of digital technology, with no specific changes made to the Convention regarding the internet or digital technology. In contrast, Lievens (no date) recognises that today, children depend on digital technologies for communicating with others, learning and playing. This suggests that although digital technology is not found withing the 54 Articles of the UNCRC, the skills learnt from digital technology is embodied within other articles, such as the right to play and the right to an education. O’Byrne </w:t>
      </w:r>
      <w:r w:rsidRPr="0075677F">
        <w:rPr>
          <w:rStyle w:val="eop"/>
          <w:rFonts w:ascii="Arial" w:hAnsi="Arial" w:cs="Arial"/>
          <w:i/>
          <w:iCs/>
        </w:rPr>
        <w:t>et al</w:t>
      </w:r>
      <w:r w:rsidRPr="0075677F">
        <w:rPr>
          <w:rStyle w:val="eop"/>
          <w:rFonts w:ascii="Arial" w:hAnsi="Arial" w:cs="Arial"/>
        </w:rPr>
        <w:t>. (2018) supports this and suggests that digital technology is essential for children to acquire the variety of literacy skills that are necessary for living in the 21</w:t>
      </w:r>
      <w:r w:rsidRPr="0075677F">
        <w:rPr>
          <w:rStyle w:val="eop"/>
          <w:rFonts w:ascii="Arial" w:hAnsi="Arial" w:cs="Arial"/>
          <w:vertAlign w:val="superscript"/>
        </w:rPr>
        <w:t>st</w:t>
      </w:r>
      <w:r w:rsidRPr="0075677F">
        <w:rPr>
          <w:rStyle w:val="eop"/>
          <w:rFonts w:ascii="Arial" w:hAnsi="Arial" w:cs="Arial"/>
        </w:rPr>
        <w:t xml:space="preserve"> century, both within the classroom environment, as well as the home. </w:t>
      </w:r>
      <w:r w:rsidRPr="0075677F">
        <w:rPr>
          <w:rStyle w:val="normaltextrun"/>
          <w:rFonts w:ascii="Arial" w:hAnsi="Arial" w:cs="Arial"/>
        </w:rPr>
        <w:t>This supports the Digital Competence Framework (Welsh Government, 2018), where the child develops skills through the use of digital technology, contributing to their understanding of today’s digital society, promoting areas of learning to become confident and creative digital citizens in their ever-changing digital world.</w:t>
      </w:r>
      <w:r w:rsidRPr="0075677F">
        <w:rPr>
          <w:rStyle w:val="eop"/>
          <w:rFonts w:ascii="Arial" w:hAnsi="Arial" w:cs="Arial"/>
        </w:rPr>
        <w:t> </w:t>
      </w:r>
    </w:p>
    <w:p w14:paraId="05928765" w14:textId="77777777" w:rsidR="00250C4F" w:rsidRPr="0075677F" w:rsidRDefault="00250C4F" w:rsidP="00250C4F">
      <w:pPr>
        <w:rPr>
          <w:rStyle w:val="normaltextrun"/>
          <w:rFonts w:ascii="Arial" w:hAnsi="Arial" w:cs="Arial"/>
          <w:color w:val="000000"/>
          <w:shd w:val="clear" w:color="auto" w:fill="FFFFFF"/>
        </w:rPr>
      </w:pPr>
    </w:p>
    <w:p w14:paraId="6160DBFF" w14:textId="77777777" w:rsidR="00250C4F" w:rsidRPr="0075677F" w:rsidRDefault="00250C4F" w:rsidP="00250C4F">
      <w:pPr>
        <w:rPr>
          <w:rStyle w:val="normaltextrun"/>
          <w:rFonts w:ascii="Arial" w:hAnsi="Arial" w:cs="Arial"/>
          <w:color w:val="000000"/>
          <w:shd w:val="clear" w:color="auto" w:fill="FFFFFF"/>
        </w:rPr>
      </w:pPr>
      <w:r w:rsidRPr="0075677F">
        <w:rPr>
          <w:rStyle w:val="normaltextrun"/>
          <w:rFonts w:ascii="Arial" w:hAnsi="Arial" w:cs="Arial"/>
          <w:color w:val="000000"/>
          <w:shd w:val="clear" w:color="auto" w:fill="FFFFFF"/>
        </w:rPr>
        <w:t xml:space="preserve">According to the NSPCC (2022a), to identify and protect children from abuse behaviour and neglect, each nation in the UK is accountable for developing their own policies and laws surrounding education, health and well-being. Similarly, Virtual College (no date) recognises that there is no one law in the UK that incorporates child protection. However, the Children Act, originated in 1989, was described by the then Lord Chancellor as a memorable occasion in legislation and dominates the majority of systems and practices in place today to protect children (Elvin </w:t>
      </w:r>
      <w:r w:rsidRPr="0075677F">
        <w:rPr>
          <w:rStyle w:val="normaltextrun"/>
          <w:rFonts w:ascii="Arial" w:hAnsi="Arial" w:cs="Arial"/>
          <w:i/>
          <w:iCs/>
          <w:color w:val="000000"/>
          <w:shd w:val="clear" w:color="auto" w:fill="FFFFFF"/>
        </w:rPr>
        <w:t>et al</w:t>
      </w:r>
      <w:r w:rsidRPr="0075677F">
        <w:rPr>
          <w:rStyle w:val="normaltextrun"/>
          <w:rFonts w:ascii="Arial" w:hAnsi="Arial" w:cs="Arial"/>
          <w:color w:val="000000"/>
          <w:shd w:val="clear" w:color="auto" w:fill="FFFFFF"/>
        </w:rPr>
        <w:t xml:space="preserve">., 2019). Following this Act, a considerable number of legislations were established to improve child protection services, including the </w:t>
      </w:r>
      <w:r w:rsidRPr="0075677F">
        <w:rPr>
          <w:rStyle w:val="normaltextrun"/>
          <w:rFonts w:ascii="Arial" w:hAnsi="Arial" w:cs="Arial"/>
          <w:i/>
          <w:iCs/>
          <w:color w:val="000000"/>
          <w:shd w:val="clear" w:color="auto" w:fill="FFFFFF"/>
        </w:rPr>
        <w:t>Children Act 2004</w:t>
      </w:r>
      <w:r w:rsidRPr="0075677F">
        <w:rPr>
          <w:rStyle w:val="normaltextrun"/>
          <w:rFonts w:ascii="Arial" w:hAnsi="Arial" w:cs="Arial"/>
          <w:color w:val="000000"/>
          <w:shd w:val="clear" w:color="auto" w:fill="FFFFFF"/>
        </w:rPr>
        <w:t xml:space="preserve">, and more recently the </w:t>
      </w:r>
      <w:r w:rsidRPr="0075677F">
        <w:rPr>
          <w:rStyle w:val="normaltextrun"/>
          <w:rFonts w:ascii="Arial" w:hAnsi="Arial" w:cs="Arial"/>
          <w:i/>
          <w:iCs/>
          <w:color w:val="000000"/>
          <w:shd w:val="clear" w:color="auto" w:fill="FFFFFF"/>
        </w:rPr>
        <w:t>Children and Social Work Act 2017</w:t>
      </w:r>
      <w:r w:rsidRPr="0075677F">
        <w:rPr>
          <w:rStyle w:val="normaltextrun"/>
          <w:rFonts w:ascii="Arial" w:hAnsi="Arial" w:cs="Arial"/>
          <w:color w:val="000000"/>
          <w:shd w:val="clear" w:color="auto" w:fill="FFFFFF"/>
        </w:rPr>
        <w:t xml:space="preserve"> (Elvin </w:t>
      </w:r>
      <w:r w:rsidRPr="0075677F">
        <w:rPr>
          <w:rStyle w:val="normaltextrun"/>
          <w:rFonts w:ascii="Arial" w:hAnsi="Arial" w:cs="Arial"/>
          <w:i/>
          <w:iCs/>
          <w:color w:val="000000"/>
          <w:shd w:val="clear" w:color="auto" w:fill="FFFFFF"/>
        </w:rPr>
        <w:t>et al</w:t>
      </w:r>
      <w:r w:rsidRPr="0075677F">
        <w:rPr>
          <w:rStyle w:val="normaltextrun"/>
          <w:rFonts w:ascii="Arial" w:hAnsi="Arial" w:cs="Arial"/>
          <w:color w:val="000000"/>
          <w:shd w:val="clear" w:color="auto" w:fill="FFFFFF"/>
        </w:rPr>
        <w:t xml:space="preserve">., 2019). </w:t>
      </w:r>
    </w:p>
    <w:p w14:paraId="5BE4A937" w14:textId="77777777" w:rsidR="00250C4F" w:rsidRPr="0075677F" w:rsidRDefault="00250C4F" w:rsidP="00250C4F">
      <w:pPr>
        <w:rPr>
          <w:rStyle w:val="normaltextrun"/>
          <w:rFonts w:ascii="Arial" w:hAnsi="Arial" w:cs="Arial"/>
          <w:color w:val="000000"/>
          <w:shd w:val="clear" w:color="auto" w:fill="FFFFFF"/>
        </w:rPr>
      </w:pPr>
    </w:p>
    <w:p w14:paraId="6E3C8C2D" w14:textId="77777777" w:rsidR="00250C4F" w:rsidRPr="0075677F" w:rsidRDefault="00250C4F" w:rsidP="00250C4F">
      <w:pPr>
        <w:rPr>
          <w:rStyle w:val="normaltextrun"/>
          <w:rFonts w:ascii="Arial" w:hAnsi="Arial" w:cs="Arial"/>
          <w:color w:val="000000"/>
          <w:shd w:val="clear" w:color="auto" w:fill="FFFFFF"/>
        </w:rPr>
      </w:pPr>
      <w:r w:rsidRPr="0075677F">
        <w:rPr>
          <w:rStyle w:val="normaltextrun"/>
          <w:rFonts w:ascii="Arial" w:hAnsi="Arial" w:cs="Arial"/>
          <w:color w:val="000000"/>
          <w:shd w:val="clear" w:color="auto" w:fill="FFFFFF"/>
        </w:rPr>
        <w:t xml:space="preserve">The </w:t>
      </w:r>
      <w:r w:rsidRPr="0075677F">
        <w:rPr>
          <w:rStyle w:val="normaltextrun"/>
          <w:rFonts w:ascii="Arial" w:hAnsi="Arial" w:cs="Arial"/>
          <w:i/>
          <w:iCs/>
          <w:color w:val="000000"/>
          <w:shd w:val="clear" w:color="auto" w:fill="FFFFFF"/>
        </w:rPr>
        <w:t>Children Act 2004</w:t>
      </w:r>
      <w:r w:rsidRPr="0075677F">
        <w:rPr>
          <w:rStyle w:val="normaltextrun"/>
          <w:rFonts w:ascii="Arial" w:hAnsi="Arial" w:cs="Arial"/>
          <w:color w:val="000000"/>
          <w:shd w:val="clear" w:color="auto" w:fill="FFFFFF"/>
        </w:rPr>
        <w:t xml:space="preserve"> was an updated version of the original 1989 legislation, following the </w:t>
      </w:r>
      <w:r w:rsidRPr="0075677F">
        <w:rPr>
          <w:rFonts w:ascii="Arial" w:hAnsi="Arial" w:cs="Arial"/>
          <w:color w:val="000000"/>
        </w:rPr>
        <w:t>death of Victoria Climbié (</w:t>
      </w:r>
      <w:r w:rsidRPr="0075677F">
        <w:rPr>
          <w:rStyle w:val="normaltextrun"/>
          <w:rFonts w:ascii="Arial" w:hAnsi="Arial" w:cs="Arial"/>
          <w:color w:val="000000"/>
          <w:shd w:val="clear" w:color="auto" w:fill="FFFFFF"/>
        </w:rPr>
        <w:t xml:space="preserve">Virtual College, no date). It is suggested that amendments to the legislation were made to improve and support the role of child </w:t>
      </w:r>
      <w:r w:rsidRPr="0075677F">
        <w:rPr>
          <w:rStyle w:val="normaltextrun"/>
          <w:rFonts w:ascii="Arial" w:hAnsi="Arial" w:cs="Arial"/>
          <w:color w:val="000000"/>
          <w:shd w:val="clear" w:color="auto" w:fill="FFFFFF"/>
        </w:rPr>
        <w:lastRenderedPageBreak/>
        <w:t xml:space="preserve">protection services in the UK, in an attempt for preventing the events around Victoria </w:t>
      </w:r>
      <w:r w:rsidRPr="0075677F">
        <w:rPr>
          <w:rFonts w:ascii="Arial" w:hAnsi="Arial" w:cs="Arial"/>
          <w:color w:val="000000"/>
        </w:rPr>
        <w:t xml:space="preserve">Climbié’s </w:t>
      </w:r>
      <w:r w:rsidRPr="0075677F">
        <w:rPr>
          <w:rStyle w:val="normaltextrun"/>
          <w:rFonts w:ascii="Arial" w:hAnsi="Arial" w:cs="Arial"/>
          <w:color w:val="000000"/>
          <w:shd w:val="clear" w:color="auto" w:fill="FFFFFF"/>
        </w:rPr>
        <w:t xml:space="preserve">death from re-occurring </w:t>
      </w:r>
      <w:r w:rsidRPr="0075677F">
        <w:rPr>
          <w:rFonts w:ascii="Arial" w:hAnsi="Arial" w:cs="Arial"/>
          <w:color w:val="000000"/>
        </w:rPr>
        <w:t>(</w:t>
      </w:r>
      <w:r w:rsidRPr="0075677F">
        <w:rPr>
          <w:rStyle w:val="normaltextrun"/>
          <w:rFonts w:ascii="Arial" w:hAnsi="Arial" w:cs="Arial"/>
          <w:color w:val="000000"/>
          <w:shd w:val="clear" w:color="auto" w:fill="FFFFFF"/>
        </w:rPr>
        <w:t>Virtual College, no date). The</w:t>
      </w:r>
      <w:r w:rsidRPr="0075677F">
        <w:rPr>
          <w:rStyle w:val="normaltextrun"/>
          <w:rFonts w:ascii="Arial" w:hAnsi="Arial" w:cs="Arial"/>
          <w:i/>
          <w:iCs/>
          <w:color w:val="000000"/>
          <w:shd w:val="clear" w:color="auto" w:fill="FFFFFF"/>
        </w:rPr>
        <w:t xml:space="preserve"> Children Act 1989</w:t>
      </w:r>
      <w:r w:rsidRPr="0075677F">
        <w:rPr>
          <w:rStyle w:val="normaltextrun"/>
          <w:rFonts w:ascii="Arial" w:hAnsi="Arial" w:cs="Arial"/>
          <w:color w:val="000000"/>
          <w:shd w:val="clear" w:color="auto" w:fill="FFFFFF"/>
        </w:rPr>
        <w:t xml:space="preserve"> and </w:t>
      </w:r>
      <w:r w:rsidRPr="0075677F">
        <w:rPr>
          <w:rStyle w:val="normaltextrun"/>
          <w:rFonts w:ascii="Arial" w:hAnsi="Arial" w:cs="Arial"/>
          <w:i/>
          <w:iCs/>
          <w:color w:val="000000"/>
          <w:shd w:val="clear" w:color="auto" w:fill="FFFFFF"/>
        </w:rPr>
        <w:t>2004</w:t>
      </w:r>
      <w:r w:rsidRPr="0075677F">
        <w:rPr>
          <w:rStyle w:val="normaltextrun"/>
          <w:rFonts w:ascii="Arial" w:hAnsi="Arial" w:cs="Arial"/>
          <w:color w:val="000000"/>
          <w:shd w:val="clear" w:color="auto" w:fill="FFFFFF"/>
        </w:rPr>
        <w:t xml:space="preserve"> were both significant legislations for safeguarding children and ensuring local authorities took the necessary actions to protect the children in need in their area </w:t>
      </w:r>
      <w:r w:rsidRPr="0075677F">
        <w:rPr>
          <w:rFonts w:ascii="Arial" w:hAnsi="Arial" w:cs="Arial"/>
          <w:color w:val="000000"/>
        </w:rPr>
        <w:t>(</w:t>
      </w:r>
      <w:r w:rsidRPr="0075677F">
        <w:rPr>
          <w:rStyle w:val="normaltextrun"/>
          <w:rFonts w:ascii="Arial" w:hAnsi="Arial" w:cs="Arial"/>
          <w:color w:val="000000"/>
          <w:shd w:val="clear" w:color="auto" w:fill="FFFFFF"/>
        </w:rPr>
        <w:t xml:space="preserve">Virtual College, no date). </w:t>
      </w:r>
    </w:p>
    <w:p w14:paraId="23DA9B73" w14:textId="77777777" w:rsidR="00250C4F" w:rsidRPr="0075677F" w:rsidRDefault="00250C4F" w:rsidP="00250C4F">
      <w:pPr>
        <w:rPr>
          <w:rStyle w:val="normaltextrun"/>
          <w:rFonts w:ascii="Arial" w:hAnsi="Arial" w:cs="Arial"/>
          <w:color w:val="000000"/>
          <w:shd w:val="clear" w:color="auto" w:fill="FFFFFF"/>
        </w:rPr>
      </w:pPr>
    </w:p>
    <w:p w14:paraId="148A636C" w14:textId="77777777" w:rsidR="00250C4F" w:rsidRPr="0075677F" w:rsidRDefault="00250C4F" w:rsidP="00250C4F">
      <w:pPr>
        <w:rPr>
          <w:rFonts w:ascii="Arial" w:hAnsi="Arial" w:cs="Arial"/>
          <w:color w:val="000000"/>
          <w:shd w:val="clear" w:color="auto" w:fill="FFFFFF"/>
        </w:rPr>
      </w:pPr>
      <w:r w:rsidRPr="0075677F">
        <w:rPr>
          <w:rFonts w:ascii="Arial" w:hAnsi="Arial" w:cs="Arial"/>
          <w:color w:val="000000"/>
        </w:rPr>
        <w:t>Published alongside The Laming Inquiry 2003, following the death of Victoria Climbié, is the Every Child Matters 2003 (Every Child Matters, 2003) which outlined improvements to child protection across the country, to support children in acquiring the rights illustrated in ‘Every Child Matters (</w:t>
      </w:r>
      <w:r w:rsidRPr="0075677F">
        <w:rPr>
          <w:rStyle w:val="normaltextrun"/>
          <w:rFonts w:ascii="Arial" w:hAnsi="Arial" w:cs="Arial"/>
          <w:color w:val="000000"/>
          <w:shd w:val="clear" w:color="auto" w:fill="FFFFFF"/>
        </w:rPr>
        <w:t>Virtual College, no date)</w:t>
      </w:r>
      <w:r w:rsidRPr="0075677F">
        <w:rPr>
          <w:rFonts w:ascii="Arial" w:hAnsi="Arial" w:cs="Arial"/>
          <w:color w:val="000000"/>
        </w:rPr>
        <w:t>. Although dated, Parliament UK (2005), suggests that The Laming Report identifies poor professional implementation and the lack of information sharing. Furthermore, Musgrave (2017) suggests that the lack of communication and information sharing is a result of professionals not working in partnership, increasing the risk of professionals failing to protect the child. This suggests the need for successful catalytic leadership, for all professionals involved in protecting the child to communicate and work together effectively to promote the child’s safety and health. </w:t>
      </w:r>
    </w:p>
    <w:p w14:paraId="1C14D524" w14:textId="77777777" w:rsidR="00250C4F" w:rsidRPr="0075677F" w:rsidRDefault="00250C4F" w:rsidP="00250C4F">
      <w:pPr>
        <w:rPr>
          <w:rStyle w:val="normaltextrun"/>
          <w:rFonts w:ascii="Arial" w:hAnsi="Arial" w:cs="Arial"/>
          <w:b/>
          <w:bCs/>
          <w:color w:val="000000"/>
          <w:shd w:val="clear" w:color="auto" w:fill="FFFFFF"/>
        </w:rPr>
      </w:pPr>
    </w:p>
    <w:p w14:paraId="664194AD" w14:textId="77777777" w:rsidR="00250C4F" w:rsidRPr="0075677F" w:rsidRDefault="00250C4F" w:rsidP="00250C4F">
      <w:pPr>
        <w:rPr>
          <w:rFonts w:ascii="Arial" w:hAnsi="Arial" w:cs="Arial"/>
          <w:color w:val="000000"/>
          <w:shd w:val="clear" w:color="auto" w:fill="FFFFFF"/>
        </w:rPr>
      </w:pPr>
      <w:r w:rsidRPr="0075677F">
        <w:rPr>
          <w:rStyle w:val="normaltextrun"/>
          <w:rFonts w:ascii="Arial" w:hAnsi="Arial" w:cs="Arial"/>
          <w:color w:val="000000"/>
        </w:rPr>
        <w:t>As acknowledged by the Children's Commissioner for Wales (2020a), in 2011 the Welsh Government became the first in the UK to accept the UNCRC as part of its domestic law in Wales, with an additional law within the Welsh Government, called the Rights of Children</w:t>
      </w:r>
      <w:r w:rsidRPr="0075677F">
        <w:rPr>
          <w:rStyle w:val="apple-converted-space"/>
          <w:rFonts w:ascii="Arial" w:hAnsi="Arial" w:cs="Arial"/>
          <w:color w:val="000000"/>
        </w:rPr>
        <w:t> </w:t>
      </w:r>
      <w:r w:rsidRPr="0075677F">
        <w:rPr>
          <w:rStyle w:val="normaltextrun"/>
          <w:rFonts w:ascii="Arial" w:hAnsi="Arial" w:cs="Arial"/>
          <w:color w:val="000000"/>
        </w:rPr>
        <w:t>and Young Persons (Wales) Measure 2011, subsequently referred to as ‘The Measure (Welsh Government 2021). Children in Wales (2021) states that this law was created by arranging the 42 articles of the UNCRC into 7 different areas, called The Seven Core Aims for children and young people.</w:t>
      </w:r>
    </w:p>
    <w:p w14:paraId="7CF19F70"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r w:rsidRPr="0075677F">
        <w:rPr>
          <w:rStyle w:val="normaltextrun"/>
          <w:rFonts w:ascii="Arial" w:hAnsi="Arial" w:cs="Arial"/>
          <w:color w:val="000000"/>
        </w:rPr>
        <w:t>According to Education Workforce Council (no date), The Children’s Commissioner for Wales organisation was established in 2001, with the aim of safeguarding children and young people in Wales and promote their well-being. In April 2015, Sally Holland was appointed as the third Children’s Commissioner for Wales (Education Workforce Council, no date). Her role was to speak on behalf of the children and young people in Wales, ensuring they were aware of their rights, to be safe,</w:t>
      </w:r>
      <w:r w:rsidRPr="0075677F">
        <w:rPr>
          <w:rStyle w:val="apple-converted-space"/>
          <w:rFonts w:ascii="Arial" w:hAnsi="Arial" w:cs="Arial"/>
          <w:color w:val="000000"/>
        </w:rPr>
        <w:t> </w:t>
      </w:r>
      <w:r w:rsidRPr="0075677F">
        <w:rPr>
          <w:rStyle w:val="normaltextrun"/>
          <w:rFonts w:ascii="Arial" w:hAnsi="Arial" w:cs="Arial"/>
          <w:color w:val="000000"/>
        </w:rPr>
        <w:t>healthy and happy, and to encourage the government and other agencies to work in partnership to protect the child (Children’s Commissioner for Wales, 2020b). </w:t>
      </w:r>
    </w:p>
    <w:p w14:paraId="5C7E8FC9" w14:textId="77777777" w:rsidR="00250C4F" w:rsidRPr="0075677F" w:rsidRDefault="00250C4F" w:rsidP="00250C4F">
      <w:pPr>
        <w:rPr>
          <w:rStyle w:val="normaltextrun"/>
          <w:rFonts w:ascii="Arial" w:hAnsi="Arial" w:cs="Arial"/>
          <w:color w:val="000000"/>
        </w:rPr>
      </w:pPr>
    </w:p>
    <w:p w14:paraId="7E5EF4D9" w14:textId="77777777" w:rsidR="00250C4F" w:rsidRPr="0075677F" w:rsidRDefault="00250C4F" w:rsidP="00250C4F">
      <w:pPr>
        <w:rPr>
          <w:rFonts w:ascii="Arial" w:hAnsi="Arial" w:cs="Arial"/>
          <w:color w:val="000000"/>
          <w:shd w:val="clear" w:color="auto" w:fill="FFFFFF"/>
        </w:rPr>
      </w:pPr>
      <w:r w:rsidRPr="0075677F">
        <w:rPr>
          <w:rStyle w:val="normaltextrun"/>
          <w:rFonts w:ascii="Arial" w:hAnsi="Arial" w:cs="Arial"/>
          <w:color w:val="000000"/>
        </w:rPr>
        <w:t>As cited in the Education Workforce Council (no date) Sally Holland</w:t>
      </w:r>
      <w:r w:rsidRPr="0075677F">
        <w:rPr>
          <w:rFonts w:ascii="Arial" w:hAnsi="Arial" w:cs="Arial"/>
          <w:color w:val="000000"/>
          <w:shd w:val="clear" w:color="auto" w:fill="FFFFFF"/>
        </w:rPr>
        <w:t xml:space="preserve"> recognises that the education profession places itself at the heart of the UNCRC in Wales and identifies the development of the new legislation for Additional Learning Needs and the Donaldson review, Successful Futures, to be significant events for improvement in the education system in Wales. This highlights the importance of catalytic leadership, where all professionals work in collaboration, sharing new ideas that challenge practice, in order to improve educational outcomes for children.</w:t>
      </w:r>
    </w:p>
    <w:p w14:paraId="1BE41914" w14:textId="77777777" w:rsidR="00250C4F" w:rsidRPr="0075677F" w:rsidRDefault="00250C4F" w:rsidP="00250C4F">
      <w:pPr>
        <w:rPr>
          <w:rFonts w:ascii="Arial" w:hAnsi="Arial" w:cs="Arial"/>
          <w:color w:val="000000"/>
          <w:shd w:val="clear" w:color="auto" w:fill="FFFFFF"/>
        </w:rPr>
      </w:pPr>
    </w:p>
    <w:p w14:paraId="18A2CBA4" w14:textId="77777777" w:rsidR="00250C4F" w:rsidRPr="0075677F" w:rsidRDefault="00250C4F" w:rsidP="00250C4F">
      <w:pPr>
        <w:rPr>
          <w:rFonts w:ascii="Arial" w:hAnsi="Arial" w:cs="Arial"/>
          <w:color w:val="000000"/>
          <w:shd w:val="clear" w:color="auto" w:fill="FFFFFF"/>
        </w:rPr>
      </w:pPr>
      <w:r w:rsidRPr="0075677F">
        <w:rPr>
          <w:rFonts w:ascii="Arial" w:hAnsi="Arial" w:cs="Arial"/>
          <w:color w:val="000000"/>
          <w:shd w:val="clear" w:color="auto" w:fill="FFFFFF"/>
        </w:rPr>
        <w:t>Wightwick (2015) acknowledges Sally Holland’s view against physically punishing children. Her aim to make smacking illegal in Wales has been highlighted as one of her key priorities since undertaking her role as Children’s Commissioner. Shaw (2022) reports that following the completion of 20 years of research by the University College London, it was identified that any form of physical punishment is harmful to children and escalates behavioural difficulties, suggesting that physical punishment is not in the best interest of the child. Passed by the Scottish Government, November 2020 saw Scotland become the first UK nation (Hodge, 2020) and 58</w:t>
      </w:r>
      <w:r w:rsidRPr="0075677F">
        <w:rPr>
          <w:rFonts w:ascii="Arial" w:hAnsi="Arial" w:cs="Arial"/>
          <w:color w:val="000000"/>
          <w:shd w:val="clear" w:color="auto" w:fill="FFFFFF"/>
          <w:vertAlign w:val="superscript"/>
        </w:rPr>
        <w:t>th</w:t>
      </w:r>
      <w:r w:rsidRPr="0075677F">
        <w:rPr>
          <w:rFonts w:ascii="Arial" w:hAnsi="Arial" w:cs="Arial"/>
          <w:color w:val="000000"/>
          <w:shd w:val="clear" w:color="auto" w:fill="FFFFFF"/>
        </w:rPr>
        <w:t xml:space="preserve"> </w:t>
      </w:r>
      <w:r w:rsidRPr="0075677F">
        <w:rPr>
          <w:rFonts w:ascii="Arial" w:hAnsi="Arial" w:cs="Arial"/>
          <w:color w:val="000000"/>
          <w:shd w:val="clear" w:color="auto" w:fill="FFFFFF"/>
        </w:rPr>
        <w:lastRenderedPageBreak/>
        <w:t xml:space="preserve">country (The Guardian, 2020) to ban physical punishment for children, making it illegal for parents to smack their child (Hodge, 2020). This law is suggested to provide children with the same rights as adults, where incidents of physical harm is experienced. In March 2022, Sally Holland won her battle, creating history, as Wales joined Scotland in putting an end to all physical punishment for children. Despite Wales’ success, </w:t>
      </w:r>
      <w:r w:rsidRPr="0075677F">
        <w:rPr>
          <w:rStyle w:val="normaltextrun"/>
          <w:rFonts w:ascii="Arial" w:hAnsi="Arial" w:cs="Arial"/>
          <w:color w:val="000000"/>
        </w:rPr>
        <w:t>O’Byrne Mulligan</w:t>
      </w:r>
      <w:r w:rsidRPr="0075677F">
        <w:rPr>
          <w:rFonts w:ascii="Arial" w:hAnsi="Arial" w:cs="Arial"/>
          <w:color w:val="000000"/>
          <w:shd w:val="clear" w:color="auto" w:fill="FFFFFF"/>
        </w:rPr>
        <w:t xml:space="preserve"> (2022) acknowledges England, along with Northern Ireland, to stand together as nations that currently have no intention of following suit. </w:t>
      </w:r>
    </w:p>
    <w:p w14:paraId="386B0EF9" w14:textId="77777777" w:rsidR="00250C4F" w:rsidRPr="0075677F" w:rsidRDefault="00250C4F" w:rsidP="00250C4F">
      <w:pPr>
        <w:jc w:val="both"/>
        <w:textAlignment w:val="baseline"/>
        <w:rPr>
          <w:rFonts w:ascii="Arial" w:hAnsi="Arial" w:cs="Arial"/>
          <w:color w:val="0B0C0C"/>
        </w:rPr>
      </w:pPr>
    </w:p>
    <w:p w14:paraId="7E2A295D" w14:textId="77777777" w:rsidR="00250C4F" w:rsidRPr="0075677F" w:rsidRDefault="00250C4F" w:rsidP="00250C4F">
      <w:pPr>
        <w:rPr>
          <w:rFonts w:ascii="Arial" w:hAnsi="Arial" w:cs="Arial"/>
        </w:rPr>
      </w:pPr>
      <w:r w:rsidRPr="0075677F">
        <w:rPr>
          <w:rStyle w:val="normaltextrun"/>
          <w:rFonts w:ascii="Arial" w:hAnsi="Arial" w:cs="Arial"/>
          <w:color w:val="000000"/>
        </w:rPr>
        <w:t>To date the UNCRC is internationally recognised as the most comprehensive legislation ever produced relating to children’s rights. It is apparent that the Articles</w:t>
      </w:r>
      <w:r w:rsidRPr="0075677F">
        <w:rPr>
          <w:rStyle w:val="apple-converted-space"/>
          <w:rFonts w:ascii="Arial" w:hAnsi="Arial" w:cs="Arial"/>
          <w:color w:val="000000"/>
        </w:rPr>
        <w:t> </w:t>
      </w:r>
      <w:r w:rsidRPr="0075677F">
        <w:rPr>
          <w:rStyle w:val="normaltextrun"/>
          <w:rFonts w:ascii="Arial" w:hAnsi="Arial" w:cs="Arial"/>
          <w:color w:val="000000"/>
        </w:rPr>
        <w:t>contained in the UNCRC complement each other and would not work effectively alone. Working together, the articles ensure all children are safeguarded against social,</w:t>
      </w:r>
      <w:r w:rsidRPr="0075677F">
        <w:rPr>
          <w:rStyle w:val="apple-converted-space"/>
          <w:rFonts w:ascii="Arial" w:hAnsi="Arial" w:cs="Arial"/>
          <w:color w:val="000000"/>
        </w:rPr>
        <w:t> </w:t>
      </w:r>
      <w:r w:rsidRPr="0075677F">
        <w:rPr>
          <w:rStyle w:val="normaltextrun"/>
          <w:rFonts w:ascii="Arial" w:hAnsi="Arial" w:cs="Arial"/>
          <w:color w:val="000000"/>
        </w:rPr>
        <w:t>psychological and emotional insecurity and distress. It is essential a child feels safe to express their views, their desires to be considered and for their needs to</w:t>
      </w:r>
      <w:r w:rsidRPr="0075677F">
        <w:rPr>
          <w:rStyle w:val="apple-converted-space"/>
          <w:rFonts w:ascii="Arial" w:hAnsi="Arial" w:cs="Arial"/>
          <w:color w:val="000000"/>
        </w:rPr>
        <w:t> </w:t>
      </w:r>
      <w:r w:rsidRPr="0075677F">
        <w:rPr>
          <w:rStyle w:val="normaltextrun"/>
          <w:rFonts w:ascii="Arial" w:hAnsi="Arial" w:cs="Arial"/>
          <w:color w:val="000000"/>
        </w:rPr>
        <w:t>be met. </w:t>
      </w:r>
      <w:r w:rsidRPr="0075677F">
        <w:rPr>
          <w:rStyle w:val="eop"/>
          <w:rFonts w:ascii="Arial" w:hAnsi="Arial" w:cs="Arial"/>
        </w:rPr>
        <w:t>​</w:t>
      </w:r>
      <w:r w:rsidRPr="0075677F">
        <w:rPr>
          <w:rFonts w:ascii="Arial" w:hAnsi="Arial" w:cs="Arial"/>
        </w:rPr>
        <w:t>Professionals working to safeguard children at risk of harm or neglect face a challenging task, as the right of the parent needs to be considered along with child protection. However, the rights and safety of the child are paramount to prevent history repeating itself. It is evident that Catalytic Leadership plays its part in supporting agencies to deliver services to improve the child’s future outcomes.</w:t>
      </w:r>
    </w:p>
    <w:p w14:paraId="3281DCDB" w14:textId="77777777" w:rsidR="00250C4F" w:rsidRPr="0075677F" w:rsidRDefault="00250C4F" w:rsidP="00250C4F">
      <w:pPr>
        <w:jc w:val="both"/>
        <w:textAlignment w:val="baseline"/>
        <w:rPr>
          <w:rFonts w:ascii="Arial" w:hAnsi="Arial" w:cs="Arial"/>
          <w:color w:val="0B0C0C"/>
        </w:rPr>
      </w:pPr>
    </w:p>
    <w:p w14:paraId="3B029201" w14:textId="77777777" w:rsidR="00250C4F" w:rsidRPr="0075677F" w:rsidRDefault="00250C4F" w:rsidP="00250C4F">
      <w:pPr>
        <w:jc w:val="both"/>
        <w:textAlignment w:val="baseline"/>
        <w:rPr>
          <w:rFonts w:ascii="Arial" w:hAnsi="Arial" w:cs="Arial"/>
          <w:color w:val="0B0C0C"/>
        </w:rPr>
      </w:pPr>
    </w:p>
    <w:p w14:paraId="6CA7FF09" w14:textId="77777777" w:rsidR="00250C4F" w:rsidRPr="0075677F" w:rsidRDefault="00250C4F" w:rsidP="00250C4F">
      <w:pPr>
        <w:rPr>
          <w:rStyle w:val="normaltextrun"/>
          <w:rFonts w:ascii="Arial" w:hAnsi="Arial" w:cs="Arial"/>
          <w:color w:val="000000"/>
        </w:rPr>
      </w:pPr>
    </w:p>
    <w:p w14:paraId="03EFF1D6" w14:textId="77777777" w:rsidR="00250C4F" w:rsidRPr="0075677F" w:rsidRDefault="00250C4F" w:rsidP="00250C4F">
      <w:pPr>
        <w:rPr>
          <w:rStyle w:val="normaltextrun"/>
          <w:rFonts w:ascii="Arial" w:hAnsi="Arial" w:cs="Arial"/>
          <w:color w:val="000000"/>
          <w:u w:val="single"/>
        </w:rPr>
      </w:pPr>
      <w:r w:rsidRPr="0075677F">
        <w:rPr>
          <w:rStyle w:val="normaltextrun"/>
          <w:rFonts w:ascii="Arial" w:hAnsi="Arial" w:cs="Arial"/>
          <w:color w:val="000000"/>
          <w:u w:val="single"/>
        </w:rPr>
        <w:t>SECTION 3</w:t>
      </w:r>
    </w:p>
    <w:p w14:paraId="271D5212" w14:textId="77777777" w:rsidR="00250C4F" w:rsidRPr="0075677F" w:rsidRDefault="00250C4F" w:rsidP="00250C4F">
      <w:pPr>
        <w:rPr>
          <w:rStyle w:val="normaltextrun"/>
          <w:rFonts w:ascii="Arial" w:hAnsi="Arial" w:cs="Arial"/>
          <w:color w:val="000000"/>
          <w:u w:val="single"/>
        </w:rPr>
      </w:pPr>
    </w:p>
    <w:p w14:paraId="2AE24047"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Mack (2016) defines poverty as the deprivation of essential materials to meet the agreed minimum standard of living. Similarly, GOV. UK (2013b) suggests that families living in </w:t>
      </w:r>
      <w:r w:rsidRPr="0075677F">
        <w:rPr>
          <w:rStyle w:val="findhit"/>
          <w:rFonts w:ascii="Arial" w:hAnsi="Arial" w:cs="Arial"/>
          <w:color w:val="000000"/>
        </w:rPr>
        <w:t>poverty</w:t>
      </w:r>
      <w:r w:rsidRPr="0075677F">
        <w:rPr>
          <w:rStyle w:val="normaltextrun"/>
          <w:rFonts w:ascii="Arial" w:hAnsi="Arial" w:cs="Arial"/>
          <w:color w:val="000000"/>
        </w:rPr>
        <w:t xml:space="preserve"> experience challenges that prevent them from meeting their everyday needs, such as paying for food, heating, electricity and clothing. Nuffield Foundation (2022) suggests that although childhood poverty has decreased in comparison to 20 years ago, the rate of poverty has risen since 2013 and is a consequence of the poverty experienced by the child’s parents (The Welsh Government, 2015). Research provides evidence that one in three children in the UK live in childhood poverty (Nuffield Foundation, 2022), with 50% of these aged under 5 years (O’Sullivan, 2019). </w:t>
      </w:r>
    </w:p>
    <w:p w14:paraId="44C89F10" w14:textId="77777777" w:rsidR="00250C4F" w:rsidRPr="0075677F" w:rsidRDefault="00250C4F" w:rsidP="00250C4F">
      <w:pPr>
        <w:rPr>
          <w:rStyle w:val="normaltextrun"/>
          <w:rFonts w:ascii="Arial" w:hAnsi="Arial" w:cs="Arial"/>
          <w:color w:val="000000"/>
        </w:rPr>
      </w:pPr>
    </w:p>
    <w:p w14:paraId="5F8AF649" w14:textId="77777777" w:rsidR="00250C4F" w:rsidRPr="0075677F" w:rsidRDefault="00250C4F" w:rsidP="00250C4F">
      <w:pPr>
        <w:pStyle w:val="NormalWeb"/>
        <w:spacing w:before="0" w:beforeAutospacing="0" w:after="0" w:afterAutospacing="0"/>
        <w:rPr>
          <w:rStyle w:val="normaltextrun"/>
          <w:rFonts w:ascii="Arial" w:hAnsi="Arial" w:cs="Arial"/>
        </w:rPr>
      </w:pPr>
      <w:r w:rsidRPr="0075677F">
        <w:rPr>
          <w:rStyle w:val="normaltextrun"/>
          <w:rFonts w:ascii="Arial" w:hAnsi="Arial" w:cs="Arial"/>
          <w:color w:val="000000"/>
        </w:rPr>
        <w:t xml:space="preserve">Research carried out by Chaudry and Wimer (2016) highlights the link that poverty and low income has on the child’s well-being, development, educational accomplishments and other sociological factors. In addition, this research indicated that the earlier and longer children experience poverty, the poorer their outcomes will be (Chaudry and Wimer, 2016). Furthermore, GOV.UK (2013a) recognise that children living in </w:t>
      </w:r>
      <w:r w:rsidRPr="0075677F">
        <w:rPr>
          <w:rStyle w:val="findhit"/>
          <w:rFonts w:ascii="Arial" w:hAnsi="Arial" w:cs="Arial"/>
          <w:color w:val="000000"/>
        </w:rPr>
        <w:t>poverty</w:t>
      </w:r>
      <w:r w:rsidRPr="0075677F">
        <w:rPr>
          <w:rStyle w:val="normaltextrun"/>
          <w:rFonts w:ascii="Arial" w:hAnsi="Arial" w:cs="Arial"/>
          <w:color w:val="000000"/>
        </w:rPr>
        <w:t xml:space="preserve"> are likely to have an increased chance of repeated poor health conditions. </w:t>
      </w:r>
      <w:r w:rsidRPr="0075677F">
        <w:rPr>
          <w:rFonts w:ascii="Arial" w:hAnsi="Arial" w:cs="Arial"/>
        </w:rPr>
        <w:t xml:space="preserve">The Welsh Government (2019) acknowledges the barriers poverty creates for children and young people to utilise the rights they are entitled, to achieve greater outcomes. </w:t>
      </w:r>
      <w:r w:rsidRPr="0075677F">
        <w:rPr>
          <w:rStyle w:val="normaltextrun"/>
          <w:rFonts w:ascii="Arial" w:hAnsi="Arial" w:cs="Arial"/>
          <w:color w:val="000000"/>
        </w:rPr>
        <w:t xml:space="preserve">Chaudry and Wimer (2016) acknowledges that children are more likely to carry the consequences of living in childhood </w:t>
      </w:r>
      <w:r w:rsidRPr="0075677F">
        <w:rPr>
          <w:rStyle w:val="findhit"/>
          <w:rFonts w:ascii="Arial" w:hAnsi="Arial" w:cs="Arial"/>
          <w:color w:val="000000"/>
        </w:rPr>
        <w:t>poverty</w:t>
      </w:r>
      <w:r w:rsidRPr="0075677F">
        <w:rPr>
          <w:rStyle w:val="normaltextrun"/>
          <w:rFonts w:ascii="Arial" w:hAnsi="Arial" w:cs="Arial"/>
          <w:color w:val="000000"/>
        </w:rPr>
        <w:t xml:space="preserve"> through to adulthood. This suggests that children living in poverty gain less positive opportunities in life.</w:t>
      </w:r>
      <w:r w:rsidRPr="0075677F">
        <w:rPr>
          <w:rStyle w:val="eop"/>
          <w:rFonts w:ascii="Arial" w:hAnsi="Arial" w:cs="Arial"/>
          <w:color w:val="000000"/>
        </w:rPr>
        <w:t> </w:t>
      </w:r>
      <w:r w:rsidRPr="0075677F">
        <w:rPr>
          <w:rFonts w:ascii="Arial" w:hAnsi="Arial" w:cs="Arial"/>
        </w:rPr>
        <w:t xml:space="preserve"> </w:t>
      </w:r>
    </w:p>
    <w:p w14:paraId="711747AD" w14:textId="77777777" w:rsidR="00250C4F" w:rsidRPr="0075677F" w:rsidRDefault="00250C4F" w:rsidP="00250C4F">
      <w:pPr>
        <w:pStyle w:val="paragraph"/>
        <w:spacing w:before="0" w:beforeAutospacing="0" w:after="0" w:afterAutospacing="0"/>
        <w:textAlignment w:val="baseline"/>
        <w:rPr>
          <w:rStyle w:val="normaltextrun"/>
          <w:rFonts w:ascii="Arial" w:hAnsi="Arial" w:cs="Arial"/>
          <w:color w:val="000000"/>
        </w:rPr>
      </w:pPr>
    </w:p>
    <w:p w14:paraId="2525AD0A" w14:textId="77777777" w:rsidR="00250C4F" w:rsidRPr="0075677F" w:rsidRDefault="00250C4F" w:rsidP="00250C4F">
      <w:pPr>
        <w:pStyle w:val="NormalWeb"/>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 xml:space="preserve">The Welsh Government (2015) suggests that household income provides the means for families to meet their daily needs and is the indicator of poverty in households </w:t>
      </w:r>
      <w:r w:rsidRPr="0075677F">
        <w:rPr>
          <w:rStyle w:val="normaltextrun"/>
          <w:rFonts w:ascii="Arial" w:hAnsi="Arial" w:cs="Arial"/>
          <w:color w:val="000000"/>
        </w:rPr>
        <w:lastRenderedPageBreak/>
        <w:t xml:space="preserve">living below the median UK household income of 60%. Loughborough University (2021) acknowledges that research implies that three out of ten individuals in the UK live in households that do not meet the Minimum Income Standard of living, therefore are materially deprived of the necessary items needed to engage in society. </w:t>
      </w:r>
    </w:p>
    <w:p w14:paraId="316C0F68" w14:textId="77777777" w:rsidR="00250C4F" w:rsidRPr="0075677F" w:rsidRDefault="00250C4F" w:rsidP="00250C4F">
      <w:pPr>
        <w:pStyle w:val="NormalWeb"/>
        <w:spacing w:before="0" w:beforeAutospacing="0" w:after="0" w:afterAutospacing="0"/>
        <w:rPr>
          <w:rFonts w:ascii="Arial" w:hAnsi="Arial" w:cs="Arial"/>
          <w:color w:val="000000"/>
        </w:rPr>
      </w:pPr>
    </w:p>
    <w:p w14:paraId="1997DA28"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Musgrave (2017) suggests that children who live in </w:t>
      </w:r>
      <w:r w:rsidRPr="0075677F">
        <w:rPr>
          <w:rStyle w:val="findhit"/>
          <w:rFonts w:ascii="Arial" w:hAnsi="Arial" w:cs="Arial"/>
          <w:color w:val="000000"/>
        </w:rPr>
        <w:t>poverty</w:t>
      </w:r>
      <w:r w:rsidRPr="0075677F">
        <w:rPr>
          <w:rStyle w:val="normaltextrun"/>
          <w:rFonts w:ascii="Arial" w:hAnsi="Arial" w:cs="Arial"/>
          <w:color w:val="000000"/>
        </w:rPr>
        <w:t xml:space="preserve"> are often hungry. Children’s Legal Centre Wales (2021) acknowledges that everyone has the right to food. This right interlinks with other rights, such as the right to health and is vital for children to gain their right to education, as research provides evidence that an empty tummy creates barriers for the child to concentrate and learn. In line with Article 24 and 27 of the UNCRC, children have the right to be healthy and be provided with clean water, nutritious food and quality health care to meet their personal needs and standard of living (UNICEF, 2017). </w:t>
      </w:r>
    </w:p>
    <w:p w14:paraId="7198EE0B" w14:textId="77777777" w:rsidR="00250C4F" w:rsidRPr="0075677F" w:rsidRDefault="00250C4F" w:rsidP="00250C4F">
      <w:pPr>
        <w:rPr>
          <w:rStyle w:val="normaltextrun"/>
          <w:rFonts w:ascii="Arial" w:hAnsi="Arial" w:cs="Arial"/>
          <w:color w:val="000000"/>
        </w:rPr>
      </w:pPr>
    </w:p>
    <w:p w14:paraId="12F12112"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According to Children’s Legal Centre Wales (2021), the government has a responsibility to ensure all individuals and families have access to and have the means to buy quality food which meets their nutritional needs, without causing challenges to meet additional household outgoings, such as rent and heating the home. However, research carried out by End Child Poverty (2020) identifies that rent consumes the majority of a family’s household income, leaving them with a lack of funds to meet necessary living costs and the needs of their children. This suggests that these families have an insubstantial income. Furthermore, this research provides evidence that all local authorities in Wales have seen a rise in child poverty since 2015, with Pembrokeshire ranked the highest. Chaudry and Wimer (2016) suggests that the child poverty rate is the standard a society accepts and allows children to experience. This suggests that families are likely to be reliant on free school meals and charitable organisations such as food banks, in order to avoid hunger. </w:t>
      </w:r>
    </w:p>
    <w:p w14:paraId="478E79CB" w14:textId="77777777" w:rsidR="00250C4F" w:rsidRPr="0075677F" w:rsidRDefault="00250C4F" w:rsidP="00250C4F">
      <w:pPr>
        <w:rPr>
          <w:rStyle w:val="normaltextrun"/>
          <w:rFonts w:ascii="Arial" w:hAnsi="Arial" w:cs="Arial"/>
          <w:color w:val="000000"/>
        </w:rPr>
      </w:pPr>
    </w:p>
    <w:p w14:paraId="3FE33ACF"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Early Years Wales (2020) acknowledges programmes developed by the Welsh government to support children and families living in poverty, such as free school meals. Powell and Gheera (2021) recognise that the aim of programmes is to intervene as early in a child’s life as possible, to discourage future sociological issues. Similarly, Family Action (2014) acknowledges that a child’s early experiences are the basis of their future success. Moreover, Molloy (2019) recognises the fundamental role that effective early intervention has on poverty and the barriers impacting children’s development, such as improving their home environment and family life, making it possible for them to achieve their educational outcomes and improve their well-being (NSPCC, 2021). However, Early Intervention Foundation (2022a) acknowledges that effective interventions at any time during childhood and adolescence can enhance the child’s life experiences and outcomes. Although early intervention programmes are not designed to remove every problem for children and their families, they can change their circumstances considerably if implemented effectively to families most in need (Early Intervention Foundation, 2022). Furthermore, Molloy (2019) recognises that early intervention services should not be provided as a solution to poverty and are more effective when services work in partnership to reduce poverty, such as supporting parental training, to aid employability and creating new job opportunities for future employment. This suggests the need for Catalytic Leadership in order for early intervention to be strengthened by each organisation supporting the child. Early Intervention </w:t>
      </w:r>
      <w:r w:rsidRPr="0075677F">
        <w:rPr>
          <w:rStyle w:val="normaltextrun"/>
          <w:rFonts w:ascii="Arial" w:hAnsi="Arial" w:cs="Arial"/>
          <w:color w:val="000000"/>
        </w:rPr>
        <w:lastRenderedPageBreak/>
        <w:t>Foundation (2022b) recognises the negative impact the oversight of early intervention may cause a child in their future, resulting in the possibility of difficulties worsening.</w:t>
      </w:r>
    </w:p>
    <w:p w14:paraId="0B53FDC8" w14:textId="77777777" w:rsidR="00250C4F" w:rsidRPr="0075677F" w:rsidRDefault="00250C4F" w:rsidP="00250C4F">
      <w:pPr>
        <w:rPr>
          <w:rStyle w:val="normaltextrun"/>
          <w:rFonts w:ascii="Arial" w:hAnsi="Arial" w:cs="Arial"/>
          <w:color w:val="000000"/>
        </w:rPr>
      </w:pPr>
    </w:p>
    <w:p w14:paraId="303B8852"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As cited in </w:t>
      </w:r>
      <w:r w:rsidRPr="0075677F">
        <w:rPr>
          <w:rFonts w:ascii="Arial" w:hAnsi="Arial" w:cs="Arial"/>
        </w:rPr>
        <w:t>Dauncey and Boshier (2021)</w:t>
      </w:r>
      <w:r w:rsidRPr="0075677F">
        <w:rPr>
          <w:rStyle w:val="normaltextrun"/>
          <w:rFonts w:ascii="Arial" w:hAnsi="Arial" w:cs="Arial"/>
          <w:color w:val="000000"/>
        </w:rPr>
        <w:t xml:space="preserve">, in 2004, the Welsh Government developed the Free Breakfast Scheme in all primary schools across each local authority in Wales, with the aim of improving the learners’ concentration skills and consequently increase learner achievement. The Welsh Government (2014a) describes breakfast as the most essential meal of the day as children who eat a health and nutritious breakfast at the start of the school day have a higher probability to successfully attain their full educational potential. Similarly, with the highest number of schools operating a free breakfast scheme across Wales, Carmarthenshire County Council (2021) acknowledges that breakfast energises the body and stimulates the brain, linking to better health and behaviour, which supports children to perform to the best of their ability. </w:t>
      </w:r>
    </w:p>
    <w:p w14:paraId="76E98123" w14:textId="77777777" w:rsidR="00250C4F" w:rsidRPr="0075677F" w:rsidRDefault="00250C4F" w:rsidP="00250C4F">
      <w:pPr>
        <w:rPr>
          <w:rStyle w:val="normaltextrun"/>
          <w:rFonts w:ascii="Arial" w:hAnsi="Arial" w:cs="Arial"/>
          <w:color w:val="000000"/>
        </w:rPr>
      </w:pPr>
    </w:p>
    <w:p w14:paraId="770C0343" w14:textId="77777777" w:rsidR="00250C4F" w:rsidRPr="0075677F" w:rsidRDefault="00250C4F" w:rsidP="00250C4F">
      <w:pPr>
        <w:rPr>
          <w:rStyle w:val="normaltextrun"/>
          <w:rFonts w:ascii="Arial" w:hAnsi="Arial" w:cs="Arial"/>
          <w:color w:val="000000"/>
        </w:rPr>
      </w:pPr>
      <w:r w:rsidRPr="0075677F">
        <w:rPr>
          <w:rStyle w:val="normaltextrun"/>
          <w:rFonts w:ascii="Arial" w:hAnsi="Arial" w:cs="Arial"/>
          <w:color w:val="000000"/>
        </w:rPr>
        <w:t xml:space="preserve">In line with section 88 of the School Standards and Organisation (Wales) Act 2013, each local authority in Wales has a duty to provide free breakfast at a maintained school, only if a written request has been made by the school’s governing body (legislation.gov.uk, 2013). However, the Welsh Government (2014a) highlights that the provision of free breakfast for children is not a legal requirement, therefore governing bodies have the authority to request a small charge for the breakfast provided by schools. </w:t>
      </w:r>
    </w:p>
    <w:p w14:paraId="22E622BE" w14:textId="77777777" w:rsidR="00250C4F" w:rsidRPr="0075677F" w:rsidRDefault="00250C4F" w:rsidP="00250C4F">
      <w:pPr>
        <w:rPr>
          <w:rStyle w:val="normaltextrun"/>
          <w:rFonts w:ascii="Arial" w:hAnsi="Arial" w:cs="Arial"/>
          <w:color w:val="000000"/>
        </w:rPr>
      </w:pPr>
    </w:p>
    <w:p w14:paraId="71CFA12C" w14:textId="77777777" w:rsidR="00250C4F" w:rsidRPr="0075677F" w:rsidRDefault="00250C4F" w:rsidP="00250C4F">
      <w:pPr>
        <w:pStyle w:val="NormalWeb"/>
        <w:shd w:val="clear" w:color="auto" w:fill="FFFFFF"/>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Children in full time education, including sixth form school pupils are eligible for free school meals if the parent or child meet the relevant benefit and income after tax criteria (Welsh Government, no date). According to Vik, Lippevelde and Overby (2019), the provision of a free school meal provides the child with a balanced diet whilst at school, with the intake of healthy foods has the potential to positively enhance the child’s future health benefits. Furthermore, The Food Foundation (2022) recognises free school meals as a means of assisting families to control their household budget, as well as enhancing the child’s health and wellbeing.</w:t>
      </w:r>
    </w:p>
    <w:p w14:paraId="45670022" w14:textId="77777777" w:rsidR="00250C4F" w:rsidRPr="0075677F" w:rsidRDefault="00250C4F" w:rsidP="00250C4F">
      <w:pPr>
        <w:pStyle w:val="NormalWeb"/>
        <w:shd w:val="clear" w:color="auto" w:fill="FFFFFF"/>
        <w:spacing w:before="0" w:beforeAutospacing="0" w:after="0" w:afterAutospacing="0"/>
        <w:rPr>
          <w:rFonts w:ascii="Arial" w:hAnsi="Arial" w:cs="Arial"/>
        </w:rPr>
      </w:pPr>
      <w:r w:rsidRPr="0075677F">
        <w:rPr>
          <w:rStyle w:val="normaltextrun"/>
          <w:rFonts w:ascii="Arial" w:hAnsi="Arial" w:cs="Arial"/>
          <w:color w:val="000000"/>
        </w:rPr>
        <w:t xml:space="preserve">However, Noah Webster Educational Foundation (no date) identifies a negative factor of receiving a free school meal and suggests that one in three secondary school pupils would prefer to go without their free lunch, as they feel different form their friends and embarrassed of their identity as a low income child. </w:t>
      </w:r>
      <w:r w:rsidRPr="0075677F">
        <w:rPr>
          <w:rFonts w:ascii="Arial" w:hAnsi="Arial" w:cs="Arial"/>
        </w:rPr>
        <w:t xml:space="preserve">The Welsh Government (2014b) highlights that all school practitioners should take reasonable measures for the identity of all children receiving free school meals to be protected. The Welsh Government (2014b) implies that each eligible free school meal should be claimed by the child, as it may be the only well balanced meal they will eat during their day. This suggests that if effective systems are in place to protect the child’s identity, there is no reason why the child should not take their free nutritional meal. </w:t>
      </w:r>
    </w:p>
    <w:p w14:paraId="1B7CE89A" w14:textId="77777777" w:rsidR="00250C4F" w:rsidRPr="0075677F" w:rsidRDefault="00250C4F" w:rsidP="00250C4F">
      <w:pPr>
        <w:pStyle w:val="NormalWeb"/>
        <w:shd w:val="clear" w:color="auto" w:fill="FFFFFF"/>
        <w:spacing w:before="0" w:beforeAutospacing="0" w:after="0" w:afterAutospacing="0"/>
        <w:rPr>
          <w:rFonts w:ascii="Arial" w:hAnsi="Arial" w:cs="Arial"/>
        </w:rPr>
      </w:pPr>
    </w:p>
    <w:p w14:paraId="21F42407" w14:textId="77777777" w:rsidR="00250C4F" w:rsidRPr="0075677F" w:rsidRDefault="00250C4F" w:rsidP="00250C4F">
      <w:pPr>
        <w:pStyle w:val="NormalWeb"/>
        <w:shd w:val="clear" w:color="auto" w:fill="FFFFFF"/>
        <w:spacing w:before="0" w:beforeAutospacing="0" w:after="0" w:afterAutospacing="0"/>
        <w:rPr>
          <w:rStyle w:val="normaltextrun"/>
          <w:rFonts w:ascii="Arial" w:hAnsi="Arial" w:cs="Arial"/>
          <w:color w:val="000000"/>
        </w:rPr>
      </w:pPr>
      <w:r w:rsidRPr="0075677F">
        <w:rPr>
          <w:rStyle w:val="normaltextrun"/>
          <w:rFonts w:ascii="Arial" w:hAnsi="Arial" w:cs="Arial"/>
          <w:color w:val="000000"/>
        </w:rPr>
        <w:t xml:space="preserve">Sustain (no date) acknowledges the agreement made between the Welsh Labour and Plaid Cymru to provide free school meals for all primary school pupils, with a vision that no child should feel hunger. Although this benefits younger pupils, the stigma of being a low income child will still be felt by secondary school pupils. However, Braxmeier (2021) believes this is forward planning for increasing the take-up of meals and reducing the associated stigma. Conversely, Vignoles (2014) </w:t>
      </w:r>
      <w:r w:rsidRPr="0075677F">
        <w:rPr>
          <w:rStyle w:val="normaltextrun"/>
          <w:rFonts w:ascii="Arial" w:hAnsi="Arial" w:cs="Arial"/>
          <w:color w:val="000000"/>
        </w:rPr>
        <w:lastRenderedPageBreak/>
        <w:t>argues that if school meals are free to all children, it is difficult to measure low income families and identify children who are socio-economically disadvantaged.</w:t>
      </w:r>
    </w:p>
    <w:p w14:paraId="2E16F058" w14:textId="77777777" w:rsidR="00250C4F" w:rsidRPr="0075677F" w:rsidRDefault="00250C4F" w:rsidP="00250C4F">
      <w:pPr>
        <w:pStyle w:val="NormalWeb"/>
        <w:shd w:val="clear" w:color="auto" w:fill="FFFFFF"/>
        <w:spacing w:before="0" w:beforeAutospacing="0" w:after="0" w:afterAutospacing="0"/>
        <w:rPr>
          <w:rFonts w:ascii="Arial" w:hAnsi="Arial" w:cs="Arial"/>
        </w:rPr>
      </w:pPr>
    </w:p>
    <w:p w14:paraId="410F249A" w14:textId="77777777" w:rsidR="00250C4F" w:rsidRPr="0075677F" w:rsidRDefault="00250C4F" w:rsidP="00250C4F">
      <w:pPr>
        <w:pStyle w:val="NormalWeb"/>
        <w:shd w:val="clear" w:color="auto" w:fill="FFFFFF"/>
        <w:spacing w:before="0" w:beforeAutospacing="0" w:after="0" w:afterAutospacing="0"/>
        <w:rPr>
          <w:rFonts w:ascii="Arial" w:hAnsi="Arial" w:cs="Arial"/>
        </w:rPr>
      </w:pPr>
      <w:r w:rsidRPr="0075677F">
        <w:rPr>
          <w:rFonts w:ascii="Arial" w:hAnsi="Arial" w:cs="Arial"/>
        </w:rPr>
        <w:t>It is evident that some children will always require support because of the disadvantages they have faced throughout their lives. The provision of intervention at the first onset of a problem is clearly essential for preventing the child from being missed by a system that has a duty to protect them, as well as support them to develop the skills they require to prepare them for adult life, enabling them to lead a happy, healthy and prosperous future.</w:t>
      </w:r>
    </w:p>
    <w:p w14:paraId="58B7FDD8" w14:textId="77777777" w:rsidR="005A7259" w:rsidRDefault="005A7259"/>
    <w:sectPr w:rsidR="005A72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ra Round Pro">
    <w:altName w:val="Calibri"/>
    <w:panose1 w:val="020B0604020202020204"/>
    <w:charset w:val="00"/>
    <w:family w:val="modern"/>
    <w:notTrueType/>
    <w:pitch w:val="variable"/>
    <w:sig w:usb0="00000287" w:usb1="00000001"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7171F"/>
    <w:multiLevelType w:val="multilevel"/>
    <w:tmpl w:val="6CA0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942006"/>
    <w:multiLevelType w:val="multilevel"/>
    <w:tmpl w:val="939078E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81713"/>
    <w:multiLevelType w:val="multilevel"/>
    <w:tmpl w:val="ECB4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2B4F2D"/>
    <w:multiLevelType w:val="multilevel"/>
    <w:tmpl w:val="9270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E5150A"/>
    <w:multiLevelType w:val="multilevel"/>
    <w:tmpl w:val="926837F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3270FA"/>
    <w:multiLevelType w:val="multilevel"/>
    <w:tmpl w:val="C9902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4F2C8A"/>
    <w:multiLevelType w:val="multilevel"/>
    <w:tmpl w:val="A9E8C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F2C"/>
    <w:rsid w:val="00250C4F"/>
    <w:rsid w:val="00535F2C"/>
    <w:rsid w:val="005A7259"/>
    <w:rsid w:val="00690578"/>
    <w:rsid w:val="00B556EF"/>
    <w:rsid w:val="00E31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7660F9"/>
  <w15:chartTrackingRefBased/>
  <w15:docId w15:val="{14380D86-5138-854B-A96A-B91762BA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F2C"/>
    <w:rPr>
      <w:rFonts w:ascii="Times New Roman" w:eastAsia="Times New Roman" w:hAnsi="Times New Roman" w:cs="Times New Roman"/>
      <w:lang w:eastAsia="en-GB"/>
    </w:rPr>
  </w:style>
  <w:style w:type="paragraph" w:styleId="Heading1">
    <w:name w:val="heading 1"/>
    <w:basedOn w:val="Normal"/>
    <w:link w:val="Heading1Char"/>
    <w:uiPriority w:val="9"/>
    <w:qFormat/>
    <w:rsid w:val="00250C4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250C4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35F2C"/>
    <w:pPr>
      <w:spacing w:before="100" w:beforeAutospacing="1" w:after="100" w:afterAutospacing="1"/>
    </w:pPr>
  </w:style>
  <w:style w:type="character" w:customStyle="1" w:styleId="normaltextrun">
    <w:name w:val="normaltextrun"/>
    <w:basedOn w:val="DefaultParagraphFont"/>
    <w:rsid w:val="00535F2C"/>
  </w:style>
  <w:style w:type="character" w:customStyle="1" w:styleId="findhit">
    <w:name w:val="findhit"/>
    <w:basedOn w:val="DefaultParagraphFont"/>
    <w:rsid w:val="00535F2C"/>
  </w:style>
  <w:style w:type="character" w:customStyle="1" w:styleId="eop">
    <w:name w:val="eop"/>
    <w:basedOn w:val="DefaultParagraphFont"/>
    <w:rsid w:val="00535F2C"/>
  </w:style>
  <w:style w:type="paragraph" w:styleId="NormalWeb">
    <w:name w:val="Normal (Web)"/>
    <w:basedOn w:val="Normal"/>
    <w:uiPriority w:val="99"/>
    <w:unhideWhenUsed/>
    <w:rsid w:val="00535F2C"/>
    <w:pPr>
      <w:spacing w:before="100" w:beforeAutospacing="1" w:after="100" w:afterAutospacing="1"/>
    </w:pPr>
  </w:style>
  <w:style w:type="character" w:customStyle="1" w:styleId="Heading1Char">
    <w:name w:val="Heading 1 Char"/>
    <w:basedOn w:val="DefaultParagraphFont"/>
    <w:link w:val="Heading1"/>
    <w:uiPriority w:val="9"/>
    <w:rsid w:val="00250C4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50C4F"/>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250C4F"/>
    <w:rPr>
      <w:color w:val="0563C1" w:themeColor="hyperlink"/>
      <w:u w:val="single"/>
    </w:rPr>
  </w:style>
  <w:style w:type="character" w:styleId="UnresolvedMention">
    <w:name w:val="Unresolved Mention"/>
    <w:basedOn w:val="DefaultParagraphFont"/>
    <w:uiPriority w:val="99"/>
    <w:semiHidden/>
    <w:unhideWhenUsed/>
    <w:rsid w:val="00250C4F"/>
    <w:rPr>
      <w:color w:val="605E5C"/>
      <w:shd w:val="clear" w:color="auto" w:fill="E1DFDD"/>
    </w:rPr>
  </w:style>
  <w:style w:type="character" w:styleId="FollowedHyperlink">
    <w:name w:val="FollowedHyperlink"/>
    <w:basedOn w:val="DefaultParagraphFont"/>
    <w:uiPriority w:val="99"/>
    <w:semiHidden/>
    <w:unhideWhenUsed/>
    <w:rsid w:val="00250C4F"/>
    <w:rPr>
      <w:color w:val="954F72" w:themeColor="followedHyperlink"/>
      <w:u w:val="single"/>
    </w:rPr>
  </w:style>
  <w:style w:type="character" w:customStyle="1" w:styleId="article-headerdoilabel">
    <w:name w:val="article-header__doi__label"/>
    <w:basedOn w:val="DefaultParagraphFont"/>
    <w:rsid w:val="00250C4F"/>
  </w:style>
  <w:style w:type="paragraph" w:customStyle="1" w:styleId="NCBHeading">
    <w:name w:val="NCB_Heading"/>
    <w:basedOn w:val="Normal"/>
    <w:link w:val="NCBHeadingChar"/>
    <w:qFormat/>
    <w:rsid w:val="00250C4F"/>
    <w:pPr>
      <w:spacing w:after="360" w:line="288" w:lineRule="auto"/>
    </w:pPr>
    <w:rPr>
      <w:rFonts w:ascii="Cera Round Pro" w:eastAsiaTheme="minorEastAsia" w:hAnsi="Cera Round Pro" w:cs="Segoe UI"/>
      <w:b/>
      <w:sz w:val="36"/>
      <w:szCs w:val="36"/>
    </w:rPr>
  </w:style>
  <w:style w:type="character" w:customStyle="1" w:styleId="NCBHeadingChar">
    <w:name w:val="NCB_Heading Char"/>
    <w:basedOn w:val="DefaultParagraphFont"/>
    <w:link w:val="NCBHeading"/>
    <w:rsid w:val="00250C4F"/>
    <w:rPr>
      <w:rFonts w:ascii="Cera Round Pro" w:eastAsiaTheme="minorEastAsia" w:hAnsi="Cera Round Pro" w:cs="Segoe UI"/>
      <w:b/>
      <w:sz w:val="36"/>
      <w:szCs w:val="36"/>
      <w:lang w:eastAsia="en-GB"/>
    </w:rPr>
  </w:style>
  <w:style w:type="character" w:styleId="Emphasis">
    <w:name w:val="Emphasis"/>
    <w:basedOn w:val="DefaultParagraphFont"/>
    <w:uiPriority w:val="20"/>
    <w:qFormat/>
    <w:rsid w:val="00250C4F"/>
    <w:rPr>
      <w:i/>
      <w:iCs/>
    </w:rPr>
  </w:style>
  <w:style w:type="character" w:customStyle="1" w:styleId="apple-converted-space">
    <w:name w:val="apple-converted-space"/>
    <w:basedOn w:val="DefaultParagraphFont"/>
    <w:rsid w:val="00250C4F"/>
  </w:style>
  <w:style w:type="character" w:customStyle="1" w:styleId="contextualspellingandgrammarerror">
    <w:name w:val="contextualspellingandgrammarerror"/>
    <w:basedOn w:val="DefaultParagraphFont"/>
    <w:rsid w:val="00250C4F"/>
  </w:style>
  <w:style w:type="character" w:styleId="Strong">
    <w:name w:val="Strong"/>
    <w:basedOn w:val="DefaultParagraphFont"/>
    <w:uiPriority w:val="22"/>
    <w:qFormat/>
    <w:rsid w:val="00250C4F"/>
    <w:rPr>
      <w:b/>
      <w:bCs/>
    </w:rPr>
  </w:style>
  <w:style w:type="paragraph" w:styleId="Header">
    <w:name w:val="header"/>
    <w:basedOn w:val="Normal"/>
    <w:link w:val="HeaderChar"/>
    <w:uiPriority w:val="99"/>
    <w:unhideWhenUsed/>
    <w:rsid w:val="00250C4F"/>
    <w:pPr>
      <w:tabs>
        <w:tab w:val="center" w:pos="4513"/>
        <w:tab w:val="right" w:pos="9026"/>
      </w:tabs>
    </w:pPr>
  </w:style>
  <w:style w:type="character" w:customStyle="1" w:styleId="HeaderChar">
    <w:name w:val="Header Char"/>
    <w:basedOn w:val="DefaultParagraphFont"/>
    <w:link w:val="Header"/>
    <w:uiPriority w:val="99"/>
    <w:rsid w:val="00250C4F"/>
    <w:rPr>
      <w:rFonts w:ascii="Times New Roman" w:eastAsia="Times New Roman" w:hAnsi="Times New Roman" w:cs="Times New Roman"/>
      <w:lang w:eastAsia="en-GB"/>
    </w:rPr>
  </w:style>
  <w:style w:type="paragraph" w:styleId="Footer">
    <w:name w:val="footer"/>
    <w:basedOn w:val="Normal"/>
    <w:link w:val="FooterChar"/>
    <w:uiPriority w:val="99"/>
    <w:unhideWhenUsed/>
    <w:rsid w:val="00250C4F"/>
    <w:pPr>
      <w:tabs>
        <w:tab w:val="center" w:pos="4513"/>
        <w:tab w:val="right" w:pos="9026"/>
      </w:tabs>
    </w:pPr>
  </w:style>
  <w:style w:type="character" w:customStyle="1" w:styleId="FooterChar">
    <w:name w:val="Footer Char"/>
    <w:basedOn w:val="DefaultParagraphFont"/>
    <w:link w:val="Footer"/>
    <w:uiPriority w:val="99"/>
    <w:rsid w:val="00250C4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5380</Words>
  <Characters>30667</Characters>
  <Application>Microsoft Office Word</Application>
  <DocSecurity>0</DocSecurity>
  <Lines>255</Lines>
  <Paragraphs>71</Paragraphs>
  <ScaleCrop>false</ScaleCrop>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lavender</dc:creator>
  <cp:keywords/>
  <dc:description/>
  <cp:lastModifiedBy>louise lavender</cp:lastModifiedBy>
  <cp:revision>2</cp:revision>
  <dcterms:created xsi:type="dcterms:W3CDTF">2022-03-27T14:59:00Z</dcterms:created>
  <dcterms:modified xsi:type="dcterms:W3CDTF">2022-03-27T14:59:00Z</dcterms:modified>
</cp:coreProperties>
</file>