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CCEAA" w14:textId="77777777" w:rsidR="00500046" w:rsidRDefault="00500046"/>
    <w:p w14:paraId="6512DFD9" w14:textId="77777777" w:rsidR="009A6036" w:rsidRDefault="009A6036"/>
    <w:p w14:paraId="0648BC12" w14:textId="0DADF168" w:rsidR="00F1394D" w:rsidRPr="009A6036" w:rsidRDefault="009A6036" w:rsidP="009A6036">
      <w:pPr>
        <w:jc w:val="center"/>
        <w:rPr>
          <w:sz w:val="32"/>
          <w:szCs w:val="32"/>
          <w:u w:val="single"/>
        </w:rPr>
      </w:pPr>
      <w:r w:rsidRPr="009A6036">
        <w:rPr>
          <w:sz w:val="32"/>
          <w:szCs w:val="32"/>
          <w:u w:val="single"/>
        </w:rPr>
        <w:t>What are the effects of the assessment strategy “Mistake Interviews” on attitudes towards mistakes in a year 4 classroom?</w:t>
      </w:r>
    </w:p>
    <w:p w14:paraId="59A68983" w14:textId="77777777" w:rsidR="009A6036" w:rsidRDefault="009A6036">
      <w:pPr>
        <w:rPr>
          <w:b/>
          <w:bCs/>
        </w:rPr>
      </w:pPr>
    </w:p>
    <w:p w14:paraId="4D22765B" w14:textId="3B4B7A7B" w:rsidR="00764E7F" w:rsidRPr="00764E7F" w:rsidRDefault="00764E7F">
      <w:pPr>
        <w:rPr>
          <w:b/>
          <w:bCs/>
        </w:rPr>
      </w:pPr>
      <w:r w:rsidRPr="00764E7F">
        <w:rPr>
          <w:b/>
          <w:bCs/>
        </w:rPr>
        <w:t xml:space="preserve">Aim, </w:t>
      </w:r>
      <w:r>
        <w:rPr>
          <w:b/>
          <w:bCs/>
        </w:rPr>
        <w:t>F</w:t>
      </w:r>
      <w:r w:rsidRPr="00764E7F">
        <w:rPr>
          <w:b/>
          <w:bCs/>
        </w:rPr>
        <w:t xml:space="preserve">ocus and </w:t>
      </w:r>
      <w:r>
        <w:rPr>
          <w:b/>
          <w:bCs/>
        </w:rPr>
        <w:t>P</w:t>
      </w:r>
      <w:r w:rsidRPr="00764E7F">
        <w:rPr>
          <w:b/>
          <w:bCs/>
        </w:rPr>
        <w:t xml:space="preserve">urpose of the </w:t>
      </w:r>
      <w:r>
        <w:rPr>
          <w:b/>
          <w:bCs/>
        </w:rPr>
        <w:t>R</w:t>
      </w:r>
      <w:r w:rsidRPr="00764E7F">
        <w:rPr>
          <w:b/>
          <w:bCs/>
        </w:rPr>
        <w:t>esearch</w:t>
      </w:r>
    </w:p>
    <w:p w14:paraId="1F8B8B4C" w14:textId="5760A90B" w:rsidR="00F1394D" w:rsidRPr="00163DF6" w:rsidRDefault="00F1394D">
      <w:r>
        <w:t xml:space="preserve">The </w:t>
      </w:r>
      <w:r w:rsidR="001F78CF">
        <w:t>purpose</w:t>
      </w:r>
      <w:r>
        <w:t xml:space="preserve"> of this </w:t>
      </w:r>
      <w:r w:rsidR="00163DF6">
        <w:t>research</w:t>
      </w:r>
      <w:r>
        <w:t xml:space="preserve"> is to explore the effects of the assessment strategy “</w:t>
      </w:r>
      <w:r w:rsidRPr="00163DF6">
        <w:rPr>
          <w:lang w:val="cy-GB"/>
        </w:rPr>
        <w:t>Cyfweliadau Camgymeriadau</w:t>
      </w:r>
      <w:r>
        <w:t xml:space="preserve">” (or “Mistake Interviews”), on attitudes towards mistakes in a year </w:t>
      </w:r>
      <w:r w:rsidR="001F78CF">
        <w:t xml:space="preserve">4 </w:t>
      </w:r>
      <w:r>
        <w:t>classroom. In my time teaching, assisting, and observing in primary school classrooms</w:t>
      </w:r>
      <w:r w:rsidR="00263A8E">
        <w:t>, I noticed that students often ha</w:t>
      </w:r>
      <w:r w:rsidR="00FA395F">
        <w:t>d</w:t>
      </w:r>
      <w:r w:rsidR="00263A8E">
        <w:t xml:space="preserve"> a negative view of making mistakes or answering incorrectly. This seem</w:t>
      </w:r>
      <w:r w:rsidR="00FA395F">
        <w:t>ed</w:t>
      </w:r>
      <w:r w:rsidR="00263A8E">
        <w:t xml:space="preserve"> to be linked to a feeling of embarrassment, and although they often tr</w:t>
      </w:r>
      <w:r w:rsidR="00FA395F">
        <w:t>ied</w:t>
      </w:r>
      <w:r w:rsidR="00263A8E">
        <w:t xml:space="preserve"> to hide it, it </w:t>
      </w:r>
      <w:r w:rsidR="00FA395F">
        <w:t>was</w:t>
      </w:r>
      <w:r w:rsidR="00263A8E">
        <w:t xml:space="preserve"> clear to see that </w:t>
      </w:r>
      <w:r w:rsidR="005619D2">
        <w:t>most students dislike</w:t>
      </w:r>
      <w:r w:rsidR="00FA395F">
        <w:t>d</w:t>
      </w:r>
      <w:r w:rsidR="005619D2">
        <w:t xml:space="preserve"> making mistakes. My personal philosophy is that mistakes are an integral part of learning, and of life. Learning from mistakes is what helps us to </w:t>
      </w:r>
      <w:proofErr w:type="gramStart"/>
      <w:r w:rsidR="005619D2">
        <w:t>grow, and</w:t>
      </w:r>
      <w:proofErr w:type="gramEnd"/>
      <w:r w:rsidR="005619D2">
        <w:t xml:space="preserve"> accepting that we will always make mistakes is a step towards being more loving and accepting towards ourselves. </w:t>
      </w:r>
      <w:r w:rsidR="00553A80">
        <w:t>I believe</w:t>
      </w:r>
      <w:r w:rsidR="00FA395F">
        <w:t>d</w:t>
      </w:r>
      <w:r w:rsidR="00553A80">
        <w:t xml:space="preserve"> that a classroom could benefit greatly from this philosophy. My </w:t>
      </w:r>
      <w:r w:rsidR="006A08CD">
        <w:t>objective</w:t>
      </w:r>
      <w:r w:rsidR="00553A80">
        <w:t xml:space="preserve"> </w:t>
      </w:r>
      <w:r w:rsidR="00FA395F">
        <w:t>was</w:t>
      </w:r>
      <w:r w:rsidR="00553A80">
        <w:t xml:space="preserve"> to discover whether </w:t>
      </w:r>
      <w:r w:rsidR="006A08CD">
        <w:t xml:space="preserve">and how </w:t>
      </w:r>
      <w:r w:rsidR="00553A80">
        <w:t>I c</w:t>
      </w:r>
      <w:r w:rsidR="00FA395F">
        <w:t>ould</w:t>
      </w:r>
      <w:r w:rsidR="00553A80">
        <w:t xml:space="preserve"> change attitudes</w:t>
      </w:r>
      <w:r w:rsidR="006A08CD">
        <w:t xml:space="preserve"> on mistakes</w:t>
      </w:r>
      <w:r w:rsidR="00553A80">
        <w:t xml:space="preserve"> in the classroom, create a more loving and accepting environment conducive to growth and learning, and ultimately, help individuals to feel more confident, accepting, and at peace with themselves.</w:t>
      </w:r>
      <w:r w:rsidR="00D663DA">
        <w:t xml:space="preserve"> </w:t>
      </w:r>
      <w:r w:rsidR="00163DF6">
        <w:t>This research links to the standards of assessment, reflecting (on learning), and learners leading the learning.</w:t>
      </w:r>
    </w:p>
    <w:p w14:paraId="5BD166C4" w14:textId="2B8E30E1" w:rsidR="00764E7F" w:rsidRPr="00C11536" w:rsidRDefault="00764E7F">
      <w:r>
        <w:t xml:space="preserve">The school in which </w:t>
      </w:r>
      <w:r w:rsidR="00C11536">
        <w:t xml:space="preserve">the research was </w:t>
      </w:r>
      <w:r w:rsidR="00FA395F">
        <w:t>conducted</w:t>
      </w:r>
      <w:r>
        <w:t xml:space="preserve"> will remain undisclosed in keeping with BERA guidelines (2018</w:t>
      </w:r>
      <w:r w:rsidR="00C11536">
        <w:t>) and</w:t>
      </w:r>
      <w:r>
        <w:t xml:space="preserve"> will be referred to as school X. School X is a Welsh medium primary school situated in a town in South Wales. There are 482 pupils attending the school between the ages of </w:t>
      </w:r>
      <w:proofErr w:type="gramStart"/>
      <w:r>
        <w:t>3 and 11 year old</w:t>
      </w:r>
      <w:proofErr w:type="gramEnd"/>
      <w:r w:rsidR="00EF3C50">
        <w:t xml:space="preserve">, and 17 classes, including one mixed- age class as of the school’s Estyn report in 2018. </w:t>
      </w:r>
      <w:r w:rsidR="00C11536">
        <w:t xml:space="preserve">The year 4 class in which the research was conducted contains 21 pupils. The research question is as follows: </w:t>
      </w:r>
      <w:r w:rsidR="00C11536" w:rsidRPr="00C11536">
        <w:t>What are the effects of the assessment strategy “Mistake Interviews” on attitudes towards mistakes in a year 4 classroom?</w:t>
      </w:r>
    </w:p>
    <w:p w14:paraId="1225AE45" w14:textId="3CE7FC24" w:rsidR="003D7C29" w:rsidRDefault="003D7C29">
      <w:pPr>
        <w:rPr>
          <w:b/>
          <w:bCs/>
        </w:rPr>
      </w:pPr>
      <w:r>
        <w:rPr>
          <w:b/>
          <w:bCs/>
        </w:rPr>
        <w:t>Overview of Relevant Literature</w:t>
      </w:r>
    </w:p>
    <w:p w14:paraId="42381F67" w14:textId="1765B69C" w:rsidR="003D7C29" w:rsidRDefault="000171B5">
      <w:proofErr w:type="gramStart"/>
      <w:r>
        <w:t>Before choosing the focus of research, it</w:t>
      </w:r>
      <w:proofErr w:type="gramEnd"/>
      <w:r>
        <w:t xml:space="preserve"> was imperative that the current literature surrounding </w:t>
      </w:r>
      <w:r w:rsidR="009E6FB3">
        <w:t>attitudes towards mistakes</w:t>
      </w:r>
      <w:r>
        <w:t xml:space="preserve"> be observed. Below is a summary and synthesis of some of the most important literature on the subject, and an explanation of how this literature informed the research.</w:t>
      </w:r>
    </w:p>
    <w:p w14:paraId="5A50976E" w14:textId="6783A924" w:rsidR="000171B5" w:rsidRDefault="00C2189A" w:rsidP="000171B5">
      <w:r>
        <w:lastRenderedPageBreak/>
        <w:t xml:space="preserve">A study carried out by </w:t>
      </w:r>
      <w:r w:rsidR="000171B5" w:rsidRPr="00C2189A">
        <w:t xml:space="preserve">Leighton, </w:t>
      </w:r>
      <w:proofErr w:type="gramStart"/>
      <w:r w:rsidR="000171B5" w:rsidRPr="00C2189A">
        <w:t>Guo</w:t>
      </w:r>
      <w:proofErr w:type="gramEnd"/>
      <w:r w:rsidR="000171B5" w:rsidRPr="00C2189A">
        <w:t xml:space="preserve"> and Tang (2022)</w:t>
      </w:r>
      <w:r>
        <w:t xml:space="preserve"> </w:t>
      </w:r>
      <w:r w:rsidR="000171B5">
        <w:t>focused on the development of an instrument to measure preservice teachers’ attitudes towards academic errors. The importance of this research was primarily highlighted by three observations:</w:t>
      </w:r>
    </w:p>
    <w:p w14:paraId="60CE3BD0" w14:textId="77777777" w:rsidR="000171B5" w:rsidRDefault="000171B5" w:rsidP="000171B5">
      <w:pPr>
        <w:pStyle w:val="ListParagraph"/>
        <w:numPr>
          <w:ilvl w:val="0"/>
          <w:numId w:val="6"/>
        </w:numPr>
      </w:pPr>
      <w:r>
        <w:t xml:space="preserve">That teachers’ beliefs, </w:t>
      </w:r>
      <w:proofErr w:type="gramStart"/>
      <w:r>
        <w:t>emotions</w:t>
      </w:r>
      <w:proofErr w:type="gramEnd"/>
      <w:r>
        <w:t xml:space="preserve"> and attitudes about making mistakes (largely moulded by their personal experiences of making mistakes while growing up) have an effect on the learning environments that they create as teachers when they are adults. </w:t>
      </w:r>
      <w:r w:rsidRPr="00810C41">
        <w:t>(Dresel et al., 2013</w:t>
      </w:r>
      <w:r>
        <w:t xml:space="preserve">; </w:t>
      </w:r>
      <w:r w:rsidRPr="00810C41">
        <w:t>Shim et al.</w:t>
      </w:r>
      <w:r>
        <w:t>,</w:t>
      </w:r>
      <w:r w:rsidRPr="00810C41">
        <w:t xml:space="preserve"> 2013)</w:t>
      </w:r>
      <w:r>
        <w:t>.</w:t>
      </w:r>
    </w:p>
    <w:p w14:paraId="62D98722" w14:textId="7F43686B" w:rsidR="000171B5" w:rsidRDefault="000171B5" w:rsidP="000171B5">
      <w:pPr>
        <w:pStyle w:val="ListParagraph"/>
        <w:numPr>
          <w:ilvl w:val="0"/>
          <w:numId w:val="6"/>
        </w:numPr>
      </w:pPr>
      <w:r>
        <w:t>That most teacher training courses in the U.S., Canada, and Europe contain little psychological training about implicit and reflective practices in</w:t>
      </w:r>
      <w:r w:rsidR="00F10A94">
        <w:t xml:space="preserve"> teaching</w:t>
      </w:r>
      <w:r>
        <w:t xml:space="preserve">, for example, how our own personal experiences form biases within us which affect our educational practices. </w:t>
      </w:r>
      <w:r w:rsidRPr="00810C41">
        <w:t>(Leighton, 2019; Patrick et al., 2011; Wuttke &amp; Seifried, 2017).</w:t>
      </w:r>
    </w:p>
    <w:p w14:paraId="4E2204C2" w14:textId="77777777" w:rsidR="000171B5" w:rsidRDefault="000171B5" w:rsidP="000171B5">
      <w:pPr>
        <w:pStyle w:val="ListParagraph"/>
        <w:numPr>
          <w:ilvl w:val="0"/>
          <w:numId w:val="6"/>
        </w:numPr>
      </w:pPr>
      <w:r>
        <w:t>That, to the authors’ knowledge, no instrument has before been designed to measure attitudes towards academic errors.</w:t>
      </w:r>
    </w:p>
    <w:p w14:paraId="38CA0D4B" w14:textId="5B6012BD" w:rsidR="00C2189A" w:rsidRDefault="00C2189A" w:rsidP="00C2189A">
      <w:r>
        <w:t xml:space="preserve">This information informed the research as it indicated that there was limited research available </w:t>
      </w:r>
      <w:proofErr w:type="gramStart"/>
      <w:r>
        <w:t>on the subject of attitudes</w:t>
      </w:r>
      <w:proofErr w:type="gramEnd"/>
      <w:r>
        <w:t xml:space="preserve"> towards mistakes, although the subject evidently had an impact on learning environments created by teachers in schools.</w:t>
      </w:r>
    </w:p>
    <w:p w14:paraId="3ED400B5" w14:textId="0911D0B4" w:rsidR="00D16AB1" w:rsidRDefault="00D16AB1" w:rsidP="00D16AB1">
      <w:r>
        <w:t xml:space="preserve">To further this research, </w:t>
      </w:r>
      <w:r w:rsidR="00C2189A">
        <w:t xml:space="preserve">Yildiz, </w:t>
      </w:r>
      <w:proofErr w:type="spellStart"/>
      <w:r w:rsidR="00C2189A">
        <w:t>Bakırcı</w:t>
      </w:r>
      <w:proofErr w:type="spellEnd"/>
      <w:r w:rsidR="00C2189A">
        <w:t>, and Türkdoğan (2023)</w:t>
      </w:r>
      <w:r>
        <w:t xml:space="preserve"> conducted a study to measure science and maths teachers’ attitudes towards mistake-instant feedback, using an </w:t>
      </w:r>
      <w:r w:rsidRPr="00D16AB1">
        <w:t>(MST-AS)</w:t>
      </w:r>
      <w:r>
        <w:t xml:space="preserve"> instrument, </w:t>
      </w:r>
      <w:proofErr w:type="gramStart"/>
      <w:r>
        <w:t>similar to</w:t>
      </w:r>
      <w:proofErr w:type="gramEnd"/>
      <w:r>
        <w:t xml:space="preserve"> the instrument developed by </w:t>
      </w:r>
      <w:r w:rsidRPr="00C2189A">
        <w:t>Leighton, Guo and Tang (2022)</w:t>
      </w:r>
      <w:r>
        <w:t>. The (</w:t>
      </w:r>
      <w:r w:rsidRPr="00D16AB1">
        <w:t>MST-AS)</w:t>
      </w:r>
      <w:r>
        <w:t xml:space="preserve"> gathered quantitative data, and the results were presented as numbers in a table, although a short, written description of the results was also included. In this study</w:t>
      </w:r>
      <w:r w:rsidR="00930957">
        <w:t>,</w:t>
      </w:r>
      <w:r>
        <w:t xml:space="preserve"> attitude was measured as a scale from negative to positive, and the higher the score, the more positive the attitude.</w:t>
      </w:r>
    </w:p>
    <w:p w14:paraId="53268E93" w14:textId="06B030CE" w:rsidR="00D16AB1" w:rsidRDefault="00D16AB1" w:rsidP="00D16AB1">
      <w:r>
        <w:t xml:space="preserve">In contrast to this, </w:t>
      </w:r>
      <w:r w:rsidRPr="00D16AB1">
        <w:t>Tanaka</w:t>
      </w:r>
      <w:r>
        <w:t>’s</w:t>
      </w:r>
      <w:r w:rsidRPr="00D16AB1">
        <w:t xml:space="preserve"> (2021)</w:t>
      </w:r>
      <w:r>
        <w:t xml:space="preserve"> thesis</w:t>
      </w:r>
      <w:r w:rsidR="00630346">
        <w:t xml:space="preserve"> </w:t>
      </w:r>
      <w:r>
        <w:t>focuse</w:t>
      </w:r>
      <w:r w:rsidR="00930957">
        <w:t>d</w:t>
      </w:r>
      <w:r>
        <w:t xml:space="preserve"> on Finnish primary school teachers’ understanding of ambiguity, uncertainty, risk, and making mistakes. The researcher use</w:t>
      </w:r>
      <w:r w:rsidR="00930957">
        <w:t>d</w:t>
      </w:r>
      <w:r>
        <w:t xml:space="preserve"> thematic analysis to interpret 15 interviews with Finnish primary school teachers. The findings of this research were presented in the form of a main theme with sub-themes, and categories for each sub-theme. The main theme identified was teachers’ mindset to coping with ambiguity, uncertainty, and risk</w:t>
      </w:r>
      <w:r w:rsidR="00930957">
        <w:t>,</w:t>
      </w:r>
      <w:r>
        <w:t xml:space="preserve"> and the sub-themes identified were role, behaviour</w:t>
      </w:r>
      <w:r w:rsidR="00930957">
        <w:t>,</w:t>
      </w:r>
      <w:r>
        <w:t xml:space="preserve"> and attitude. Below is an adapted example of the overview of the findings, found on page 33 (Tanaka, 2021).</w:t>
      </w:r>
    </w:p>
    <w:p w14:paraId="09386CC1" w14:textId="77777777" w:rsidR="00D16AB1" w:rsidRDefault="00D16AB1" w:rsidP="00D16AB1">
      <w:r>
        <w:t>Teachers’ mindset to coping with ambiguity, uncertainty, and risk.</w:t>
      </w:r>
    </w:p>
    <w:p w14:paraId="54B0E94D" w14:textId="77777777" w:rsidR="00D16AB1" w:rsidRDefault="00D16AB1" w:rsidP="00D16AB1">
      <w:pPr>
        <w:pStyle w:val="ListParagraph"/>
        <w:numPr>
          <w:ilvl w:val="0"/>
          <w:numId w:val="7"/>
        </w:numPr>
      </w:pPr>
      <w:r>
        <w:t>Role</w:t>
      </w:r>
    </w:p>
    <w:p w14:paraId="21F309DD" w14:textId="77777777" w:rsidR="00D16AB1" w:rsidRDefault="00D16AB1" w:rsidP="00D16AB1">
      <w:pPr>
        <w:pStyle w:val="ListParagraph"/>
        <w:numPr>
          <w:ilvl w:val="1"/>
          <w:numId w:val="7"/>
        </w:numPr>
      </w:pPr>
      <w:r>
        <w:t>Guide</w:t>
      </w:r>
    </w:p>
    <w:p w14:paraId="03CE236E" w14:textId="77777777" w:rsidR="00D16AB1" w:rsidRDefault="00D16AB1" w:rsidP="00D16AB1">
      <w:pPr>
        <w:pStyle w:val="ListParagraph"/>
        <w:numPr>
          <w:ilvl w:val="1"/>
          <w:numId w:val="7"/>
        </w:numPr>
      </w:pPr>
      <w:r>
        <w:t>Trainer</w:t>
      </w:r>
    </w:p>
    <w:p w14:paraId="1631D2A9" w14:textId="77777777" w:rsidR="00D16AB1" w:rsidRDefault="00D16AB1" w:rsidP="00D16AB1">
      <w:pPr>
        <w:pStyle w:val="ListParagraph"/>
        <w:numPr>
          <w:ilvl w:val="1"/>
          <w:numId w:val="7"/>
        </w:numPr>
      </w:pPr>
      <w:r>
        <w:t>Carer</w:t>
      </w:r>
    </w:p>
    <w:p w14:paraId="106B4A81" w14:textId="77777777" w:rsidR="00D16AB1" w:rsidRDefault="00D16AB1" w:rsidP="00D16AB1">
      <w:pPr>
        <w:pStyle w:val="ListParagraph"/>
        <w:numPr>
          <w:ilvl w:val="0"/>
          <w:numId w:val="7"/>
        </w:numPr>
      </w:pPr>
      <w:r>
        <w:t>Behaviour</w:t>
      </w:r>
    </w:p>
    <w:p w14:paraId="7F15F7AC" w14:textId="77777777" w:rsidR="00D16AB1" w:rsidRDefault="00D16AB1" w:rsidP="00D16AB1">
      <w:pPr>
        <w:pStyle w:val="ListParagraph"/>
        <w:numPr>
          <w:ilvl w:val="1"/>
          <w:numId w:val="7"/>
        </w:numPr>
      </w:pPr>
      <w:r>
        <w:lastRenderedPageBreak/>
        <w:t>Learning by doing.</w:t>
      </w:r>
    </w:p>
    <w:p w14:paraId="08CB8643" w14:textId="77777777" w:rsidR="00D16AB1" w:rsidRDefault="00D16AB1" w:rsidP="00D16AB1">
      <w:pPr>
        <w:pStyle w:val="ListParagraph"/>
        <w:numPr>
          <w:ilvl w:val="1"/>
          <w:numId w:val="7"/>
        </w:numPr>
      </w:pPr>
      <w:r>
        <w:t>Be a continuous learner.</w:t>
      </w:r>
    </w:p>
    <w:p w14:paraId="02EA66B9" w14:textId="77777777" w:rsidR="00D16AB1" w:rsidRDefault="00D16AB1" w:rsidP="00D16AB1">
      <w:pPr>
        <w:pStyle w:val="ListParagraph"/>
        <w:numPr>
          <w:ilvl w:val="1"/>
          <w:numId w:val="7"/>
        </w:numPr>
      </w:pPr>
      <w:r>
        <w:t>Accept mistakes.</w:t>
      </w:r>
    </w:p>
    <w:p w14:paraId="75738B64" w14:textId="77777777" w:rsidR="00D16AB1" w:rsidRDefault="00D16AB1" w:rsidP="00D16AB1">
      <w:pPr>
        <w:pStyle w:val="ListParagraph"/>
        <w:numPr>
          <w:ilvl w:val="1"/>
          <w:numId w:val="7"/>
        </w:numPr>
      </w:pPr>
      <w:r>
        <w:t>Respect students’ experience and knowledge.</w:t>
      </w:r>
    </w:p>
    <w:p w14:paraId="6CB76068" w14:textId="77777777" w:rsidR="00D16AB1" w:rsidRDefault="00D16AB1" w:rsidP="00D16AB1">
      <w:pPr>
        <w:pStyle w:val="ListParagraph"/>
        <w:numPr>
          <w:ilvl w:val="0"/>
          <w:numId w:val="7"/>
        </w:numPr>
      </w:pPr>
      <w:r>
        <w:t>Attitude</w:t>
      </w:r>
    </w:p>
    <w:p w14:paraId="51FA67E5" w14:textId="77777777" w:rsidR="00D16AB1" w:rsidRDefault="00D16AB1" w:rsidP="00D16AB1">
      <w:pPr>
        <w:pStyle w:val="ListParagraph"/>
        <w:numPr>
          <w:ilvl w:val="1"/>
          <w:numId w:val="7"/>
        </w:numPr>
      </w:pPr>
      <w:r>
        <w:t>There are many options, different answers, not right or wrong.</w:t>
      </w:r>
    </w:p>
    <w:p w14:paraId="0E70AE9C" w14:textId="77777777" w:rsidR="00D16AB1" w:rsidRDefault="00D16AB1" w:rsidP="00D16AB1">
      <w:pPr>
        <w:pStyle w:val="ListParagraph"/>
        <w:numPr>
          <w:ilvl w:val="1"/>
          <w:numId w:val="7"/>
        </w:numPr>
      </w:pPr>
      <w:r>
        <w:t>People are different, having their own ways.</w:t>
      </w:r>
    </w:p>
    <w:p w14:paraId="13E7582A" w14:textId="77777777" w:rsidR="00D16AB1" w:rsidRDefault="00D16AB1" w:rsidP="00D16AB1">
      <w:pPr>
        <w:pStyle w:val="ListParagraph"/>
        <w:numPr>
          <w:ilvl w:val="1"/>
          <w:numId w:val="7"/>
        </w:numPr>
      </w:pPr>
      <w:r>
        <w:t>Teacher’s job is coping with ambiguity, uncertainty, and risk.</w:t>
      </w:r>
    </w:p>
    <w:p w14:paraId="2D2DED4B" w14:textId="77777777" w:rsidR="00D16AB1" w:rsidRDefault="00D16AB1" w:rsidP="00D16AB1">
      <w:pPr>
        <w:pStyle w:val="ListParagraph"/>
        <w:numPr>
          <w:ilvl w:val="1"/>
          <w:numId w:val="7"/>
        </w:numPr>
      </w:pPr>
      <w:r>
        <w:t>Be human.</w:t>
      </w:r>
    </w:p>
    <w:p w14:paraId="55F52C43" w14:textId="77777777" w:rsidR="00D16AB1" w:rsidRDefault="00D16AB1" w:rsidP="00D16AB1">
      <w:pPr>
        <w:pStyle w:val="ListParagraph"/>
        <w:numPr>
          <w:ilvl w:val="1"/>
          <w:numId w:val="7"/>
        </w:numPr>
      </w:pPr>
      <w:r>
        <w:t>Be flexible.</w:t>
      </w:r>
    </w:p>
    <w:p w14:paraId="39AFF443" w14:textId="77777777" w:rsidR="00D16AB1" w:rsidRDefault="00D16AB1" w:rsidP="00D16AB1">
      <w:pPr>
        <w:pStyle w:val="ListParagraph"/>
        <w:numPr>
          <w:ilvl w:val="1"/>
          <w:numId w:val="7"/>
        </w:numPr>
      </w:pPr>
      <w:r>
        <w:t>Be present.</w:t>
      </w:r>
    </w:p>
    <w:p w14:paraId="14571B89" w14:textId="7DFD7BFF" w:rsidR="00D16AB1" w:rsidRDefault="00630346" w:rsidP="00D16AB1">
      <w:r>
        <w:t xml:space="preserve">Tanaka’s (2021) results could be considered more helpful than the qualitative data of </w:t>
      </w:r>
      <w:r w:rsidRPr="00630346">
        <w:t xml:space="preserve">Yildiz, </w:t>
      </w:r>
      <w:proofErr w:type="spellStart"/>
      <w:r w:rsidRPr="00630346">
        <w:t>Bakırcı</w:t>
      </w:r>
      <w:proofErr w:type="spellEnd"/>
      <w:r w:rsidRPr="00630346">
        <w:t>, and Türkdoğan (2023)</w:t>
      </w:r>
      <w:r>
        <w:t xml:space="preserve">, when trying to understand nuanced feelings and attitudes, as Tanaka’s (2021) findings explore many different and interconnected attitudes, whereas </w:t>
      </w:r>
      <w:r w:rsidRPr="00630346">
        <w:t xml:space="preserve">Yildiz, </w:t>
      </w:r>
      <w:proofErr w:type="spellStart"/>
      <w:r w:rsidRPr="00630346">
        <w:t>Bakırcı</w:t>
      </w:r>
      <w:proofErr w:type="spellEnd"/>
      <w:r w:rsidRPr="00630346">
        <w:t>, and Türkdoğan (2023</w:t>
      </w:r>
      <w:r>
        <w:t>) only measure attitude as high or low.</w:t>
      </w:r>
    </w:p>
    <w:p w14:paraId="3238C699" w14:textId="4DC70E24" w:rsidR="000171B5" w:rsidRDefault="00630346" w:rsidP="00630346">
      <w:r>
        <w:t>A study by Tulis (2013) explored teachers’ responses to errors made by students in the classroom, using direct and videotaped systematic observation. Responses were categorised into maladaptive and adaptive responses, with examples of maladaptive responses being ignoring the mistake, criticising the mistake, or redirecting the mistake to another student, and examples of adaptive responses being inviting a discussion with the whole class, giving the student a chance to think/correct themselves, or emphasizing the learning potential of the mistake. The findings noted that adaptive responses were observed more frequently that maladaptive ones. However, responding by emphasising the learning potential of the mistake was rarely observed.</w:t>
      </w:r>
    </w:p>
    <w:p w14:paraId="58A93313" w14:textId="77C8CB53" w:rsidR="00630346" w:rsidRDefault="00630346" w:rsidP="00630346">
      <w:proofErr w:type="spellStart"/>
      <w:r>
        <w:t>Soncini</w:t>
      </w:r>
      <w:proofErr w:type="spellEnd"/>
      <w:r>
        <w:t>, Matteucci, and Butera (2021) explore</w:t>
      </w:r>
      <w:r w:rsidR="00CA09E6">
        <w:t>d</w:t>
      </w:r>
      <w:r>
        <w:t xml:space="preserve"> the possibility to create a more positive classroom environment by changing teachers’ error handling strategies. The research was carried out through a fictitious lesson in which the experimenter acted as a teacher in 108 primary schools. The experimenter used positive error handling strategies and neutral error handling strategies as a control. The classroom environment as perceived by the students was then analysed. Interestingly, the script of positive error handling strategies was based on Tulis’s (2013) findings of adaptive and maladaptive responses. The results showed that positive error handling strategies contributed to creating a more positive classroom atmosphere.</w:t>
      </w:r>
    </w:p>
    <w:p w14:paraId="1158F94D" w14:textId="3E283A5E" w:rsidR="00630346" w:rsidRPr="003D7C29" w:rsidRDefault="00630346" w:rsidP="00630346">
      <w:r>
        <w:t>Both Tulis</w:t>
      </w:r>
      <w:r w:rsidR="001754F7">
        <w:t>’</w:t>
      </w:r>
      <w:r>
        <w:t xml:space="preserve"> </w:t>
      </w:r>
      <w:r w:rsidR="001754F7">
        <w:t xml:space="preserve">(2013) </w:t>
      </w:r>
      <w:r>
        <w:t xml:space="preserve">and </w:t>
      </w:r>
      <w:proofErr w:type="spellStart"/>
      <w:r w:rsidR="001754F7">
        <w:t>Soncini</w:t>
      </w:r>
      <w:proofErr w:type="spellEnd"/>
      <w:r w:rsidR="001754F7">
        <w:t xml:space="preserve">, Matteucci, and Butera’s (2021) findings were incredibly useful in indicating a direction for research. Tulis’ (2013) categorisation of adaptive and maladaptive responses informed what positive responses could be incorporated in the Mistake Interviews assessment strategy. </w:t>
      </w:r>
      <w:proofErr w:type="spellStart"/>
      <w:r w:rsidR="001754F7">
        <w:t>Soncini</w:t>
      </w:r>
      <w:proofErr w:type="spellEnd"/>
      <w:r w:rsidR="001754F7">
        <w:t xml:space="preserve">, Matteucci, and Butera’s (2021) findings that positive responses to mistakes improve the classroom environment </w:t>
      </w:r>
      <w:r w:rsidR="001754F7">
        <w:lastRenderedPageBreak/>
        <w:t>reinforced my belief that an assessment strategy focussing on positive responses to mistakes would be beneficial for a classroom.</w:t>
      </w:r>
    </w:p>
    <w:p w14:paraId="1216FE63" w14:textId="530B811E" w:rsidR="00FC5A61" w:rsidRDefault="00FC5A61">
      <w:pPr>
        <w:rPr>
          <w:b/>
          <w:bCs/>
        </w:rPr>
      </w:pPr>
      <w:r>
        <w:rPr>
          <w:b/>
          <w:bCs/>
        </w:rPr>
        <w:t>Explanation of Case Study</w:t>
      </w:r>
    </w:p>
    <w:p w14:paraId="23FBD0F7" w14:textId="4D4BE63F" w:rsidR="005E0131" w:rsidRDefault="005E0131" w:rsidP="00ED2187">
      <w:r>
        <w:t xml:space="preserve">There are many definitions of a case study to be found, </w:t>
      </w:r>
      <w:r w:rsidR="00ED2187">
        <w:t xml:space="preserve">including ‘the study of an instance in action’ (Adelman </w:t>
      </w:r>
      <w:r w:rsidR="00ED2187" w:rsidRPr="002C26B1">
        <w:rPr>
          <w:i/>
          <w:iCs/>
        </w:rPr>
        <w:t>et al</w:t>
      </w:r>
      <w:r w:rsidR="00ED2187">
        <w:t>., 1980) and a ‘detailed examination of a small sample’ (Tight, 2010).</w:t>
      </w:r>
      <w:r w:rsidR="002C26B1">
        <w:t xml:space="preserve"> However, most definitions seem to describe a form of research centred around a concrete event, subject, person, or group of people. This is what is meant by Adelman </w:t>
      </w:r>
      <w:r w:rsidR="002C26B1" w:rsidRPr="002C26B1">
        <w:rPr>
          <w:i/>
          <w:iCs/>
        </w:rPr>
        <w:t>et al</w:t>
      </w:r>
      <w:r w:rsidR="002C26B1">
        <w:rPr>
          <w:i/>
          <w:iCs/>
        </w:rPr>
        <w:t>.</w:t>
      </w:r>
      <w:r w:rsidR="002C26B1">
        <w:t xml:space="preserve"> (1980) by ‘instance in action’ and Tight (2010) by a ‘small sample.’ Case study research is informed by this event or ‘instance,’ although other literature may be drawn upon.</w:t>
      </w:r>
    </w:p>
    <w:p w14:paraId="13CB92F2" w14:textId="71EFB269" w:rsidR="002C26B1" w:rsidRDefault="00D02876" w:rsidP="00ED2187">
      <w:r w:rsidRPr="00D02876">
        <w:t>Bendall</w:t>
      </w:r>
      <w:r w:rsidR="002C26B1" w:rsidRPr="00D02876">
        <w:t xml:space="preserve"> (2024)</w:t>
      </w:r>
      <w:r w:rsidR="002C26B1">
        <w:t xml:space="preserve"> describes a case study as ‘a rich picture with boundaries</w:t>
      </w:r>
      <w:r>
        <w:t>.</w:t>
      </w:r>
      <w:r w:rsidR="00F61898">
        <w:t>’ What is meant by this is that a case study offers the researcher with an opportunity to dive deeply into a research problem and gain a rich and detailed understanding of the problem, whilst also providing boundaries for the research. A case study points a clear direction for the research to take, and while the research may cover deep and complex issues, it must remain within the bounds of the specific event or instance from which it is derived.</w:t>
      </w:r>
    </w:p>
    <w:p w14:paraId="0E72E342" w14:textId="79A02C4B" w:rsidR="005C4ADF" w:rsidRDefault="00F61898" w:rsidP="00ED2187">
      <w:r>
        <w:t xml:space="preserve">Thomas (2021, cited by Bendall, 2024) outlines two parts of a case study: </w:t>
      </w:r>
      <w:r w:rsidR="006E5A26">
        <w:t xml:space="preserve">the subject and the object. The object refers to the topic of interest for the researcher, the specific area that the researcher intends to research. For example, the object of this case study is attitudes towards mistakes. The subject refers to the person/people, place, or event </w:t>
      </w:r>
      <w:r w:rsidR="009A0ECB">
        <w:t xml:space="preserve">that </w:t>
      </w:r>
      <w:r w:rsidR="006E5A26">
        <w:t xml:space="preserve">the researcher intends to study </w:t>
      </w:r>
      <w:proofErr w:type="gramStart"/>
      <w:r w:rsidR="006E5A26">
        <w:t>in order to</w:t>
      </w:r>
      <w:proofErr w:type="gramEnd"/>
      <w:r w:rsidR="006E5A26">
        <w:t xml:space="preserve"> gain an understanding of the object. For example, the subject of this case study is students in a year 4 classroom. </w:t>
      </w:r>
      <w:r w:rsidR="005C4ADF">
        <w:t>Thomas (2021) uses the analogy of a lens to describe these two parts of a case study. The researcher or the ‘enquirer’ views the topic of interest o</w:t>
      </w:r>
      <w:r w:rsidR="001E10BD">
        <w:t xml:space="preserve">r </w:t>
      </w:r>
      <w:r w:rsidR="005C4ADF">
        <w:t xml:space="preserve">the ‘object’ through the lens of the person, place, event, or ‘subject’. In other words, one cannot view the concept of attitudes towards mistakes in its pure, abstract form. </w:t>
      </w:r>
      <w:r w:rsidR="001E10BD">
        <w:t>It</w:t>
      </w:r>
      <w:r w:rsidR="005C4ADF">
        <w:t xml:space="preserve"> must be viewed through the lens of real-life, material people, places, or happenings.</w:t>
      </w:r>
    </w:p>
    <w:p w14:paraId="0061411E" w14:textId="28A620DA" w:rsidR="00EF65B0" w:rsidRDefault="00EF65B0" w:rsidP="00EF65B0">
      <w:r w:rsidRPr="00EF65B0">
        <w:t xml:space="preserve">According to Bendall (2024), there are three types of case study: Evaluative, explanatory, and exploratory. </w:t>
      </w:r>
      <w:r>
        <w:t xml:space="preserve">An evaluative case study aims to determine how </w:t>
      </w:r>
      <w:r w:rsidR="00156657">
        <w:t xml:space="preserve">well or how badly a topic of interest is working or whether it is working as expected, in other words, to evaluate. An explanatory case study seeks to understand a topic of interest, for example, by unravelling and studying connections between different areas of the topic. An exploratory case study has </w:t>
      </w:r>
      <w:proofErr w:type="gramStart"/>
      <w:r w:rsidR="00156657">
        <w:t>less</w:t>
      </w:r>
      <w:proofErr w:type="gramEnd"/>
      <w:r w:rsidR="00156657">
        <w:t xml:space="preserve"> clear-cut boundaries than an evaluative or explanatory case study. As the name suggests, it seeks to explore a topic of interest. The exact details of the research will likely not be mapped out at the beginning of </w:t>
      </w:r>
      <w:proofErr w:type="gramStart"/>
      <w:r w:rsidR="00156657">
        <w:t>research, but</w:t>
      </w:r>
      <w:proofErr w:type="gramEnd"/>
      <w:r w:rsidR="00156657">
        <w:t xml:space="preserve"> will take shape during and as a result of the research.</w:t>
      </w:r>
    </w:p>
    <w:p w14:paraId="0F59091E" w14:textId="45D9EBC0" w:rsidR="00ED2187" w:rsidRPr="002C4F05" w:rsidRDefault="00EF65B0" w:rsidP="00ED2187">
      <w:r w:rsidRPr="00EF65B0">
        <w:t>For this project, the methodology used is an exploratory case study.</w:t>
      </w:r>
      <w:r w:rsidR="00CF2119">
        <w:t xml:space="preserve"> As stated by Yin (2014, cited by Bendall, 2024), exploratory case studies can be useful for gaining an in-</w:t>
      </w:r>
      <w:r w:rsidR="00CF2119">
        <w:lastRenderedPageBreak/>
        <w:t xml:space="preserve">depth understanding of a social phenomenon which is too complex to be understood using a survey or an experiment. However, a disadvantage of using an exploratory case study is that, ideally, the shape of the research would be determined by extensive background research and a thorough understanding of the current literature on the topic. Unfortunately, time constraints </w:t>
      </w:r>
      <w:r w:rsidR="002C4F05">
        <w:t>demand that background research and understanding of literature on the topic is only on a surface level.</w:t>
      </w:r>
    </w:p>
    <w:p w14:paraId="60219CB9" w14:textId="53351555" w:rsidR="00C11D57" w:rsidRDefault="00C11D57">
      <w:pPr>
        <w:rPr>
          <w:b/>
          <w:bCs/>
        </w:rPr>
      </w:pPr>
      <w:r>
        <w:rPr>
          <w:b/>
          <w:bCs/>
        </w:rPr>
        <w:t>Research Methods</w:t>
      </w:r>
    </w:p>
    <w:p w14:paraId="76B56013" w14:textId="1A774DE9" w:rsidR="002E566E" w:rsidRDefault="002E566E">
      <w:r>
        <w:t>Two research methods were used to obtain data concerning attitudes on making mistakes in a year 4 classroom: a questionnaire</w:t>
      </w:r>
      <w:r w:rsidR="00F22484">
        <w:t xml:space="preserve"> (see appendix 1)</w:t>
      </w:r>
      <w:r>
        <w:t xml:space="preserve"> and an interview</w:t>
      </w:r>
      <w:r w:rsidR="00F22484">
        <w:t xml:space="preserve"> (see appendix 2)</w:t>
      </w:r>
      <w:r>
        <w:t xml:space="preserve">. The same questionnaire was given to the participants before and after the implementation of the assessment strategy “Mistake Interviews,” </w:t>
      </w:r>
      <w:proofErr w:type="gramStart"/>
      <w:r>
        <w:t>in order to</w:t>
      </w:r>
      <w:proofErr w:type="gramEnd"/>
      <w:r>
        <w:t xml:space="preserve"> gage whether and how attitudes towards making mistakes had changed as a result of implementing the strategy. An interview was also conducted with a sample of the participants, asking their opinion on the strategy.</w:t>
      </w:r>
    </w:p>
    <w:p w14:paraId="7E8613BF" w14:textId="77777777" w:rsidR="006A07DE" w:rsidRDefault="00AE4B42">
      <w:r>
        <w:t xml:space="preserve">Youngman (1982) identified </w:t>
      </w:r>
      <w:r w:rsidR="004E6957">
        <w:t xml:space="preserve">7 question types to be used in questionnaires: verbal/open, list, category, ranking, quantity, grid, and scale. </w:t>
      </w:r>
      <w:r w:rsidR="009E5A61">
        <w:t xml:space="preserve">The objective of the questionnaire </w:t>
      </w:r>
      <w:r w:rsidR="002E566E">
        <w:t>was</w:t>
      </w:r>
      <w:r w:rsidR="009E5A61">
        <w:t xml:space="preserve"> to gage the attitudes of year 4 pupils towards mistakes before and after the implementation of "Mistake Interviews.” Therefore, verbal/open questions or scaling questions w</w:t>
      </w:r>
      <w:r w:rsidR="002E566E">
        <w:t xml:space="preserve">ere </w:t>
      </w:r>
      <w:r w:rsidR="009E5A61">
        <w:t xml:space="preserve">most appropriate. Verbal/open questions provide greater freedom of expression, as there are no pre-set answers to choose from. However, findings from questionnaires with verbal/open questions can be more difficult to analyse, as </w:t>
      </w:r>
      <w:r w:rsidR="002632D1">
        <w:t xml:space="preserve">the data is qualitative and more subjective. Verbal/open questions are also more likely to be affected by biases, as there are many possible conclusions to be drawn from the qualitative data. Scaling questions are easier to analyse as the data obtained is quantitative. Using scales such as the Likert scale in questionnaires is an effective way of obtaining quantitative data, while still providing the participant with </w:t>
      </w:r>
      <w:r w:rsidR="00E30BF7">
        <w:t>more freedom of expression than a dichotomous question or a multiple</w:t>
      </w:r>
      <w:r w:rsidR="00D00796">
        <w:t>-</w:t>
      </w:r>
      <w:r w:rsidR="00E30BF7">
        <w:t xml:space="preserve">choice question. </w:t>
      </w:r>
      <w:r w:rsidR="00D00796">
        <w:t xml:space="preserve">For this reason, a Likert scale </w:t>
      </w:r>
      <w:r w:rsidR="002E566E">
        <w:t>was</w:t>
      </w:r>
      <w:r w:rsidR="00D00796">
        <w:t xml:space="preserve"> used in </w:t>
      </w:r>
      <w:r w:rsidR="002E566E">
        <w:t>the</w:t>
      </w:r>
      <w:r w:rsidR="00D00796">
        <w:t xml:space="preserve"> questionnaires for the pupils in the class to fill.</w:t>
      </w:r>
    </w:p>
    <w:p w14:paraId="06542BFF" w14:textId="2FF253D0" w:rsidR="00FA395F" w:rsidRDefault="0025069E">
      <w:r>
        <w:t xml:space="preserve">The Likert scale used five faces wearing varying expressions from satisfied to dissatisfied. The faces were also coloured in a traffic light system, with the green face being the most satisfied, and the red face being the least satisfied. These very clear colour coordinated visual aids were chosen purposefully for the questionnaire, as the participants taking the questionnaire were year 4 pupils in a primary school. The age and level of understanding of the participants was important to </w:t>
      </w:r>
      <w:proofErr w:type="gramStart"/>
      <w:r>
        <w:t>take into account</w:t>
      </w:r>
      <w:proofErr w:type="gramEnd"/>
      <w:r>
        <w:t>, as a complex questionnaire with questions and answers the participants could not understand would have produced less accurate results.</w:t>
      </w:r>
    </w:p>
    <w:p w14:paraId="39B08126" w14:textId="1AA731C5" w:rsidR="006A07DE" w:rsidRDefault="00D00796">
      <w:r>
        <w:t xml:space="preserve">Bell and Waters (2014) highlight the importance of wording questions, including </w:t>
      </w:r>
      <w:r w:rsidRPr="00D00796">
        <w:t>ambigu</w:t>
      </w:r>
      <w:r>
        <w:t xml:space="preserve">ous questions, leading questions, double questions, </w:t>
      </w:r>
      <w:r w:rsidRPr="00D00796">
        <w:t>presuming questions</w:t>
      </w:r>
      <w:r>
        <w:t xml:space="preserve"> and</w:t>
      </w:r>
      <w:r w:rsidRPr="00D00796">
        <w:t xml:space="preserve"> </w:t>
      </w:r>
      <w:r>
        <w:lastRenderedPageBreak/>
        <w:t>offensive questions.</w:t>
      </w:r>
      <w:r w:rsidR="002D02E9">
        <w:t xml:space="preserve"> </w:t>
      </w:r>
      <w:proofErr w:type="gramStart"/>
      <w:r w:rsidR="002D02E9">
        <w:t>In order to</w:t>
      </w:r>
      <w:proofErr w:type="gramEnd"/>
      <w:r w:rsidR="002D02E9">
        <w:t xml:space="preserve"> obtain the clearest and least biased results possible, it w</w:t>
      </w:r>
      <w:r w:rsidR="0025069E">
        <w:t>as</w:t>
      </w:r>
      <w:r w:rsidR="002D02E9">
        <w:t xml:space="preserve"> important to write questions with these considerations in mind. </w:t>
      </w:r>
      <w:r w:rsidR="00FC230A">
        <w:t xml:space="preserve">The questions were also </w:t>
      </w:r>
      <w:r w:rsidR="0025069E">
        <w:t>word</w:t>
      </w:r>
      <w:r w:rsidR="00FC230A">
        <w:t>ed</w:t>
      </w:r>
      <w:r w:rsidR="0025069E">
        <w:t xml:space="preserve"> using simple sentence structures and vocabulary, to ensure that the participants could understand the question. To avoid leading, ambiguous</w:t>
      </w:r>
      <w:r w:rsidR="006A07DE">
        <w:t xml:space="preserve">, double, </w:t>
      </w:r>
      <w:proofErr w:type="gramStart"/>
      <w:r w:rsidR="006A07DE">
        <w:t>presuming</w:t>
      </w:r>
      <w:proofErr w:type="gramEnd"/>
      <w:r w:rsidR="006A07DE">
        <w:t xml:space="preserve"> and offensive questions</w:t>
      </w:r>
      <w:r w:rsidR="00FC230A">
        <w:t>, the questions were structured in two parts</w:t>
      </w:r>
      <w:r w:rsidR="006A07DE">
        <w:t xml:space="preserve">. The first part of the question asked “Sut </w:t>
      </w:r>
      <w:proofErr w:type="spellStart"/>
      <w:r w:rsidR="006A07DE">
        <w:t>wyt</w:t>
      </w:r>
      <w:proofErr w:type="spellEnd"/>
      <w:r w:rsidR="006A07DE">
        <w:t xml:space="preserve"> </w:t>
      </w:r>
      <w:proofErr w:type="spellStart"/>
      <w:r w:rsidR="006A07DE">
        <w:t>ti’n</w:t>
      </w:r>
      <w:proofErr w:type="spellEnd"/>
      <w:r w:rsidR="006A07DE">
        <w:t xml:space="preserve"> </w:t>
      </w:r>
      <w:proofErr w:type="spellStart"/>
      <w:r w:rsidR="006A07DE">
        <w:t>teimlo</w:t>
      </w:r>
      <w:proofErr w:type="spellEnd"/>
      <w:r w:rsidR="006A07DE">
        <w:t xml:space="preserve"> pan…?” (how do you feel when…?) The second part of the question gave a scenario to do with making mistakes. For example, how do you feel when somebody tells you </w:t>
      </w:r>
      <w:r w:rsidR="003514B9">
        <w:t xml:space="preserve">that </w:t>
      </w:r>
      <w:r w:rsidR="006A07DE">
        <w:t>you have made a mistake? How do you feel when you talk about your mistakes?</w:t>
      </w:r>
    </w:p>
    <w:p w14:paraId="3A9B088F" w14:textId="19A328B1" w:rsidR="00794F95" w:rsidRDefault="001901A6">
      <w:r w:rsidRPr="0038026A">
        <w:t xml:space="preserve">Beck and Manuel (2008, cited by Wilson, 2012, p. 97) provide practical guidance on conducting interviews as a research method, such as identifying the participants and ensuring that schedules between the </w:t>
      </w:r>
      <w:r w:rsidR="00794F95" w:rsidRPr="0038026A">
        <w:t>researcher and the participants align, finding a venue for the interview, checking recording equipment and following ethical protocols.</w:t>
      </w:r>
      <w:r w:rsidR="0038026A" w:rsidRPr="0038026A">
        <w:t xml:space="preserve"> These observations are helpful but limited in terms of understanding how to conduct an interview as a research method. </w:t>
      </w:r>
      <w:r w:rsidR="003514B9" w:rsidRPr="0038026A">
        <w:t xml:space="preserve">Both Dilley (2000) and Kvale and Brinkmann (2009) </w:t>
      </w:r>
      <w:r w:rsidR="0038026A" w:rsidRPr="0038026A">
        <w:t xml:space="preserve">present a different </w:t>
      </w:r>
      <w:proofErr w:type="gramStart"/>
      <w:r w:rsidR="0038026A" w:rsidRPr="0038026A">
        <w:t>view, and</w:t>
      </w:r>
      <w:proofErr w:type="gramEnd"/>
      <w:r w:rsidR="0038026A" w:rsidRPr="0038026A">
        <w:t xml:space="preserve"> </w:t>
      </w:r>
      <w:r w:rsidR="00114BCC" w:rsidRPr="0038026A">
        <w:t xml:space="preserve">speak of interviews as a craft or an art form to be studied, practiced, and mastered. They </w:t>
      </w:r>
      <w:r w:rsidR="003514B9" w:rsidRPr="0038026A">
        <w:t xml:space="preserve">highlight the importance of gaining experience in the art of interviewing, by </w:t>
      </w:r>
      <w:r w:rsidR="00114BCC" w:rsidRPr="0038026A">
        <w:t>studying, observing, transcribing, and analysing interviews. By doing</w:t>
      </w:r>
      <w:r w:rsidR="0038026A" w:rsidRPr="0038026A">
        <w:t xml:space="preserve"> </w:t>
      </w:r>
      <w:r w:rsidR="00114BCC" w:rsidRPr="0038026A">
        <w:t>this, the researcher develops an intuition for understanding the non-verbal</w:t>
      </w:r>
      <w:r w:rsidR="0038026A" w:rsidRPr="0038026A">
        <w:t xml:space="preserve"> </w:t>
      </w:r>
      <w:r w:rsidR="00114BCC" w:rsidRPr="0038026A">
        <w:t>communication in an interview, such as pauses, hesitations, or eye contact.</w:t>
      </w:r>
    </w:p>
    <w:p w14:paraId="3A2018A6" w14:textId="0C1E0807" w:rsidR="0038026A" w:rsidRDefault="0038026A">
      <w:r>
        <w:t xml:space="preserve">Dilley (2000) and Kvale and Brinkmann (2009) </w:t>
      </w:r>
      <w:r w:rsidR="009B4684">
        <w:t xml:space="preserve">present a valid argument for deeply understanding the craft of interviewing </w:t>
      </w:r>
      <w:proofErr w:type="gramStart"/>
      <w:r w:rsidR="009B4684">
        <w:t>in order to</w:t>
      </w:r>
      <w:proofErr w:type="gramEnd"/>
      <w:r w:rsidR="009B4684">
        <w:t xml:space="preserve"> gain the most accurate results. However, time limitations on the research meant that this was not possible. Instead, Bendall (2024) proved to be an invaluable resource for planning an interview as a research method.</w:t>
      </w:r>
    </w:p>
    <w:p w14:paraId="4DE70D4E" w14:textId="65D012A4" w:rsidR="00295CB0" w:rsidRDefault="00D81BE4">
      <w:r>
        <w:t xml:space="preserve">According to Bendall (2024), </w:t>
      </w:r>
      <w:r w:rsidR="00295CB0">
        <w:t>unstructured interviews allow for more freedom of expression among the participants and therefore can produce more accurate results. However, data from unstructured interviews can also be more difficult to analyse. To compromise between these strengths and limitations, the interview was</w:t>
      </w:r>
      <w:r w:rsidR="00F22484">
        <w:t xml:space="preserve"> decided to be</w:t>
      </w:r>
      <w:r w:rsidR="00295CB0">
        <w:t xml:space="preserve"> semi-structured. The strengths and limitations of unstructured interviews can also be applied to interviews in general. Interviews provide the participants with more freedom of expression than a questionnaire. However, the data acquired from an interview is much more nuanced, and difficult to interpret. </w:t>
      </w:r>
      <w:r w:rsidR="00CD4FAE">
        <w:t>Additionally, p</w:t>
      </w:r>
      <w:r w:rsidR="00CD4FAE" w:rsidRPr="00CD4FAE">
        <w:t>articipants may not give accurate answers</w:t>
      </w:r>
      <w:r w:rsidR="00F945B1">
        <w:t xml:space="preserve"> as</w:t>
      </w:r>
      <w:r w:rsidR="00CD4FAE" w:rsidRPr="00CD4FAE">
        <w:t xml:space="preserve"> </w:t>
      </w:r>
      <w:r w:rsidR="00F945B1">
        <w:t>t</w:t>
      </w:r>
      <w:r w:rsidR="00CD4FAE">
        <w:t>hey m</w:t>
      </w:r>
      <w:r w:rsidR="00CD4FAE" w:rsidRPr="00CD4FAE">
        <w:t>ay wish to please the interviewer</w:t>
      </w:r>
      <w:r w:rsidR="00F945B1">
        <w:t xml:space="preserve"> </w:t>
      </w:r>
      <w:r w:rsidR="00CD4FAE">
        <w:t xml:space="preserve">and </w:t>
      </w:r>
      <w:r w:rsidR="00CD4FAE" w:rsidRPr="00CD4FAE">
        <w:t>say what they think the interviewer wants to hear.</w:t>
      </w:r>
      <w:r w:rsidR="00F945B1">
        <w:t xml:space="preserve"> </w:t>
      </w:r>
      <w:r w:rsidR="00CD4FAE" w:rsidRPr="00CD4FAE">
        <w:t>Participants may</w:t>
      </w:r>
      <w:r w:rsidR="00CD4FAE">
        <w:t xml:space="preserve"> also</w:t>
      </w:r>
      <w:r w:rsidR="00CD4FAE" w:rsidRPr="00CD4FAE">
        <w:t xml:space="preserve"> be afraid to assert themselves in front of a figure of authority</w:t>
      </w:r>
      <w:r w:rsidR="00CD4FAE">
        <w:t xml:space="preserve"> (</w:t>
      </w:r>
      <w:r w:rsidR="00CD4FAE" w:rsidRPr="00CD4FAE">
        <w:t>Cohen, Manion &amp; Morrison, 2018</w:t>
      </w:r>
      <w:r w:rsidR="009668D2">
        <w:t>, cited by Bendall, 2024</w:t>
      </w:r>
      <w:r w:rsidR="00CD4FAE">
        <w:t>)</w:t>
      </w:r>
      <w:r w:rsidR="009668D2">
        <w:t>.</w:t>
      </w:r>
    </w:p>
    <w:p w14:paraId="3B5AA29A" w14:textId="63DC151E" w:rsidR="009668D2" w:rsidRDefault="002775C7">
      <w:r>
        <w:t xml:space="preserve">One way to mitigate these limitations is through group interviews. Participants may not feel so intimidated by an authority figure when part of a group. However, as Bendall (2024) states, it is important to remember that participants may behave differently in </w:t>
      </w:r>
      <w:r>
        <w:lastRenderedPageBreak/>
        <w:t xml:space="preserve">groups. For example, participants may succumb to peer-pressure, and agree with other group members for fear of seeming different. Despite this, the strength of mitigating possible feelings of intimidation outweighed the limitation of the possibility of succumbing to peer-pressure, and </w:t>
      </w:r>
      <w:r w:rsidR="00F945B1">
        <w:t>a group interview format was chosen.</w:t>
      </w:r>
    </w:p>
    <w:p w14:paraId="0AC67827" w14:textId="36B2D93E" w:rsidR="00295CB0" w:rsidRDefault="00F945B1">
      <w:r>
        <w:t xml:space="preserve">The group was chosen via a stratified-random sample. As stated by Bendall (2024), stratified-random sampling ensures that an equal number of participants from certain groups are chosen. This can be useful when wanting to ensure representation from different groups. </w:t>
      </w:r>
      <w:r w:rsidR="000327B6">
        <w:t>In this case, the sample was stratified based on ability groups, to ensure representation from children of different abilities.</w:t>
      </w:r>
    </w:p>
    <w:p w14:paraId="268D3107" w14:textId="5470E3DA" w:rsidR="001A4CF3" w:rsidRDefault="001A4CF3" w:rsidP="001A4CF3">
      <w:pPr>
        <w:rPr>
          <w:b/>
          <w:bCs/>
        </w:rPr>
      </w:pPr>
      <w:r w:rsidRPr="001A4CF3">
        <w:rPr>
          <w:b/>
          <w:bCs/>
        </w:rPr>
        <w:t>Data Presentation and Analysis Methods</w:t>
      </w:r>
    </w:p>
    <w:p w14:paraId="71D24902" w14:textId="5D3ADE5F" w:rsidR="00711D3C" w:rsidRDefault="00711D3C" w:rsidP="001A4CF3">
      <w:r>
        <w:t xml:space="preserve">Data from the questionnaires was interpreted using Kent’s (2015) guide on analysing quantitative data. Kent (2015) </w:t>
      </w:r>
      <w:r w:rsidR="00482487">
        <w:t>outlines a five-step guide to quantitative data analysis:</w:t>
      </w:r>
    </w:p>
    <w:p w14:paraId="47E5B13E" w14:textId="3DFF78F0" w:rsidR="00482487" w:rsidRDefault="00482487" w:rsidP="00482487">
      <w:pPr>
        <w:pStyle w:val="ListParagraph"/>
        <w:numPr>
          <w:ilvl w:val="0"/>
          <w:numId w:val="5"/>
        </w:numPr>
      </w:pPr>
      <w:r>
        <w:t>Checking</w:t>
      </w:r>
    </w:p>
    <w:p w14:paraId="0D61732F" w14:textId="268808C2" w:rsidR="00482487" w:rsidRDefault="00482487" w:rsidP="00482487">
      <w:pPr>
        <w:pStyle w:val="ListParagraph"/>
        <w:numPr>
          <w:ilvl w:val="0"/>
          <w:numId w:val="5"/>
        </w:numPr>
      </w:pPr>
      <w:r>
        <w:t>Editing</w:t>
      </w:r>
    </w:p>
    <w:p w14:paraId="586E2078" w14:textId="399FF64E" w:rsidR="00482487" w:rsidRDefault="00482487" w:rsidP="00482487">
      <w:pPr>
        <w:pStyle w:val="ListParagraph"/>
        <w:numPr>
          <w:ilvl w:val="0"/>
          <w:numId w:val="5"/>
        </w:numPr>
      </w:pPr>
      <w:r>
        <w:t>Coding</w:t>
      </w:r>
    </w:p>
    <w:p w14:paraId="77E0E154" w14:textId="0D3D5A1D" w:rsidR="00482487" w:rsidRDefault="00482487" w:rsidP="00482487">
      <w:pPr>
        <w:pStyle w:val="ListParagraph"/>
        <w:numPr>
          <w:ilvl w:val="0"/>
          <w:numId w:val="5"/>
        </w:numPr>
      </w:pPr>
      <w:r>
        <w:t>Assembling</w:t>
      </w:r>
    </w:p>
    <w:p w14:paraId="4E598E20" w14:textId="1A90374D" w:rsidR="00482487" w:rsidRDefault="00482487" w:rsidP="00482487">
      <w:pPr>
        <w:pStyle w:val="ListParagraph"/>
        <w:numPr>
          <w:ilvl w:val="0"/>
          <w:numId w:val="5"/>
        </w:numPr>
      </w:pPr>
      <w:r>
        <w:t>Transforming</w:t>
      </w:r>
    </w:p>
    <w:p w14:paraId="68B3A6BE" w14:textId="6D4F333F" w:rsidR="00482487" w:rsidRPr="00711D3C" w:rsidRDefault="00482487" w:rsidP="00482487">
      <w:r w:rsidRPr="00482487">
        <w:t>There were no discards</w:t>
      </w:r>
      <w:r>
        <w:t xml:space="preserve"> during the checking phase</w:t>
      </w:r>
      <w:r w:rsidRPr="00482487">
        <w:t xml:space="preserve">. Only one questionnaire was a possible discard because the boxes ticked were unclear. The answers were clarified soon after however, and the data could still be used. No editing was necessary. The simplicity of the questionnaire meant that there were little misunderstandings regarding answering the questionnaire and, where there were misunderstandings, they were able to be cleared up at the time. The responses in the Likert scale were coded 1, 2, 3, 4, 5, with 5 representing the </w:t>
      </w:r>
      <w:r w:rsidR="003735DE">
        <w:t>most satisfied</w:t>
      </w:r>
      <w:r w:rsidRPr="00482487">
        <w:t xml:space="preserve">, and 1 representing the </w:t>
      </w:r>
      <w:r w:rsidR="003735DE">
        <w:t>least satisfied</w:t>
      </w:r>
      <w:r w:rsidRPr="00482487">
        <w:t>.</w:t>
      </w:r>
      <w:r>
        <w:t xml:space="preserve"> </w:t>
      </w:r>
      <w:r w:rsidR="007230C0">
        <w:t>The data was assembled by finding the mean score (from 1-5) for each question in both questionnaires. These were rounded to 2 decimal places. This data was transformed by finding the difference between the two mean values for each question. These are presented using “increase of…”, “decrease of…”, or “same value”.</w:t>
      </w:r>
    </w:p>
    <w:p w14:paraId="71636AAE" w14:textId="34B07DAE" w:rsidR="009D4B4D" w:rsidRPr="00A7739B" w:rsidRDefault="009D4B4D" w:rsidP="001A4CF3">
      <w:r w:rsidRPr="00A7739B">
        <w:t>Using Maguire and Delahunt’s (2017) guide to analysing qualitative data, the transcript from the interview was interpreted by thematic analysis. Braun and Clarke (2006, cited by Maguire and Delahunt, 2017) outline a six-</w:t>
      </w:r>
      <w:r w:rsidR="00A7739B" w:rsidRPr="00A7739B">
        <w:t>step</w:t>
      </w:r>
      <w:r w:rsidRPr="00A7739B">
        <w:t xml:space="preserve"> guide to thematic analysis</w:t>
      </w:r>
      <w:r w:rsidR="00A7739B" w:rsidRPr="00A7739B">
        <w:t>:</w:t>
      </w:r>
    </w:p>
    <w:p w14:paraId="2C0F6727" w14:textId="68F23C59" w:rsidR="00A7739B" w:rsidRDefault="00A7739B" w:rsidP="00A7739B">
      <w:pPr>
        <w:pStyle w:val="ListParagraph"/>
        <w:numPr>
          <w:ilvl w:val="0"/>
          <w:numId w:val="4"/>
        </w:numPr>
      </w:pPr>
      <w:r w:rsidRPr="00A7739B">
        <w:t>Become familiar with the data</w:t>
      </w:r>
      <w:r>
        <w:t>.</w:t>
      </w:r>
    </w:p>
    <w:p w14:paraId="13F63F97" w14:textId="5B1EF369" w:rsidR="00A7739B" w:rsidRDefault="00A7739B" w:rsidP="00A7739B">
      <w:pPr>
        <w:pStyle w:val="ListParagraph"/>
        <w:numPr>
          <w:ilvl w:val="0"/>
          <w:numId w:val="4"/>
        </w:numPr>
      </w:pPr>
      <w:r>
        <w:t>Generate initial codes.</w:t>
      </w:r>
    </w:p>
    <w:p w14:paraId="6432C38B" w14:textId="48FDEF0E" w:rsidR="00A7739B" w:rsidRDefault="00A7739B" w:rsidP="00A7739B">
      <w:pPr>
        <w:pStyle w:val="ListParagraph"/>
        <w:numPr>
          <w:ilvl w:val="0"/>
          <w:numId w:val="4"/>
        </w:numPr>
      </w:pPr>
      <w:r>
        <w:t>Search for themes.</w:t>
      </w:r>
    </w:p>
    <w:p w14:paraId="40A027AD" w14:textId="11E4E484" w:rsidR="00A7739B" w:rsidRDefault="00A7739B" w:rsidP="00A7739B">
      <w:pPr>
        <w:pStyle w:val="ListParagraph"/>
        <w:numPr>
          <w:ilvl w:val="0"/>
          <w:numId w:val="4"/>
        </w:numPr>
      </w:pPr>
      <w:r>
        <w:t>Review themes.</w:t>
      </w:r>
    </w:p>
    <w:p w14:paraId="6FD7B0BC" w14:textId="50AC81F1" w:rsidR="00A7739B" w:rsidRDefault="00A7739B" w:rsidP="00A7739B">
      <w:pPr>
        <w:pStyle w:val="ListParagraph"/>
        <w:numPr>
          <w:ilvl w:val="0"/>
          <w:numId w:val="4"/>
        </w:numPr>
      </w:pPr>
      <w:r>
        <w:t>Define themes.</w:t>
      </w:r>
    </w:p>
    <w:p w14:paraId="33298765" w14:textId="4CD0D65B" w:rsidR="00A7739B" w:rsidRDefault="00A7739B" w:rsidP="00A7739B">
      <w:pPr>
        <w:pStyle w:val="ListParagraph"/>
        <w:numPr>
          <w:ilvl w:val="0"/>
          <w:numId w:val="4"/>
        </w:numPr>
      </w:pPr>
      <w:r>
        <w:t>Write up.</w:t>
      </w:r>
    </w:p>
    <w:p w14:paraId="0A9C7630" w14:textId="72334A26" w:rsidR="00A7739B" w:rsidRPr="00A7739B" w:rsidRDefault="00711D3C" w:rsidP="00A7739B">
      <w:r>
        <w:lastRenderedPageBreak/>
        <w:t xml:space="preserve">The first five steps are observed here (for step 6, see results). </w:t>
      </w:r>
      <w:r w:rsidR="00A7739B">
        <w:t xml:space="preserve">To become familiar with the data, the transcript was read, re-read, and studied. During this phase, initial notes were made on first impressions of themes or codes which seemed to be prominent. Initial codes were simple to generate as there was a very small amount of data. Nearly every point made by the participants was given a code.  </w:t>
      </w:r>
      <w:r w:rsidR="004E51BA">
        <w:t>These codes were sorted into themes. 5 codes were discarded as a part of this process because they were not relevant to the subject matter. This left 6 themes to review. 2 themes were discarded because they only included 1 code, so were deemed to not be important enough to be considered themes.</w:t>
      </w:r>
      <w:r>
        <w:t xml:space="preserve"> Defining the themes as to how they connect with each other was challenging, as the themes seemed so disconnected from each other. This was noted to be a result of the disconnected conversation in the interview due to a lack of attention span among the participants. It was decided that the themes should remain defined and separate for this reason.</w:t>
      </w:r>
    </w:p>
    <w:p w14:paraId="154C763C" w14:textId="77777777" w:rsidR="009D6CCF" w:rsidRPr="009D6CCF" w:rsidRDefault="009D6CCF" w:rsidP="009D6CCF">
      <w:pPr>
        <w:rPr>
          <w:b/>
          <w:bCs/>
        </w:rPr>
      </w:pPr>
      <w:r w:rsidRPr="009D6CCF">
        <w:rPr>
          <w:b/>
          <w:bCs/>
        </w:rPr>
        <w:t>Ethical Considerations</w:t>
      </w:r>
    </w:p>
    <w:p w14:paraId="31609305" w14:textId="0F75ED19" w:rsidR="009D6CCF" w:rsidRPr="008F1DF6" w:rsidRDefault="009D6CCF" w:rsidP="009D6CCF">
      <w:r>
        <w:t>BERA (2018) states that the researcher should gain voluntary, informed, and ongoing consent from participants in the study. As the participants were under the age of 18,</w:t>
      </w:r>
      <w:r w:rsidR="008A51B5">
        <w:t xml:space="preserve"> consent was gained from a parent/guardian, and assent from the participant.</w:t>
      </w:r>
      <w:r>
        <w:t xml:space="preserve"> </w:t>
      </w:r>
      <w:proofErr w:type="gramStart"/>
      <w:r>
        <w:t>In order for</w:t>
      </w:r>
      <w:proofErr w:type="gramEnd"/>
      <w:r>
        <w:t xml:space="preserve"> assent from the participant to be voluntary, </w:t>
      </w:r>
      <w:r w:rsidR="008A51B5">
        <w:t>it was ensured that</w:t>
      </w:r>
      <w:r>
        <w:t xml:space="preserve"> participant</w:t>
      </w:r>
      <w:r w:rsidR="008A51B5">
        <w:t>s</w:t>
      </w:r>
      <w:r>
        <w:t xml:space="preserve"> underst</w:t>
      </w:r>
      <w:r w:rsidR="008A51B5">
        <w:t>ood</w:t>
      </w:r>
      <w:r>
        <w:t xml:space="preserve"> that there w</w:t>
      </w:r>
      <w:r w:rsidR="008A51B5">
        <w:t>ould</w:t>
      </w:r>
      <w:r>
        <w:t xml:space="preserve"> be no consequences to giving or declining assent, particularly as the participants </w:t>
      </w:r>
      <w:r w:rsidR="008A51B5">
        <w:t>were</w:t>
      </w:r>
      <w:r>
        <w:t xml:space="preserve"> children and </w:t>
      </w:r>
      <w:r w:rsidR="008A51B5">
        <w:t>may have</w:t>
      </w:r>
      <w:r>
        <w:t xml:space="preserve"> wish</w:t>
      </w:r>
      <w:r w:rsidR="008A51B5">
        <w:t>ed</w:t>
      </w:r>
      <w:r>
        <w:t xml:space="preserve"> to give assent simply to please their teacher. Here, the dual role of researcher and student-teacher should be noted. </w:t>
      </w:r>
      <w:proofErr w:type="gramStart"/>
      <w:r>
        <w:t>In order for</w:t>
      </w:r>
      <w:proofErr w:type="gramEnd"/>
      <w:r>
        <w:t xml:space="preserve"> assent to be informed, the information given to the participant </w:t>
      </w:r>
      <w:r w:rsidR="008A51B5">
        <w:t>was</w:t>
      </w:r>
      <w:r>
        <w:t xml:space="preserve"> suitable for the participant’s level of understanding. A power point </w:t>
      </w:r>
      <w:r w:rsidR="008A51B5">
        <w:t xml:space="preserve">presentation </w:t>
      </w:r>
      <w:r>
        <w:t xml:space="preserve">explaining how the participant will be involved in the research delivered in simple language and with visual aids </w:t>
      </w:r>
      <w:r w:rsidR="008A51B5">
        <w:t>was given</w:t>
      </w:r>
      <w:r>
        <w:t xml:space="preserve">, while a </w:t>
      </w:r>
      <w:r w:rsidR="008A51B5">
        <w:t>consent form</w:t>
      </w:r>
      <w:r>
        <w:t xml:space="preserve"> explaining the purpose of the research and the role of the </w:t>
      </w:r>
      <w:r w:rsidRPr="008A51B5">
        <w:t xml:space="preserve">participant </w:t>
      </w:r>
      <w:r w:rsidR="008A51B5" w:rsidRPr="008A51B5">
        <w:t>was</w:t>
      </w:r>
      <w:r w:rsidRPr="008A51B5">
        <w:t xml:space="preserve"> </w:t>
      </w:r>
      <w:r>
        <w:t xml:space="preserve">sent to the parent(s)/guardian(s). </w:t>
      </w:r>
      <w:proofErr w:type="gramStart"/>
      <w:r>
        <w:t>In order for</w:t>
      </w:r>
      <w:proofErr w:type="gramEnd"/>
      <w:r>
        <w:t xml:space="preserve"> assent to be ongoing, participants should understand that they have the right to withdraw at any point. </w:t>
      </w:r>
      <w:r w:rsidR="008A51B5">
        <w:t>This was explained as part of the power point presentation.</w:t>
      </w:r>
      <w:r w:rsidRPr="00CA54A1">
        <w:t xml:space="preserve"> </w:t>
      </w:r>
      <w:r>
        <w:t xml:space="preserve">The researcher should also be aware of any unconscious bias they may have. As mentioned, the assessment strategy is </w:t>
      </w:r>
      <w:r w:rsidR="008A51B5">
        <w:t xml:space="preserve">partly </w:t>
      </w:r>
      <w:r>
        <w:t>based on my own personal philosophy that mistakes are an important part of life. My own experiences as a perfectionist will have doubtless shaped this philosophy and given it a higher degree of perceived importance. My positive experiences of self-acceptance may influence me to believe that all students would benefit from this strategy.</w:t>
      </w:r>
      <w:r w:rsidR="008A51B5">
        <w:t xml:space="preserve"> As a researcher, I aim to be aware of these biases and conduct my research in an objective manner.</w:t>
      </w:r>
    </w:p>
    <w:p w14:paraId="60F4FBA2" w14:textId="47AE619F" w:rsidR="009D6CCF" w:rsidRPr="009D6CCF" w:rsidRDefault="009D6CCF" w:rsidP="009D6CCF">
      <w:pPr>
        <w:rPr>
          <w:color w:val="FF0000"/>
        </w:rPr>
      </w:pPr>
      <w:r>
        <w:t xml:space="preserve">In keeping with GDPR guidelines (2016), data </w:t>
      </w:r>
      <w:r w:rsidR="008A51B5">
        <w:t>was</w:t>
      </w:r>
      <w:r>
        <w:t xml:space="preserve"> kept anonymous by use of letters in place of names of pupils or the school (e.g. pupil A, B, school X), and confidential by keeping data stored on a password protected device with two-step authentication. Only the researcher </w:t>
      </w:r>
      <w:r w:rsidR="00A80DE4">
        <w:t>had</w:t>
      </w:r>
      <w:r>
        <w:t xml:space="preserve"> access to raw data while mentors and assessors </w:t>
      </w:r>
      <w:r w:rsidR="00A80DE4">
        <w:t>had</w:t>
      </w:r>
      <w:r>
        <w:t xml:space="preserve"> access to </w:t>
      </w:r>
      <w:r>
        <w:lastRenderedPageBreak/>
        <w:t xml:space="preserve">analysed data. After the </w:t>
      </w:r>
      <w:r w:rsidR="00A80DE4">
        <w:t>research assignment has been awarded a grade</w:t>
      </w:r>
      <w:r>
        <w:t>, the data will be destroyed from the device</w:t>
      </w:r>
      <w:r w:rsidR="00A80DE4">
        <w:t>. A form for ethical approval was sent to the university and accepted (see appendix 3).</w:t>
      </w:r>
    </w:p>
    <w:p w14:paraId="75446592" w14:textId="723F66AF" w:rsidR="00BD6A33" w:rsidRDefault="00AA79F9">
      <w:pPr>
        <w:rPr>
          <w:b/>
          <w:bCs/>
        </w:rPr>
      </w:pPr>
      <w:r>
        <w:rPr>
          <w:b/>
          <w:bCs/>
        </w:rPr>
        <w:t>Results</w:t>
      </w:r>
    </w:p>
    <w:p w14:paraId="6D92E3E2" w14:textId="3A8983A0" w:rsidR="00CD12C4" w:rsidRPr="00CD12C4" w:rsidRDefault="00CD12C4">
      <w:r>
        <w:t>A table showing the difference between the mean scores (from 1-5, with 1 being least satisfied, and 5 being most satisfied) for each question in a questionnaire conducted before and after the implementation of the Mistake Interviews assessment strategy:</w:t>
      </w:r>
    </w:p>
    <w:tbl>
      <w:tblPr>
        <w:tblStyle w:val="TableGrid"/>
        <w:tblW w:w="0" w:type="auto"/>
        <w:tblLook w:val="04A0" w:firstRow="1" w:lastRow="0" w:firstColumn="1" w:lastColumn="0" w:noHBand="0" w:noVBand="1"/>
      </w:tblPr>
      <w:tblGrid>
        <w:gridCol w:w="4508"/>
        <w:gridCol w:w="4508"/>
      </w:tblGrid>
      <w:tr w:rsidR="00E770C1" w14:paraId="3157D0C4" w14:textId="77777777" w:rsidTr="00E770C1">
        <w:tc>
          <w:tcPr>
            <w:tcW w:w="4508" w:type="dxa"/>
          </w:tcPr>
          <w:p w14:paraId="2D741F0E" w14:textId="0C24CF76" w:rsidR="00E770C1" w:rsidRPr="00E770C1" w:rsidRDefault="00E770C1" w:rsidP="00E770C1">
            <w:pPr>
              <w:jc w:val="center"/>
              <w:rPr>
                <w:b/>
                <w:bCs/>
              </w:rPr>
            </w:pPr>
            <w:r w:rsidRPr="00E770C1">
              <w:rPr>
                <w:b/>
                <w:bCs/>
              </w:rPr>
              <w:t>Question</w:t>
            </w:r>
          </w:p>
        </w:tc>
        <w:tc>
          <w:tcPr>
            <w:tcW w:w="4508" w:type="dxa"/>
          </w:tcPr>
          <w:p w14:paraId="5AD826DD" w14:textId="6282C585" w:rsidR="00E770C1" w:rsidRPr="00E770C1" w:rsidRDefault="00CD12C4" w:rsidP="00E770C1">
            <w:pPr>
              <w:jc w:val="center"/>
              <w:rPr>
                <w:b/>
                <w:bCs/>
              </w:rPr>
            </w:pPr>
            <w:r>
              <w:rPr>
                <w:b/>
                <w:bCs/>
              </w:rPr>
              <w:t>Difference</w:t>
            </w:r>
          </w:p>
        </w:tc>
      </w:tr>
      <w:tr w:rsidR="00E770C1" w14:paraId="144A3C19" w14:textId="77777777" w:rsidTr="00E770C1">
        <w:tc>
          <w:tcPr>
            <w:tcW w:w="4508" w:type="dxa"/>
          </w:tcPr>
          <w:p w14:paraId="27652C23" w14:textId="1BD38F0E" w:rsidR="00E770C1" w:rsidRDefault="00E770C1">
            <w:r>
              <w:t>Question 1: how do you feel when somebody tells you that you’ve made a mistake?</w:t>
            </w:r>
          </w:p>
        </w:tc>
        <w:tc>
          <w:tcPr>
            <w:tcW w:w="4508" w:type="dxa"/>
          </w:tcPr>
          <w:p w14:paraId="6F5B153A" w14:textId="0F948B0D" w:rsidR="00E770C1" w:rsidRDefault="00E770C1">
            <w:r>
              <w:t>Increase of 1.16</w:t>
            </w:r>
          </w:p>
        </w:tc>
      </w:tr>
      <w:tr w:rsidR="00E770C1" w14:paraId="01A334FE" w14:textId="77777777" w:rsidTr="00E770C1">
        <w:tc>
          <w:tcPr>
            <w:tcW w:w="4508" w:type="dxa"/>
          </w:tcPr>
          <w:p w14:paraId="7EF03F74" w14:textId="7CBFEE19" w:rsidR="00E770C1" w:rsidRDefault="00E770C1">
            <w:r>
              <w:t>Question 2: how do you feel when talking about your mistakes?</w:t>
            </w:r>
          </w:p>
        </w:tc>
        <w:tc>
          <w:tcPr>
            <w:tcW w:w="4508" w:type="dxa"/>
          </w:tcPr>
          <w:p w14:paraId="61BF4411" w14:textId="6187FCCB" w:rsidR="00E770C1" w:rsidRDefault="00E770C1">
            <w:r>
              <w:t>Increase of 0.84</w:t>
            </w:r>
          </w:p>
        </w:tc>
      </w:tr>
      <w:tr w:rsidR="00E770C1" w14:paraId="0F4CB24B" w14:textId="77777777" w:rsidTr="00E770C1">
        <w:tc>
          <w:tcPr>
            <w:tcW w:w="4508" w:type="dxa"/>
          </w:tcPr>
          <w:p w14:paraId="6D34AE91" w14:textId="0FD0C6D5" w:rsidR="00E770C1" w:rsidRDefault="00E770C1">
            <w:r>
              <w:t>Question 3: how do you feel when you know that you’ve made a mistake?</w:t>
            </w:r>
          </w:p>
        </w:tc>
        <w:tc>
          <w:tcPr>
            <w:tcW w:w="4508" w:type="dxa"/>
          </w:tcPr>
          <w:p w14:paraId="1919D6A8" w14:textId="4B8FD9D5" w:rsidR="00E770C1" w:rsidRDefault="00E770C1">
            <w:r>
              <w:t>Increase of 0.1</w:t>
            </w:r>
          </w:p>
        </w:tc>
      </w:tr>
      <w:tr w:rsidR="00E770C1" w14:paraId="225A99AC" w14:textId="77777777" w:rsidTr="00E770C1">
        <w:tc>
          <w:tcPr>
            <w:tcW w:w="4508" w:type="dxa"/>
          </w:tcPr>
          <w:p w14:paraId="0C6090C3" w14:textId="786CFED6" w:rsidR="00E770C1" w:rsidRDefault="00E770C1" w:rsidP="00E770C1">
            <w:r>
              <w:t>Question 4: how do you feel when your friends know that you’ve made a mistake?</w:t>
            </w:r>
          </w:p>
        </w:tc>
        <w:tc>
          <w:tcPr>
            <w:tcW w:w="4508" w:type="dxa"/>
          </w:tcPr>
          <w:p w14:paraId="6F9E2E14" w14:textId="1A93E646" w:rsidR="00E770C1" w:rsidRDefault="00E770C1" w:rsidP="00E770C1">
            <w:r>
              <w:t>Decrease of 0.15</w:t>
            </w:r>
          </w:p>
        </w:tc>
      </w:tr>
      <w:tr w:rsidR="00E770C1" w14:paraId="4A084BB8" w14:textId="77777777" w:rsidTr="00E770C1">
        <w:tc>
          <w:tcPr>
            <w:tcW w:w="4508" w:type="dxa"/>
          </w:tcPr>
          <w:p w14:paraId="08C61E40" w14:textId="3426F62D" w:rsidR="00E770C1" w:rsidRDefault="00E770C1" w:rsidP="00E770C1">
            <w:r>
              <w:t>Question 5: how do you feel when the class knows that you’ve made a mistake?</w:t>
            </w:r>
          </w:p>
        </w:tc>
        <w:tc>
          <w:tcPr>
            <w:tcW w:w="4508" w:type="dxa"/>
          </w:tcPr>
          <w:p w14:paraId="33832AA8" w14:textId="31157A43" w:rsidR="00E770C1" w:rsidRDefault="00E770C1" w:rsidP="00E770C1">
            <w:r>
              <w:t>Same value</w:t>
            </w:r>
          </w:p>
        </w:tc>
      </w:tr>
      <w:tr w:rsidR="00E770C1" w14:paraId="4265C7A9" w14:textId="77777777" w:rsidTr="00E770C1">
        <w:tc>
          <w:tcPr>
            <w:tcW w:w="4508" w:type="dxa"/>
          </w:tcPr>
          <w:p w14:paraId="3B4D9FC5" w14:textId="1E7C53C8" w:rsidR="00E770C1" w:rsidRDefault="00E770C1" w:rsidP="00E770C1">
            <w:r>
              <w:t>Question 6: how do you feel when your teachers know that you’ve made a mistake?</w:t>
            </w:r>
          </w:p>
        </w:tc>
        <w:tc>
          <w:tcPr>
            <w:tcW w:w="4508" w:type="dxa"/>
          </w:tcPr>
          <w:p w14:paraId="2BF71ECF" w14:textId="32757038" w:rsidR="00E770C1" w:rsidRDefault="00E770C1" w:rsidP="00E770C1">
            <w:r>
              <w:t>Increase of 0.42</w:t>
            </w:r>
          </w:p>
        </w:tc>
      </w:tr>
      <w:tr w:rsidR="00E770C1" w14:paraId="76C6DBE4" w14:textId="77777777" w:rsidTr="00E770C1">
        <w:tc>
          <w:tcPr>
            <w:tcW w:w="4508" w:type="dxa"/>
          </w:tcPr>
          <w:p w14:paraId="55A97DC7" w14:textId="57370AC9" w:rsidR="00E770C1" w:rsidRDefault="00E770C1" w:rsidP="00E770C1">
            <w:r>
              <w:t>Question 7: how do you feel when helping someone with a mistake?</w:t>
            </w:r>
          </w:p>
        </w:tc>
        <w:tc>
          <w:tcPr>
            <w:tcW w:w="4508" w:type="dxa"/>
          </w:tcPr>
          <w:p w14:paraId="624B1DE6" w14:textId="515F0B3B" w:rsidR="00E770C1" w:rsidRDefault="00CD12C4" w:rsidP="00E770C1">
            <w:r>
              <w:t>Increase of 0.21</w:t>
            </w:r>
          </w:p>
        </w:tc>
      </w:tr>
    </w:tbl>
    <w:p w14:paraId="0A8833F0" w14:textId="77777777" w:rsidR="00B31AAC" w:rsidRDefault="00B31AAC"/>
    <w:p w14:paraId="302234AC" w14:textId="1D98D09F" w:rsidR="00B31AAC" w:rsidRDefault="00B31AAC">
      <w:r w:rsidRPr="00B31AAC">
        <w:t>Based on the quantitative results from the questionnaires, there is evidence that the Mistake Interviews assessment strategy has significantly improved participant satisfaction when faced with the scenario of being told that they have made a mistake, and when talking about mistakes; marginally improved satisfaction when faced with the scenario of knowing they have made a mistake, a teacher knowing they have made a mistake, or helping somebody with their mistake; neither improved nor worsened satisfaction when faced with the scenario of the class knowing that they have made a mistake; and marginally worsened satisfaction when faced with the scenario of a friend knowing that they have made a mistake.</w:t>
      </w:r>
    </w:p>
    <w:p w14:paraId="2B7A3BCB" w14:textId="6C8998C7" w:rsidR="00B80D40" w:rsidRPr="007230C0" w:rsidRDefault="007230C0">
      <w:r>
        <w:t>A table showing the themes and codes identified</w:t>
      </w:r>
      <w:r w:rsidR="00CD12C4">
        <w:t xml:space="preserve"> from thematic analysis of a transcript from a group interview conducted after the implementation of the Mistake Interviews assessment strategy</w:t>
      </w:r>
      <w:r>
        <w:t>:</w:t>
      </w:r>
    </w:p>
    <w:tbl>
      <w:tblPr>
        <w:tblStyle w:val="TableGrid"/>
        <w:tblW w:w="0" w:type="auto"/>
        <w:tblLook w:val="04A0" w:firstRow="1" w:lastRow="0" w:firstColumn="1" w:lastColumn="0" w:noHBand="0" w:noVBand="1"/>
      </w:tblPr>
      <w:tblGrid>
        <w:gridCol w:w="2254"/>
        <w:gridCol w:w="2254"/>
        <w:gridCol w:w="2254"/>
        <w:gridCol w:w="2254"/>
      </w:tblGrid>
      <w:tr w:rsidR="006E7E24" w14:paraId="2990843C" w14:textId="77777777" w:rsidTr="006E7E24">
        <w:tc>
          <w:tcPr>
            <w:tcW w:w="2254" w:type="dxa"/>
          </w:tcPr>
          <w:p w14:paraId="355C8DB1" w14:textId="704A6976" w:rsidR="006E7E24" w:rsidRDefault="006E7E24">
            <w:pPr>
              <w:rPr>
                <w:b/>
                <w:bCs/>
                <w:color w:val="FF0000"/>
              </w:rPr>
            </w:pPr>
            <w:r w:rsidRPr="006E7E24">
              <w:rPr>
                <w:b/>
                <w:bCs/>
              </w:rPr>
              <w:lastRenderedPageBreak/>
              <w:t>Understanding and learning from mistakes</w:t>
            </w:r>
          </w:p>
        </w:tc>
        <w:tc>
          <w:tcPr>
            <w:tcW w:w="2254" w:type="dxa"/>
          </w:tcPr>
          <w:p w14:paraId="3AB49744" w14:textId="253F2664" w:rsidR="006E7E24" w:rsidRPr="006E7E24" w:rsidRDefault="006E7E24">
            <w:pPr>
              <w:rPr>
                <w:b/>
                <w:bCs/>
              </w:rPr>
            </w:pPr>
            <w:r w:rsidRPr="006E7E24">
              <w:rPr>
                <w:b/>
                <w:bCs/>
              </w:rPr>
              <w:t>Nerves and discomfort</w:t>
            </w:r>
          </w:p>
        </w:tc>
        <w:tc>
          <w:tcPr>
            <w:tcW w:w="2254" w:type="dxa"/>
          </w:tcPr>
          <w:p w14:paraId="3D1BEEFC" w14:textId="620796BF" w:rsidR="006E7E24" w:rsidRDefault="006E7E24">
            <w:pPr>
              <w:rPr>
                <w:b/>
                <w:bCs/>
                <w:color w:val="FF0000"/>
              </w:rPr>
            </w:pPr>
            <w:r w:rsidRPr="006E7E24">
              <w:rPr>
                <w:b/>
                <w:bCs/>
              </w:rPr>
              <w:t>Reassurance from teachers</w:t>
            </w:r>
          </w:p>
        </w:tc>
        <w:tc>
          <w:tcPr>
            <w:tcW w:w="2254" w:type="dxa"/>
          </w:tcPr>
          <w:p w14:paraId="73AC06DF" w14:textId="4536A350" w:rsidR="006E7E24" w:rsidRDefault="006E7E24">
            <w:pPr>
              <w:rPr>
                <w:b/>
                <w:bCs/>
                <w:color w:val="FF0000"/>
              </w:rPr>
            </w:pPr>
            <w:r w:rsidRPr="006E7E24">
              <w:rPr>
                <w:b/>
                <w:bCs/>
              </w:rPr>
              <w:t>Effect of peer response to mistakes</w:t>
            </w:r>
          </w:p>
        </w:tc>
      </w:tr>
      <w:tr w:rsidR="006E7E24" w14:paraId="79EABA5B" w14:textId="77777777" w:rsidTr="006E7E24">
        <w:tc>
          <w:tcPr>
            <w:tcW w:w="2254" w:type="dxa"/>
          </w:tcPr>
          <w:p w14:paraId="582D50EF" w14:textId="17ECD851" w:rsidR="006E7E24" w:rsidRDefault="006E7E24" w:rsidP="006E7E24">
            <w:r w:rsidRPr="006E7E24">
              <w:t>Mistake interviews helped to understand mistakes</w:t>
            </w:r>
            <w:r>
              <w:t>.</w:t>
            </w:r>
          </w:p>
          <w:p w14:paraId="704F9B1D" w14:textId="77777777" w:rsidR="006E7E24" w:rsidRPr="006E7E24" w:rsidRDefault="006E7E24" w:rsidP="006E7E24"/>
          <w:p w14:paraId="282DC8F1" w14:textId="38FE8C77" w:rsidR="006E7E24" w:rsidRDefault="006E7E24" w:rsidP="006E7E24">
            <w:pPr>
              <w:rPr>
                <w:b/>
                <w:bCs/>
                <w:color w:val="FF0000"/>
              </w:rPr>
            </w:pPr>
            <w:r w:rsidRPr="006E7E24">
              <w:t>Mistake interviews helped to learn from mistakes</w:t>
            </w:r>
            <w:r>
              <w:t>.</w:t>
            </w:r>
          </w:p>
        </w:tc>
        <w:tc>
          <w:tcPr>
            <w:tcW w:w="2254" w:type="dxa"/>
          </w:tcPr>
          <w:p w14:paraId="3E73273D" w14:textId="42DF8B0D" w:rsidR="006E7E24" w:rsidRDefault="006E7E24" w:rsidP="006E7E24">
            <w:r w:rsidRPr="006E7E24">
              <w:t>Didn’t like standing up in front of the class</w:t>
            </w:r>
            <w:r>
              <w:t>.</w:t>
            </w:r>
          </w:p>
          <w:p w14:paraId="6388B27D" w14:textId="77777777" w:rsidR="006E7E24" w:rsidRPr="006E7E24" w:rsidRDefault="006E7E24" w:rsidP="006E7E24"/>
          <w:p w14:paraId="62B52FD1" w14:textId="161CBF66" w:rsidR="006E7E24" w:rsidRDefault="006E7E24" w:rsidP="006E7E24">
            <w:r w:rsidRPr="006E7E24">
              <w:t>Didn’t like everyone looking at them</w:t>
            </w:r>
            <w:r>
              <w:t>.</w:t>
            </w:r>
          </w:p>
          <w:p w14:paraId="46973D07" w14:textId="77777777" w:rsidR="006E7E24" w:rsidRPr="006E7E24" w:rsidRDefault="006E7E24" w:rsidP="006E7E24"/>
          <w:p w14:paraId="3D7D970F" w14:textId="5580621B" w:rsidR="006E7E24" w:rsidRDefault="006E7E24" w:rsidP="006E7E24">
            <w:r w:rsidRPr="006E7E24">
              <w:t>Felt nervous.</w:t>
            </w:r>
          </w:p>
          <w:p w14:paraId="7EBDDA88" w14:textId="77777777" w:rsidR="000F6EE3" w:rsidRDefault="000F6EE3" w:rsidP="006E7E24"/>
          <w:p w14:paraId="3C95C60A" w14:textId="72034CA7" w:rsidR="000F6EE3" w:rsidRDefault="000F6EE3" w:rsidP="006E7E24">
            <w:r>
              <w:t>Felt exposed.</w:t>
            </w:r>
          </w:p>
          <w:p w14:paraId="21E99FB7" w14:textId="77777777" w:rsidR="000F6EE3" w:rsidRDefault="000F6EE3" w:rsidP="006E7E24"/>
          <w:p w14:paraId="7F82828A" w14:textId="7B95E56F" w:rsidR="000F6EE3" w:rsidRPr="006E7E24" w:rsidRDefault="000F6EE3" w:rsidP="006E7E24">
            <w:r>
              <w:t>Felt nervous but would do it anyway.</w:t>
            </w:r>
          </w:p>
        </w:tc>
        <w:tc>
          <w:tcPr>
            <w:tcW w:w="2254" w:type="dxa"/>
          </w:tcPr>
          <w:p w14:paraId="6534F8C3" w14:textId="53961231" w:rsidR="006E7E24" w:rsidRDefault="006E7E24" w:rsidP="006E7E24">
            <w:r w:rsidRPr="006E7E24">
              <w:t>Like teachers saying making mistakes is okay</w:t>
            </w:r>
            <w:r>
              <w:t>.</w:t>
            </w:r>
          </w:p>
          <w:p w14:paraId="49BA2171" w14:textId="77777777" w:rsidR="006E7E24" w:rsidRPr="006E7E24" w:rsidRDefault="006E7E24" w:rsidP="006E7E24"/>
          <w:p w14:paraId="4CD6E2CA" w14:textId="68A5DDD9" w:rsidR="006E7E24" w:rsidRDefault="00291F6B" w:rsidP="006E7E24">
            <w:pPr>
              <w:rPr>
                <w:b/>
                <w:bCs/>
                <w:color w:val="FF0000"/>
              </w:rPr>
            </w:pPr>
            <w:r>
              <w:t>Feel better</w:t>
            </w:r>
            <w:r w:rsidR="006E7E24" w:rsidRPr="006E7E24">
              <w:t xml:space="preserve"> when teachers say it’s okay to make mistakes</w:t>
            </w:r>
            <w:r w:rsidR="006E7E24">
              <w:t>.</w:t>
            </w:r>
          </w:p>
        </w:tc>
        <w:tc>
          <w:tcPr>
            <w:tcW w:w="2254" w:type="dxa"/>
          </w:tcPr>
          <w:p w14:paraId="3C8A7098" w14:textId="06417A30" w:rsidR="006E7E24" w:rsidRDefault="006E7E24" w:rsidP="006E7E24">
            <w:r w:rsidRPr="006E7E24">
              <w:t>Peers laugh at them for making a mistake</w:t>
            </w:r>
            <w:r>
              <w:t>.</w:t>
            </w:r>
          </w:p>
          <w:p w14:paraId="2935BDC8" w14:textId="77777777" w:rsidR="006E7E24" w:rsidRPr="006E7E24" w:rsidRDefault="006E7E24" w:rsidP="006E7E24"/>
          <w:p w14:paraId="260E5003" w14:textId="0DBE5B34" w:rsidR="006E7E24" w:rsidRDefault="006E7E24" w:rsidP="006E7E24">
            <w:r w:rsidRPr="006E7E24">
              <w:t>Peers say the work is easy when it’s not</w:t>
            </w:r>
            <w:r>
              <w:t>.</w:t>
            </w:r>
          </w:p>
          <w:p w14:paraId="37C4FFB7" w14:textId="77777777" w:rsidR="006E7E24" w:rsidRPr="006E7E24" w:rsidRDefault="006E7E24" w:rsidP="006E7E24"/>
          <w:p w14:paraId="6AC7468F" w14:textId="566DD8CE" w:rsidR="006E7E24" w:rsidRDefault="006E7E24" w:rsidP="006E7E24">
            <w:pPr>
              <w:rPr>
                <w:b/>
                <w:bCs/>
                <w:color w:val="FF0000"/>
              </w:rPr>
            </w:pPr>
            <w:r w:rsidRPr="006E7E24">
              <w:t>Peers pick on them for making a mistak</w:t>
            </w:r>
            <w:r>
              <w:t>e.</w:t>
            </w:r>
          </w:p>
        </w:tc>
      </w:tr>
    </w:tbl>
    <w:p w14:paraId="1400CF2B" w14:textId="77777777" w:rsidR="006E7E24" w:rsidRDefault="006E7E24">
      <w:pPr>
        <w:rPr>
          <w:b/>
          <w:bCs/>
          <w:color w:val="FF0000"/>
        </w:rPr>
      </w:pPr>
    </w:p>
    <w:p w14:paraId="09FDC5F8" w14:textId="77C9C7E5" w:rsidR="006E7E24" w:rsidRDefault="006E7E24">
      <w:pPr>
        <w:rPr>
          <w:b/>
          <w:bCs/>
        </w:rPr>
      </w:pPr>
      <w:r>
        <w:rPr>
          <w:b/>
          <w:bCs/>
        </w:rPr>
        <w:t>Understanding and Learning from Mistakes</w:t>
      </w:r>
    </w:p>
    <w:p w14:paraId="7BF60B1D" w14:textId="6633F963" w:rsidR="006E7E24" w:rsidRDefault="006E7E24">
      <w:r>
        <w:t xml:space="preserve">Participants expressed that the Mistake Interviews strategy helped them </w:t>
      </w:r>
      <w:r w:rsidR="004D39DE">
        <w:t>to understand and learn from their mistakes. However, participants were not able to express how or why the strategy helped them to understand and learn from their mistakes. It was unclear whether this was due to a lack of ability to understand and express complex issues or whether this had been expressed because it was what the participants thought the interviewer wanted to hear.</w:t>
      </w:r>
    </w:p>
    <w:p w14:paraId="7A2D2713" w14:textId="42A4B66B" w:rsidR="004D39DE" w:rsidRDefault="004D39DE">
      <w:pPr>
        <w:rPr>
          <w:b/>
          <w:bCs/>
        </w:rPr>
      </w:pPr>
      <w:r>
        <w:rPr>
          <w:b/>
          <w:bCs/>
        </w:rPr>
        <w:t>Nerves and Discomfort</w:t>
      </w:r>
    </w:p>
    <w:p w14:paraId="76B4EE58" w14:textId="05E2309C" w:rsidR="004D39DE" w:rsidRDefault="004D39DE">
      <w:r>
        <w:t xml:space="preserve">Participants expressed feelings of nerves and discomfort linked to standing up in front of the class to talk about their mistakes. </w:t>
      </w:r>
      <w:r w:rsidR="000F6EE3">
        <w:t>These nerves seemed to be linked to speaking in front of the class in any context, as participants mentioned feeling exposed and noticing everybody looking at them. Participants did not mention nerves specific to talking about their mistakes. It is unclear whether these nerves could be linked to fears of negative peer response (see effect of peer response to mistakes).</w:t>
      </w:r>
    </w:p>
    <w:p w14:paraId="3D9C5EF4" w14:textId="49BEF435" w:rsidR="00291F6B" w:rsidRDefault="00291F6B">
      <w:pPr>
        <w:rPr>
          <w:b/>
          <w:bCs/>
        </w:rPr>
      </w:pPr>
      <w:r>
        <w:rPr>
          <w:b/>
          <w:bCs/>
        </w:rPr>
        <w:t>Reassurance from Teachers</w:t>
      </w:r>
    </w:p>
    <w:p w14:paraId="76A36870" w14:textId="61C17E6E" w:rsidR="00291F6B" w:rsidRDefault="00291F6B">
      <w:r>
        <w:t>Participants expressed that they liked having reassurance from teachers that making mistakes is okay. Some expressed that they feel better after making a mistake if the teacher reassures them that it’s okay.</w:t>
      </w:r>
    </w:p>
    <w:p w14:paraId="6F5FF6BE" w14:textId="0821C4CF" w:rsidR="00291F6B" w:rsidRDefault="00291F6B">
      <w:pPr>
        <w:rPr>
          <w:b/>
          <w:bCs/>
        </w:rPr>
      </w:pPr>
      <w:r>
        <w:rPr>
          <w:b/>
          <w:bCs/>
        </w:rPr>
        <w:t>Effect of Peer Response to Mistakes</w:t>
      </w:r>
    </w:p>
    <w:p w14:paraId="01C0AF58" w14:textId="7C554CC8" w:rsidR="00291F6B" w:rsidRPr="00FC2CA8" w:rsidRDefault="00FC2CA8">
      <w:r>
        <w:t xml:space="preserve">Participants expressed that they don’t like making mistakes because peers occasionally laugh at them or pick on them. Some also expressed that peers and classmates often </w:t>
      </w:r>
      <w:r>
        <w:lastRenderedPageBreak/>
        <w:t>say that the work is easy which makes them feel stupid when they struggle with it. They expressed a wish that peers would not say that the work is easy when it’s not.</w:t>
      </w:r>
    </w:p>
    <w:p w14:paraId="01326AB2" w14:textId="1C7B2E57" w:rsidR="00AA79F9" w:rsidRDefault="00AA79F9">
      <w:pPr>
        <w:rPr>
          <w:b/>
          <w:bCs/>
        </w:rPr>
      </w:pPr>
      <w:r>
        <w:rPr>
          <w:b/>
          <w:bCs/>
        </w:rPr>
        <w:t>Conclusions</w:t>
      </w:r>
    </w:p>
    <w:p w14:paraId="17D0B790" w14:textId="134E7F1C" w:rsidR="00291F6B" w:rsidRPr="002E07A8" w:rsidRDefault="00B31AAC">
      <w:r>
        <w:t xml:space="preserve">Due to the numerous limitations of the research, the results from both the questionnaire and the interview are deemed inconclusive. Limitations include a lack of </w:t>
      </w:r>
      <w:r w:rsidR="002E07A8">
        <w:t>experience on the part of the researcher in</w:t>
      </w:r>
      <w:r>
        <w:t xml:space="preserve"> construct</w:t>
      </w:r>
      <w:r w:rsidR="002E07A8">
        <w:t>ing</w:t>
      </w:r>
      <w:r>
        <w:t>, conduct</w:t>
      </w:r>
      <w:r w:rsidR="002E07A8">
        <w:t>ing</w:t>
      </w:r>
      <w:r>
        <w:t>, and analys</w:t>
      </w:r>
      <w:r w:rsidR="002E07A8">
        <w:t>ing</w:t>
      </w:r>
      <w:r>
        <w:t xml:space="preserve"> questionnaires or interviews (particularly interviews as the methods described by the current literature are so nuanced). As a result of this, both the research methods </w:t>
      </w:r>
      <w:proofErr w:type="gramStart"/>
      <w:r>
        <w:t>applied</w:t>
      </w:r>
      <w:proofErr w:type="gramEnd"/>
      <w:r>
        <w:t xml:space="preserve"> and their analysis is likely to be weak and faulty. Other limitations include </w:t>
      </w:r>
      <w:r w:rsidR="002E07A8">
        <w:t>the limited understanding and level of communication of the participants. Being so young of age, the ability to process and understand complex social issues as well as complex cognitive and emotional responses is restricted. As a result, the conclusions drawn the interview only provide a bare surface level understanding of the topic. Another limitation was the lack of time to include additional and more in-depth research methods, such as additional interviews with the participants, group and individual, interviews with members of staff, and observation of the strategy in action in the classroom as well as observation of the classroom when the strategy is not being implemented.</w:t>
      </w:r>
    </w:p>
    <w:p w14:paraId="4F9FF8F7" w14:textId="03EBFCAC" w:rsidR="00AA79F9" w:rsidRPr="00AA79F9" w:rsidRDefault="00AA79F9">
      <w:r>
        <w:rPr>
          <w:b/>
          <w:bCs/>
        </w:rPr>
        <w:t>Recommendations</w:t>
      </w:r>
    </w:p>
    <w:p w14:paraId="04A07D8C" w14:textId="2DA262A2" w:rsidR="00EF3C50" w:rsidRDefault="00A76E70">
      <w:r>
        <w:t xml:space="preserve">It is recommended that further research be carried out on this topic. Current literature should ideally be observed and studied before deciding on a direction of research, as the research should emerge </w:t>
      </w:r>
      <w:proofErr w:type="gramStart"/>
      <w:r>
        <w:t>as a result of</w:t>
      </w:r>
      <w:proofErr w:type="gramEnd"/>
      <w:r>
        <w:t xml:space="preserve"> current literature, or lack of. Various research methods should be </w:t>
      </w:r>
      <w:proofErr w:type="gramStart"/>
      <w:r>
        <w:t>studied in depth</w:t>
      </w:r>
      <w:proofErr w:type="gramEnd"/>
      <w:r>
        <w:t xml:space="preserve"> and practiced, before deciding on the most appropriate methods for the research. It is perhaps advised that the research be carried out on students of multiple different age groups, to determine how much the cognitive, </w:t>
      </w:r>
      <w:proofErr w:type="gramStart"/>
      <w:r>
        <w:t>emotional</w:t>
      </w:r>
      <w:proofErr w:type="gramEnd"/>
      <w:r>
        <w:t xml:space="preserve"> and communicative level of the participants affect the depth and utility of the results. </w:t>
      </w:r>
      <w:r w:rsidR="00EA0EE0">
        <w:t>To make the most use of the research, further recommendations should be made after researching a specific strategy, to explore other strategies environments and factors which may impact upon attitudes towards mistakes.</w:t>
      </w:r>
    </w:p>
    <w:p w14:paraId="5A0A322B" w14:textId="77777777" w:rsidR="00EF3C50" w:rsidRDefault="00EF3C50"/>
    <w:p w14:paraId="56CBEEEA" w14:textId="77777777" w:rsidR="00EF3C50" w:rsidRDefault="00EF3C50"/>
    <w:p w14:paraId="6221D41A" w14:textId="77777777" w:rsidR="00EF3C50" w:rsidRDefault="00EF3C50"/>
    <w:p w14:paraId="20FBFDC7" w14:textId="77777777" w:rsidR="00EF3C50" w:rsidRDefault="00EF3C50"/>
    <w:p w14:paraId="7D397F02" w14:textId="77777777" w:rsidR="00EF3C50" w:rsidRDefault="00EF3C50"/>
    <w:p w14:paraId="6F31C3D3" w14:textId="77777777" w:rsidR="00EF3C50" w:rsidRDefault="00EF3C50"/>
    <w:p w14:paraId="203F5723" w14:textId="77777777" w:rsidR="00EF3C50" w:rsidRDefault="00EF3C50"/>
    <w:p w14:paraId="18110743" w14:textId="77777777" w:rsidR="00EF3C50" w:rsidRDefault="00EF3C50"/>
    <w:sdt>
      <w:sdtPr>
        <w:rPr>
          <w:rFonts w:asciiTheme="minorHAnsi" w:eastAsiaTheme="minorHAnsi" w:hAnsiTheme="minorHAnsi" w:cstheme="minorBidi"/>
          <w:color w:val="auto"/>
          <w:sz w:val="24"/>
          <w:szCs w:val="24"/>
        </w:rPr>
        <w:id w:val="579802189"/>
        <w:docPartObj>
          <w:docPartGallery w:val="Bibliographies"/>
          <w:docPartUnique/>
        </w:docPartObj>
      </w:sdtPr>
      <w:sdtContent>
        <w:p w14:paraId="006A23BF" w14:textId="6AA49BBA" w:rsidR="00EF3C50" w:rsidRDefault="00EF3C50">
          <w:pPr>
            <w:pStyle w:val="Heading1"/>
          </w:pPr>
          <w:r>
            <w:t>References</w:t>
          </w:r>
        </w:p>
        <w:p w14:paraId="2E7F8A4E" w14:textId="36267613" w:rsidR="00ED2187" w:rsidRPr="00ED2187" w:rsidRDefault="00ED2187" w:rsidP="00ED2187">
          <w:r w:rsidRPr="00ED2187">
            <w:t>Adelman, C., Jenkins, D., &amp; Kemmis, S. (1980) Rethinking case study: Notes from the second Cambridge Conference. In H. Simons (Ed.), Towards a Science of the Singular: Essays about Case Study in Educational Research and Evaluation (pp. 47-61). Norwich: Centre for Applied Research in Education, University of East Anglia.</w:t>
          </w:r>
        </w:p>
        <w:p w14:paraId="044BA63B" w14:textId="19BB9D2E" w:rsidR="001901A6" w:rsidRDefault="001901A6" w:rsidP="001901A6">
          <w:r>
            <w:t>Beck, S. E., and Manuel, K. (2008</w:t>
          </w:r>
          <w:r w:rsidRPr="001901A6">
            <w:t>)</w:t>
          </w:r>
          <w:r w:rsidRPr="001901A6">
            <w:rPr>
              <w:i/>
              <w:iCs/>
            </w:rPr>
            <w:t>. Practical research methods for librarians and information professionals.</w:t>
          </w:r>
          <w:r>
            <w:t xml:space="preserve"> New York, NY: Neal-Schuman.</w:t>
          </w:r>
        </w:p>
        <w:p w14:paraId="4EBEEFAD" w14:textId="0DFD9724" w:rsidR="00AF0C59" w:rsidRDefault="00D02876" w:rsidP="001901A6">
          <w:r>
            <w:t xml:space="preserve">Bendall, R. (2024) </w:t>
          </w:r>
          <w:r w:rsidRPr="00D02876">
            <w:rPr>
              <w:i/>
              <w:iCs/>
            </w:rPr>
            <w:t>Introduction to Case Study as a research approach</w:t>
          </w:r>
          <w:r>
            <w:rPr>
              <w:i/>
              <w:iCs/>
            </w:rPr>
            <w:t xml:space="preserve"> </w:t>
          </w:r>
          <w:r>
            <w:t xml:space="preserve">[TAR </w:t>
          </w:r>
          <w:proofErr w:type="spellStart"/>
          <w:r>
            <w:t>Cynradd</w:t>
          </w:r>
          <w:proofErr w:type="spellEnd"/>
          <w:r>
            <w:t>, ECAD7004-C]. University of Wales Trinity St David, 6 March 2024.</w:t>
          </w:r>
        </w:p>
        <w:p w14:paraId="7F49416B" w14:textId="23B9574C" w:rsidR="00EF6419" w:rsidRDefault="00EF6419" w:rsidP="001901A6">
          <w:r>
            <w:t xml:space="preserve">Bendall, R. (2024) </w:t>
          </w:r>
          <w:r>
            <w:rPr>
              <w:i/>
              <w:iCs/>
            </w:rPr>
            <w:t xml:space="preserve">Being a skilled researcher </w:t>
          </w:r>
          <w:r>
            <w:t xml:space="preserve">[TAR </w:t>
          </w:r>
          <w:proofErr w:type="spellStart"/>
          <w:r>
            <w:t>Cynradd</w:t>
          </w:r>
          <w:proofErr w:type="spellEnd"/>
          <w:r>
            <w:t>, ECAD7004-C]. University of Wales Trinity St David, 6 March 2024.</w:t>
          </w:r>
        </w:p>
        <w:p w14:paraId="43910FED" w14:textId="77777777" w:rsidR="00EF3C50" w:rsidRDefault="00000000">
          <w:sdt>
            <w:sdtPr>
              <w:id w:val="-573587230"/>
              <w:bibliography/>
            </w:sdtPr>
            <w:sdtContent>
              <w:r w:rsidR="00EF3C50">
                <w:t xml:space="preserve">BERA (2018) </w:t>
              </w:r>
              <w:r w:rsidR="00EF3C50" w:rsidRPr="00EF3C50">
                <w:rPr>
                  <w:i/>
                  <w:iCs/>
                </w:rPr>
                <w:t>Ethical Guidelines for Educational Research.</w:t>
              </w:r>
              <w:r w:rsidR="00EF3C50">
                <w:t xml:space="preserve"> Available at: </w:t>
              </w:r>
              <w:hyperlink r:id="rId6" w:history="1">
                <w:r w:rsidR="00EF3C50" w:rsidRPr="00F04826">
                  <w:rPr>
                    <w:rStyle w:val="Hyperlink"/>
                  </w:rPr>
                  <w:t>https://www.bera.ac.uk/publication/ethical-guidelines-for-educational-research-2018</w:t>
                </w:r>
              </w:hyperlink>
            </w:sdtContent>
          </w:sdt>
          <w:r w:rsidR="00EF3C50">
            <w:t xml:space="preserve"> (Accessed: 09/03/2024).</w:t>
          </w:r>
        </w:p>
        <w:p w14:paraId="7C44FD92" w14:textId="75C5E8B7" w:rsidR="008B2746" w:rsidRDefault="008B2746">
          <w:r w:rsidRPr="008B2746">
            <w:t xml:space="preserve">Braun, V. and Clarke, V. </w:t>
          </w:r>
          <w:r>
            <w:t>(</w:t>
          </w:r>
          <w:r w:rsidRPr="008B2746">
            <w:t>2006</w:t>
          </w:r>
          <w:r>
            <w:t>)</w:t>
          </w:r>
          <w:r w:rsidRPr="008B2746">
            <w:t xml:space="preserve"> </w:t>
          </w:r>
          <w:r>
            <w:t>‘</w:t>
          </w:r>
          <w:r w:rsidRPr="008B2746">
            <w:t>Using thematic analysis in psychology</w:t>
          </w:r>
          <w:r>
            <w:t>’,</w:t>
          </w:r>
          <w:r w:rsidRPr="008B2746">
            <w:t xml:space="preserve"> </w:t>
          </w:r>
          <w:r w:rsidRPr="008B2746">
            <w:rPr>
              <w:i/>
              <w:iCs/>
            </w:rPr>
            <w:t>Qualitative research in psychology,</w:t>
          </w:r>
          <w:r w:rsidRPr="008B2746">
            <w:t xml:space="preserve"> 3(2), pp.77-101.</w:t>
          </w:r>
        </w:p>
        <w:p w14:paraId="78E28111" w14:textId="1E381728" w:rsidR="00CD4FAE" w:rsidRDefault="00CD4FAE">
          <w:r w:rsidRPr="00CD4FAE">
            <w:t xml:space="preserve">Cohen, L., Manion, L. &amp; Morrison, K. (2018) </w:t>
          </w:r>
          <w:r w:rsidRPr="00CD4FAE">
            <w:rPr>
              <w:i/>
              <w:iCs/>
            </w:rPr>
            <w:t>Research Methods in Education</w:t>
          </w:r>
          <w:r>
            <w:t xml:space="preserve">. </w:t>
          </w:r>
          <w:r w:rsidRPr="00CD4FAE">
            <w:t>8</w:t>
          </w:r>
          <w:r w:rsidRPr="00CD4FAE">
            <w:rPr>
              <w:vertAlign w:val="superscript"/>
            </w:rPr>
            <w:t>th</w:t>
          </w:r>
          <w:r>
            <w:t xml:space="preserve"> </w:t>
          </w:r>
          <w:r w:rsidRPr="00CD4FAE">
            <w:t>edition. Oxford: Routledge.</w:t>
          </w:r>
        </w:p>
        <w:p w14:paraId="7B49325B" w14:textId="0E5FF802" w:rsidR="00794F95" w:rsidRDefault="00794F95" w:rsidP="00794F95">
          <w:r>
            <w:t xml:space="preserve">Dilley, P. (2000) </w:t>
          </w:r>
          <w:r w:rsidR="00F2521F">
            <w:t>‘</w:t>
          </w:r>
          <w:r>
            <w:t>Conducting successful interviews: Tips for intrepid research</w:t>
          </w:r>
          <w:r w:rsidR="00F2521F">
            <w:t>’,</w:t>
          </w:r>
          <w:r>
            <w:t xml:space="preserve"> </w:t>
          </w:r>
          <w:r w:rsidRPr="00F2521F">
            <w:rPr>
              <w:i/>
              <w:iCs/>
            </w:rPr>
            <w:t>Theory into Practice</w:t>
          </w:r>
          <w:r>
            <w:t xml:space="preserve">, 39(3), 131-137. </w:t>
          </w:r>
          <w:r w:rsidR="00F2521F">
            <w:t xml:space="preserve">Available at: </w:t>
          </w:r>
          <w:hyperlink r:id="rId7" w:history="1">
            <w:r w:rsidR="00F2521F" w:rsidRPr="0073783E">
              <w:rPr>
                <w:rStyle w:val="Hyperlink"/>
              </w:rPr>
              <w:t>http://www.jstor.org/stable/i264807</w:t>
            </w:r>
          </w:hyperlink>
          <w:r w:rsidR="00F2521F">
            <w:t xml:space="preserve"> (Accessed: </w:t>
          </w:r>
          <w:r>
            <w:t>6 May 2024</w:t>
          </w:r>
          <w:r w:rsidR="00F2521F">
            <w:t>).</w:t>
          </w:r>
        </w:p>
        <w:p w14:paraId="53DE935F" w14:textId="3E5174ED" w:rsidR="00C04AFF" w:rsidRPr="00C04AFF" w:rsidRDefault="00C04AFF">
          <w:r>
            <w:t xml:space="preserve">European Parliament, Council of the European Union (2016) </w:t>
          </w:r>
          <w:r>
            <w:rPr>
              <w:i/>
              <w:iCs/>
            </w:rPr>
            <w:t xml:space="preserve">General Data Protection Regulation. </w:t>
          </w:r>
          <w:r>
            <w:t xml:space="preserve">Available at: </w:t>
          </w:r>
          <w:hyperlink r:id="rId8" w:history="1">
            <w:r w:rsidRPr="00F04826">
              <w:rPr>
                <w:rStyle w:val="Hyperlink"/>
              </w:rPr>
              <w:t>https://gdpr-info.eu/</w:t>
            </w:r>
          </w:hyperlink>
          <w:r>
            <w:t xml:space="preserve"> (Accessed: 09/03/2024).</w:t>
          </w:r>
        </w:p>
        <w:p w14:paraId="492AE6E9" w14:textId="445893CF" w:rsidR="00786BB4" w:rsidRDefault="00786BB4">
          <w:r>
            <w:t xml:space="preserve">Estyn (2018) </w:t>
          </w:r>
          <w:r w:rsidRPr="00786BB4">
            <w:rPr>
              <w:i/>
              <w:iCs/>
            </w:rPr>
            <w:t xml:space="preserve">A Report on Ysgol </w:t>
          </w:r>
          <w:proofErr w:type="spellStart"/>
          <w:r w:rsidRPr="00786BB4">
            <w:rPr>
              <w:i/>
              <w:iCs/>
            </w:rPr>
            <w:t>Gynradd</w:t>
          </w:r>
          <w:proofErr w:type="spellEnd"/>
          <w:r w:rsidRPr="00786BB4">
            <w:rPr>
              <w:i/>
              <w:iCs/>
            </w:rPr>
            <w:t xml:space="preserve"> </w:t>
          </w:r>
          <w:proofErr w:type="spellStart"/>
          <w:r w:rsidRPr="00786BB4">
            <w:rPr>
              <w:i/>
              <w:iCs/>
            </w:rPr>
            <w:t>G</w:t>
          </w:r>
          <w:r w:rsidRPr="00B93EBC">
            <w:rPr>
              <w:i/>
              <w:iCs/>
            </w:rPr>
            <w:t>ymraeg</w:t>
          </w:r>
          <w:proofErr w:type="spellEnd"/>
          <w:r w:rsidRPr="00B93EBC">
            <w:rPr>
              <w:i/>
              <w:iCs/>
            </w:rPr>
            <w:t xml:space="preserve"> </w:t>
          </w:r>
          <w:r w:rsidR="00B93EBC">
            <w:rPr>
              <w:i/>
              <w:iCs/>
            </w:rPr>
            <w:t>X</w:t>
          </w:r>
          <w:r w:rsidRPr="00B93EBC">
            <w:rPr>
              <w:i/>
              <w:iCs/>
            </w:rPr>
            <w:t xml:space="preserve">. </w:t>
          </w:r>
          <w:r w:rsidRPr="00B93EBC">
            <w:t xml:space="preserve">Available at: </w:t>
          </w:r>
          <w:hyperlink r:id="rId9" w:history="1">
            <w:r w:rsidR="00B93EBC" w:rsidRPr="00BB46D2">
              <w:rPr>
                <w:rStyle w:val="Hyperlink"/>
              </w:rPr>
              <w:t>https://www.estyn.gov.wales/system/files/2021-08/Inspection%20report%20Ysgol%20Gynradd%20Gymraeg%20X%202018.pdf</w:t>
            </w:r>
          </w:hyperlink>
          <w:r>
            <w:t xml:space="preserve"> (Accessed: 09/03/2024).</w:t>
          </w:r>
        </w:p>
        <w:p w14:paraId="26CFD52C" w14:textId="253B9F50" w:rsidR="00A80DE4" w:rsidRDefault="00A80DE4" w:rsidP="00A80DE4">
          <w:r>
            <w:t>European Union (2016) ‘</w:t>
          </w:r>
          <w:r w:rsidRPr="00A80DE4">
            <w:t>General Data Protection Regulation</w:t>
          </w:r>
          <w:r>
            <w:t xml:space="preserve">’, </w:t>
          </w:r>
          <w:r w:rsidRPr="00A80DE4">
            <w:t>Official Journal L 119, 1-88. http://data.europa.eu/eli/reg/2016/679/oj</w:t>
          </w:r>
          <w:r>
            <w:t>.</w:t>
          </w:r>
        </w:p>
        <w:p w14:paraId="365E0EF6" w14:textId="0BB28CBB" w:rsidR="00117511" w:rsidRDefault="00117511">
          <w:r>
            <w:t xml:space="preserve">Kent, R. A. (2015) </w:t>
          </w:r>
          <w:r>
            <w:rPr>
              <w:i/>
              <w:iCs/>
            </w:rPr>
            <w:t xml:space="preserve">Analysing Quantitative Data. </w:t>
          </w:r>
          <w:r>
            <w:t xml:space="preserve">Sage Publications. Available at: </w:t>
          </w:r>
          <w:hyperlink r:id="rId10" w:history="1">
            <w:r w:rsidRPr="0073783E">
              <w:rPr>
                <w:rStyle w:val="Hyperlink"/>
              </w:rPr>
              <w:t>https://uk.sagepub.com/sites/default/files/upm-binaries/67702_Kent,_Analysing_Quantitive_Data_Chapter_2.pdf</w:t>
            </w:r>
          </w:hyperlink>
          <w:r>
            <w:t>.</w:t>
          </w:r>
        </w:p>
        <w:p w14:paraId="350CAC67" w14:textId="6EDCAE4A" w:rsidR="000931DB" w:rsidRDefault="00F2521F" w:rsidP="00F2521F">
          <w:r>
            <w:lastRenderedPageBreak/>
            <w:t xml:space="preserve">Kvale, S. and Brinkmann, S. (2009) </w:t>
          </w:r>
          <w:proofErr w:type="spellStart"/>
          <w:r w:rsidRPr="00F2521F">
            <w:rPr>
              <w:i/>
              <w:iCs/>
            </w:rPr>
            <w:t>InterViews</w:t>
          </w:r>
          <w:proofErr w:type="spellEnd"/>
          <w:r w:rsidRPr="00F2521F">
            <w:rPr>
              <w:i/>
              <w:iCs/>
            </w:rPr>
            <w:t>: Learning the craft of qualitative research interviewing</w:t>
          </w:r>
          <w:r>
            <w:t>. 2nd edition. Los Angeles, CA: Sage Publications.</w:t>
          </w:r>
        </w:p>
        <w:bookmarkStart w:id="0" w:name="_Hlk162702300" w:displacedByCustomXml="next"/>
        <w:sdt>
          <w:sdtPr>
            <w:id w:val="-1071809315"/>
            <w:bibliography/>
          </w:sdtPr>
          <w:sdtContent>
            <w:p w14:paraId="64D48900" w14:textId="732ED30B" w:rsidR="007B000C" w:rsidRDefault="007B000C" w:rsidP="00F2521F">
              <w:r w:rsidRPr="009D6A0F">
                <w:t xml:space="preserve">Leighton, J.P., Guo, Q. and Tang, W. </w:t>
              </w:r>
              <w:r>
                <w:t>(</w:t>
              </w:r>
              <w:r w:rsidRPr="009D6A0F">
                <w:t>2022</w:t>
              </w:r>
              <w:r>
                <w:t>)</w:t>
              </w:r>
              <w:r w:rsidRPr="009D6A0F">
                <w:t xml:space="preserve"> </w:t>
              </w:r>
              <w:r>
                <w:t>‘</w:t>
              </w:r>
              <w:r w:rsidRPr="009D6A0F">
                <w:t xml:space="preserve">Measuring </w:t>
              </w:r>
              <w:r>
                <w:t>P</w:t>
              </w:r>
              <w:r w:rsidRPr="009D6A0F">
                <w:t xml:space="preserve">reservice </w:t>
              </w:r>
              <w:r>
                <w:t>T</w:t>
              </w:r>
              <w:r w:rsidRPr="009D6A0F">
                <w:t xml:space="preserve">eachers’ </w:t>
              </w:r>
              <w:r>
                <w:t>A</w:t>
              </w:r>
              <w:r w:rsidRPr="009D6A0F">
                <w:t xml:space="preserve">ttitudes </w:t>
              </w:r>
              <w:r>
                <w:t>T</w:t>
              </w:r>
              <w:r w:rsidRPr="009D6A0F">
                <w:t xml:space="preserve">owards </w:t>
              </w:r>
              <w:r>
                <w:t>M</w:t>
              </w:r>
              <w:r w:rsidRPr="009D6A0F">
                <w:t xml:space="preserve">istakes in </w:t>
              </w:r>
              <w:r>
                <w:t>L</w:t>
              </w:r>
              <w:r w:rsidRPr="009D6A0F">
                <w:t xml:space="preserve">earning </w:t>
              </w:r>
              <w:r>
                <w:t>E</w:t>
              </w:r>
              <w:r w:rsidRPr="009D6A0F">
                <w:t>nvironments</w:t>
              </w:r>
              <w:r>
                <w:t>’</w:t>
              </w:r>
              <w:bookmarkEnd w:id="0"/>
              <w:r>
                <w:t>,</w:t>
              </w:r>
              <w:r w:rsidRPr="009D6A0F">
                <w:t xml:space="preserve"> </w:t>
              </w:r>
              <w:r w:rsidRPr="009D6A0F">
                <w:rPr>
                  <w:i/>
                  <w:iCs/>
                </w:rPr>
                <w:t>Learning Environments Research</w:t>
              </w:r>
              <w:r w:rsidRPr="009D6A0F">
                <w:t>, 25(1), pp.287-304.</w:t>
              </w:r>
            </w:p>
          </w:sdtContent>
        </w:sdt>
        <w:p w14:paraId="2C5D146B" w14:textId="342AB2C4" w:rsidR="00117511" w:rsidRDefault="00117511" w:rsidP="00F2521F">
          <w:r w:rsidRPr="00117511">
            <w:t>Maguire, M. and Delahunt, B.</w:t>
          </w:r>
          <w:r>
            <w:t xml:space="preserve"> (</w:t>
          </w:r>
          <w:r w:rsidRPr="00117511">
            <w:t>2017</w:t>
          </w:r>
          <w:r>
            <w:t>)</w:t>
          </w:r>
          <w:r w:rsidRPr="00117511">
            <w:t xml:space="preserve"> </w:t>
          </w:r>
          <w:r>
            <w:t>‘</w:t>
          </w:r>
          <w:r w:rsidRPr="00117511">
            <w:t>Doing a thematic analysis: A practical, step-by-step guide for learning and teaching scholars</w:t>
          </w:r>
          <w:r>
            <w:t>’,</w:t>
          </w:r>
          <w:r w:rsidRPr="00117511">
            <w:t xml:space="preserve"> </w:t>
          </w:r>
          <w:r w:rsidRPr="00117511">
            <w:rPr>
              <w:i/>
              <w:iCs/>
            </w:rPr>
            <w:t>All Ireland journal of higher education,</w:t>
          </w:r>
          <w:r w:rsidRPr="00117511">
            <w:t xml:space="preserve"> 9(3).</w:t>
          </w:r>
        </w:p>
        <w:p w14:paraId="53FCDF6D" w14:textId="6B1680A9" w:rsidR="007B000C" w:rsidRDefault="007B000C" w:rsidP="00F2521F">
          <w:bookmarkStart w:id="1" w:name="_Hlk165988291"/>
          <w:proofErr w:type="spellStart"/>
          <w:r w:rsidRPr="00AD3604">
            <w:t>Soncini</w:t>
          </w:r>
          <w:proofErr w:type="spellEnd"/>
          <w:r w:rsidRPr="00AD3604">
            <w:t xml:space="preserve">, A., Matteucci, M.C. and Butera, F. </w:t>
          </w:r>
          <w:r>
            <w:t>(</w:t>
          </w:r>
          <w:r w:rsidRPr="00AD3604">
            <w:t>2021</w:t>
          </w:r>
          <w:r>
            <w:t>)</w:t>
          </w:r>
          <w:r w:rsidRPr="00AD3604">
            <w:t xml:space="preserve"> </w:t>
          </w:r>
          <w:bookmarkEnd w:id="1"/>
          <w:r>
            <w:t>‘</w:t>
          </w:r>
          <w:r w:rsidRPr="00AD3604">
            <w:t xml:space="preserve">Error </w:t>
          </w:r>
          <w:r>
            <w:t>H</w:t>
          </w:r>
          <w:r w:rsidRPr="00AD3604">
            <w:t xml:space="preserve">andling in the </w:t>
          </w:r>
          <w:r>
            <w:t>C</w:t>
          </w:r>
          <w:r w:rsidRPr="00AD3604">
            <w:t xml:space="preserve">lassroom: An </w:t>
          </w:r>
          <w:r>
            <w:t>E</w:t>
          </w:r>
          <w:r w:rsidRPr="00AD3604">
            <w:t xml:space="preserve">xperimental </w:t>
          </w:r>
          <w:r>
            <w:t>S</w:t>
          </w:r>
          <w:r w:rsidRPr="00AD3604">
            <w:t xml:space="preserve">tudy of </w:t>
          </w:r>
          <w:r>
            <w:t>T</w:t>
          </w:r>
          <w:r w:rsidRPr="00AD3604">
            <w:t xml:space="preserve">eachers’ </w:t>
          </w:r>
          <w:r>
            <w:t>S</w:t>
          </w:r>
          <w:r w:rsidRPr="00AD3604">
            <w:t xml:space="preserve">trategies to </w:t>
          </w:r>
          <w:r>
            <w:t>F</w:t>
          </w:r>
          <w:r w:rsidRPr="00AD3604">
            <w:t xml:space="preserve">oster </w:t>
          </w:r>
          <w:r>
            <w:t>P</w:t>
          </w:r>
          <w:r w:rsidRPr="00AD3604">
            <w:t xml:space="preserve">ositive </w:t>
          </w:r>
          <w:r>
            <w:t>E</w:t>
          </w:r>
          <w:r w:rsidRPr="00AD3604">
            <w:t xml:space="preserve">rror </w:t>
          </w:r>
          <w:r>
            <w:t>C</w:t>
          </w:r>
          <w:r w:rsidRPr="00AD3604">
            <w:t>limate</w:t>
          </w:r>
          <w:r>
            <w:t>’,</w:t>
          </w:r>
          <w:r w:rsidRPr="00AD3604">
            <w:t xml:space="preserve"> </w:t>
          </w:r>
          <w:r w:rsidRPr="00AD3604">
            <w:rPr>
              <w:i/>
              <w:iCs/>
            </w:rPr>
            <w:t>European Journal of Psychology of Education</w:t>
          </w:r>
          <w:r w:rsidRPr="00AD3604">
            <w:t>, 36(3), pp.719-738.</w:t>
          </w:r>
        </w:p>
        <w:p w14:paraId="0EB3CB2D" w14:textId="2A57FB47" w:rsidR="007B000C" w:rsidRPr="000931DB" w:rsidRDefault="007B000C" w:rsidP="00F2521F">
          <w:r w:rsidRPr="009D6A0F">
            <w:t xml:space="preserve">Tanaka, J. </w:t>
          </w:r>
          <w:r>
            <w:t>(</w:t>
          </w:r>
          <w:r w:rsidRPr="009D6A0F">
            <w:t>2021</w:t>
          </w:r>
          <w:r>
            <w:t>)</w:t>
          </w:r>
          <w:r w:rsidRPr="009D6A0F">
            <w:t xml:space="preserve"> </w:t>
          </w:r>
          <w:r w:rsidRPr="009D6A0F">
            <w:rPr>
              <w:i/>
              <w:iCs/>
            </w:rPr>
            <w:t xml:space="preserve">Making Mistakes, No Big </w:t>
          </w:r>
          <w:proofErr w:type="gramStart"/>
          <w:r w:rsidRPr="009D6A0F">
            <w:rPr>
              <w:i/>
              <w:iCs/>
            </w:rPr>
            <w:t>Deal!:</w:t>
          </w:r>
          <w:proofErr w:type="gramEnd"/>
          <w:r w:rsidRPr="009D6A0F">
            <w:rPr>
              <w:i/>
              <w:iCs/>
            </w:rPr>
            <w:t xml:space="preserve"> How Finnish Primary School Teachers Understand Coping with Ambiguity, Uncertainty and Risk</w:t>
          </w:r>
          <w:r>
            <w:rPr>
              <w:i/>
              <w:iCs/>
            </w:rPr>
            <w:t>.</w:t>
          </w:r>
          <w:r w:rsidRPr="009D6A0F">
            <w:t xml:space="preserve"> (Master's </w:t>
          </w:r>
          <w:r>
            <w:t>T</w:t>
          </w:r>
          <w:r w:rsidRPr="009D6A0F">
            <w:t>hesis, J. Tanaka).</w:t>
          </w:r>
        </w:p>
        <w:p w14:paraId="566C954A" w14:textId="54E03A35" w:rsidR="00ED2187" w:rsidRDefault="00ED2187" w:rsidP="00F2521F">
          <w:r w:rsidRPr="00ED2187">
            <w:t>Tight, M. (2010) The curious case of case study: a viewpoint, International Journal of Social Research Methodology, 13:4, 329-339, DOI: 10.1080/13645570903187181</w:t>
          </w:r>
          <w:r>
            <w:t>.</w:t>
          </w:r>
        </w:p>
        <w:p w14:paraId="3CC1CCF1" w14:textId="25606412" w:rsidR="007B000C" w:rsidRDefault="007B000C" w:rsidP="00F2521F">
          <w:bookmarkStart w:id="2" w:name="_Hlk165985430"/>
          <w:r w:rsidRPr="00B15886">
            <w:t>Tulis, M. (2013)</w:t>
          </w:r>
          <w:r w:rsidRPr="00FB0997">
            <w:t xml:space="preserve"> </w:t>
          </w:r>
          <w:bookmarkEnd w:id="2"/>
          <w:r>
            <w:t>‘</w:t>
          </w:r>
          <w:r w:rsidRPr="00FB0997">
            <w:t xml:space="preserve">Error </w:t>
          </w:r>
          <w:r>
            <w:t>M</w:t>
          </w:r>
          <w:r w:rsidRPr="00FB0997">
            <w:t xml:space="preserve">anagement </w:t>
          </w:r>
          <w:proofErr w:type="spellStart"/>
          <w:r>
            <w:t>B</w:t>
          </w:r>
          <w:r w:rsidRPr="00FB0997">
            <w:t>ehavior</w:t>
          </w:r>
          <w:proofErr w:type="spellEnd"/>
          <w:r w:rsidRPr="00FB0997">
            <w:t xml:space="preserve"> in </w:t>
          </w:r>
          <w:r>
            <w:t>C</w:t>
          </w:r>
          <w:r w:rsidRPr="00FB0997">
            <w:t xml:space="preserve">lassrooms: Teachers' </w:t>
          </w:r>
          <w:r>
            <w:t>R</w:t>
          </w:r>
          <w:r w:rsidRPr="00FB0997">
            <w:t xml:space="preserve">esponses to </w:t>
          </w:r>
          <w:r>
            <w:t>S</w:t>
          </w:r>
          <w:r w:rsidRPr="00FB0997">
            <w:t xml:space="preserve">tudent </w:t>
          </w:r>
          <w:r>
            <w:t>M</w:t>
          </w:r>
          <w:r w:rsidRPr="00FB0997">
            <w:t>istakes</w:t>
          </w:r>
          <w:r>
            <w:t>’,</w:t>
          </w:r>
          <w:r w:rsidRPr="00FB0997">
            <w:t xml:space="preserve"> </w:t>
          </w:r>
          <w:r w:rsidRPr="00FB0997">
            <w:rPr>
              <w:i/>
              <w:iCs/>
            </w:rPr>
            <w:t>Teaching and Teacher Education</w:t>
          </w:r>
          <w:r w:rsidRPr="00FB0997">
            <w:t>, 33, pp.56-68.</w:t>
          </w:r>
        </w:p>
        <w:p w14:paraId="497CAE2A" w14:textId="3058B714" w:rsidR="006E5A26" w:rsidRDefault="006E5A26" w:rsidP="00F2521F">
          <w:r w:rsidRPr="006E5A26">
            <w:t xml:space="preserve">Thomas, G. (2021) </w:t>
          </w:r>
          <w:r w:rsidRPr="006E5A26">
            <w:rPr>
              <w:i/>
              <w:iCs/>
            </w:rPr>
            <w:t>How to do your case study.</w:t>
          </w:r>
          <w:r w:rsidRPr="006E5A26">
            <w:t xml:space="preserve"> Sage.</w:t>
          </w:r>
        </w:p>
        <w:p w14:paraId="6AD718EE" w14:textId="15E2FCBB" w:rsidR="001901A6" w:rsidRDefault="001901A6">
          <w:pPr>
            <w:rPr>
              <w:i/>
              <w:iCs/>
            </w:rPr>
          </w:pPr>
          <w:r w:rsidRPr="001901A6">
            <w:t xml:space="preserve">Wilson, V. </w:t>
          </w:r>
          <w:r>
            <w:t>(</w:t>
          </w:r>
          <w:r w:rsidRPr="001901A6">
            <w:t>2012</w:t>
          </w:r>
          <w:r>
            <w:t>)</w:t>
          </w:r>
          <w:r w:rsidRPr="001901A6">
            <w:t xml:space="preserve"> </w:t>
          </w:r>
          <w:r w:rsidRPr="001901A6">
            <w:rPr>
              <w:i/>
              <w:iCs/>
            </w:rPr>
            <w:t>Research methods: interviews.</w:t>
          </w:r>
        </w:p>
        <w:p w14:paraId="1A605D65" w14:textId="5528F091" w:rsidR="007B000C" w:rsidRPr="007B000C" w:rsidRDefault="007B000C">
          <w:bookmarkStart w:id="3" w:name="_Hlk165988990"/>
          <w:r w:rsidRPr="009F7E15">
            <w:t xml:space="preserve">Yildiz, A., </w:t>
          </w:r>
          <w:proofErr w:type="spellStart"/>
          <w:r w:rsidRPr="009F7E15">
            <w:t>Bakırcı</w:t>
          </w:r>
          <w:proofErr w:type="spellEnd"/>
          <w:r w:rsidRPr="009F7E15">
            <w:t xml:space="preserve">, H. and Türkdoğan, A. </w:t>
          </w:r>
          <w:r>
            <w:t>(</w:t>
          </w:r>
          <w:r w:rsidRPr="009F7E15">
            <w:t>2023</w:t>
          </w:r>
          <w:r>
            <w:t>)</w:t>
          </w:r>
          <w:r w:rsidRPr="009F7E15">
            <w:t xml:space="preserve"> </w:t>
          </w:r>
          <w:bookmarkEnd w:id="3"/>
          <w:r>
            <w:t>‘</w:t>
          </w:r>
          <w:r w:rsidRPr="009F7E15">
            <w:t xml:space="preserve">Teacher </w:t>
          </w:r>
          <w:r>
            <w:t>C</w:t>
          </w:r>
          <w:r w:rsidRPr="009F7E15">
            <w:t xml:space="preserve">andidates’ </w:t>
          </w:r>
          <w:r>
            <w:t>A</w:t>
          </w:r>
          <w:r w:rsidRPr="009F7E15">
            <w:t xml:space="preserve">ttitudes </w:t>
          </w:r>
          <w:r>
            <w:t>T</w:t>
          </w:r>
          <w:r w:rsidRPr="009F7E15">
            <w:t xml:space="preserve">owards </w:t>
          </w:r>
          <w:r>
            <w:t>M</w:t>
          </w:r>
          <w:r w:rsidRPr="009F7E15">
            <w:t xml:space="preserve">istake and </w:t>
          </w:r>
          <w:r>
            <w:t>I</w:t>
          </w:r>
          <w:r w:rsidRPr="009F7E15">
            <w:t xml:space="preserve">nstant </w:t>
          </w:r>
          <w:r>
            <w:t>F</w:t>
          </w:r>
          <w:r w:rsidRPr="009F7E15">
            <w:t>eedback</w:t>
          </w:r>
          <w:r>
            <w:t>’,</w:t>
          </w:r>
          <w:r w:rsidRPr="009F7E15">
            <w:t xml:space="preserve"> </w:t>
          </w:r>
          <w:r w:rsidRPr="009F7E15">
            <w:rPr>
              <w:i/>
              <w:iCs/>
            </w:rPr>
            <w:t>Journal of Pedagogical Research</w:t>
          </w:r>
          <w:r w:rsidRPr="009F7E15">
            <w:t>, 7(3).</w:t>
          </w:r>
        </w:p>
        <w:p w14:paraId="0AD7F5EA" w14:textId="308EAE5A" w:rsidR="00AE4B42" w:rsidRDefault="00AE4B42">
          <w:r w:rsidRPr="00AE4B42">
            <w:t>Youngman</w:t>
          </w:r>
          <w:r w:rsidR="001901A6">
            <w:t>,</w:t>
          </w:r>
          <w:r w:rsidRPr="00AE4B42">
            <w:t xml:space="preserve"> M. B. </w:t>
          </w:r>
          <w:r>
            <w:t>(</w:t>
          </w:r>
          <w:r w:rsidRPr="00AE4B42">
            <w:t>1982</w:t>
          </w:r>
          <w:r>
            <w:t>)</w:t>
          </w:r>
          <w:r w:rsidRPr="00AE4B42">
            <w:t xml:space="preserve"> </w:t>
          </w:r>
          <w:r w:rsidRPr="00AE4B42">
            <w:rPr>
              <w:i/>
              <w:iCs/>
            </w:rPr>
            <w:t>Designing and Analysing Questionnaires</w:t>
          </w:r>
          <w:r w:rsidRPr="00AE4B42">
            <w:t>. Oxford: TRC-</w:t>
          </w:r>
          <w:proofErr w:type="spellStart"/>
          <w:r w:rsidRPr="00AE4B42">
            <w:t>Rediguides</w:t>
          </w:r>
          <w:proofErr w:type="spellEnd"/>
          <w:r w:rsidRPr="00AE4B42">
            <w:t>.</w:t>
          </w:r>
        </w:p>
        <w:p w14:paraId="68F53B70" w14:textId="3F670A34" w:rsidR="00C04AFF" w:rsidRDefault="00C04AFF"/>
        <w:p w14:paraId="02E9FE1A" w14:textId="01418228" w:rsidR="00EF3C50" w:rsidRDefault="00000000"/>
      </w:sdtContent>
    </w:sdt>
    <w:p w14:paraId="7174FFF2" w14:textId="119B3F5B" w:rsidR="00AD3604" w:rsidRDefault="00AD3604"/>
    <w:p w14:paraId="50A9CE3D" w14:textId="77777777" w:rsidR="008D256A" w:rsidRDefault="008D256A"/>
    <w:p w14:paraId="650FE575" w14:textId="3D342A1D" w:rsidR="008D256A" w:rsidRDefault="008D256A"/>
    <w:p w14:paraId="32C5DF8D" w14:textId="03C87B70" w:rsidR="002500FD" w:rsidRDefault="002500FD"/>
    <w:p w14:paraId="79ACB02B" w14:textId="77777777" w:rsidR="002500FD" w:rsidRDefault="002500FD"/>
    <w:p w14:paraId="2794AF57" w14:textId="77777777" w:rsidR="002500FD" w:rsidRDefault="002500FD"/>
    <w:p w14:paraId="5F426128" w14:textId="77777777" w:rsidR="00BC4C7C" w:rsidRPr="0035578F" w:rsidRDefault="00BC4C7C" w:rsidP="00BC4C7C"/>
    <w:sectPr w:rsidR="00BC4C7C" w:rsidRPr="00355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D3248"/>
    <w:multiLevelType w:val="hybridMultilevel"/>
    <w:tmpl w:val="D31C6AD8"/>
    <w:lvl w:ilvl="0" w:tplc="C91A7F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B60C4"/>
    <w:multiLevelType w:val="hybridMultilevel"/>
    <w:tmpl w:val="B4C6B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24E81"/>
    <w:multiLevelType w:val="hybridMultilevel"/>
    <w:tmpl w:val="FD44B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4714D"/>
    <w:multiLevelType w:val="hybridMultilevel"/>
    <w:tmpl w:val="9D320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C455FA"/>
    <w:multiLevelType w:val="hybridMultilevel"/>
    <w:tmpl w:val="0E6ED698"/>
    <w:lvl w:ilvl="0" w:tplc="7ACC6A6C">
      <w:start w:val="8"/>
      <w:numFmt w:val="bullet"/>
      <w:lvlText w:val="-"/>
      <w:lvlJc w:val="left"/>
      <w:pPr>
        <w:ind w:left="720" w:hanging="360"/>
      </w:pPr>
      <w:rPr>
        <w:rFonts w:ascii="Arial" w:eastAsia="Times New Roman"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7A6487"/>
    <w:multiLevelType w:val="hybridMultilevel"/>
    <w:tmpl w:val="F91C4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963A43"/>
    <w:multiLevelType w:val="hybridMultilevel"/>
    <w:tmpl w:val="BE344F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A0728C"/>
    <w:multiLevelType w:val="hybridMultilevel"/>
    <w:tmpl w:val="687CFC90"/>
    <w:lvl w:ilvl="0" w:tplc="11007F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22EFF"/>
    <w:multiLevelType w:val="hybridMultilevel"/>
    <w:tmpl w:val="76BA5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1E6E6F"/>
    <w:multiLevelType w:val="hybridMultilevel"/>
    <w:tmpl w:val="31EC801E"/>
    <w:lvl w:ilvl="0" w:tplc="7A6E2D8C">
      <w:start w:val="1"/>
      <w:numFmt w:val="decimal"/>
      <w:lvlText w:val="%1."/>
      <w:lvlJc w:val="left"/>
      <w:pPr>
        <w:ind w:left="720" w:hanging="360"/>
      </w:pPr>
      <w:rPr>
        <w:rFonts w:ascii="Arial" w:eastAsia="Times New Roman" w:hAnsi="Arial" w:cs="Arial"/>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9A13806"/>
    <w:multiLevelType w:val="hybridMultilevel"/>
    <w:tmpl w:val="E55812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08300F"/>
    <w:multiLevelType w:val="hybridMultilevel"/>
    <w:tmpl w:val="DD7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994E5B"/>
    <w:multiLevelType w:val="hybridMultilevel"/>
    <w:tmpl w:val="A15836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B86EAB"/>
    <w:multiLevelType w:val="hybridMultilevel"/>
    <w:tmpl w:val="CF383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509167">
    <w:abstractNumId w:val="0"/>
  </w:num>
  <w:num w:numId="2" w16cid:durableId="113522016">
    <w:abstractNumId w:val="31"/>
  </w:num>
  <w:num w:numId="3" w16cid:durableId="1867793585">
    <w:abstractNumId w:val="18"/>
  </w:num>
  <w:num w:numId="4" w16cid:durableId="1231961081">
    <w:abstractNumId w:val="37"/>
  </w:num>
  <w:num w:numId="5" w16cid:durableId="72048877">
    <w:abstractNumId w:val="20"/>
  </w:num>
  <w:num w:numId="6" w16cid:durableId="457115868">
    <w:abstractNumId w:val="2"/>
  </w:num>
  <w:num w:numId="7" w16cid:durableId="1717192633">
    <w:abstractNumId w:val="26"/>
  </w:num>
  <w:num w:numId="8" w16cid:durableId="1670131347">
    <w:abstractNumId w:val="36"/>
  </w:num>
  <w:num w:numId="9" w16cid:durableId="850493201">
    <w:abstractNumId w:val="17"/>
  </w:num>
  <w:num w:numId="10" w16cid:durableId="1418014885">
    <w:abstractNumId w:val="30"/>
  </w:num>
  <w:num w:numId="11" w16cid:durableId="1351489909">
    <w:abstractNumId w:val="7"/>
  </w:num>
  <w:num w:numId="12" w16cid:durableId="996802858">
    <w:abstractNumId w:val="38"/>
  </w:num>
  <w:num w:numId="13"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8"/>
  </w:num>
  <w:num w:numId="17" w16cid:durableId="465201546">
    <w:abstractNumId w:val="13"/>
  </w:num>
  <w:num w:numId="18" w16cid:durableId="801313199">
    <w:abstractNumId w:val="15"/>
  </w:num>
  <w:num w:numId="19" w16cid:durableId="1932622472">
    <w:abstractNumId w:val="34"/>
  </w:num>
  <w:num w:numId="20" w16cid:durableId="803698313">
    <w:abstractNumId w:val="32"/>
  </w:num>
  <w:num w:numId="21" w16cid:durableId="1870216879">
    <w:abstractNumId w:val="33"/>
  </w:num>
  <w:num w:numId="22" w16cid:durableId="100340676">
    <w:abstractNumId w:val="3"/>
  </w:num>
  <w:num w:numId="23" w16cid:durableId="1557625305">
    <w:abstractNumId w:val="10"/>
  </w:num>
  <w:num w:numId="24" w16cid:durableId="1281380168">
    <w:abstractNumId w:val="12"/>
  </w:num>
  <w:num w:numId="25" w16cid:durableId="1244143853">
    <w:abstractNumId w:val="19"/>
  </w:num>
  <w:num w:numId="26" w16cid:durableId="131824218">
    <w:abstractNumId w:val="22"/>
  </w:num>
  <w:num w:numId="27" w16cid:durableId="395248324">
    <w:abstractNumId w:val="35"/>
  </w:num>
  <w:num w:numId="28" w16cid:durableId="267927197">
    <w:abstractNumId w:val="9"/>
  </w:num>
  <w:num w:numId="29" w16cid:durableId="48654765">
    <w:abstractNumId w:val="24"/>
  </w:num>
  <w:num w:numId="30" w16cid:durableId="1337196786">
    <w:abstractNumId w:val="29"/>
  </w:num>
  <w:num w:numId="31" w16cid:durableId="1755130753">
    <w:abstractNumId w:val="4"/>
  </w:num>
  <w:num w:numId="32" w16cid:durableId="726926220">
    <w:abstractNumId w:val="16"/>
  </w:num>
  <w:num w:numId="33" w16cid:durableId="2083483834">
    <w:abstractNumId w:val="21"/>
  </w:num>
  <w:num w:numId="34" w16cid:durableId="2097245557">
    <w:abstractNumId w:val="39"/>
  </w:num>
  <w:num w:numId="35" w16cid:durableId="475149258">
    <w:abstractNumId w:val="28"/>
  </w:num>
  <w:num w:numId="36" w16cid:durableId="60642434">
    <w:abstractNumId w:val="6"/>
  </w:num>
  <w:num w:numId="37" w16cid:durableId="91248170">
    <w:abstractNumId w:val="23"/>
  </w:num>
  <w:num w:numId="38" w16cid:durableId="206183043">
    <w:abstractNumId w:val="1"/>
  </w:num>
  <w:num w:numId="39" w16cid:durableId="771821236">
    <w:abstractNumId w:val="5"/>
  </w:num>
  <w:num w:numId="40" w16cid:durableId="1891072798">
    <w:abstractNumId w:val="11"/>
  </w:num>
  <w:num w:numId="41" w16cid:durableId="3750132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046"/>
    <w:rsid w:val="000171B5"/>
    <w:rsid w:val="000327B6"/>
    <w:rsid w:val="000857D2"/>
    <w:rsid w:val="000931DB"/>
    <w:rsid w:val="00096124"/>
    <w:rsid w:val="000F4FCE"/>
    <w:rsid w:val="000F6EE3"/>
    <w:rsid w:val="00114BCC"/>
    <w:rsid w:val="00117511"/>
    <w:rsid w:val="00156657"/>
    <w:rsid w:val="00163DF6"/>
    <w:rsid w:val="001754F7"/>
    <w:rsid w:val="001802B2"/>
    <w:rsid w:val="001901A6"/>
    <w:rsid w:val="001A4CF3"/>
    <w:rsid w:val="001E10BD"/>
    <w:rsid w:val="001F78CF"/>
    <w:rsid w:val="0023354B"/>
    <w:rsid w:val="0024210A"/>
    <w:rsid w:val="002500FD"/>
    <w:rsid w:val="0025069E"/>
    <w:rsid w:val="002632D1"/>
    <w:rsid w:val="00263A8E"/>
    <w:rsid w:val="002775C7"/>
    <w:rsid w:val="00291F6B"/>
    <w:rsid w:val="00295CB0"/>
    <w:rsid w:val="002C26B1"/>
    <w:rsid w:val="002C4F05"/>
    <w:rsid w:val="002D02E9"/>
    <w:rsid w:val="002E07A8"/>
    <w:rsid w:val="002E566E"/>
    <w:rsid w:val="003514B9"/>
    <w:rsid w:val="0035578F"/>
    <w:rsid w:val="003735DE"/>
    <w:rsid w:val="0038026A"/>
    <w:rsid w:val="003923BD"/>
    <w:rsid w:val="003968C0"/>
    <w:rsid w:val="003D0200"/>
    <w:rsid w:val="003D7C29"/>
    <w:rsid w:val="00482487"/>
    <w:rsid w:val="004D39DE"/>
    <w:rsid w:val="004E51BA"/>
    <w:rsid w:val="004E6957"/>
    <w:rsid w:val="00500046"/>
    <w:rsid w:val="00553A80"/>
    <w:rsid w:val="005619D2"/>
    <w:rsid w:val="005724F6"/>
    <w:rsid w:val="0057382E"/>
    <w:rsid w:val="005807F2"/>
    <w:rsid w:val="005C019A"/>
    <w:rsid w:val="005C4ADF"/>
    <w:rsid w:val="005E0131"/>
    <w:rsid w:val="005F3487"/>
    <w:rsid w:val="00630346"/>
    <w:rsid w:val="00632823"/>
    <w:rsid w:val="00671EE2"/>
    <w:rsid w:val="0069496A"/>
    <w:rsid w:val="006A07DE"/>
    <w:rsid w:val="006A08CD"/>
    <w:rsid w:val="006E5A26"/>
    <w:rsid w:val="006E7E24"/>
    <w:rsid w:val="00711D3C"/>
    <w:rsid w:val="007230C0"/>
    <w:rsid w:val="00743AE3"/>
    <w:rsid w:val="00764E7F"/>
    <w:rsid w:val="007666EF"/>
    <w:rsid w:val="00786BB4"/>
    <w:rsid w:val="00790C8A"/>
    <w:rsid w:val="00794A48"/>
    <w:rsid w:val="00794F95"/>
    <w:rsid w:val="007B000C"/>
    <w:rsid w:val="007B20C2"/>
    <w:rsid w:val="008100C2"/>
    <w:rsid w:val="008A51B5"/>
    <w:rsid w:val="008B2746"/>
    <w:rsid w:val="008B6994"/>
    <w:rsid w:val="008C04A1"/>
    <w:rsid w:val="008D256A"/>
    <w:rsid w:val="008D3832"/>
    <w:rsid w:val="008F1DF6"/>
    <w:rsid w:val="00930957"/>
    <w:rsid w:val="009668D2"/>
    <w:rsid w:val="009A0ECB"/>
    <w:rsid w:val="009A6036"/>
    <w:rsid w:val="009B4684"/>
    <w:rsid w:val="009D4B4D"/>
    <w:rsid w:val="009D6A0F"/>
    <w:rsid w:val="009D6CCF"/>
    <w:rsid w:val="009E5A61"/>
    <w:rsid w:val="009E6FB3"/>
    <w:rsid w:val="009F7E15"/>
    <w:rsid w:val="00A76E70"/>
    <w:rsid w:val="00A7739B"/>
    <w:rsid w:val="00A80DE4"/>
    <w:rsid w:val="00AA79F9"/>
    <w:rsid w:val="00AC45E9"/>
    <w:rsid w:val="00AD3604"/>
    <w:rsid w:val="00AE4B42"/>
    <w:rsid w:val="00AF0C59"/>
    <w:rsid w:val="00B15886"/>
    <w:rsid w:val="00B31AAC"/>
    <w:rsid w:val="00B341E7"/>
    <w:rsid w:val="00B80D40"/>
    <w:rsid w:val="00B87E48"/>
    <w:rsid w:val="00B93EBC"/>
    <w:rsid w:val="00BC4C7C"/>
    <w:rsid w:val="00BD6A33"/>
    <w:rsid w:val="00C00355"/>
    <w:rsid w:val="00C04AFF"/>
    <w:rsid w:val="00C11536"/>
    <w:rsid w:val="00C11D57"/>
    <w:rsid w:val="00C2189A"/>
    <w:rsid w:val="00CA09E6"/>
    <w:rsid w:val="00CA54A1"/>
    <w:rsid w:val="00CB44C6"/>
    <w:rsid w:val="00CD12C4"/>
    <w:rsid w:val="00CD4FAE"/>
    <w:rsid w:val="00CE1BB3"/>
    <w:rsid w:val="00CF2119"/>
    <w:rsid w:val="00D00796"/>
    <w:rsid w:val="00D02876"/>
    <w:rsid w:val="00D06E45"/>
    <w:rsid w:val="00D16AB1"/>
    <w:rsid w:val="00D663DA"/>
    <w:rsid w:val="00D81BE4"/>
    <w:rsid w:val="00E30BF7"/>
    <w:rsid w:val="00E770C1"/>
    <w:rsid w:val="00EA0EE0"/>
    <w:rsid w:val="00ED2187"/>
    <w:rsid w:val="00ED2309"/>
    <w:rsid w:val="00EE0A02"/>
    <w:rsid w:val="00EF3C50"/>
    <w:rsid w:val="00EF6419"/>
    <w:rsid w:val="00EF65B0"/>
    <w:rsid w:val="00F10A94"/>
    <w:rsid w:val="00F1394D"/>
    <w:rsid w:val="00F22484"/>
    <w:rsid w:val="00F2521F"/>
    <w:rsid w:val="00F61898"/>
    <w:rsid w:val="00F945B1"/>
    <w:rsid w:val="00FA395F"/>
    <w:rsid w:val="00FB0997"/>
    <w:rsid w:val="00FC230A"/>
    <w:rsid w:val="00FC2CA8"/>
    <w:rsid w:val="00FC5A61"/>
    <w:rsid w:val="00FC67BF"/>
    <w:rsid w:val="00FF6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33269"/>
  <w15:chartTrackingRefBased/>
  <w15:docId w15:val="{ACD36BF0-6242-49C0-829A-784ADEC4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000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0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0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000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0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0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0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0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0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000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0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0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5000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0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0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0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0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046"/>
    <w:rPr>
      <w:rFonts w:eastAsiaTheme="majorEastAsia" w:cstheme="majorBidi"/>
      <w:color w:val="272727" w:themeColor="text1" w:themeTint="D8"/>
    </w:rPr>
  </w:style>
  <w:style w:type="paragraph" w:styleId="Title">
    <w:name w:val="Title"/>
    <w:basedOn w:val="Normal"/>
    <w:next w:val="Normal"/>
    <w:link w:val="TitleChar"/>
    <w:uiPriority w:val="10"/>
    <w:qFormat/>
    <w:rsid w:val="005000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0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0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0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046"/>
    <w:pPr>
      <w:spacing w:before="160"/>
      <w:jc w:val="center"/>
    </w:pPr>
    <w:rPr>
      <w:i/>
      <w:iCs/>
      <w:color w:val="404040" w:themeColor="text1" w:themeTint="BF"/>
    </w:rPr>
  </w:style>
  <w:style w:type="character" w:customStyle="1" w:styleId="QuoteChar">
    <w:name w:val="Quote Char"/>
    <w:basedOn w:val="DefaultParagraphFont"/>
    <w:link w:val="Quote"/>
    <w:uiPriority w:val="29"/>
    <w:rsid w:val="00500046"/>
    <w:rPr>
      <w:i/>
      <w:iCs/>
      <w:color w:val="404040" w:themeColor="text1" w:themeTint="BF"/>
    </w:rPr>
  </w:style>
  <w:style w:type="paragraph" w:styleId="ListParagraph">
    <w:name w:val="List Paragraph"/>
    <w:basedOn w:val="Normal"/>
    <w:uiPriority w:val="34"/>
    <w:qFormat/>
    <w:rsid w:val="00500046"/>
    <w:pPr>
      <w:ind w:left="720"/>
      <w:contextualSpacing/>
    </w:pPr>
  </w:style>
  <w:style w:type="character" w:styleId="IntenseEmphasis">
    <w:name w:val="Intense Emphasis"/>
    <w:basedOn w:val="DefaultParagraphFont"/>
    <w:uiPriority w:val="21"/>
    <w:qFormat/>
    <w:rsid w:val="00500046"/>
    <w:rPr>
      <w:i/>
      <w:iCs/>
      <w:color w:val="0F4761" w:themeColor="accent1" w:themeShade="BF"/>
    </w:rPr>
  </w:style>
  <w:style w:type="paragraph" w:styleId="IntenseQuote">
    <w:name w:val="Intense Quote"/>
    <w:basedOn w:val="Normal"/>
    <w:next w:val="Normal"/>
    <w:link w:val="IntenseQuoteChar"/>
    <w:uiPriority w:val="30"/>
    <w:qFormat/>
    <w:rsid w:val="00500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046"/>
    <w:rPr>
      <w:i/>
      <w:iCs/>
      <w:color w:val="0F4761" w:themeColor="accent1" w:themeShade="BF"/>
    </w:rPr>
  </w:style>
  <w:style w:type="character" w:styleId="IntenseReference">
    <w:name w:val="Intense Reference"/>
    <w:basedOn w:val="DefaultParagraphFont"/>
    <w:uiPriority w:val="32"/>
    <w:qFormat/>
    <w:rsid w:val="00500046"/>
    <w:rPr>
      <w:b/>
      <w:bCs/>
      <w:smallCaps/>
      <w:color w:val="0F4761" w:themeColor="accent1" w:themeShade="BF"/>
      <w:spacing w:val="5"/>
    </w:rPr>
  </w:style>
  <w:style w:type="character" w:styleId="Hyperlink">
    <w:name w:val="Hyperlink"/>
    <w:basedOn w:val="DefaultParagraphFont"/>
    <w:unhideWhenUsed/>
    <w:rsid w:val="00EF3C50"/>
    <w:rPr>
      <w:color w:val="467886" w:themeColor="hyperlink"/>
      <w:u w:val="single"/>
    </w:rPr>
  </w:style>
  <w:style w:type="character" w:styleId="UnresolvedMention">
    <w:name w:val="Unresolved Mention"/>
    <w:basedOn w:val="DefaultParagraphFont"/>
    <w:uiPriority w:val="99"/>
    <w:semiHidden/>
    <w:unhideWhenUsed/>
    <w:rsid w:val="00EF3C50"/>
    <w:rPr>
      <w:color w:val="605E5C"/>
      <w:shd w:val="clear" w:color="auto" w:fill="E1DFDD"/>
    </w:rPr>
  </w:style>
  <w:style w:type="table" w:styleId="TableGrid">
    <w:name w:val="Table Grid"/>
    <w:basedOn w:val="TableNormal"/>
    <w:rsid w:val="006E7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2500FD"/>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2500FD"/>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500FD"/>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2500F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500FD"/>
    <w:rPr>
      <w:rFonts w:ascii="Tahoma" w:eastAsia="Times New Roman" w:hAnsi="Tahoma" w:cs="Tahoma"/>
      <w:kern w:val="0"/>
      <w:sz w:val="16"/>
      <w:szCs w:val="16"/>
      <w14:ligatures w14:val="none"/>
    </w:rPr>
  </w:style>
  <w:style w:type="character" w:styleId="FollowedHyperlink">
    <w:name w:val="FollowedHyperlink"/>
    <w:uiPriority w:val="99"/>
    <w:semiHidden/>
    <w:rsid w:val="002500FD"/>
    <w:rPr>
      <w:color w:val="800080"/>
      <w:u w:val="single"/>
    </w:rPr>
  </w:style>
  <w:style w:type="paragraph" w:styleId="Header">
    <w:name w:val="header"/>
    <w:basedOn w:val="Normal"/>
    <w:link w:val="HeaderChar"/>
    <w:uiPriority w:val="99"/>
    <w:semiHidden/>
    <w:rsid w:val="002500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2500FD"/>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2500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2500FD"/>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2500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2500FD"/>
    <w:rPr>
      <w:color w:val="535353"/>
      <w:u w:val="single"/>
      <w:effect w:val="none"/>
    </w:rPr>
  </w:style>
  <w:style w:type="paragraph" w:customStyle="1" w:styleId="NormalWeb1">
    <w:name w:val="Normal (Web)1"/>
    <w:basedOn w:val="Normal"/>
    <w:uiPriority w:val="99"/>
    <w:rsid w:val="002500FD"/>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2500FD"/>
  </w:style>
  <w:style w:type="character" w:styleId="CommentReference">
    <w:name w:val="annotation reference"/>
    <w:uiPriority w:val="99"/>
    <w:semiHidden/>
    <w:unhideWhenUsed/>
    <w:rsid w:val="002500FD"/>
    <w:rPr>
      <w:sz w:val="16"/>
      <w:szCs w:val="16"/>
    </w:rPr>
  </w:style>
  <w:style w:type="paragraph" w:styleId="CommentText">
    <w:name w:val="annotation text"/>
    <w:basedOn w:val="Normal"/>
    <w:link w:val="CommentTextChar"/>
    <w:uiPriority w:val="99"/>
    <w:semiHidden/>
    <w:unhideWhenUsed/>
    <w:rsid w:val="002500F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500F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500FD"/>
    <w:rPr>
      <w:b/>
      <w:bCs/>
    </w:rPr>
  </w:style>
  <w:style w:type="character" w:customStyle="1" w:styleId="CommentSubjectChar">
    <w:name w:val="Comment Subject Char"/>
    <w:basedOn w:val="CommentTextChar"/>
    <w:link w:val="CommentSubject"/>
    <w:uiPriority w:val="99"/>
    <w:semiHidden/>
    <w:rsid w:val="002500FD"/>
    <w:rPr>
      <w:rFonts w:ascii="Times New Roman" w:eastAsia="Times New Roman" w:hAnsi="Times New Roman" w:cs="Times New Roman"/>
      <w:b/>
      <w:bCs/>
      <w:kern w:val="0"/>
      <w:sz w:val="20"/>
      <w:szCs w:val="20"/>
      <w14:ligatures w14:val="none"/>
    </w:rPr>
  </w:style>
  <w:style w:type="character" w:styleId="Strong">
    <w:name w:val="Strong"/>
    <w:uiPriority w:val="22"/>
    <w:qFormat/>
    <w:rsid w:val="002500FD"/>
    <w:rPr>
      <w:b/>
      <w:bCs/>
    </w:rPr>
  </w:style>
  <w:style w:type="character" w:customStyle="1" w:styleId="ui-provider">
    <w:name w:val="ui-provider"/>
    <w:basedOn w:val="DefaultParagraphFont"/>
    <w:rsid w:val="00250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dpr-info.eu/" TargetMode="External"/><Relationship Id="rId3" Type="http://schemas.openxmlformats.org/officeDocument/2006/relationships/styles" Target="styles.xml"/><Relationship Id="rId7" Type="http://schemas.openxmlformats.org/officeDocument/2006/relationships/hyperlink" Target="http://www.jstor.org/stable/i26480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ra.ac.uk/publication/ethical-guidelines-for-educational-research-2018"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k.sagepub.com/sites/default/files/upm-binaries/67702_Kent,_Analysing_Quantitive_Data_Chapter_2.pdf" TargetMode="External"/><Relationship Id="rId4" Type="http://schemas.openxmlformats.org/officeDocument/2006/relationships/settings" Target="settings.xml"/><Relationship Id="rId9" Type="http://schemas.openxmlformats.org/officeDocument/2006/relationships/hyperlink" Target="https://www.estyn.gov.wales/system/files/2021-08/Inspection%20report%20Ysgol%20Gynradd%20Gymraeg%20X%20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0C1C0C-F3D3-42F9-8086-F0FD162EA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3036</TotalTime>
  <Pages>13</Pages>
  <Words>4856</Words>
  <Characters>27680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Rees</dc:creator>
  <cp:keywords/>
  <dc:description/>
  <cp:lastModifiedBy>Mai Rees</cp:lastModifiedBy>
  <cp:revision>121</cp:revision>
  <dcterms:created xsi:type="dcterms:W3CDTF">2024-03-09T13:53:00Z</dcterms:created>
  <dcterms:modified xsi:type="dcterms:W3CDTF">2024-05-07T19:09:00Z</dcterms:modified>
</cp:coreProperties>
</file>