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6054F" w14:textId="12A7003D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 xml:space="preserve">Reference </w:t>
      </w:r>
      <w:r>
        <w:rPr>
          <w:rFonts w:ascii="Arial" w:hAnsi="Arial" w:cs="Arial"/>
          <w:sz w:val="22"/>
          <w:szCs w:val="22"/>
        </w:rPr>
        <w:t>List – Part A</w:t>
      </w:r>
    </w:p>
    <w:p w14:paraId="76B65733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>Bigler, R.S. (1999). The Use of Multicultural Curricula and Materials to Counter Racism in Children. </w:t>
      </w:r>
      <w:r w:rsidRPr="00ED703A">
        <w:rPr>
          <w:rFonts w:ascii="Arial" w:hAnsi="Arial" w:cs="Arial"/>
          <w:i/>
          <w:iCs/>
          <w:sz w:val="22"/>
          <w:szCs w:val="22"/>
        </w:rPr>
        <w:t>Journal of Social Issues</w:t>
      </w:r>
      <w:r w:rsidRPr="00ED703A">
        <w:rPr>
          <w:rFonts w:ascii="Arial" w:hAnsi="Arial" w:cs="Arial"/>
          <w:sz w:val="22"/>
          <w:szCs w:val="22"/>
        </w:rPr>
        <w:t xml:space="preserve">, 55(4), pp.687–705. </w:t>
      </w:r>
    </w:p>
    <w:p w14:paraId="4C3C45E0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 w:rsidRPr="00ED703A">
        <w:rPr>
          <w:rFonts w:ascii="Arial" w:hAnsi="Arial" w:cs="Arial"/>
          <w:sz w:val="22"/>
          <w:szCs w:val="22"/>
        </w:rPr>
        <w:t>Dessel</w:t>
      </w:r>
      <w:proofErr w:type="spellEnd"/>
      <w:r w:rsidRPr="00ED703A">
        <w:rPr>
          <w:rFonts w:ascii="Arial" w:hAnsi="Arial" w:cs="Arial"/>
          <w:sz w:val="22"/>
          <w:szCs w:val="22"/>
        </w:rPr>
        <w:t>, A. (2010). Prejudice in Schools: Promotion of an Inclusive Culture and Climate. </w:t>
      </w:r>
      <w:r w:rsidRPr="00ED703A">
        <w:rPr>
          <w:rFonts w:ascii="Arial" w:hAnsi="Arial" w:cs="Arial"/>
          <w:i/>
          <w:iCs/>
          <w:sz w:val="22"/>
          <w:szCs w:val="22"/>
        </w:rPr>
        <w:t>Education and Urban Society</w:t>
      </w:r>
      <w:r w:rsidRPr="00ED703A">
        <w:rPr>
          <w:rFonts w:ascii="Arial" w:hAnsi="Arial" w:cs="Arial"/>
          <w:sz w:val="22"/>
          <w:szCs w:val="22"/>
        </w:rPr>
        <w:t xml:space="preserve">, [online] 42(4), pp.407–429. Available at: https://citeseerx.ist.psu.edu/viewdoc/download?doi=10.1.1.1002.947&amp;rep=rep1&amp;type=pdf [Accessed 9 May 2023]. </w:t>
      </w:r>
    </w:p>
    <w:p w14:paraId="3F517013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 w:rsidRPr="00ED703A">
        <w:rPr>
          <w:rFonts w:ascii="Arial" w:hAnsi="Arial" w:cs="Arial"/>
          <w:sz w:val="22"/>
          <w:szCs w:val="22"/>
        </w:rPr>
        <w:t>Gatrad</w:t>
      </w:r>
      <w:proofErr w:type="spellEnd"/>
      <w:r w:rsidRPr="00ED703A">
        <w:rPr>
          <w:rFonts w:ascii="Arial" w:hAnsi="Arial" w:cs="Arial"/>
          <w:sz w:val="22"/>
          <w:szCs w:val="22"/>
        </w:rPr>
        <w:t xml:space="preserve">, R. (2005). Sikh Birth Customs. </w:t>
      </w:r>
      <w:r w:rsidRPr="00ED703A">
        <w:rPr>
          <w:rFonts w:ascii="Arial" w:hAnsi="Arial" w:cs="Arial"/>
          <w:i/>
          <w:iCs/>
          <w:sz w:val="22"/>
          <w:szCs w:val="22"/>
        </w:rPr>
        <w:t>Archives of Disease in Childhood</w:t>
      </w:r>
      <w:r w:rsidRPr="00ED703A">
        <w:rPr>
          <w:rFonts w:ascii="Arial" w:hAnsi="Arial" w:cs="Arial"/>
          <w:sz w:val="22"/>
          <w:szCs w:val="22"/>
        </w:rPr>
        <w:t xml:space="preserve">, [online] 90(6), pp.560–563. </w:t>
      </w:r>
      <w:proofErr w:type="spellStart"/>
      <w:proofErr w:type="gramStart"/>
      <w:r w:rsidRPr="00ED703A">
        <w:rPr>
          <w:rFonts w:ascii="Arial" w:hAnsi="Arial" w:cs="Arial"/>
          <w:sz w:val="22"/>
          <w:szCs w:val="22"/>
        </w:rPr>
        <w:t>doi:https</w:t>
      </w:r>
      <w:proofErr w:type="spellEnd"/>
      <w:r w:rsidRPr="00ED703A">
        <w:rPr>
          <w:rFonts w:ascii="Arial" w:hAnsi="Arial" w:cs="Arial"/>
          <w:sz w:val="22"/>
          <w:szCs w:val="22"/>
        </w:rPr>
        <w:t>://doi.org/10.1136/adc.2004.064378</w:t>
      </w:r>
      <w:proofErr w:type="gramEnd"/>
      <w:r w:rsidRPr="00ED703A">
        <w:rPr>
          <w:rFonts w:ascii="Arial" w:hAnsi="Arial" w:cs="Arial"/>
          <w:sz w:val="22"/>
          <w:szCs w:val="22"/>
        </w:rPr>
        <w:t xml:space="preserve">. </w:t>
      </w:r>
    </w:p>
    <w:p w14:paraId="3245709B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>Gay, G. (2013). Teaching To and Through Cultural Diversity. </w:t>
      </w:r>
      <w:r w:rsidRPr="00ED703A">
        <w:rPr>
          <w:rFonts w:ascii="Arial" w:hAnsi="Arial" w:cs="Arial"/>
          <w:i/>
          <w:iCs/>
          <w:sz w:val="22"/>
          <w:szCs w:val="22"/>
        </w:rPr>
        <w:t>Curriculum Inquiry</w:t>
      </w:r>
      <w:r w:rsidRPr="00ED703A">
        <w:rPr>
          <w:rFonts w:ascii="Arial" w:hAnsi="Arial" w:cs="Arial"/>
          <w:sz w:val="22"/>
          <w:szCs w:val="22"/>
        </w:rPr>
        <w:t xml:space="preserve">, [online] 43(1), pp.48–70. Available at: http://72.233.192.40/teaching-learning/sites/cts.cwu.edu.teaching-learning/files/documents/CurriculumInquiry_Teaching%20To%20and%20ThroughCulturalDiversity,%20Geneva%20Gay.pdf [Accessed 8 May 2023]. </w:t>
      </w:r>
    </w:p>
    <w:p w14:paraId="2CFDACC5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 xml:space="preserve">Hattie, J. and Timperley, H. (2007). The Power of Feedback. </w:t>
      </w:r>
      <w:r w:rsidRPr="00ED703A">
        <w:rPr>
          <w:rFonts w:ascii="Arial" w:hAnsi="Arial" w:cs="Arial"/>
          <w:i/>
          <w:iCs/>
          <w:sz w:val="22"/>
          <w:szCs w:val="22"/>
        </w:rPr>
        <w:t>Review of Educational Research</w:t>
      </w:r>
      <w:r w:rsidRPr="00ED703A">
        <w:rPr>
          <w:rFonts w:ascii="Arial" w:hAnsi="Arial" w:cs="Arial"/>
          <w:sz w:val="22"/>
          <w:szCs w:val="22"/>
        </w:rPr>
        <w:t xml:space="preserve">, [online] 77(1), pp.81–112. </w:t>
      </w:r>
      <w:proofErr w:type="spellStart"/>
      <w:proofErr w:type="gramStart"/>
      <w:r w:rsidRPr="00ED703A">
        <w:rPr>
          <w:rFonts w:ascii="Arial" w:hAnsi="Arial" w:cs="Arial"/>
          <w:sz w:val="22"/>
          <w:szCs w:val="22"/>
        </w:rPr>
        <w:t>doi:https</w:t>
      </w:r>
      <w:proofErr w:type="spellEnd"/>
      <w:r w:rsidRPr="00ED703A">
        <w:rPr>
          <w:rFonts w:ascii="Arial" w:hAnsi="Arial" w:cs="Arial"/>
          <w:sz w:val="22"/>
          <w:szCs w:val="22"/>
        </w:rPr>
        <w:t>://doi.org/10.3102/003465430298487</w:t>
      </w:r>
      <w:proofErr w:type="gramEnd"/>
      <w:r w:rsidRPr="00ED703A">
        <w:rPr>
          <w:rFonts w:ascii="Arial" w:hAnsi="Arial" w:cs="Arial"/>
          <w:sz w:val="22"/>
          <w:szCs w:val="22"/>
        </w:rPr>
        <w:t>.</w:t>
      </w:r>
    </w:p>
    <w:p w14:paraId="1AD9DFD4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 w:rsidRPr="00ED703A">
        <w:rPr>
          <w:rFonts w:ascii="Arial" w:hAnsi="Arial" w:cs="Arial"/>
          <w:sz w:val="22"/>
          <w:szCs w:val="22"/>
        </w:rPr>
        <w:t>Norlin</w:t>
      </w:r>
      <w:proofErr w:type="spellEnd"/>
      <w:r w:rsidRPr="00ED703A">
        <w:rPr>
          <w:rFonts w:ascii="Arial" w:hAnsi="Arial" w:cs="Arial"/>
          <w:sz w:val="22"/>
          <w:szCs w:val="22"/>
        </w:rPr>
        <w:t>, S. (2014). The Importance of Feedback. </w:t>
      </w:r>
      <w:r w:rsidRPr="00ED703A">
        <w:rPr>
          <w:rFonts w:ascii="Arial" w:hAnsi="Arial" w:cs="Arial"/>
          <w:i/>
          <w:iCs/>
          <w:sz w:val="22"/>
          <w:szCs w:val="22"/>
        </w:rPr>
        <w:t>Journal of Best Teaching Practices,</w:t>
      </w:r>
      <w:r w:rsidRPr="00ED703A">
        <w:rPr>
          <w:rFonts w:ascii="Arial" w:hAnsi="Arial" w:cs="Arial"/>
          <w:sz w:val="22"/>
          <w:szCs w:val="22"/>
        </w:rPr>
        <w:t xml:space="preserve"> pp.11-12. </w:t>
      </w:r>
    </w:p>
    <w:p w14:paraId="336C8ED3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 xml:space="preserve">Office for National Statistics (2021). </w:t>
      </w:r>
      <w:r w:rsidRPr="00ED703A">
        <w:rPr>
          <w:rFonts w:ascii="Arial" w:hAnsi="Arial" w:cs="Arial"/>
          <w:i/>
          <w:iCs/>
          <w:sz w:val="22"/>
          <w:szCs w:val="22"/>
        </w:rPr>
        <w:t>How Life Has Changed in Swansea: Census 2021</w:t>
      </w:r>
      <w:r w:rsidRPr="00ED703A">
        <w:rPr>
          <w:rFonts w:ascii="Arial" w:hAnsi="Arial" w:cs="Arial"/>
          <w:sz w:val="22"/>
          <w:szCs w:val="22"/>
        </w:rPr>
        <w:t xml:space="preserve">. [online] </w:t>
      </w:r>
      <w:proofErr w:type="spellStart"/>
      <w:r w:rsidRPr="00ED703A">
        <w:rPr>
          <w:rFonts w:ascii="Arial" w:hAnsi="Arial" w:cs="Arial"/>
          <w:sz w:val="22"/>
          <w:szCs w:val="22"/>
        </w:rPr>
        <w:t>sveltekit</w:t>
      </w:r>
      <w:proofErr w:type="spellEnd"/>
      <w:r w:rsidRPr="00ED703A">
        <w:rPr>
          <w:rFonts w:ascii="Arial" w:hAnsi="Arial" w:cs="Arial"/>
          <w:sz w:val="22"/>
          <w:szCs w:val="22"/>
        </w:rPr>
        <w:t>-prerender. Available at: https://www.ons.gov.uk/visualisations/censusareachanges/W06000011/ [Accessed 8 May 2023].</w:t>
      </w:r>
    </w:p>
    <w:p w14:paraId="66B00114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 xml:space="preserve">Pembroke Primary School (2022). </w:t>
      </w:r>
      <w:r w:rsidRPr="00ED703A">
        <w:rPr>
          <w:rFonts w:ascii="Arial" w:hAnsi="Arial" w:cs="Arial"/>
          <w:i/>
          <w:iCs/>
          <w:sz w:val="22"/>
          <w:szCs w:val="22"/>
        </w:rPr>
        <w:t>The Four Purposes</w:t>
      </w:r>
      <w:r w:rsidRPr="00ED703A">
        <w:rPr>
          <w:rFonts w:ascii="Arial" w:hAnsi="Arial" w:cs="Arial"/>
          <w:sz w:val="22"/>
          <w:szCs w:val="22"/>
        </w:rPr>
        <w:t xml:space="preserve">. [online] </w:t>
      </w:r>
      <w:proofErr w:type="spellStart"/>
      <w:r w:rsidRPr="00ED703A">
        <w:rPr>
          <w:rFonts w:ascii="Arial" w:hAnsi="Arial" w:cs="Arial"/>
          <w:sz w:val="22"/>
          <w:szCs w:val="22"/>
        </w:rPr>
        <w:t>Pembrokeprimary</w:t>
      </w:r>
      <w:proofErr w:type="spellEnd"/>
      <w:r w:rsidRPr="00ED703A">
        <w:rPr>
          <w:rFonts w:ascii="Arial" w:hAnsi="Arial" w:cs="Arial"/>
          <w:sz w:val="22"/>
          <w:szCs w:val="22"/>
        </w:rPr>
        <w:t>. Available at: https://www.pembrokeprimaryschool.co.uk/the-four-purposes [Accessed 6 May 2023].</w:t>
      </w:r>
    </w:p>
    <w:p w14:paraId="09264099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 xml:space="preserve">Percy, C., </w:t>
      </w:r>
      <w:proofErr w:type="spellStart"/>
      <w:r w:rsidRPr="00ED703A">
        <w:rPr>
          <w:rFonts w:ascii="Arial" w:hAnsi="Arial" w:cs="Arial"/>
          <w:sz w:val="22"/>
          <w:szCs w:val="22"/>
        </w:rPr>
        <w:t>Rehill</w:t>
      </w:r>
      <w:proofErr w:type="spellEnd"/>
      <w:r w:rsidRPr="00ED703A">
        <w:rPr>
          <w:rFonts w:ascii="Arial" w:hAnsi="Arial" w:cs="Arial"/>
          <w:sz w:val="22"/>
          <w:szCs w:val="22"/>
        </w:rPr>
        <w:t xml:space="preserve">, J., </w:t>
      </w:r>
      <w:proofErr w:type="spellStart"/>
      <w:r w:rsidRPr="00ED703A">
        <w:rPr>
          <w:rFonts w:ascii="Arial" w:hAnsi="Arial" w:cs="Arial"/>
          <w:sz w:val="22"/>
          <w:szCs w:val="22"/>
        </w:rPr>
        <w:t>Kashefpakdel</w:t>
      </w:r>
      <w:proofErr w:type="spellEnd"/>
      <w:r w:rsidRPr="00ED703A">
        <w:rPr>
          <w:rFonts w:ascii="Arial" w:hAnsi="Arial" w:cs="Arial"/>
          <w:sz w:val="22"/>
          <w:szCs w:val="22"/>
        </w:rPr>
        <w:t>, E. and Chambers, N. (2019). </w:t>
      </w:r>
      <w:r w:rsidRPr="00ED703A">
        <w:rPr>
          <w:rFonts w:ascii="Arial" w:hAnsi="Arial" w:cs="Arial"/>
          <w:i/>
          <w:iCs/>
          <w:sz w:val="22"/>
          <w:szCs w:val="22"/>
        </w:rPr>
        <w:t>Insights and Inspirations Exploring the Impact of Guest Speakers in Schools</w:t>
      </w:r>
      <w:r w:rsidRPr="00ED703A">
        <w:rPr>
          <w:rFonts w:ascii="Arial" w:hAnsi="Arial" w:cs="Arial"/>
          <w:sz w:val="22"/>
          <w:szCs w:val="22"/>
        </w:rPr>
        <w:t xml:space="preserve">. [online] Available at: https://www.educationandemployers.org/wp-content/uploads/2019/10/Speakers-for-Schools-Report.pdf [Accessed 8 May 2023]. </w:t>
      </w:r>
    </w:p>
    <w:p w14:paraId="1B88E961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 w:rsidRPr="00ED703A">
        <w:rPr>
          <w:rFonts w:ascii="Arial" w:hAnsi="Arial" w:cs="Arial"/>
          <w:sz w:val="22"/>
          <w:szCs w:val="22"/>
        </w:rPr>
        <w:lastRenderedPageBreak/>
        <w:t>PNGMart</w:t>
      </w:r>
      <w:proofErr w:type="spellEnd"/>
      <w:r w:rsidRPr="00ED703A">
        <w:rPr>
          <w:rFonts w:ascii="Arial" w:hAnsi="Arial" w:cs="Arial"/>
          <w:sz w:val="22"/>
          <w:szCs w:val="22"/>
        </w:rPr>
        <w:t xml:space="preserve"> (2021). </w:t>
      </w:r>
      <w:r w:rsidRPr="00ED703A">
        <w:rPr>
          <w:rFonts w:ascii="Arial" w:hAnsi="Arial" w:cs="Arial"/>
          <w:i/>
          <w:iCs/>
          <w:sz w:val="22"/>
          <w:szCs w:val="22"/>
        </w:rPr>
        <w:t>Company Visitor Transparent PNG | PNG Mart</w:t>
      </w:r>
      <w:r w:rsidRPr="00ED703A">
        <w:rPr>
          <w:rFonts w:ascii="Arial" w:hAnsi="Arial" w:cs="Arial"/>
          <w:sz w:val="22"/>
          <w:szCs w:val="22"/>
        </w:rPr>
        <w:t>. [online] www.pngmart.com. Available at: https://www.pngmart.com/image/276310 [Accessed 6 May 2023].</w:t>
      </w:r>
    </w:p>
    <w:p w14:paraId="6E6DDFC3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 xml:space="preserve">Postcode Area (n.d.). </w:t>
      </w:r>
      <w:r w:rsidRPr="00ED703A">
        <w:rPr>
          <w:rFonts w:ascii="Arial" w:hAnsi="Arial" w:cs="Arial"/>
          <w:i/>
          <w:iCs/>
          <w:sz w:val="22"/>
          <w:szCs w:val="22"/>
        </w:rPr>
        <w:t>Swansea Postcode Information - List of Postal Codes | PostcodeArea.co.uk</w:t>
      </w:r>
      <w:r w:rsidRPr="00ED703A">
        <w:rPr>
          <w:rFonts w:ascii="Arial" w:hAnsi="Arial" w:cs="Arial"/>
          <w:sz w:val="22"/>
          <w:szCs w:val="22"/>
        </w:rPr>
        <w:t>. [online] www.postcodearea.co.uk. Available at: https://www.postcodearea.co.uk/postaltowns/swansea/ [Accessed 6 May 2023].</w:t>
      </w:r>
    </w:p>
    <w:p w14:paraId="082E3E85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 xml:space="preserve">S4S Coding (2018). </w:t>
      </w:r>
      <w:r w:rsidRPr="00ED703A">
        <w:rPr>
          <w:rFonts w:ascii="Arial" w:hAnsi="Arial" w:cs="Arial"/>
          <w:i/>
          <w:iCs/>
          <w:sz w:val="22"/>
          <w:szCs w:val="22"/>
        </w:rPr>
        <w:t>Cross Curricular Lessons Motivate Children</w:t>
      </w:r>
      <w:r w:rsidRPr="00ED703A">
        <w:rPr>
          <w:rFonts w:ascii="Arial" w:hAnsi="Arial" w:cs="Arial"/>
          <w:sz w:val="22"/>
          <w:szCs w:val="22"/>
        </w:rPr>
        <w:t>. [online] S4S Coding. Available at: https://s4scoding.com/cubetto-in-the-primary-school-coding-curriculum/cross-curricular-lessons-motivate-children/ [Accessed 6 May 2023].</w:t>
      </w:r>
    </w:p>
    <w:p w14:paraId="71211F66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 xml:space="preserve">School X (2023). School Development Plan. Unpublished.  </w:t>
      </w:r>
    </w:p>
    <w:p w14:paraId="1EBE76E8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>Tatum, B.D. (2004). Family Life and School Experience: Factors in the Racial Identity Development of Black Youth in White Communities. </w:t>
      </w:r>
      <w:r w:rsidRPr="00ED703A">
        <w:rPr>
          <w:rFonts w:ascii="Arial" w:hAnsi="Arial" w:cs="Arial"/>
          <w:i/>
          <w:iCs/>
          <w:sz w:val="22"/>
          <w:szCs w:val="22"/>
        </w:rPr>
        <w:t>Journal of Social Issues</w:t>
      </w:r>
      <w:r w:rsidRPr="00ED703A">
        <w:rPr>
          <w:rFonts w:ascii="Arial" w:hAnsi="Arial" w:cs="Arial"/>
          <w:sz w:val="22"/>
          <w:szCs w:val="22"/>
        </w:rPr>
        <w:t xml:space="preserve">, 60(1), pp.117–135. </w:t>
      </w:r>
    </w:p>
    <w:p w14:paraId="0BE456A9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>UNESCO (2016). </w:t>
      </w:r>
      <w:r w:rsidRPr="00ED703A">
        <w:rPr>
          <w:rFonts w:ascii="Arial" w:hAnsi="Arial" w:cs="Arial"/>
          <w:i/>
          <w:iCs/>
          <w:sz w:val="22"/>
          <w:szCs w:val="22"/>
        </w:rPr>
        <w:t>Zimbabwe 2016 Report</w:t>
      </w:r>
      <w:r w:rsidRPr="00ED703A">
        <w:rPr>
          <w:rFonts w:ascii="Arial" w:hAnsi="Arial" w:cs="Arial"/>
          <w:sz w:val="22"/>
          <w:szCs w:val="22"/>
        </w:rPr>
        <w:t xml:space="preserve">. [online] Available at: https://en.unesco.org/creativity/rapports-suivi/rapports-periodiques/rapports-disponibles-18 [Accessed 8 May 2023]. </w:t>
      </w:r>
    </w:p>
    <w:p w14:paraId="51DD4399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>Welsh Government (2021). </w:t>
      </w:r>
      <w:r w:rsidRPr="00ED703A">
        <w:rPr>
          <w:rFonts w:ascii="Arial" w:hAnsi="Arial" w:cs="Arial"/>
          <w:i/>
          <w:iCs/>
          <w:sz w:val="22"/>
          <w:szCs w:val="22"/>
        </w:rPr>
        <w:t>An Anti-Racist Wales the Race Equality Action Plan for Wales</w:t>
      </w:r>
      <w:r w:rsidRPr="00ED703A">
        <w:rPr>
          <w:rFonts w:ascii="Arial" w:hAnsi="Arial" w:cs="Arial"/>
          <w:sz w:val="22"/>
          <w:szCs w:val="22"/>
        </w:rPr>
        <w:t xml:space="preserve">. [online] Available at: https://gov.wales/sites/default/files/consultations/2021-03/race-equality-action-plan-an-anti-racist-wales_2.pdf [Accessed 7 May 2023]. </w:t>
      </w:r>
    </w:p>
    <w:p w14:paraId="307712E2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 xml:space="preserve">Welsh Government (2022). </w:t>
      </w:r>
      <w:r w:rsidRPr="00ED703A">
        <w:rPr>
          <w:rFonts w:ascii="Arial" w:hAnsi="Arial" w:cs="Arial"/>
          <w:i/>
          <w:iCs/>
          <w:sz w:val="22"/>
          <w:szCs w:val="22"/>
        </w:rPr>
        <w:t>Developing a Vision for Curriculum Design - Hwb</w:t>
      </w:r>
      <w:r w:rsidRPr="00ED703A">
        <w:rPr>
          <w:rFonts w:ascii="Arial" w:hAnsi="Arial" w:cs="Arial"/>
          <w:sz w:val="22"/>
          <w:szCs w:val="22"/>
        </w:rPr>
        <w:t xml:space="preserve">. [online] </w:t>
      </w:r>
      <w:proofErr w:type="spellStart"/>
      <w:proofErr w:type="gramStart"/>
      <w:r w:rsidRPr="00ED703A">
        <w:rPr>
          <w:rFonts w:ascii="Arial" w:hAnsi="Arial" w:cs="Arial"/>
          <w:sz w:val="22"/>
          <w:szCs w:val="22"/>
        </w:rPr>
        <w:t>hwb.gov.wales</w:t>
      </w:r>
      <w:proofErr w:type="spellEnd"/>
      <w:proofErr w:type="gramEnd"/>
      <w:r w:rsidRPr="00ED703A">
        <w:rPr>
          <w:rFonts w:ascii="Arial" w:hAnsi="Arial" w:cs="Arial"/>
          <w:sz w:val="22"/>
          <w:szCs w:val="22"/>
        </w:rPr>
        <w:t>. Available at: https://hwb.gov.wales/curriculum-for-wales/designing-your-curriculum/developing-a-vision-for-curriculum-design/#curriculum-design-and-the-four-purposes [Accessed 9 May 2023].</w:t>
      </w:r>
    </w:p>
    <w:p w14:paraId="631C3AD2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r w:rsidRPr="00ED703A">
        <w:rPr>
          <w:rFonts w:ascii="Arial" w:hAnsi="Arial" w:cs="Arial"/>
          <w:sz w:val="22"/>
          <w:szCs w:val="22"/>
        </w:rPr>
        <w:t xml:space="preserve">Welsh Government (2023). </w:t>
      </w:r>
      <w:r w:rsidRPr="00ED703A">
        <w:rPr>
          <w:rFonts w:ascii="Arial" w:hAnsi="Arial" w:cs="Arial"/>
          <w:i/>
          <w:iCs/>
          <w:sz w:val="22"/>
          <w:szCs w:val="22"/>
        </w:rPr>
        <w:t>Enabling Learning</w:t>
      </w:r>
      <w:r w:rsidRPr="00ED703A">
        <w:rPr>
          <w:rFonts w:ascii="Arial" w:hAnsi="Arial" w:cs="Arial"/>
          <w:sz w:val="22"/>
          <w:szCs w:val="22"/>
        </w:rPr>
        <w:t xml:space="preserve">. [online] </w:t>
      </w:r>
      <w:proofErr w:type="spellStart"/>
      <w:proofErr w:type="gramStart"/>
      <w:r w:rsidRPr="00ED703A">
        <w:rPr>
          <w:rFonts w:ascii="Arial" w:hAnsi="Arial" w:cs="Arial"/>
          <w:sz w:val="22"/>
          <w:szCs w:val="22"/>
        </w:rPr>
        <w:t>hwb.gov.wales</w:t>
      </w:r>
      <w:proofErr w:type="spellEnd"/>
      <w:proofErr w:type="gramEnd"/>
      <w:r w:rsidRPr="00ED703A">
        <w:rPr>
          <w:rFonts w:ascii="Arial" w:hAnsi="Arial" w:cs="Arial"/>
          <w:sz w:val="22"/>
          <w:szCs w:val="22"/>
        </w:rPr>
        <w:t>. Available at: https://hwb.gov.wales/curriculum-for-wales/designing-your-curriculum/enabling-learning/ [Accessed 9 May 2023].</w:t>
      </w:r>
    </w:p>
    <w:p w14:paraId="4D097882" w14:textId="77777777" w:rsidR="00ED703A" w:rsidRPr="00ED703A" w:rsidRDefault="00ED703A" w:rsidP="00ED703A">
      <w:pPr>
        <w:pStyle w:val="NormalWeb"/>
        <w:spacing w:before="0" w:beforeAutospacing="0" w:after="240" w:afterAutospacing="0" w:line="360" w:lineRule="auto"/>
        <w:rPr>
          <w:rFonts w:ascii="Arial" w:hAnsi="Arial" w:cs="Arial"/>
          <w:sz w:val="22"/>
          <w:szCs w:val="22"/>
        </w:rPr>
      </w:pPr>
      <w:proofErr w:type="spellStart"/>
      <w:r w:rsidRPr="00ED703A">
        <w:rPr>
          <w:rFonts w:ascii="Arial" w:hAnsi="Arial" w:cs="Arial"/>
          <w:sz w:val="22"/>
          <w:szCs w:val="22"/>
        </w:rPr>
        <w:t>Wiliam</w:t>
      </w:r>
      <w:proofErr w:type="spellEnd"/>
      <w:r w:rsidRPr="00ED703A">
        <w:rPr>
          <w:rFonts w:ascii="Arial" w:hAnsi="Arial" w:cs="Arial"/>
          <w:sz w:val="22"/>
          <w:szCs w:val="22"/>
        </w:rPr>
        <w:t xml:space="preserve">, D. (2011). What Is Assessment for learning? </w:t>
      </w:r>
      <w:r w:rsidRPr="00ED703A">
        <w:rPr>
          <w:rFonts w:ascii="Arial" w:hAnsi="Arial" w:cs="Arial"/>
          <w:i/>
          <w:iCs/>
          <w:sz w:val="22"/>
          <w:szCs w:val="22"/>
        </w:rPr>
        <w:t>Studies in Educational Evaluation</w:t>
      </w:r>
      <w:r w:rsidRPr="00ED703A">
        <w:rPr>
          <w:rFonts w:ascii="Arial" w:hAnsi="Arial" w:cs="Arial"/>
          <w:sz w:val="22"/>
          <w:szCs w:val="22"/>
        </w:rPr>
        <w:t xml:space="preserve">, 37(1), pp.3–14. </w:t>
      </w:r>
      <w:proofErr w:type="spellStart"/>
      <w:proofErr w:type="gramStart"/>
      <w:r w:rsidRPr="00ED703A">
        <w:rPr>
          <w:rFonts w:ascii="Arial" w:hAnsi="Arial" w:cs="Arial"/>
          <w:sz w:val="22"/>
          <w:szCs w:val="22"/>
        </w:rPr>
        <w:t>doi:https</w:t>
      </w:r>
      <w:proofErr w:type="spellEnd"/>
      <w:r w:rsidRPr="00ED703A">
        <w:rPr>
          <w:rFonts w:ascii="Arial" w:hAnsi="Arial" w:cs="Arial"/>
          <w:sz w:val="22"/>
          <w:szCs w:val="22"/>
        </w:rPr>
        <w:t>://doi.org/10.1016/j.stueduc.2011.03.001</w:t>
      </w:r>
      <w:proofErr w:type="gramEnd"/>
      <w:r w:rsidRPr="00ED703A">
        <w:rPr>
          <w:rFonts w:ascii="Arial" w:hAnsi="Arial" w:cs="Arial"/>
          <w:sz w:val="22"/>
          <w:szCs w:val="22"/>
        </w:rPr>
        <w:t>.</w:t>
      </w:r>
    </w:p>
    <w:p w14:paraId="3ACC9AF8" w14:textId="77777777" w:rsidR="007336F6" w:rsidRPr="00ED703A" w:rsidRDefault="00ED703A" w:rsidP="00ED703A"/>
    <w:sectPr w:rsidR="007336F6" w:rsidRPr="00ED70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703A"/>
    <w:rsid w:val="0006676E"/>
    <w:rsid w:val="00632C87"/>
    <w:rsid w:val="00A250EF"/>
    <w:rsid w:val="00E9668C"/>
    <w:rsid w:val="00ED7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8ED334"/>
  <w15:chartTrackingRefBased/>
  <w15:docId w15:val="{7B39E63E-6E28-6446-AA7C-3EAE6565C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03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D703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D703A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724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3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565</Words>
  <Characters>3186</Characters>
  <Application>Microsoft Office Word</Application>
  <DocSecurity>0</DocSecurity>
  <Lines>49</Lines>
  <Paragraphs>5</Paragraphs>
  <ScaleCrop>false</ScaleCrop>
  <Company/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Thomas (1900854)</dc:creator>
  <cp:keywords/>
  <dc:description/>
  <cp:lastModifiedBy>Chloe Thomas (1900854)</cp:lastModifiedBy>
  <cp:revision>1</cp:revision>
  <dcterms:created xsi:type="dcterms:W3CDTF">2023-05-15T21:22:00Z</dcterms:created>
  <dcterms:modified xsi:type="dcterms:W3CDTF">2023-05-15T21:23:00Z</dcterms:modified>
</cp:coreProperties>
</file>