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8E983E" w14:textId="39EBF9CD" w:rsidR="00D94071" w:rsidRPr="00D94071" w:rsidRDefault="00D94071" w:rsidP="00D94071">
      <w:pPr>
        <w:jc w:val="center"/>
        <w:rPr>
          <w:b/>
          <w:bCs/>
          <w:u w:val="single"/>
        </w:rPr>
      </w:pPr>
      <w:r w:rsidRPr="00D94071">
        <w:rPr>
          <w:b/>
          <w:bCs/>
          <w:u w:val="single"/>
        </w:rPr>
        <w:t xml:space="preserve">SCENARIO QUESTION ASSIGNMENT </w:t>
      </w:r>
    </w:p>
    <w:p w14:paraId="6AE7EBE5" w14:textId="77777777" w:rsidR="00D94071" w:rsidRDefault="00D94071" w:rsidP="002A1A25"/>
    <w:p w14:paraId="36C01912" w14:textId="77777777" w:rsidR="002A1A25" w:rsidRPr="00F06274" w:rsidRDefault="002A1A25" w:rsidP="002A1A25">
      <w:pPr>
        <w:rPr>
          <w:b/>
          <w:bCs/>
        </w:rPr>
      </w:pPr>
      <w:r w:rsidRPr="00F06274">
        <w:rPr>
          <w:b/>
          <w:bCs/>
        </w:rPr>
        <w:t>Theft:</w:t>
      </w:r>
    </w:p>
    <w:p w14:paraId="028EA068" w14:textId="19731485" w:rsidR="002A1A25" w:rsidRDefault="002A1A25" w:rsidP="002A1A25">
      <w:r>
        <w:t xml:space="preserve">Paula could potentially be liable for theft when she took the designer handbag from Christine's home without her consent. The actus reus of theft </w:t>
      </w:r>
      <w:r w:rsidR="008D4CF4">
        <w:t>needs</w:t>
      </w:r>
      <w:r>
        <w:t xml:space="preserve"> the appropriation of property belonging to another, and the </w:t>
      </w:r>
      <w:proofErr w:type="spellStart"/>
      <w:r>
        <w:t>mens</w:t>
      </w:r>
      <w:proofErr w:type="spellEnd"/>
      <w:r>
        <w:t xml:space="preserve"> rea requires dishonesty and the intention to permanently deprive the owner of the property. In this case, Paula appropriated the handbag, which belonged to Christine, without her permission. Her intention to permanently deprive Christine can be inferred from her actions of concealing the handbag in her coat and later placing it in her car. Therefore, Paula has met the actus reus and </w:t>
      </w:r>
      <w:proofErr w:type="spellStart"/>
      <w:r>
        <w:t>mens</w:t>
      </w:r>
      <w:proofErr w:type="spellEnd"/>
      <w:r>
        <w:t xml:space="preserve"> rea requirements for theft.</w:t>
      </w:r>
      <w:r w:rsidR="008D4CF4">
        <w:t xml:space="preserve"> Along with the evident fact of the location of the designer </w:t>
      </w:r>
      <w:r w:rsidR="00A12905">
        <w:t>handbag</w:t>
      </w:r>
      <w:r w:rsidR="008D4CF4">
        <w:t xml:space="preserve"> and the confusion of the owner being Christine, concludes that a plan was implemented to retrieve it from the proper place.  </w:t>
      </w:r>
    </w:p>
    <w:p w14:paraId="3C40FF5A" w14:textId="77777777" w:rsidR="002958C3" w:rsidRDefault="002958C3" w:rsidP="002958C3">
      <w:r>
        <w:t xml:space="preserve">However, Paula may raise the defence of claim of right. If she honestly believed that she had a legal right to the handbag or a claim of right to it, then she would not have the necessary dishonesty required for theft. </w:t>
      </w:r>
      <w:r w:rsidRPr="008D4CF4">
        <w:t>In Paula's case, if she wishes to use her honest belief as a defence, it would be beneficial to gather any relevant evidence that supports her claim. This may include documents, witness testimonies, or any other form of proof that demonstrates her belief in her right to the handbag. However, the strength of this defence would depend on the specific circumstances and the credibility of the evidence presented.</w:t>
      </w:r>
    </w:p>
    <w:p w14:paraId="6ABE5CA6" w14:textId="2A1EB906" w:rsidR="00DA4E7C" w:rsidRDefault="00DA4E7C" w:rsidP="00DA4E7C">
      <w:r>
        <w:t>For example, in the</w:t>
      </w:r>
      <w:r>
        <w:t xml:space="preserve"> case of Ivey v Genting Casinos (UK) Ltd [2017] It dealt with the interpretation and application of the legal test for determining dishonesty in the context of cheating in a casino game.</w:t>
      </w:r>
      <w:r>
        <w:t xml:space="preserve"> Even though it is not </w:t>
      </w:r>
      <w:r w:rsidR="00A12905">
        <w:t>the same</w:t>
      </w:r>
      <w:r>
        <w:t xml:space="preserve"> as the case at hand it is </w:t>
      </w:r>
      <w:r w:rsidR="001F047B">
        <w:t>an example of how honesty or dishonesty is counter acted with either evidence or one word against another.</w:t>
      </w:r>
    </w:p>
    <w:p w14:paraId="44CDE5E1" w14:textId="42B19C89" w:rsidR="00DA4E7C" w:rsidRDefault="00DA4E7C" w:rsidP="00DA4E7C">
      <w:r>
        <w:t xml:space="preserve">Mr. Ivey, a professional gambler, took legal action against Genting Casinos (UK) Ltd after they withheld his winnings of £7.7 million. The case </w:t>
      </w:r>
      <w:r w:rsidR="001F047B">
        <w:t>focused</w:t>
      </w:r>
      <w:r>
        <w:t xml:space="preserve"> </w:t>
      </w:r>
      <w:r w:rsidR="001F047B">
        <w:t>on</w:t>
      </w:r>
      <w:r>
        <w:t xml:space="preserve"> a technique called "edge sorting," which involved identifying tiny irregularities on the backs of playing cards to gain an advantage in the game of Punto Banco. Genting Casinos accused Mr. Ivey of cheating, while Mr. Ivey argued that his actions were legitimate strategy.</w:t>
      </w:r>
    </w:p>
    <w:p w14:paraId="32CF139B" w14:textId="77777777" w:rsidR="00925B97" w:rsidRDefault="00925B97" w:rsidP="00DA4E7C"/>
    <w:p w14:paraId="351D2EDD" w14:textId="77777777" w:rsidR="002A1A25" w:rsidRPr="00F06274" w:rsidRDefault="002A1A25" w:rsidP="002A1A25">
      <w:pPr>
        <w:rPr>
          <w:b/>
          <w:bCs/>
        </w:rPr>
      </w:pPr>
      <w:r w:rsidRPr="00F06274">
        <w:rPr>
          <w:b/>
          <w:bCs/>
        </w:rPr>
        <w:t>Handling stolen goods:</w:t>
      </w:r>
    </w:p>
    <w:p w14:paraId="3B9B9E64" w14:textId="5A6CF6E9" w:rsidR="002A1A25" w:rsidRDefault="002A1A25" w:rsidP="002A1A25">
      <w:r>
        <w:t xml:space="preserve">When Paula took the handbag and later kept it in her car, she could potentially be liable for handling stolen goods. The actus reus of this offense involves dealing with goods that are known or believed to be stolen. The </w:t>
      </w:r>
      <w:proofErr w:type="spellStart"/>
      <w:r>
        <w:t>mens</w:t>
      </w:r>
      <w:proofErr w:type="spellEnd"/>
      <w:r>
        <w:t xml:space="preserve"> rea requires knowledge or belief that the goods are stolen, and the intention to dishonestly deal with them. In this case, Paula knew that the handbag was stolen because she took it from Christine's home without permission. By keeping the handbag in her car, she can </w:t>
      </w:r>
      <w:r w:rsidR="00925B97">
        <w:t>be</w:t>
      </w:r>
      <w:r>
        <w:t xml:space="preserve"> dealing with the stolen goods. Therefore, Paula has met the actus reus and </w:t>
      </w:r>
      <w:proofErr w:type="spellStart"/>
      <w:r>
        <w:t>mens</w:t>
      </w:r>
      <w:proofErr w:type="spellEnd"/>
      <w:r>
        <w:t xml:space="preserve"> rea requirements for handling stolen goods.</w:t>
      </w:r>
    </w:p>
    <w:p w14:paraId="26BB06F6" w14:textId="0CC3ACFB" w:rsidR="002A1A25" w:rsidRDefault="002A1A25" w:rsidP="002A1A25">
      <w:r>
        <w:t xml:space="preserve">Paula could argue the </w:t>
      </w:r>
      <w:r w:rsidR="00D94071">
        <w:t>defence</w:t>
      </w:r>
      <w:r>
        <w:t xml:space="preserve"> of lack of knowledge or belief that the goods were stolen. If she genuinely did not know or believe that the handbag was stolen, she may be able to negate the </w:t>
      </w:r>
      <w:proofErr w:type="spellStart"/>
      <w:r>
        <w:t>mens</w:t>
      </w:r>
      <w:proofErr w:type="spellEnd"/>
      <w:r>
        <w:t xml:space="preserve"> rea requirement for handling stolen goods.</w:t>
      </w:r>
    </w:p>
    <w:p w14:paraId="49CFD1E7" w14:textId="77777777" w:rsidR="00925B97" w:rsidRDefault="00925B97" w:rsidP="002A1A25"/>
    <w:p w14:paraId="7006D7A4" w14:textId="57C9A2D9" w:rsidR="002A1A25" w:rsidRPr="00F06274" w:rsidRDefault="002A1A25" w:rsidP="002A1A25">
      <w:pPr>
        <w:rPr>
          <w:b/>
          <w:bCs/>
        </w:rPr>
      </w:pPr>
      <w:r w:rsidRPr="00F06274">
        <w:rPr>
          <w:b/>
          <w:bCs/>
        </w:rPr>
        <w:lastRenderedPageBreak/>
        <w:t xml:space="preserve">Potential Criminal Liability and </w:t>
      </w:r>
      <w:r w:rsidR="00E430B2" w:rsidRPr="00F06274">
        <w:rPr>
          <w:b/>
          <w:bCs/>
        </w:rPr>
        <w:t>defences</w:t>
      </w:r>
      <w:r w:rsidRPr="00F06274">
        <w:rPr>
          <w:b/>
          <w:bCs/>
        </w:rPr>
        <w:t xml:space="preserve"> for Harriet:</w:t>
      </w:r>
    </w:p>
    <w:p w14:paraId="518BAB55" w14:textId="77777777" w:rsidR="002A1A25" w:rsidRPr="00F06274" w:rsidRDefault="002A1A25" w:rsidP="002A1A25">
      <w:pPr>
        <w:rPr>
          <w:b/>
          <w:bCs/>
        </w:rPr>
      </w:pPr>
    </w:p>
    <w:p w14:paraId="7638C659" w14:textId="77777777" w:rsidR="002A1A25" w:rsidRPr="00F06274" w:rsidRDefault="002A1A25" w:rsidP="002A1A25">
      <w:pPr>
        <w:rPr>
          <w:b/>
          <w:bCs/>
        </w:rPr>
      </w:pPr>
      <w:r w:rsidRPr="00F06274">
        <w:rPr>
          <w:b/>
          <w:bCs/>
        </w:rPr>
        <w:t>Assault:</w:t>
      </w:r>
    </w:p>
    <w:p w14:paraId="2C3231F2" w14:textId="1CDCD4EA" w:rsidR="007A0423" w:rsidRDefault="007A0423" w:rsidP="007A0423">
      <w:r>
        <w:t xml:space="preserve">In the given scenario, Harriet's actions of hitting Daniel in the face and causing a broken cheekbone potentially </w:t>
      </w:r>
      <w:r w:rsidR="00925B97">
        <w:t>to make</w:t>
      </w:r>
      <w:r>
        <w:t xml:space="preserve"> her liable for assault. Assault involves intentionally or recklessly causing apprehension of immediate unlawful personal violence. In this case, Harriet intentionally struck Daniel, resulting in harm. Therefore, Harriet satisfies the actus reus (the guilty act) and </w:t>
      </w:r>
      <w:proofErr w:type="spellStart"/>
      <w:r>
        <w:t>mens</w:t>
      </w:r>
      <w:proofErr w:type="spellEnd"/>
      <w:r>
        <w:t xml:space="preserve"> rea (the guilty mind) requirements for assault.</w:t>
      </w:r>
    </w:p>
    <w:p w14:paraId="127B129D" w14:textId="1746A1DC" w:rsidR="007A0423" w:rsidRDefault="007A0423" w:rsidP="007A0423">
      <w:r>
        <w:t xml:space="preserve">However, Harriet may attempt to raise the </w:t>
      </w:r>
      <w:r>
        <w:t>defence</w:t>
      </w:r>
      <w:r>
        <w:t xml:space="preserve"> of </w:t>
      </w:r>
      <w:r>
        <w:t>self-defence</w:t>
      </w:r>
      <w:r>
        <w:t xml:space="preserve"> if she believed that her actions were necessary and reasonable to protect herself from an imminent threat of harm. Self-</w:t>
      </w:r>
      <w:r>
        <w:t>defence</w:t>
      </w:r>
      <w:r>
        <w:t xml:space="preserve"> relies on the principle that individuals have the right to protect themselves when faced with potential danger. The success of this </w:t>
      </w:r>
      <w:r>
        <w:t>defence</w:t>
      </w:r>
      <w:r>
        <w:t xml:space="preserve"> would depend on the specific circumstances and whether Harriet's actions were proportionate to the perceived threat.</w:t>
      </w:r>
    </w:p>
    <w:p w14:paraId="717F060D" w14:textId="73ED66E2" w:rsidR="007A0423" w:rsidRDefault="007A0423" w:rsidP="007A0423">
      <w:r>
        <w:t xml:space="preserve">It is important to note that the presence of multiple eyewitness testimonials and their accounts can significantly influence the outcome of the case. Eyewitness testimonies carry weight in establishing the facts and can impact the credibility of </w:t>
      </w:r>
      <w:r>
        <w:t>defences</w:t>
      </w:r>
      <w:r>
        <w:t xml:space="preserve">. In this scenario, if the eyewitnesses provide consistent accounts that undermine Harriet's claim of </w:t>
      </w:r>
      <w:r>
        <w:t>self-defence</w:t>
      </w:r>
      <w:r>
        <w:t xml:space="preserve"> or suggest disproportionate force, it could weaken her argument and decrease the likelihood of a successful </w:t>
      </w:r>
      <w:r>
        <w:t>defence</w:t>
      </w:r>
      <w:r>
        <w:t>.</w:t>
      </w:r>
    </w:p>
    <w:p w14:paraId="7590E88E" w14:textId="77777777" w:rsidR="00925B97" w:rsidRDefault="00925B97" w:rsidP="007A0423"/>
    <w:p w14:paraId="083B55B5" w14:textId="77777777" w:rsidR="002A1A25" w:rsidRPr="00F06274" w:rsidRDefault="002A1A25" w:rsidP="002A1A25">
      <w:pPr>
        <w:rPr>
          <w:b/>
          <w:bCs/>
        </w:rPr>
      </w:pPr>
      <w:r w:rsidRPr="00F06274">
        <w:rPr>
          <w:b/>
          <w:bCs/>
        </w:rPr>
        <w:t>Criminal damage:</w:t>
      </w:r>
    </w:p>
    <w:p w14:paraId="6753BF78" w14:textId="77777777" w:rsidR="002A1A25" w:rsidRDefault="002A1A25" w:rsidP="002A1A25">
      <w:r>
        <w:t xml:space="preserve">Harriet could potentially be liable for criminal damage when she smashed the large panes of glass in the bi-fold doors of Christine's kitchen. The actus reus of criminal damage requires destroying or damaging property belonging to another, and the </w:t>
      </w:r>
      <w:proofErr w:type="spellStart"/>
      <w:r>
        <w:t>mens</w:t>
      </w:r>
      <w:proofErr w:type="spellEnd"/>
      <w:r>
        <w:t xml:space="preserve"> rea requires either intention to destroy or damage the property or recklessness as to whether the property would be destroyed or damaged. In this case, Harriet intentionally smashed the glass panes, causing damage to Christine's property. Therefore, Harriet has met the actus reus and </w:t>
      </w:r>
      <w:proofErr w:type="spellStart"/>
      <w:r>
        <w:t>mens</w:t>
      </w:r>
      <w:proofErr w:type="spellEnd"/>
      <w:r>
        <w:t xml:space="preserve"> rea requirements for criminal damage.</w:t>
      </w:r>
    </w:p>
    <w:p w14:paraId="7EE3A9CB" w14:textId="72FD5C2E" w:rsidR="002A1A25" w:rsidRDefault="002A1A25" w:rsidP="002A1A25">
      <w:r>
        <w:t xml:space="preserve">Harriet could argue the </w:t>
      </w:r>
      <w:r w:rsidR="00D94071">
        <w:t>defence</w:t>
      </w:r>
      <w:r>
        <w:t xml:space="preserve"> of lawful excuse if she believed that her actions were necessary to protect herself or others from imminent danger or harm. This </w:t>
      </w:r>
      <w:r w:rsidR="00D94071">
        <w:t>defence</w:t>
      </w:r>
      <w:r>
        <w:t xml:space="preserve"> would depend on the specific circumstances and whether Harriet's actions were considered reasonable and proportionate in the given situation.</w:t>
      </w:r>
    </w:p>
    <w:p w14:paraId="7A0630CA" w14:textId="180FECAD" w:rsidR="007A0423" w:rsidRDefault="007A0423" w:rsidP="007A0423">
      <w:r>
        <w:t xml:space="preserve">In the case of R v </w:t>
      </w:r>
      <w:proofErr w:type="spellStart"/>
      <w:r>
        <w:t>Fiak</w:t>
      </w:r>
      <w:proofErr w:type="spellEnd"/>
      <w:r>
        <w:t xml:space="preserve"> (</w:t>
      </w:r>
      <w:proofErr w:type="spellStart"/>
      <w:r>
        <w:t>Engin</w:t>
      </w:r>
      <w:proofErr w:type="spellEnd"/>
      <w:r>
        <w:t>) [2005], the issue revolved around criminal damage, resisting arrest, and assault on an officer.</w:t>
      </w:r>
    </w:p>
    <w:p w14:paraId="26476FDF" w14:textId="18A59A53" w:rsidR="00925B97" w:rsidRDefault="007A0423" w:rsidP="007A0423">
      <w:r>
        <w:t xml:space="preserve">The facts of the case were as follows: </w:t>
      </w:r>
      <w:proofErr w:type="spellStart"/>
      <w:r>
        <w:t>Fiak</w:t>
      </w:r>
      <w:proofErr w:type="spellEnd"/>
      <w:r>
        <w:t xml:space="preserve"> was sitting in a car parked outside his house when police officers approached him, suspecting that he had been driving under the influence of alcohol. </w:t>
      </w:r>
      <w:proofErr w:type="spellStart"/>
      <w:r>
        <w:t>Fiak</w:t>
      </w:r>
      <w:proofErr w:type="spellEnd"/>
      <w:r>
        <w:t xml:space="preserve"> insisted that he hadn't been driving, explaining that he had stepped away from the house after an argument with his wife. The police detained </w:t>
      </w:r>
      <w:proofErr w:type="spellStart"/>
      <w:r>
        <w:t>Fiak</w:t>
      </w:r>
      <w:proofErr w:type="spellEnd"/>
      <w:r>
        <w:t xml:space="preserve"> while they questioned his wife about the incident. However, </w:t>
      </w:r>
      <w:proofErr w:type="spellStart"/>
      <w:r>
        <w:t>Fiak</w:t>
      </w:r>
      <w:proofErr w:type="spellEnd"/>
      <w:r>
        <w:t xml:space="preserve"> ignored </w:t>
      </w:r>
      <w:r w:rsidR="00A12905">
        <w:t>this,</w:t>
      </w:r>
      <w:r>
        <w:t xml:space="preserve"> and a struggle </w:t>
      </w:r>
      <w:r>
        <w:t>broke out</w:t>
      </w:r>
      <w:r>
        <w:t xml:space="preserve"> between him and one of the officers, who claimed to have been injured. </w:t>
      </w:r>
      <w:proofErr w:type="spellStart"/>
      <w:r>
        <w:t>Fiak</w:t>
      </w:r>
      <w:proofErr w:type="spellEnd"/>
      <w:r>
        <w:t xml:space="preserve"> was then taken to the police station, where he proceeded to flood his cell by putting his blanket down the toilet and repeatedly flushing it.</w:t>
      </w:r>
    </w:p>
    <w:p w14:paraId="7CA0A722" w14:textId="40D77F9D" w:rsidR="007A0423" w:rsidRDefault="007A0423" w:rsidP="007A0423">
      <w:r>
        <w:t xml:space="preserve">The court ruled against </w:t>
      </w:r>
      <w:proofErr w:type="spellStart"/>
      <w:r>
        <w:t>Fiak</w:t>
      </w:r>
      <w:proofErr w:type="spellEnd"/>
      <w:r>
        <w:t xml:space="preserve">. It determined that the police officer's conduct in detaining </w:t>
      </w:r>
      <w:proofErr w:type="spellStart"/>
      <w:r>
        <w:t>Fiak</w:t>
      </w:r>
      <w:proofErr w:type="spellEnd"/>
      <w:r>
        <w:t xml:space="preserve"> was appropriate, as the word "arrest" had not been used until the investigation was concluded, at which </w:t>
      </w:r>
      <w:r>
        <w:lastRenderedPageBreak/>
        <w:t xml:space="preserve">point there were lawful grounds for the arrest. Regarding the blanket used in the cell, even though the water </w:t>
      </w:r>
      <w:proofErr w:type="spellStart"/>
      <w:r>
        <w:t>Fiak</w:t>
      </w:r>
      <w:proofErr w:type="spellEnd"/>
      <w:r>
        <w:t xml:space="preserve"> had flushed was clean and the blanket could be dried, the court considered the blanket unusable until it was dry and the cell unusable until the water was cleared. Therefore, the court concluded that </w:t>
      </w:r>
      <w:proofErr w:type="spellStart"/>
      <w:r>
        <w:t>Fiak</w:t>
      </w:r>
      <w:proofErr w:type="spellEnd"/>
      <w:r>
        <w:t xml:space="preserve"> had caused damage within the scope of the Criminal Damage Act 1971.</w:t>
      </w:r>
    </w:p>
    <w:p w14:paraId="7CC64020" w14:textId="73081776" w:rsidR="007A0423" w:rsidRDefault="007A0423" w:rsidP="007A0423">
      <w:r>
        <w:t xml:space="preserve">As a result, </w:t>
      </w:r>
      <w:proofErr w:type="spellStart"/>
      <w:r>
        <w:t>Fiak's</w:t>
      </w:r>
      <w:proofErr w:type="spellEnd"/>
      <w:r>
        <w:t xml:space="preserve"> appeal was dismissed, affirming the lawfulness of his </w:t>
      </w:r>
      <w:r w:rsidR="00925B97">
        <w:t>arrest,</w:t>
      </w:r>
      <w:r>
        <w:t xml:space="preserve"> and finding him liable for the damage caused to the blanket and the cell.</w:t>
      </w:r>
    </w:p>
    <w:p w14:paraId="720989EE" w14:textId="772ADEC8" w:rsidR="007A0423" w:rsidRDefault="00925B97" w:rsidP="002A1A25">
      <w:r w:rsidRPr="00E06B1A">
        <w:t>In</w:t>
      </w:r>
      <w:r w:rsidR="00E06B1A" w:rsidRPr="00E06B1A">
        <w:t xml:space="preserve"> each case, there are various factors and considerations to </w:t>
      </w:r>
      <w:r w:rsidRPr="00E06B1A">
        <w:t>consider</w:t>
      </w:r>
      <w:r w:rsidR="00E06B1A" w:rsidRPr="00E06B1A">
        <w:t xml:space="preserve">, such as the specific circumstances, applicable laws, available evidence, and the credibility of witnesses. Seeking guidance from legal professionals and referring to authoritative legal sources is essential to navigate the complexities of criminal liability and potential </w:t>
      </w:r>
      <w:r w:rsidR="00E06B1A" w:rsidRPr="00E06B1A">
        <w:t>defences</w:t>
      </w:r>
      <w:r w:rsidR="00E06B1A" w:rsidRPr="00E06B1A">
        <w:t xml:space="preserve"> accurately.</w:t>
      </w:r>
    </w:p>
    <w:p w14:paraId="377F5A19" w14:textId="344C6049" w:rsidR="00E06B1A" w:rsidRDefault="00E06B1A" w:rsidP="00E06B1A">
      <w:r>
        <w:t xml:space="preserve">Consistency is a crucial aspect when it comes to legal matters, particularly in the context of criminal liability and </w:t>
      </w:r>
      <w:r>
        <w:t>defences</w:t>
      </w:r>
      <w:r>
        <w:t>. It is essential for the parties involved, including the accused, witnesses, and legal professionals, to maintain consistency in their statements, actions, and arguments throughout the legal process. Here are a few reasons why consistency is highly valued:</w:t>
      </w:r>
    </w:p>
    <w:p w14:paraId="37799541" w14:textId="7116996C" w:rsidR="00E06B1A" w:rsidRDefault="00E06B1A" w:rsidP="00E06B1A">
      <w:r>
        <w:t>Credibility: Consistency enhances the credibility of the individuals involved in a case. When someone provides consistent and coherent statements or explanations, it conveys a sense of reliability and truthfulness. In contrast, inconsistencies in statements or actions can raise doubts about the person's credibility and may lead to a loss of trust.</w:t>
      </w:r>
    </w:p>
    <w:p w14:paraId="49C6A537" w14:textId="0B08BA53" w:rsidR="00E06B1A" w:rsidRDefault="00E06B1A" w:rsidP="00E06B1A">
      <w:r>
        <w:t>Evidence Evaluation: Consistency plays a significant role in how evidence is evaluated in a legal case. Courts and legal professionals rely on consistency to assess the reliability and weight of evidence. Consistent testimony, supporting documentation, or physical evidence that aligns with the overall narrative of the case can strengthen the arguments made and provide a more compelling basis for judgments or decisions.</w:t>
      </w:r>
    </w:p>
    <w:p w14:paraId="76A63C9F" w14:textId="748B8F37" w:rsidR="00E06B1A" w:rsidRDefault="00E06B1A" w:rsidP="00E06B1A">
      <w:r>
        <w:t xml:space="preserve">Legal Strategy: Consistency is crucial in developing a strong legal strategy. Lawyers and legal professionals aim to present a coherent and consistent narrative that supports their client's position. Inconsistencies in arguments or inconsistencies between different aspects of the case can undermine the effectiveness of the </w:t>
      </w:r>
      <w:r>
        <w:t>defence</w:t>
      </w:r>
      <w:r>
        <w:t xml:space="preserve"> or prosecution strategy.</w:t>
      </w:r>
    </w:p>
    <w:p w14:paraId="05260191" w14:textId="377B289D" w:rsidR="00E06B1A" w:rsidRDefault="00E06B1A" w:rsidP="00E06B1A">
      <w:r>
        <w:t xml:space="preserve">Court's Perception: Consistency affects how the court perceives the parties involved and the overall case. Judges, juries, and legal professionals pay attention to consistency as it helps them make informed decisions. Consistent arguments and presentations can leave a </w:t>
      </w:r>
      <w:proofErr w:type="spellStart"/>
      <w:r>
        <w:t>favorable</w:t>
      </w:r>
      <w:proofErr w:type="spellEnd"/>
      <w:r>
        <w:t xml:space="preserve"> impression, while inconsistencies may cast doubt on the reliability of the information presented.</w:t>
      </w:r>
    </w:p>
    <w:p w14:paraId="783105FF" w14:textId="1E16C9BC" w:rsidR="00E06B1A" w:rsidRDefault="00E06B1A" w:rsidP="00E06B1A">
      <w:r>
        <w:t>In summary, consistency is highly valued in legal proceedings as it enhances credibility, strengthens evidence evaluation, supports legal strategies, and affects the perception of the court. By being consistent in statements, actions, and arguments, the parties involved can contribute to a fair and effective resolution of the case.</w:t>
      </w:r>
    </w:p>
    <w:sectPr w:rsidR="00E06B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A25"/>
    <w:rsid w:val="001F047B"/>
    <w:rsid w:val="002958C3"/>
    <w:rsid w:val="002A1A25"/>
    <w:rsid w:val="003C42BE"/>
    <w:rsid w:val="007A0423"/>
    <w:rsid w:val="008D4CF4"/>
    <w:rsid w:val="00925B97"/>
    <w:rsid w:val="009C0179"/>
    <w:rsid w:val="00A12905"/>
    <w:rsid w:val="00D94071"/>
    <w:rsid w:val="00DA4E7C"/>
    <w:rsid w:val="00E06B1A"/>
    <w:rsid w:val="00E430B2"/>
    <w:rsid w:val="00ED7E6C"/>
    <w:rsid w:val="00F062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93A1DB"/>
  <w15:chartTrackingRefBased/>
  <w15:docId w15:val="{9AB6F4B3-796F-4C3A-808B-5F1DFA3337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7825497">
      <w:bodyDiv w:val="1"/>
      <w:marLeft w:val="0"/>
      <w:marRight w:val="0"/>
      <w:marTop w:val="0"/>
      <w:marBottom w:val="0"/>
      <w:divBdr>
        <w:top w:val="none" w:sz="0" w:space="0" w:color="auto"/>
        <w:left w:val="none" w:sz="0" w:space="0" w:color="auto"/>
        <w:bottom w:val="none" w:sz="0" w:space="0" w:color="auto"/>
        <w:right w:val="none" w:sz="0" w:space="0" w:color="auto"/>
      </w:divBdr>
    </w:div>
    <w:div w:id="1624340459">
      <w:bodyDiv w:val="1"/>
      <w:marLeft w:val="0"/>
      <w:marRight w:val="0"/>
      <w:marTop w:val="0"/>
      <w:marBottom w:val="0"/>
      <w:divBdr>
        <w:top w:val="none" w:sz="0" w:space="0" w:color="auto"/>
        <w:left w:val="none" w:sz="0" w:space="0" w:color="auto"/>
        <w:bottom w:val="none" w:sz="0" w:space="0" w:color="auto"/>
        <w:right w:val="none" w:sz="0" w:space="0" w:color="auto"/>
      </w:divBdr>
    </w:div>
    <w:div w:id="1772318688">
      <w:bodyDiv w:val="1"/>
      <w:marLeft w:val="0"/>
      <w:marRight w:val="0"/>
      <w:marTop w:val="0"/>
      <w:marBottom w:val="0"/>
      <w:divBdr>
        <w:top w:val="none" w:sz="0" w:space="0" w:color="auto"/>
        <w:left w:val="none" w:sz="0" w:space="0" w:color="auto"/>
        <w:bottom w:val="none" w:sz="0" w:space="0" w:color="auto"/>
        <w:right w:val="none" w:sz="0" w:space="0" w:color="auto"/>
      </w:divBdr>
    </w:div>
    <w:div w:id="1892956329">
      <w:bodyDiv w:val="1"/>
      <w:marLeft w:val="0"/>
      <w:marRight w:val="0"/>
      <w:marTop w:val="0"/>
      <w:marBottom w:val="0"/>
      <w:divBdr>
        <w:top w:val="none" w:sz="0" w:space="0" w:color="auto"/>
        <w:left w:val="none" w:sz="0" w:space="0" w:color="auto"/>
        <w:bottom w:val="none" w:sz="0" w:space="0" w:color="auto"/>
        <w:right w:val="none" w:sz="0" w:space="0" w:color="auto"/>
      </w:divBdr>
    </w:div>
    <w:div w:id="2129811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229</TotalTime>
  <Pages>3</Pages>
  <Words>1442</Words>
  <Characters>8221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Flintshire County Council</Company>
  <LinksUpToDate>false</LinksUpToDate>
  <CharactersWithSpaces>9644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Mayzer Laca</dc:creator>
  <cp:keywords/>
  <dc:description/>
  <cp:lastModifiedBy>Mayzer Laca</cp:lastModifiedBy>
  <cp:revision>7</cp:revision>
  <dcterms:created xsi:type="dcterms:W3CDTF">2023-07-07T10:18:00Z</dcterms:created>
  <dcterms:modified xsi:type="dcterms:W3CDTF">2023-07-07T21:42:00Z</dcterms:modified>
</cp:coreProperties>
</file>