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xmlns:wp14="http://schemas.microsoft.com/office/word/2010/wordml" w:rsidP="11BA7D7B" wp14:paraId="1A533FD5" wp14:textId="69AAA9F1">
      <w:pPr>
        <w:jc w:val="center"/>
        <w:rPr>
          <w:rFonts w:ascii="Arial" w:hAnsi="Arial" w:eastAsia="Arial" w:cs="Arial"/>
          <w:b w:val="0"/>
          <w:bCs w:val="0"/>
          <w:i w:val="0"/>
          <w:iCs w:val="0"/>
          <w:caps w:val="0"/>
          <w:smallCaps w:val="0"/>
          <w:noProof w:val="0"/>
          <w:color w:val="000000" w:themeColor="text1" w:themeTint="FF" w:themeShade="FF"/>
          <w:sz w:val="22"/>
          <w:szCs w:val="22"/>
          <w:lang w:val="en-GB"/>
        </w:rPr>
      </w:pPr>
      <w:r w:rsidRPr="11BA7D7B" w:rsidR="0BB7D906">
        <w:rPr>
          <w:rFonts w:ascii="Arial" w:hAnsi="Arial" w:eastAsia="Arial" w:cs="Arial"/>
          <w:b w:val="1"/>
          <w:bCs w:val="1"/>
          <w:i w:val="0"/>
          <w:iCs w:val="0"/>
          <w:caps w:val="0"/>
          <w:smallCaps w:val="0"/>
          <w:strike w:val="0"/>
          <w:dstrike w:val="0"/>
          <w:noProof w:val="0"/>
          <w:color w:val="000000" w:themeColor="text1" w:themeTint="FF" w:themeShade="FF"/>
          <w:sz w:val="22"/>
          <w:szCs w:val="22"/>
          <w:u w:val="none"/>
          <w:lang w:val="en-GB"/>
        </w:rPr>
        <w:t>STUDENT: SADIA OUSMAN</w:t>
      </w:r>
    </w:p>
    <w:p xmlns:wp14="http://schemas.microsoft.com/office/word/2010/wordml" w:rsidP="11BA7D7B" wp14:paraId="428AB5C2" wp14:textId="60BF17A8">
      <w:pPr>
        <w:jc w:val="center"/>
        <w:rPr>
          <w:rFonts w:ascii="Arial" w:hAnsi="Arial" w:eastAsia="Arial" w:cs="Arial"/>
          <w:b w:val="0"/>
          <w:bCs w:val="0"/>
          <w:i w:val="0"/>
          <w:iCs w:val="0"/>
          <w:caps w:val="0"/>
          <w:smallCaps w:val="0"/>
          <w:noProof w:val="0"/>
          <w:color w:val="000000" w:themeColor="text1" w:themeTint="FF" w:themeShade="FF"/>
          <w:sz w:val="22"/>
          <w:szCs w:val="22"/>
          <w:lang w:val="en-GB"/>
        </w:rPr>
      </w:pPr>
      <w:r>
        <w:br/>
      </w:r>
      <w:r w:rsidRPr="11BA7D7B" w:rsidR="0BB7D906">
        <w:rPr>
          <w:rFonts w:ascii="Arial" w:hAnsi="Arial" w:eastAsia="Arial" w:cs="Arial"/>
          <w:b w:val="1"/>
          <w:bCs w:val="1"/>
          <w:i w:val="0"/>
          <w:iCs w:val="0"/>
          <w:caps w:val="0"/>
          <w:smallCaps w:val="0"/>
          <w:strike w:val="0"/>
          <w:dstrike w:val="0"/>
          <w:noProof w:val="0"/>
          <w:color w:val="000000" w:themeColor="text1" w:themeTint="FF" w:themeShade="FF"/>
          <w:sz w:val="22"/>
          <w:szCs w:val="22"/>
          <w:u w:val="none"/>
          <w:lang w:val="en-GB"/>
        </w:rPr>
        <w:t>STUDENT ID: 2235624</w:t>
      </w:r>
    </w:p>
    <w:p xmlns:wp14="http://schemas.microsoft.com/office/word/2010/wordml" w:rsidP="11BA7D7B" wp14:paraId="211BC9C6" wp14:textId="74EAECAB">
      <w:pPr>
        <w:jc w:val="center"/>
        <w:rPr>
          <w:rFonts w:ascii="Arial" w:hAnsi="Arial" w:eastAsia="Arial" w:cs="Arial"/>
          <w:b w:val="0"/>
          <w:bCs w:val="0"/>
          <w:i w:val="0"/>
          <w:iCs w:val="0"/>
          <w:caps w:val="0"/>
          <w:smallCaps w:val="0"/>
          <w:noProof w:val="0"/>
          <w:color w:val="000000" w:themeColor="text1" w:themeTint="FF" w:themeShade="FF"/>
          <w:sz w:val="22"/>
          <w:szCs w:val="22"/>
          <w:lang w:val="en-GB"/>
        </w:rPr>
      </w:pPr>
      <w:r>
        <w:br/>
      </w:r>
      <w:r w:rsidRPr="11BA7D7B" w:rsidR="0BB7D906">
        <w:rPr>
          <w:rFonts w:ascii="Arial" w:hAnsi="Arial" w:eastAsia="Arial" w:cs="Arial"/>
          <w:b w:val="1"/>
          <w:bCs w:val="1"/>
          <w:i w:val="0"/>
          <w:iCs w:val="0"/>
          <w:caps w:val="0"/>
          <w:smallCaps w:val="0"/>
          <w:strike w:val="0"/>
          <w:dstrike w:val="0"/>
          <w:noProof w:val="0"/>
          <w:color w:val="000000" w:themeColor="text1" w:themeTint="FF" w:themeShade="FF"/>
          <w:sz w:val="22"/>
          <w:szCs w:val="22"/>
          <w:u w:val="none"/>
          <w:lang w:val="en-GB"/>
        </w:rPr>
        <w:t xml:space="preserve">LECTURER: </w:t>
      </w:r>
      <w:r w:rsidRPr="11BA7D7B" w:rsidR="5C017A8B">
        <w:rPr>
          <w:rFonts w:ascii="Arial" w:hAnsi="Arial" w:eastAsia="Arial" w:cs="Arial"/>
          <w:b w:val="1"/>
          <w:bCs w:val="1"/>
          <w:i w:val="0"/>
          <w:iCs w:val="0"/>
          <w:caps w:val="0"/>
          <w:smallCaps w:val="0"/>
          <w:strike w:val="0"/>
          <w:dstrike w:val="0"/>
          <w:noProof w:val="0"/>
          <w:color w:val="000000" w:themeColor="text1" w:themeTint="FF" w:themeShade="FF"/>
          <w:sz w:val="22"/>
          <w:szCs w:val="22"/>
          <w:u w:val="none"/>
          <w:lang w:val="en-GB"/>
        </w:rPr>
        <w:t>GILLIAN WEAVER AND ROBERT NARTOWSKI</w:t>
      </w:r>
    </w:p>
    <w:p xmlns:wp14="http://schemas.microsoft.com/office/word/2010/wordml" w:rsidP="11BA7D7B" wp14:paraId="30997BA6" wp14:textId="7067DE1A">
      <w:pPr>
        <w:jc w:val="center"/>
        <w:rPr>
          <w:rFonts w:ascii="Arial" w:hAnsi="Arial" w:eastAsia="Arial" w:cs="Arial"/>
          <w:b w:val="0"/>
          <w:bCs w:val="0"/>
          <w:i w:val="0"/>
          <w:iCs w:val="0"/>
          <w:caps w:val="0"/>
          <w:smallCaps w:val="0"/>
          <w:noProof w:val="0"/>
          <w:color w:val="000000" w:themeColor="text1" w:themeTint="FF" w:themeShade="FF"/>
          <w:sz w:val="22"/>
          <w:szCs w:val="22"/>
          <w:lang w:val="en-GB"/>
        </w:rPr>
      </w:pPr>
    </w:p>
    <w:p xmlns:wp14="http://schemas.microsoft.com/office/word/2010/wordml" w:rsidP="11BA7D7B" wp14:paraId="772D76CE" wp14:textId="1225A759">
      <w:pPr>
        <w:jc w:val="center"/>
      </w:pPr>
      <w:r w:rsidRPr="11BA7D7B" w:rsidR="0E6B7B0A">
        <w:rPr>
          <w:rFonts w:ascii="Arial" w:hAnsi="Arial" w:eastAsia="Arial" w:cs="Arial"/>
          <w:b w:val="1"/>
          <w:bCs w:val="1"/>
          <w:i w:val="0"/>
          <w:iCs w:val="0"/>
          <w:caps w:val="0"/>
          <w:smallCaps w:val="0"/>
          <w:noProof w:val="0"/>
          <w:color w:val="000000" w:themeColor="text1" w:themeTint="FF" w:themeShade="FF"/>
          <w:sz w:val="22"/>
          <w:szCs w:val="22"/>
          <w:lang w:val="en-GB"/>
        </w:rPr>
        <w:t xml:space="preserve">PROGRAMME: BSC HEALTH AND SOCIAL </w:t>
      </w:r>
      <w:r w:rsidRPr="11BA7D7B" w:rsidR="320EA944">
        <w:rPr>
          <w:rFonts w:ascii="Arial" w:hAnsi="Arial" w:eastAsia="Arial" w:cs="Arial"/>
          <w:b w:val="1"/>
          <w:bCs w:val="1"/>
          <w:i w:val="0"/>
          <w:iCs w:val="0"/>
          <w:caps w:val="0"/>
          <w:smallCaps w:val="0"/>
          <w:noProof w:val="0"/>
          <w:color w:val="000000" w:themeColor="text1" w:themeTint="FF" w:themeShade="FF"/>
          <w:sz w:val="22"/>
          <w:szCs w:val="22"/>
          <w:lang w:val="en-GB"/>
        </w:rPr>
        <w:t>CARE BMHP5023</w:t>
      </w:r>
    </w:p>
    <w:p xmlns:wp14="http://schemas.microsoft.com/office/word/2010/wordml" w:rsidP="11BA7D7B" wp14:paraId="48678CB7" wp14:textId="17C3E63F">
      <w:pPr>
        <w:jc w:val="center"/>
        <w:rPr>
          <w:rFonts w:ascii="Arial" w:hAnsi="Arial" w:eastAsia="Arial" w:cs="Arial"/>
          <w:b w:val="1"/>
          <w:bCs w:val="1"/>
          <w:i w:val="0"/>
          <w:iCs w:val="0"/>
          <w:caps w:val="0"/>
          <w:smallCaps w:val="0"/>
          <w:strike w:val="0"/>
          <w:dstrike w:val="0"/>
          <w:noProof w:val="0"/>
          <w:color w:val="000000" w:themeColor="text1" w:themeTint="FF" w:themeShade="FF"/>
          <w:sz w:val="22"/>
          <w:szCs w:val="22"/>
          <w:u w:val="none"/>
          <w:lang w:val="en-GB"/>
        </w:rPr>
      </w:pPr>
      <w:r>
        <w:br/>
      </w:r>
      <w:r w:rsidRPr="11BA7D7B" w:rsidR="0BB7D906">
        <w:rPr>
          <w:rFonts w:ascii="Arial" w:hAnsi="Arial" w:eastAsia="Arial" w:cs="Arial"/>
          <w:b w:val="1"/>
          <w:bCs w:val="1"/>
          <w:i w:val="0"/>
          <w:iCs w:val="0"/>
          <w:caps w:val="0"/>
          <w:smallCaps w:val="0"/>
          <w:strike w:val="0"/>
          <w:dstrike w:val="0"/>
          <w:noProof w:val="0"/>
          <w:color w:val="000000" w:themeColor="text1" w:themeTint="FF" w:themeShade="FF"/>
          <w:sz w:val="22"/>
          <w:szCs w:val="22"/>
          <w:u w:val="none"/>
          <w:lang w:val="en-GB"/>
        </w:rPr>
        <w:t xml:space="preserve">MODULE: </w:t>
      </w:r>
      <w:r w:rsidRPr="11BA7D7B" w:rsidR="759FAD64">
        <w:rPr>
          <w:rFonts w:ascii="Arial" w:hAnsi="Arial" w:eastAsia="Arial" w:cs="Arial"/>
          <w:b w:val="1"/>
          <w:bCs w:val="1"/>
          <w:i w:val="0"/>
          <w:iCs w:val="0"/>
          <w:caps w:val="0"/>
          <w:smallCaps w:val="0"/>
          <w:strike w:val="0"/>
          <w:dstrike w:val="0"/>
          <w:noProof w:val="0"/>
          <w:color w:val="000000" w:themeColor="text1" w:themeTint="FF" w:themeShade="FF"/>
          <w:sz w:val="22"/>
          <w:szCs w:val="22"/>
          <w:u w:val="none"/>
          <w:lang w:val="en-GB"/>
        </w:rPr>
        <w:t>INTRODUCTION TO PHYSIOLOGY</w:t>
      </w:r>
    </w:p>
    <w:p xmlns:wp14="http://schemas.microsoft.com/office/word/2010/wordml" w:rsidP="11BA7D7B" wp14:paraId="5E5787A5" wp14:textId="53773200">
      <w:pPr>
        <w:pStyle w:val="Normal"/>
        <w:jc w:val="center"/>
      </w:pPr>
      <w:r>
        <w:br/>
      </w:r>
      <w:r w:rsidRPr="11BA7D7B" w:rsidR="0BB7D906">
        <w:rPr>
          <w:rFonts w:ascii="Arial" w:hAnsi="Arial" w:eastAsia="Arial" w:cs="Arial"/>
          <w:b w:val="1"/>
          <w:bCs w:val="1"/>
          <w:i w:val="0"/>
          <w:iCs w:val="0"/>
          <w:caps w:val="0"/>
          <w:smallCaps w:val="0"/>
          <w:strike w:val="0"/>
          <w:dstrike w:val="0"/>
          <w:noProof w:val="0"/>
          <w:color w:val="000000" w:themeColor="text1" w:themeTint="FF" w:themeShade="FF"/>
          <w:sz w:val="22"/>
          <w:szCs w:val="22"/>
          <w:u w:val="none"/>
          <w:lang w:val="en-GB"/>
        </w:rPr>
        <w:t xml:space="preserve">ASSIGNMENT TITLE: </w:t>
      </w:r>
      <w:r w:rsidRPr="11BA7D7B" w:rsidR="08CF71D5">
        <w:rPr>
          <w:rFonts w:ascii="Arial" w:hAnsi="Arial" w:eastAsia="Arial" w:cs="Arial"/>
          <w:b w:val="1"/>
          <w:bCs w:val="1"/>
          <w:i w:val="0"/>
          <w:iCs w:val="0"/>
          <w:caps w:val="0"/>
          <w:smallCaps w:val="0"/>
          <w:strike w:val="0"/>
          <w:dstrike w:val="0"/>
          <w:noProof w:val="0"/>
          <w:color w:val="000000" w:themeColor="text1" w:themeTint="FF" w:themeShade="FF"/>
          <w:sz w:val="22"/>
          <w:szCs w:val="22"/>
          <w:u w:val="none"/>
          <w:lang w:val="en-GB"/>
        </w:rPr>
        <w:t>COMPONENT 1: WRITTEN ASSIGNMENT (CASE STUDY</w:t>
      </w:r>
      <w:r w:rsidRPr="11BA7D7B" w:rsidR="0B2F41DD">
        <w:rPr>
          <w:rFonts w:ascii="Arial" w:hAnsi="Arial" w:eastAsia="Arial" w:cs="Arial"/>
          <w:b w:val="1"/>
          <w:bCs w:val="1"/>
          <w:i w:val="0"/>
          <w:iCs w:val="0"/>
          <w:caps w:val="0"/>
          <w:smallCaps w:val="0"/>
          <w:strike w:val="0"/>
          <w:dstrike w:val="0"/>
          <w:noProof w:val="0"/>
          <w:color w:val="000000" w:themeColor="text1" w:themeTint="FF" w:themeShade="FF"/>
          <w:sz w:val="22"/>
          <w:szCs w:val="22"/>
          <w:u w:val="none"/>
          <w:lang w:val="en-GB"/>
        </w:rPr>
        <w:t xml:space="preserve"> REPORT</w:t>
      </w:r>
      <w:r w:rsidRPr="11BA7D7B" w:rsidR="08CF71D5">
        <w:rPr>
          <w:rFonts w:ascii="Arial" w:hAnsi="Arial" w:eastAsia="Arial" w:cs="Arial"/>
          <w:b w:val="1"/>
          <w:bCs w:val="1"/>
          <w:i w:val="0"/>
          <w:iCs w:val="0"/>
          <w:caps w:val="0"/>
          <w:smallCaps w:val="0"/>
          <w:strike w:val="0"/>
          <w:dstrike w:val="0"/>
          <w:noProof w:val="0"/>
          <w:color w:val="000000" w:themeColor="text1" w:themeTint="FF" w:themeShade="FF"/>
          <w:sz w:val="22"/>
          <w:szCs w:val="22"/>
          <w:u w:val="none"/>
          <w:lang w:val="en-GB"/>
        </w:rPr>
        <w:t>)</w:t>
      </w:r>
    </w:p>
    <w:p w:rsidR="11BA7D7B" w:rsidP="11BA7D7B" w:rsidRDefault="11BA7D7B" w14:paraId="21DC6778" w14:textId="76DD1546">
      <w:pPr>
        <w:pStyle w:val="Normal"/>
        <w:jc w:val="left"/>
        <w:rPr>
          <w:rFonts w:ascii="Arial" w:hAnsi="Arial" w:eastAsia="Arial" w:cs="Arial"/>
          <w:b w:val="1"/>
          <w:bCs w:val="1"/>
          <w:i w:val="0"/>
          <w:iCs w:val="0"/>
          <w:caps w:val="0"/>
          <w:smallCaps w:val="0"/>
          <w:strike w:val="0"/>
          <w:dstrike w:val="0"/>
          <w:noProof w:val="0"/>
          <w:color w:val="000000" w:themeColor="text1" w:themeTint="FF" w:themeShade="FF"/>
          <w:sz w:val="22"/>
          <w:szCs w:val="22"/>
          <w:u w:val="none"/>
          <w:lang w:val="en-GB"/>
        </w:rPr>
      </w:pPr>
    </w:p>
    <w:p w:rsidR="11BA7D7B" w:rsidP="11BA7D7B" w:rsidRDefault="11BA7D7B" w14:paraId="3F539887" w14:textId="5D09F1DF">
      <w:pPr>
        <w:pStyle w:val="Normal"/>
        <w:jc w:val="left"/>
        <w:rPr>
          <w:rFonts w:ascii="Arial" w:hAnsi="Arial" w:eastAsia="Arial" w:cs="Arial"/>
          <w:b w:val="1"/>
          <w:bCs w:val="1"/>
          <w:i w:val="0"/>
          <w:iCs w:val="0"/>
          <w:caps w:val="0"/>
          <w:smallCaps w:val="0"/>
          <w:strike w:val="0"/>
          <w:dstrike w:val="0"/>
          <w:noProof w:val="0"/>
          <w:color w:val="000000" w:themeColor="text1" w:themeTint="FF" w:themeShade="FF"/>
          <w:sz w:val="22"/>
          <w:szCs w:val="22"/>
          <w:u w:val="none"/>
          <w:lang w:val="en-GB"/>
        </w:rPr>
      </w:pPr>
    </w:p>
    <w:p w:rsidR="11BA7D7B" w:rsidP="11BA7D7B" w:rsidRDefault="11BA7D7B" w14:paraId="25C8BAC7" w14:textId="4D50BD39">
      <w:pPr>
        <w:pStyle w:val="Normal"/>
        <w:jc w:val="left"/>
        <w:rPr>
          <w:rFonts w:ascii="Arial" w:hAnsi="Arial" w:eastAsia="Arial" w:cs="Arial"/>
          <w:b w:val="1"/>
          <w:bCs w:val="1"/>
          <w:i w:val="0"/>
          <w:iCs w:val="0"/>
          <w:caps w:val="0"/>
          <w:smallCaps w:val="0"/>
          <w:strike w:val="0"/>
          <w:dstrike w:val="0"/>
          <w:noProof w:val="0"/>
          <w:color w:val="000000" w:themeColor="text1" w:themeTint="FF" w:themeShade="FF"/>
          <w:sz w:val="22"/>
          <w:szCs w:val="22"/>
          <w:u w:val="none"/>
          <w:lang w:val="en-GB"/>
        </w:rPr>
      </w:pPr>
    </w:p>
    <w:p w:rsidR="11BA7D7B" w:rsidP="11BA7D7B" w:rsidRDefault="11BA7D7B" w14:paraId="0BB45B81" w14:textId="0A054FB9">
      <w:pPr>
        <w:pStyle w:val="Normal"/>
        <w:jc w:val="left"/>
        <w:rPr>
          <w:rFonts w:ascii="Arial" w:hAnsi="Arial" w:eastAsia="Arial" w:cs="Arial"/>
          <w:b w:val="1"/>
          <w:bCs w:val="1"/>
          <w:i w:val="0"/>
          <w:iCs w:val="0"/>
          <w:caps w:val="0"/>
          <w:smallCaps w:val="0"/>
          <w:strike w:val="0"/>
          <w:dstrike w:val="0"/>
          <w:noProof w:val="0"/>
          <w:color w:val="000000" w:themeColor="text1" w:themeTint="FF" w:themeShade="FF"/>
          <w:sz w:val="22"/>
          <w:szCs w:val="22"/>
          <w:u w:val="none"/>
          <w:lang w:val="en-GB"/>
        </w:rPr>
      </w:pPr>
    </w:p>
    <w:p w:rsidR="11BA7D7B" w:rsidP="11BA7D7B" w:rsidRDefault="11BA7D7B" w14:paraId="53A4CD2C" w14:textId="0C978F29">
      <w:pPr>
        <w:pStyle w:val="Normal"/>
        <w:jc w:val="left"/>
        <w:rPr>
          <w:rFonts w:ascii="Arial" w:hAnsi="Arial" w:eastAsia="Arial" w:cs="Arial"/>
          <w:b w:val="1"/>
          <w:bCs w:val="1"/>
          <w:i w:val="0"/>
          <w:iCs w:val="0"/>
          <w:caps w:val="0"/>
          <w:smallCaps w:val="0"/>
          <w:strike w:val="0"/>
          <w:dstrike w:val="0"/>
          <w:noProof w:val="0"/>
          <w:color w:val="000000" w:themeColor="text1" w:themeTint="FF" w:themeShade="FF"/>
          <w:sz w:val="22"/>
          <w:szCs w:val="22"/>
          <w:u w:val="none"/>
          <w:lang w:val="en-GB"/>
        </w:rPr>
      </w:pPr>
    </w:p>
    <w:p w:rsidR="11BA7D7B" w:rsidP="11BA7D7B" w:rsidRDefault="11BA7D7B" w14:paraId="5B38FF01" w14:textId="42B15946">
      <w:pPr>
        <w:pStyle w:val="Normal"/>
        <w:jc w:val="left"/>
        <w:rPr>
          <w:rFonts w:ascii="Arial" w:hAnsi="Arial" w:eastAsia="Arial" w:cs="Arial"/>
          <w:b w:val="1"/>
          <w:bCs w:val="1"/>
          <w:i w:val="0"/>
          <w:iCs w:val="0"/>
          <w:caps w:val="0"/>
          <w:smallCaps w:val="0"/>
          <w:strike w:val="0"/>
          <w:dstrike w:val="0"/>
          <w:noProof w:val="0"/>
          <w:color w:val="000000" w:themeColor="text1" w:themeTint="FF" w:themeShade="FF"/>
          <w:sz w:val="22"/>
          <w:szCs w:val="22"/>
          <w:u w:val="none"/>
          <w:lang w:val="en-GB"/>
        </w:rPr>
      </w:pPr>
    </w:p>
    <w:p w:rsidR="11BA7D7B" w:rsidP="11BA7D7B" w:rsidRDefault="11BA7D7B" w14:paraId="63EB125D" w14:textId="1DAF7E58">
      <w:pPr>
        <w:pStyle w:val="Normal"/>
        <w:jc w:val="left"/>
        <w:rPr>
          <w:rFonts w:ascii="Arial" w:hAnsi="Arial" w:eastAsia="Arial" w:cs="Arial"/>
          <w:b w:val="1"/>
          <w:bCs w:val="1"/>
          <w:i w:val="0"/>
          <w:iCs w:val="0"/>
          <w:caps w:val="0"/>
          <w:smallCaps w:val="0"/>
          <w:strike w:val="0"/>
          <w:dstrike w:val="0"/>
          <w:noProof w:val="0"/>
          <w:color w:val="000000" w:themeColor="text1" w:themeTint="FF" w:themeShade="FF"/>
          <w:sz w:val="22"/>
          <w:szCs w:val="22"/>
          <w:u w:val="none"/>
          <w:lang w:val="en-GB"/>
        </w:rPr>
      </w:pPr>
    </w:p>
    <w:p w:rsidR="11BA7D7B" w:rsidP="11BA7D7B" w:rsidRDefault="11BA7D7B" w14:paraId="31B33CB6" w14:textId="2EADD959">
      <w:pPr>
        <w:pStyle w:val="Normal"/>
        <w:jc w:val="left"/>
        <w:rPr>
          <w:rFonts w:ascii="Arial" w:hAnsi="Arial" w:eastAsia="Arial" w:cs="Arial"/>
          <w:b w:val="1"/>
          <w:bCs w:val="1"/>
          <w:i w:val="0"/>
          <w:iCs w:val="0"/>
          <w:caps w:val="0"/>
          <w:smallCaps w:val="0"/>
          <w:strike w:val="0"/>
          <w:dstrike w:val="0"/>
          <w:noProof w:val="0"/>
          <w:color w:val="000000" w:themeColor="text1" w:themeTint="FF" w:themeShade="FF"/>
          <w:sz w:val="22"/>
          <w:szCs w:val="22"/>
          <w:u w:val="none"/>
          <w:lang w:val="en-GB"/>
        </w:rPr>
      </w:pPr>
    </w:p>
    <w:p w:rsidR="11BA7D7B" w:rsidP="11BA7D7B" w:rsidRDefault="11BA7D7B" w14:paraId="7E04F32B" w14:textId="4E171AC7">
      <w:pPr>
        <w:pStyle w:val="Normal"/>
        <w:jc w:val="left"/>
        <w:rPr>
          <w:rFonts w:ascii="Arial" w:hAnsi="Arial" w:eastAsia="Arial" w:cs="Arial"/>
          <w:b w:val="1"/>
          <w:bCs w:val="1"/>
          <w:i w:val="0"/>
          <w:iCs w:val="0"/>
          <w:caps w:val="0"/>
          <w:smallCaps w:val="0"/>
          <w:strike w:val="0"/>
          <w:dstrike w:val="0"/>
          <w:noProof w:val="0"/>
          <w:color w:val="000000" w:themeColor="text1" w:themeTint="FF" w:themeShade="FF"/>
          <w:sz w:val="22"/>
          <w:szCs w:val="22"/>
          <w:u w:val="none"/>
          <w:lang w:val="en-GB"/>
        </w:rPr>
      </w:pPr>
    </w:p>
    <w:p w:rsidR="11BA7D7B" w:rsidP="11BA7D7B" w:rsidRDefault="11BA7D7B" w14:paraId="5D03ADCF" w14:textId="00D7FB02">
      <w:pPr>
        <w:pStyle w:val="Normal"/>
        <w:jc w:val="left"/>
        <w:rPr>
          <w:rFonts w:ascii="Arial" w:hAnsi="Arial" w:eastAsia="Arial" w:cs="Arial"/>
          <w:b w:val="1"/>
          <w:bCs w:val="1"/>
          <w:i w:val="0"/>
          <w:iCs w:val="0"/>
          <w:caps w:val="0"/>
          <w:smallCaps w:val="0"/>
          <w:strike w:val="0"/>
          <w:dstrike w:val="0"/>
          <w:noProof w:val="0"/>
          <w:color w:val="000000" w:themeColor="text1" w:themeTint="FF" w:themeShade="FF"/>
          <w:sz w:val="22"/>
          <w:szCs w:val="22"/>
          <w:u w:val="none"/>
          <w:lang w:val="en-GB"/>
        </w:rPr>
      </w:pPr>
    </w:p>
    <w:p w:rsidR="11BA7D7B" w:rsidP="11BA7D7B" w:rsidRDefault="11BA7D7B" w14:paraId="31EDD6E7" w14:textId="238CEF96">
      <w:pPr>
        <w:pStyle w:val="Normal"/>
        <w:jc w:val="left"/>
        <w:rPr>
          <w:rFonts w:ascii="Arial" w:hAnsi="Arial" w:eastAsia="Arial" w:cs="Arial"/>
          <w:b w:val="1"/>
          <w:bCs w:val="1"/>
          <w:i w:val="0"/>
          <w:iCs w:val="0"/>
          <w:caps w:val="0"/>
          <w:smallCaps w:val="0"/>
          <w:strike w:val="0"/>
          <w:dstrike w:val="0"/>
          <w:noProof w:val="0"/>
          <w:color w:val="000000" w:themeColor="text1" w:themeTint="FF" w:themeShade="FF"/>
          <w:sz w:val="22"/>
          <w:szCs w:val="22"/>
          <w:u w:val="none"/>
          <w:lang w:val="en-GB"/>
        </w:rPr>
      </w:pPr>
    </w:p>
    <w:p w:rsidR="11BA7D7B" w:rsidP="11BA7D7B" w:rsidRDefault="11BA7D7B" w14:paraId="31EBAD1C" w14:textId="4922C96F">
      <w:pPr>
        <w:pStyle w:val="Normal"/>
        <w:jc w:val="left"/>
        <w:rPr>
          <w:rFonts w:ascii="Arial" w:hAnsi="Arial" w:eastAsia="Arial" w:cs="Arial"/>
          <w:b w:val="1"/>
          <w:bCs w:val="1"/>
          <w:i w:val="0"/>
          <w:iCs w:val="0"/>
          <w:caps w:val="0"/>
          <w:smallCaps w:val="0"/>
          <w:strike w:val="0"/>
          <w:dstrike w:val="0"/>
          <w:noProof w:val="0"/>
          <w:color w:val="000000" w:themeColor="text1" w:themeTint="FF" w:themeShade="FF"/>
          <w:sz w:val="22"/>
          <w:szCs w:val="22"/>
          <w:u w:val="none"/>
          <w:lang w:val="en-GB"/>
        </w:rPr>
      </w:pPr>
    </w:p>
    <w:p w:rsidR="11BA7D7B" w:rsidP="11BA7D7B" w:rsidRDefault="11BA7D7B" w14:paraId="471EB09A" w14:textId="7B9A335A">
      <w:pPr>
        <w:pStyle w:val="Normal"/>
        <w:jc w:val="left"/>
        <w:rPr>
          <w:rFonts w:ascii="Arial" w:hAnsi="Arial" w:eastAsia="Arial" w:cs="Arial"/>
          <w:b w:val="1"/>
          <w:bCs w:val="1"/>
          <w:i w:val="0"/>
          <w:iCs w:val="0"/>
          <w:caps w:val="0"/>
          <w:smallCaps w:val="0"/>
          <w:strike w:val="0"/>
          <w:dstrike w:val="0"/>
          <w:noProof w:val="0"/>
          <w:color w:val="000000" w:themeColor="text1" w:themeTint="FF" w:themeShade="FF"/>
          <w:sz w:val="22"/>
          <w:szCs w:val="22"/>
          <w:u w:val="none"/>
          <w:lang w:val="en-GB"/>
        </w:rPr>
      </w:pPr>
    </w:p>
    <w:p w:rsidR="11BA7D7B" w:rsidP="11BA7D7B" w:rsidRDefault="11BA7D7B" w14:paraId="4C28DF81" w14:textId="45F1AE64">
      <w:pPr>
        <w:pStyle w:val="Normal"/>
        <w:jc w:val="left"/>
        <w:rPr>
          <w:rFonts w:ascii="Arial" w:hAnsi="Arial" w:eastAsia="Arial" w:cs="Arial"/>
          <w:b w:val="1"/>
          <w:bCs w:val="1"/>
          <w:i w:val="0"/>
          <w:iCs w:val="0"/>
          <w:caps w:val="0"/>
          <w:smallCaps w:val="0"/>
          <w:strike w:val="0"/>
          <w:dstrike w:val="0"/>
          <w:noProof w:val="0"/>
          <w:color w:val="000000" w:themeColor="text1" w:themeTint="FF" w:themeShade="FF"/>
          <w:sz w:val="22"/>
          <w:szCs w:val="22"/>
          <w:u w:val="none"/>
          <w:lang w:val="en-GB"/>
        </w:rPr>
      </w:pPr>
    </w:p>
    <w:p w:rsidR="11BA7D7B" w:rsidP="11BA7D7B" w:rsidRDefault="11BA7D7B" w14:paraId="4F054107" w14:textId="7312BEFA">
      <w:pPr>
        <w:pStyle w:val="Normal"/>
        <w:jc w:val="left"/>
        <w:rPr>
          <w:rFonts w:ascii="Arial" w:hAnsi="Arial" w:eastAsia="Arial" w:cs="Arial"/>
          <w:b w:val="1"/>
          <w:bCs w:val="1"/>
          <w:i w:val="0"/>
          <w:iCs w:val="0"/>
          <w:caps w:val="0"/>
          <w:smallCaps w:val="0"/>
          <w:strike w:val="0"/>
          <w:dstrike w:val="0"/>
          <w:noProof w:val="0"/>
          <w:color w:val="000000" w:themeColor="text1" w:themeTint="FF" w:themeShade="FF"/>
          <w:sz w:val="22"/>
          <w:szCs w:val="22"/>
          <w:u w:val="none"/>
          <w:lang w:val="en-GB"/>
        </w:rPr>
      </w:pPr>
    </w:p>
    <w:p w:rsidR="11BA7D7B" w:rsidP="11BA7D7B" w:rsidRDefault="11BA7D7B" w14:paraId="01B79515" w14:textId="5E3AA593">
      <w:pPr>
        <w:pStyle w:val="Normal"/>
        <w:jc w:val="left"/>
        <w:rPr>
          <w:rFonts w:ascii="Arial" w:hAnsi="Arial" w:eastAsia="Arial" w:cs="Arial"/>
          <w:b w:val="1"/>
          <w:bCs w:val="1"/>
          <w:i w:val="0"/>
          <w:iCs w:val="0"/>
          <w:caps w:val="0"/>
          <w:smallCaps w:val="0"/>
          <w:strike w:val="0"/>
          <w:dstrike w:val="0"/>
          <w:noProof w:val="0"/>
          <w:color w:val="000000" w:themeColor="text1" w:themeTint="FF" w:themeShade="FF"/>
          <w:sz w:val="22"/>
          <w:szCs w:val="22"/>
          <w:u w:val="none"/>
          <w:lang w:val="en-GB"/>
        </w:rPr>
      </w:pPr>
    </w:p>
    <w:p w:rsidR="11BA7D7B" w:rsidP="11BA7D7B" w:rsidRDefault="11BA7D7B" w14:paraId="7EAC89F3" w14:textId="2150DD71">
      <w:pPr>
        <w:pStyle w:val="Normal"/>
        <w:jc w:val="left"/>
        <w:rPr>
          <w:rFonts w:ascii="Arial" w:hAnsi="Arial" w:eastAsia="Arial" w:cs="Arial"/>
          <w:b w:val="1"/>
          <w:bCs w:val="1"/>
          <w:i w:val="0"/>
          <w:iCs w:val="0"/>
          <w:caps w:val="0"/>
          <w:smallCaps w:val="0"/>
          <w:strike w:val="0"/>
          <w:dstrike w:val="0"/>
          <w:noProof w:val="0"/>
          <w:color w:val="000000" w:themeColor="text1" w:themeTint="FF" w:themeShade="FF"/>
          <w:sz w:val="22"/>
          <w:szCs w:val="22"/>
          <w:u w:val="none"/>
          <w:lang w:val="en-GB"/>
        </w:rPr>
      </w:pPr>
    </w:p>
    <w:p w:rsidR="11BA7D7B" w:rsidP="11BA7D7B" w:rsidRDefault="11BA7D7B" w14:paraId="4600AE42" w14:textId="17D6321F">
      <w:pPr>
        <w:pStyle w:val="Normal"/>
        <w:jc w:val="left"/>
        <w:rPr>
          <w:rFonts w:ascii="Arial" w:hAnsi="Arial" w:eastAsia="Arial" w:cs="Arial"/>
          <w:b w:val="1"/>
          <w:bCs w:val="1"/>
          <w:i w:val="0"/>
          <w:iCs w:val="0"/>
          <w:caps w:val="0"/>
          <w:smallCaps w:val="0"/>
          <w:strike w:val="0"/>
          <w:dstrike w:val="0"/>
          <w:noProof w:val="0"/>
          <w:color w:val="000000" w:themeColor="text1" w:themeTint="FF" w:themeShade="FF"/>
          <w:sz w:val="22"/>
          <w:szCs w:val="22"/>
          <w:u w:val="none"/>
          <w:lang w:val="en-GB"/>
        </w:rPr>
      </w:pPr>
    </w:p>
    <w:p w:rsidR="11BA7D7B" w:rsidP="11BA7D7B" w:rsidRDefault="11BA7D7B" w14:paraId="7793335A" w14:textId="37CAF77E">
      <w:pPr>
        <w:pStyle w:val="Normal"/>
        <w:jc w:val="left"/>
        <w:rPr>
          <w:rFonts w:ascii="Arial" w:hAnsi="Arial" w:eastAsia="Arial" w:cs="Arial"/>
          <w:b w:val="1"/>
          <w:bCs w:val="1"/>
          <w:i w:val="0"/>
          <w:iCs w:val="0"/>
          <w:caps w:val="0"/>
          <w:smallCaps w:val="0"/>
          <w:strike w:val="0"/>
          <w:dstrike w:val="0"/>
          <w:noProof w:val="0"/>
          <w:color w:val="000000" w:themeColor="text1" w:themeTint="FF" w:themeShade="FF"/>
          <w:sz w:val="22"/>
          <w:szCs w:val="22"/>
          <w:u w:val="none"/>
          <w:lang w:val="en-GB"/>
        </w:rPr>
      </w:pPr>
    </w:p>
    <w:p w:rsidR="11BA7D7B" w:rsidP="11BA7D7B" w:rsidRDefault="11BA7D7B" w14:paraId="12704C2A" w14:textId="4B5FBF1D">
      <w:pPr>
        <w:pStyle w:val="Normal"/>
        <w:jc w:val="left"/>
        <w:rPr>
          <w:rFonts w:ascii="Arial" w:hAnsi="Arial" w:eastAsia="Arial" w:cs="Arial"/>
          <w:b w:val="1"/>
          <w:bCs w:val="1"/>
          <w:i w:val="0"/>
          <w:iCs w:val="0"/>
          <w:caps w:val="0"/>
          <w:smallCaps w:val="0"/>
          <w:strike w:val="0"/>
          <w:dstrike w:val="0"/>
          <w:noProof w:val="0"/>
          <w:color w:val="000000" w:themeColor="text1" w:themeTint="FF" w:themeShade="FF"/>
          <w:sz w:val="22"/>
          <w:szCs w:val="22"/>
          <w:u w:val="none"/>
          <w:lang w:val="en-GB"/>
        </w:rPr>
      </w:pPr>
    </w:p>
    <w:p w:rsidR="1C962086" w:rsidP="11BA7D7B" w:rsidRDefault="1C962086" w14:paraId="1F9F6491" w14:textId="6BAEB62B">
      <w:pPr>
        <w:pStyle w:val="Normal"/>
        <w:jc w:val="left"/>
      </w:pPr>
      <w:r w:rsidRPr="11BA7D7B" w:rsidR="1C962086">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Context</w:t>
      </w:r>
    </w:p>
    <w:p w:rsidR="11BA7D7B" w:rsidP="11BA7D7B" w:rsidRDefault="11BA7D7B" w14:paraId="7280C408" w14:textId="08BD05EB">
      <w:pPr>
        <w:pStyle w:val="Normal"/>
        <w:jc w:val="left"/>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pPr>
    </w:p>
    <w:p w:rsidR="5DE74114" w:rsidP="11BA7D7B" w:rsidRDefault="5DE74114" w14:paraId="56D7010A" w14:textId="2B877798">
      <w:pPr>
        <w:pStyle w:val="Normal"/>
        <w:jc w:val="left"/>
        <w:rPr>
          <w:rFonts w:ascii="Arial" w:hAnsi="Arial" w:eastAsia="Arial" w:cs="Arial" w:asciiTheme="minorAscii" w:hAnsiTheme="minorAscii" w:eastAsiaTheme="minorAscii" w:cstheme="minorAscii"/>
          <w:b w:val="0"/>
          <w:bCs w:val="0"/>
          <w:i w:val="0"/>
          <w:iCs w:val="0"/>
          <w:caps w:val="0"/>
          <w:smallCaps w:val="0"/>
          <w:noProof w:val="0"/>
          <w:color w:val="242424"/>
          <w:sz w:val="22"/>
          <w:szCs w:val="22"/>
          <w:lang w:val="en-GB"/>
        </w:rPr>
      </w:pPr>
      <w:r w:rsidRPr="11BA7D7B" w:rsidR="5DE74114">
        <w:rPr>
          <w:rFonts w:ascii="Arial" w:hAnsi="Arial" w:eastAsia="Arial" w:cs="Arial" w:asciiTheme="minorAscii" w:hAnsiTheme="minorAscii" w:eastAsiaTheme="minorAscii" w:cstheme="minorAscii"/>
          <w:b w:val="0"/>
          <w:bCs w:val="0"/>
          <w:i w:val="0"/>
          <w:iCs w:val="0"/>
          <w:caps w:val="0"/>
          <w:smallCaps w:val="0"/>
          <w:noProof w:val="0"/>
          <w:color w:val="242424"/>
          <w:sz w:val="22"/>
          <w:szCs w:val="22"/>
          <w:lang w:val="en-GB"/>
        </w:rPr>
        <w:t>Report on Diabetes Management: Enhancing Patient Understanding and Self-Management</w:t>
      </w:r>
      <w:r>
        <w:br/>
      </w:r>
      <w:r>
        <w:br/>
      </w:r>
      <w:r w:rsidRPr="11BA7D7B" w:rsidR="5DE74114">
        <w:rPr>
          <w:rFonts w:ascii="Arial" w:hAnsi="Arial" w:eastAsia="Arial" w:cs="Arial" w:asciiTheme="minorAscii" w:hAnsiTheme="minorAscii" w:eastAsiaTheme="minorAscii" w:cstheme="minorAscii"/>
          <w:b w:val="0"/>
          <w:bCs w:val="0"/>
          <w:i w:val="0"/>
          <w:iCs w:val="0"/>
          <w:caps w:val="0"/>
          <w:smallCaps w:val="0"/>
          <w:noProof w:val="0"/>
          <w:color w:val="242424"/>
          <w:sz w:val="22"/>
          <w:szCs w:val="22"/>
          <w:lang w:val="en-GB"/>
        </w:rPr>
        <w:t>1. Introduction</w:t>
      </w:r>
      <w:r>
        <w:br/>
      </w:r>
      <w:r>
        <w:br/>
      </w:r>
      <w:r w:rsidRPr="11BA7D7B" w:rsidR="5DE74114">
        <w:rPr>
          <w:rFonts w:ascii="Arial" w:hAnsi="Arial" w:eastAsia="Arial" w:cs="Arial" w:asciiTheme="minorAscii" w:hAnsiTheme="minorAscii" w:eastAsiaTheme="minorAscii" w:cstheme="minorAscii"/>
          <w:b w:val="0"/>
          <w:bCs w:val="0"/>
          <w:i w:val="0"/>
          <w:iCs w:val="0"/>
          <w:caps w:val="0"/>
          <w:smallCaps w:val="0"/>
          <w:noProof w:val="0"/>
          <w:color w:val="242424"/>
          <w:sz w:val="22"/>
          <w:szCs w:val="22"/>
          <w:lang w:val="en-GB"/>
        </w:rPr>
        <w:t>1.1 Types of Diabetes and Risk Factors</w:t>
      </w:r>
      <w:r>
        <w:br/>
      </w:r>
      <w:r>
        <w:br/>
      </w:r>
      <w:r w:rsidRPr="11BA7D7B" w:rsidR="46B6CA90">
        <w:rPr>
          <w:rFonts w:ascii="Arial" w:hAnsi="Arial" w:eastAsia="Arial" w:cs="Arial" w:asciiTheme="minorAscii" w:hAnsiTheme="minorAscii" w:eastAsiaTheme="minorAscii" w:cstheme="minorAscii"/>
          <w:b w:val="0"/>
          <w:bCs w:val="0"/>
          <w:i w:val="0"/>
          <w:iCs w:val="0"/>
          <w:caps w:val="0"/>
          <w:smallCaps w:val="0"/>
          <w:noProof w:val="0"/>
          <w:color w:val="242424"/>
          <w:sz w:val="22"/>
          <w:szCs w:val="22"/>
          <w:lang w:val="en-GB"/>
        </w:rPr>
        <w:t>2. Physiological Regulation of Blood Glucose</w:t>
      </w:r>
      <w:r>
        <w:br/>
      </w:r>
      <w:r>
        <w:br/>
      </w:r>
      <w:r w:rsidRPr="11BA7D7B" w:rsidR="46B6CA90">
        <w:rPr>
          <w:rFonts w:ascii="Arial" w:hAnsi="Arial" w:eastAsia="Arial" w:cs="Arial" w:asciiTheme="minorAscii" w:hAnsiTheme="minorAscii" w:eastAsiaTheme="minorAscii" w:cstheme="minorAscii"/>
          <w:b w:val="0"/>
          <w:bCs w:val="0"/>
          <w:i w:val="0"/>
          <w:iCs w:val="0"/>
          <w:caps w:val="0"/>
          <w:smallCaps w:val="0"/>
          <w:noProof w:val="0"/>
          <w:color w:val="242424"/>
          <w:sz w:val="22"/>
          <w:szCs w:val="22"/>
          <w:lang w:val="en-GB"/>
        </w:rPr>
        <w:t>2.1 The Pancreatic Role in Glucose Homeostasis</w:t>
      </w:r>
      <w:r>
        <w:br/>
      </w:r>
      <w:r>
        <w:br/>
      </w:r>
      <w:r w:rsidRPr="11BA7D7B" w:rsidR="46B6CA90">
        <w:rPr>
          <w:rFonts w:ascii="Arial" w:hAnsi="Arial" w:eastAsia="Arial" w:cs="Arial" w:asciiTheme="minorAscii" w:hAnsiTheme="minorAscii" w:eastAsiaTheme="minorAscii" w:cstheme="minorAscii"/>
          <w:b w:val="0"/>
          <w:bCs w:val="0"/>
          <w:i w:val="0"/>
          <w:iCs w:val="0"/>
          <w:caps w:val="0"/>
          <w:smallCaps w:val="0"/>
          <w:noProof w:val="0"/>
          <w:color w:val="242424"/>
          <w:sz w:val="22"/>
          <w:szCs w:val="22"/>
          <w:lang w:val="en-GB"/>
        </w:rPr>
        <w:t>2.2 Hormonal Regulation of Blood Glucose</w:t>
      </w:r>
      <w:r>
        <w:br/>
      </w:r>
      <w:r>
        <w:br/>
      </w:r>
      <w:r w:rsidRPr="11BA7D7B" w:rsidR="45E198FD">
        <w:rPr>
          <w:rFonts w:ascii="Arial" w:hAnsi="Arial" w:eastAsia="Arial" w:cs="Arial" w:asciiTheme="minorAscii" w:hAnsiTheme="minorAscii" w:eastAsiaTheme="minorAscii" w:cstheme="minorAscii"/>
          <w:b w:val="0"/>
          <w:bCs w:val="0"/>
          <w:i w:val="0"/>
          <w:iCs w:val="0"/>
          <w:caps w:val="0"/>
          <w:smallCaps w:val="0"/>
          <w:noProof w:val="0"/>
          <w:color w:val="242424"/>
          <w:sz w:val="22"/>
          <w:szCs w:val="22"/>
          <w:lang w:val="en-GB"/>
        </w:rPr>
        <w:t>2.3 Cellular Energy Production: Cellular Respiration</w:t>
      </w:r>
      <w:r>
        <w:br/>
      </w:r>
      <w:r>
        <w:br/>
      </w:r>
      <w:r w:rsidRPr="11BA7D7B" w:rsidR="4823CD2E">
        <w:rPr>
          <w:rFonts w:ascii="Arial" w:hAnsi="Arial" w:eastAsia="Arial" w:cs="Arial" w:asciiTheme="minorAscii" w:hAnsiTheme="minorAscii" w:eastAsiaTheme="minorAscii" w:cstheme="minorAscii"/>
          <w:b w:val="0"/>
          <w:bCs w:val="0"/>
          <w:i w:val="0"/>
          <w:iCs w:val="0"/>
          <w:caps w:val="0"/>
          <w:smallCaps w:val="0"/>
          <w:noProof w:val="0"/>
          <w:color w:val="242424"/>
          <w:sz w:val="22"/>
          <w:szCs w:val="22"/>
          <w:lang w:val="en-GB"/>
        </w:rPr>
        <w:t>3. Recording and Tracking Blood Sugar Levels in Type 2 Diabetes</w:t>
      </w:r>
      <w:r>
        <w:br/>
      </w:r>
      <w:r>
        <w:br/>
      </w:r>
      <w:r w:rsidRPr="11BA7D7B" w:rsidR="4823CD2E">
        <w:rPr>
          <w:rFonts w:ascii="Arial" w:hAnsi="Arial" w:eastAsia="Arial" w:cs="Arial" w:asciiTheme="minorAscii" w:hAnsiTheme="minorAscii" w:eastAsiaTheme="minorAscii" w:cstheme="minorAscii"/>
          <w:b w:val="0"/>
          <w:bCs w:val="0"/>
          <w:i w:val="0"/>
          <w:iCs w:val="0"/>
          <w:caps w:val="0"/>
          <w:smallCaps w:val="0"/>
          <w:noProof w:val="0"/>
          <w:color w:val="242424"/>
          <w:sz w:val="22"/>
          <w:szCs w:val="22"/>
          <w:lang w:val="en-GB"/>
        </w:rPr>
        <w:t>3.1 The Role of Self-Monitoring in Diabetes Management</w:t>
      </w:r>
      <w:r>
        <w:br/>
      </w:r>
      <w:r>
        <w:br/>
      </w:r>
      <w:r w:rsidRPr="11BA7D7B" w:rsidR="4823CD2E">
        <w:rPr>
          <w:rFonts w:ascii="Arial" w:hAnsi="Arial" w:eastAsia="Arial" w:cs="Arial" w:asciiTheme="minorAscii" w:hAnsiTheme="minorAscii" w:eastAsiaTheme="minorAscii" w:cstheme="minorAscii"/>
          <w:b w:val="0"/>
          <w:bCs w:val="0"/>
          <w:i w:val="0"/>
          <w:iCs w:val="0"/>
          <w:caps w:val="0"/>
          <w:smallCaps w:val="0"/>
          <w:noProof w:val="0"/>
          <w:color w:val="242424"/>
          <w:sz w:val="22"/>
          <w:szCs w:val="22"/>
          <w:lang w:val="en-GB"/>
        </w:rPr>
        <w:t>3.2 Understanding Treatment Targets</w:t>
      </w:r>
      <w:r>
        <w:br/>
      </w:r>
      <w:r>
        <w:br/>
      </w:r>
      <w:r w:rsidRPr="11BA7D7B" w:rsidR="3C17E2A5">
        <w:rPr>
          <w:rFonts w:ascii="Arial" w:hAnsi="Arial" w:eastAsia="Arial" w:cs="Arial" w:asciiTheme="minorAscii" w:hAnsiTheme="minorAscii" w:eastAsiaTheme="minorAscii" w:cstheme="minorAscii"/>
          <w:b w:val="0"/>
          <w:bCs w:val="0"/>
          <w:i w:val="0"/>
          <w:iCs w:val="0"/>
          <w:caps w:val="0"/>
          <w:smallCaps w:val="0"/>
          <w:noProof w:val="0"/>
          <w:color w:val="242424"/>
          <w:sz w:val="22"/>
          <w:szCs w:val="22"/>
          <w:lang w:val="en-GB"/>
        </w:rPr>
        <w:t>4. Lifestyle Interventions for Diabetes Management</w:t>
      </w:r>
      <w:r>
        <w:br/>
      </w:r>
      <w:r>
        <w:br/>
      </w:r>
      <w:r w:rsidRPr="11BA7D7B" w:rsidR="3C17E2A5">
        <w:rPr>
          <w:rFonts w:ascii="Arial" w:hAnsi="Arial" w:eastAsia="Arial" w:cs="Arial" w:asciiTheme="minorAscii" w:hAnsiTheme="minorAscii" w:eastAsiaTheme="minorAscii" w:cstheme="minorAscii"/>
          <w:b w:val="0"/>
          <w:bCs w:val="0"/>
          <w:i w:val="0"/>
          <w:iCs w:val="0"/>
          <w:caps w:val="0"/>
          <w:smallCaps w:val="0"/>
          <w:noProof w:val="0"/>
          <w:color w:val="242424"/>
          <w:sz w:val="22"/>
          <w:szCs w:val="22"/>
          <w:lang w:val="en-GB"/>
        </w:rPr>
        <w:t>4.1 Dietary Approaches</w:t>
      </w:r>
      <w:r>
        <w:br/>
      </w:r>
      <w:r>
        <w:br/>
      </w:r>
      <w:r w:rsidRPr="11BA7D7B" w:rsidR="3C17E2A5">
        <w:rPr>
          <w:rFonts w:ascii="Arial" w:hAnsi="Arial" w:eastAsia="Arial" w:cs="Arial" w:asciiTheme="minorAscii" w:hAnsiTheme="minorAscii" w:eastAsiaTheme="minorAscii" w:cstheme="minorAscii"/>
          <w:b w:val="0"/>
          <w:bCs w:val="0"/>
          <w:i w:val="0"/>
          <w:iCs w:val="0"/>
          <w:caps w:val="0"/>
          <w:smallCaps w:val="0"/>
          <w:noProof w:val="0"/>
          <w:color w:val="242424"/>
          <w:sz w:val="22"/>
          <w:szCs w:val="22"/>
          <w:lang w:val="en-GB"/>
        </w:rPr>
        <w:t>4.2 Physical Activity</w:t>
      </w:r>
      <w:r>
        <w:br/>
      </w:r>
      <w:r>
        <w:br/>
      </w:r>
      <w:r w:rsidRPr="11BA7D7B" w:rsidR="72051AB0">
        <w:rPr>
          <w:rFonts w:ascii="Arial" w:hAnsi="Arial" w:eastAsia="Arial" w:cs="Arial" w:asciiTheme="minorAscii" w:hAnsiTheme="minorAscii" w:eastAsiaTheme="minorAscii" w:cstheme="minorAscii"/>
          <w:b w:val="0"/>
          <w:bCs w:val="0"/>
          <w:i w:val="0"/>
          <w:iCs w:val="0"/>
          <w:caps w:val="0"/>
          <w:smallCaps w:val="0"/>
          <w:noProof w:val="0"/>
          <w:color w:val="242424"/>
          <w:sz w:val="22"/>
          <w:szCs w:val="22"/>
          <w:lang w:val="en-GB"/>
        </w:rPr>
        <w:t>4.3 Smoking Cessation</w:t>
      </w:r>
      <w:r>
        <w:br/>
      </w:r>
      <w:r>
        <w:br/>
      </w:r>
      <w:r w:rsidRPr="11BA7D7B" w:rsidR="72051AB0">
        <w:rPr>
          <w:rFonts w:ascii="Arial" w:hAnsi="Arial" w:eastAsia="Arial" w:cs="Arial" w:asciiTheme="minorAscii" w:hAnsiTheme="minorAscii" w:eastAsiaTheme="minorAscii" w:cstheme="minorAscii"/>
          <w:b w:val="0"/>
          <w:bCs w:val="0"/>
          <w:i w:val="0"/>
          <w:iCs w:val="0"/>
          <w:caps w:val="0"/>
          <w:smallCaps w:val="0"/>
          <w:noProof w:val="0"/>
          <w:color w:val="242424"/>
          <w:sz w:val="22"/>
          <w:szCs w:val="22"/>
          <w:lang w:val="en-GB"/>
        </w:rPr>
        <w:t>5. Conclusion</w:t>
      </w:r>
      <w:r>
        <w:br/>
      </w:r>
      <w:r>
        <w:br/>
      </w:r>
      <w:r w:rsidRPr="11BA7D7B" w:rsidR="409E864C">
        <w:rPr>
          <w:rFonts w:ascii="Arial" w:hAnsi="Arial" w:eastAsia="Arial" w:cs="Arial" w:asciiTheme="minorAscii" w:hAnsiTheme="minorAscii" w:eastAsiaTheme="minorAscii" w:cstheme="minorAscii"/>
          <w:b w:val="0"/>
          <w:bCs w:val="0"/>
          <w:i w:val="0"/>
          <w:iCs w:val="0"/>
          <w:caps w:val="0"/>
          <w:smallCaps w:val="0"/>
          <w:noProof w:val="0"/>
          <w:color w:val="242424"/>
          <w:sz w:val="22"/>
          <w:szCs w:val="22"/>
          <w:lang w:val="en-GB"/>
        </w:rPr>
        <w:t>Reference List</w:t>
      </w:r>
      <w:r>
        <w:br/>
      </w:r>
      <w:r>
        <w:br/>
      </w:r>
    </w:p>
    <w:p w:rsidR="11BA7D7B" w:rsidP="11BA7D7B" w:rsidRDefault="11BA7D7B" w14:paraId="4FA59C15" w14:textId="2CE11E33">
      <w:pPr>
        <w:pStyle w:val="Normal"/>
        <w:jc w:val="left"/>
        <w:rPr>
          <w:rFonts w:ascii="Arial" w:hAnsi="Arial" w:eastAsia="Arial" w:cs="Arial" w:asciiTheme="minorAscii" w:hAnsiTheme="minorAscii" w:eastAsiaTheme="minorAscii" w:cstheme="minorAscii"/>
          <w:b w:val="0"/>
          <w:bCs w:val="0"/>
          <w:i w:val="0"/>
          <w:iCs w:val="0"/>
          <w:caps w:val="0"/>
          <w:smallCaps w:val="0"/>
          <w:noProof w:val="0"/>
          <w:color w:val="242424"/>
          <w:sz w:val="22"/>
          <w:szCs w:val="22"/>
          <w:lang w:val="en-GB"/>
        </w:rPr>
      </w:pPr>
    </w:p>
    <w:p w:rsidR="11BA7D7B" w:rsidP="11BA7D7B" w:rsidRDefault="11BA7D7B" w14:paraId="75E9F53B" w14:textId="714A4407">
      <w:pPr>
        <w:pStyle w:val="Normal"/>
        <w:jc w:val="left"/>
        <w:rPr>
          <w:rFonts w:ascii="Arial" w:hAnsi="Arial" w:eastAsia="Arial" w:cs="Arial" w:asciiTheme="minorAscii" w:hAnsiTheme="minorAscii" w:eastAsiaTheme="minorAscii" w:cstheme="minorAscii"/>
          <w:b w:val="0"/>
          <w:bCs w:val="0"/>
          <w:i w:val="0"/>
          <w:iCs w:val="0"/>
          <w:caps w:val="0"/>
          <w:smallCaps w:val="0"/>
          <w:noProof w:val="0"/>
          <w:color w:val="242424"/>
          <w:sz w:val="22"/>
          <w:szCs w:val="22"/>
          <w:lang w:val="en-GB"/>
        </w:rPr>
      </w:pPr>
    </w:p>
    <w:p w:rsidR="11BA7D7B" w:rsidP="11BA7D7B" w:rsidRDefault="11BA7D7B" w14:paraId="1210A7F0" w14:textId="49FD71E5">
      <w:pPr>
        <w:pStyle w:val="Normal"/>
        <w:jc w:val="left"/>
        <w:rPr>
          <w:rFonts w:ascii="Arial" w:hAnsi="Arial" w:eastAsia="Arial" w:cs="Arial" w:asciiTheme="minorAscii" w:hAnsiTheme="minorAscii" w:eastAsiaTheme="minorAscii" w:cstheme="minorAscii"/>
          <w:b w:val="0"/>
          <w:bCs w:val="0"/>
          <w:i w:val="0"/>
          <w:iCs w:val="0"/>
          <w:caps w:val="0"/>
          <w:smallCaps w:val="0"/>
          <w:noProof w:val="0"/>
          <w:color w:val="242424"/>
          <w:sz w:val="22"/>
          <w:szCs w:val="22"/>
          <w:lang w:val="en-GB"/>
        </w:rPr>
      </w:pPr>
    </w:p>
    <w:p w:rsidR="11BA7D7B" w:rsidP="11BA7D7B" w:rsidRDefault="11BA7D7B" w14:paraId="43D3492C" w14:textId="11C1BB53">
      <w:pPr>
        <w:pStyle w:val="Normal"/>
        <w:jc w:val="left"/>
        <w:rPr>
          <w:rFonts w:ascii="Arial" w:hAnsi="Arial" w:eastAsia="Arial" w:cs="Arial" w:asciiTheme="minorAscii" w:hAnsiTheme="minorAscii" w:eastAsiaTheme="minorAscii" w:cstheme="minorAscii"/>
          <w:b w:val="0"/>
          <w:bCs w:val="0"/>
          <w:i w:val="0"/>
          <w:iCs w:val="0"/>
          <w:caps w:val="0"/>
          <w:smallCaps w:val="0"/>
          <w:noProof w:val="0"/>
          <w:color w:val="242424"/>
          <w:sz w:val="22"/>
          <w:szCs w:val="22"/>
          <w:lang w:val="en-GB"/>
        </w:rPr>
      </w:pPr>
    </w:p>
    <w:p w:rsidR="11BA7D7B" w:rsidP="11BA7D7B" w:rsidRDefault="11BA7D7B" w14:paraId="5EE69B89" w14:textId="140D40E6">
      <w:pPr>
        <w:pStyle w:val="Normal"/>
        <w:jc w:val="left"/>
        <w:rPr>
          <w:rFonts w:ascii="Arial" w:hAnsi="Arial" w:eastAsia="Arial" w:cs="Arial" w:asciiTheme="minorAscii" w:hAnsiTheme="minorAscii" w:eastAsiaTheme="minorAscii" w:cstheme="minorAscii"/>
          <w:b w:val="0"/>
          <w:bCs w:val="0"/>
          <w:i w:val="0"/>
          <w:iCs w:val="0"/>
          <w:caps w:val="0"/>
          <w:smallCaps w:val="0"/>
          <w:noProof w:val="0"/>
          <w:color w:val="242424"/>
          <w:sz w:val="22"/>
          <w:szCs w:val="22"/>
          <w:lang w:val="en-GB"/>
        </w:rPr>
      </w:pPr>
    </w:p>
    <w:p w:rsidR="56EB683B" w:rsidP="11BA7D7B" w:rsidRDefault="56EB683B" w14:paraId="7B67D51A" w14:textId="55EA4A9E">
      <w:pPr>
        <w:pStyle w:val="Normal"/>
        <w:jc w:val="left"/>
        <w:rPr>
          <w:rFonts w:ascii="Arial" w:hAnsi="Arial" w:eastAsia="Arial" w:cs="Arial" w:asciiTheme="minorAscii" w:hAnsiTheme="minorAscii" w:eastAsiaTheme="minorAscii" w:cstheme="minorAscii"/>
          <w:noProof w:val="0"/>
          <w:sz w:val="22"/>
          <w:szCs w:val="22"/>
          <w:lang w:val="en-GB"/>
        </w:rPr>
      </w:pPr>
      <w:r w:rsidRPr="11BA7D7B" w:rsidR="56EB683B">
        <w:rPr>
          <w:rFonts w:ascii="Arial" w:hAnsi="Arial" w:eastAsia="Arial" w:cs="Arial" w:asciiTheme="minorAscii" w:hAnsiTheme="minorAscii" w:eastAsiaTheme="minorAscii" w:cstheme="minorAscii"/>
          <w:b w:val="0"/>
          <w:bCs w:val="0"/>
          <w:i w:val="0"/>
          <w:iCs w:val="0"/>
          <w:caps w:val="0"/>
          <w:smallCaps w:val="0"/>
          <w:noProof w:val="0"/>
          <w:color w:val="242424"/>
          <w:sz w:val="22"/>
          <w:szCs w:val="22"/>
          <w:lang w:val="en-GB"/>
        </w:rPr>
        <w:t>Report on Diabetes Management: Enhancing Patient Understanding and Self-Management</w:t>
      </w:r>
      <w:r>
        <w:br/>
      </w:r>
      <w:r>
        <w:br/>
      </w:r>
      <w:r w:rsidRPr="11BA7D7B" w:rsidR="56EB683B">
        <w:rPr>
          <w:rFonts w:ascii="Arial" w:hAnsi="Arial" w:eastAsia="Arial" w:cs="Arial" w:asciiTheme="minorAscii" w:hAnsiTheme="minorAscii" w:eastAsiaTheme="minorAscii" w:cstheme="minorAscii"/>
          <w:b w:val="0"/>
          <w:bCs w:val="0"/>
          <w:i w:val="0"/>
          <w:iCs w:val="0"/>
          <w:caps w:val="0"/>
          <w:smallCaps w:val="0"/>
          <w:noProof w:val="0"/>
          <w:color w:val="242424"/>
          <w:sz w:val="22"/>
          <w:szCs w:val="22"/>
          <w:lang w:val="en-GB"/>
        </w:rPr>
        <w:t>1. Introduction</w:t>
      </w:r>
      <w:r>
        <w:br/>
      </w:r>
      <w:r>
        <w:br/>
      </w:r>
      <w:r w:rsidRPr="11BA7D7B" w:rsidR="56EB683B">
        <w:rPr>
          <w:rFonts w:ascii="Arial" w:hAnsi="Arial" w:eastAsia="Arial" w:cs="Arial" w:asciiTheme="minorAscii" w:hAnsiTheme="minorAscii" w:eastAsiaTheme="minorAscii" w:cstheme="minorAscii"/>
          <w:b w:val="0"/>
          <w:bCs w:val="0"/>
          <w:i w:val="0"/>
          <w:iCs w:val="0"/>
          <w:caps w:val="0"/>
          <w:smallCaps w:val="0"/>
          <w:noProof w:val="0"/>
          <w:color w:val="242424"/>
          <w:sz w:val="22"/>
          <w:szCs w:val="22"/>
          <w:lang w:val="en-GB"/>
        </w:rPr>
        <w:t>Diabetes mellitus represents one of the most significant public health challenges facing the United Kingdom today. Current data indicates that approximately 4.3 million people are living with diabetes in the UK, with an estimated further 850,000 individuals remaining undiagnosed (Office for Health Improvement and Disparities, 2026). This chronic metabolic disease is characterised by elevated blood glucose levels that, if inadequately managed, can lead to serious damage to the heart, blood vessels, eyes, kidneys, feet, and nerves (Public Health England, 2026). The increasing prevalence of diabetes within the local GP surgery population reflects a wider national trend, with the number of adults living with diabetes in Wales alone increasing by 40% over a twelve-year period (Public Health Wales, 2023). This report aims to provide comprehensive information to support patients in understanding their condition and engaging more effectively with their care plans.</w:t>
      </w:r>
      <w:r>
        <w:br/>
      </w:r>
      <w:r>
        <w:br/>
      </w:r>
      <w:r w:rsidRPr="11BA7D7B" w:rsidR="56EB683B">
        <w:rPr>
          <w:rFonts w:ascii="Arial" w:hAnsi="Arial" w:eastAsia="Arial" w:cs="Arial" w:asciiTheme="minorAscii" w:hAnsiTheme="minorAscii" w:eastAsiaTheme="minorAscii" w:cstheme="minorAscii"/>
          <w:b w:val="0"/>
          <w:bCs w:val="0"/>
          <w:i w:val="0"/>
          <w:iCs w:val="0"/>
          <w:caps w:val="0"/>
          <w:smallCaps w:val="0"/>
          <w:noProof w:val="0"/>
          <w:color w:val="242424"/>
          <w:sz w:val="22"/>
          <w:szCs w:val="22"/>
          <w:lang w:val="en-GB"/>
        </w:rPr>
        <w:t>1.1 Types of Diabetes and Risk Factors</w:t>
      </w:r>
      <w:r>
        <w:br/>
      </w:r>
      <w:r>
        <w:br/>
      </w:r>
      <w:r w:rsidRPr="11BA7D7B" w:rsidR="56EB683B">
        <w:rPr>
          <w:rFonts w:ascii="Arial" w:hAnsi="Arial" w:eastAsia="Arial" w:cs="Arial" w:asciiTheme="minorAscii" w:hAnsiTheme="minorAscii" w:eastAsiaTheme="minorAscii" w:cstheme="minorAscii"/>
          <w:b w:val="0"/>
          <w:bCs w:val="0"/>
          <w:i w:val="0"/>
          <w:iCs w:val="0"/>
          <w:caps w:val="0"/>
          <w:smallCaps w:val="0"/>
          <w:noProof w:val="0"/>
          <w:color w:val="242424"/>
          <w:sz w:val="22"/>
          <w:szCs w:val="22"/>
          <w:lang w:val="en-GB"/>
        </w:rPr>
        <w:t>Type 2 diabetes accounts for approximately 90% of UK cases, making it the predominant form encountered in primary care settings (Martin, 2025). Unlike Type 1 diabetes, which results from autoimmune destruction of pancreatic beta cells leading to absolute insulin deficiency, Type 2 diabetes is characterised by insulin resistance combined with relative insulin deficiency (Brown and Diggle, 2026). The pathophysiology of Type 2 diabetes involves a complex interplay between genetic predisposition and modifiable lifestyle factors. Key risk factors include overweight and obesity, physical inactivity, positive family history, and certain ethnic backgrounds (National Institute for Health and Care Excellence, 2025). Notably, the rise in Type 2 diabetes diagnoses among those under 40 years of age is particularly concerning, reflecting the increased prevalence of excess weight across younger populations, with over 64% of adults and nearly 38% of children in England classed as overweight or obese (Martin, 2025). Public Health Wales (2023) data confirms that diabetes prevalence is higher among older individuals and males across all age groups, with significant variation across different geographical areas. The estimated prevalence of non-diabetic hyperglycaemia (NDH), defined as HbA1c levels between 42 and 47 mmol/mol, affects approximately 5.7 million adults in England, representing a substantial population at increased risk of developing Type 2 diabetes (Public Health England, 2026).</w:t>
      </w:r>
      <w:r>
        <w:br/>
      </w:r>
      <w:r>
        <w:br/>
      </w:r>
      <w:r w:rsidRPr="11BA7D7B" w:rsidR="56EB683B">
        <w:rPr>
          <w:rFonts w:ascii="Arial" w:hAnsi="Arial" w:eastAsia="Arial" w:cs="Arial" w:asciiTheme="minorAscii" w:hAnsiTheme="minorAscii" w:eastAsiaTheme="minorAscii" w:cstheme="minorAscii"/>
          <w:b w:val="0"/>
          <w:bCs w:val="0"/>
          <w:i w:val="0"/>
          <w:iCs w:val="0"/>
          <w:caps w:val="0"/>
          <w:smallCaps w:val="0"/>
          <w:noProof w:val="0"/>
          <w:color w:val="242424"/>
          <w:sz w:val="22"/>
          <w:szCs w:val="22"/>
          <w:lang w:val="en-GB"/>
        </w:rPr>
        <w:t>2. Physiological Regulation of Blood Glucose</w:t>
      </w:r>
      <w:r>
        <w:br/>
      </w:r>
      <w:r>
        <w:br/>
      </w:r>
      <w:r w:rsidRPr="11BA7D7B" w:rsidR="56EB683B">
        <w:rPr>
          <w:rFonts w:ascii="Arial" w:hAnsi="Arial" w:eastAsia="Arial" w:cs="Arial" w:asciiTheme="minorAscii" w:hAnsiTheme="minorAscii" w:eastAsiaTheme="minorAscii" w:cstheme="minorAscii"/>
          <w:b w:val="0"/>
          <w:bCs w:val="0"/>
          <w:i w:val="0"/>
          <w:iCs w:val="0"/>
          <w:caps w:val="0"/>
          <w:smallCaps w:val="0"/>
          <w:noProof w:val="0"/>
          <w:color w:val="242424"/>
          <w:sz w:val="22"/>
          <w:szCs w:val="22"/>
          <w:lang w:val="en-GB"/>
        </w:rPr>
        <w:t>2.1 The Pancreatic Role in Glucose Homeostasis</w:t>
      </w:r>
      <w:r>
        <w:br/>
      </w:r>
      <w:r>
        <w:br/>
      </w:r>
      <w:r w:rsidRPr="11BA7D7B" w:rsidR="56EB683B">
        <w:rPr>
          <w:rFonts w:ascii="Arial" w:hAnsi="Arial" w:eastAsia="Arial" w:cs="Arial" w:asciiTheme="minorAscii" w:hAnsiTheme="minorAscii" w:eastAsiaTheme="minorAscii" w:cstheme="minorAscii"/>
          <w:b w:val="0"/>
          <w:bCs w:val="0"/>
          <w:i w:val="0"/>
          <w:iCs w:val="0"/>
          <w:caps w:val="0"/>
          <w:smallCaps w:val="0"/>
          <w:noProof w:val="0"/>
          <w:color w:val="242424"/>
          <w:sz w:val="22"/>
          <w:szCs w:val="22"/>
          <w:lang w:val="en-GB"/>
        </w:rPr>
        <w:t>The maintenance of blood glucose levels within a narrow physiological range is essential for human health and survival. The primary organs responsible for this regulation are the liver and pancreas, working in concert through complex hormonal feedback mechanisms (La Fleur et al., 2014). Blood glucose concentrations in healthy fasting adults generally remain within the range of 3.5–6.0 mmol/L, seldom rising above 11 mmol/L even after a substantial carbohydrate-rich meal (La Fleur et al., 2014). This remarkable homeostatic control is achieved through the coordinated actions of two key pancreatic hormones: insulin and glucagon.</w:t>
      </w:r>
      <w:r>
        <w:br/>
      </w:r>
      <w:r>
        <w:br/>
      </w:r>
      <w:r w:rsidRPr="11BA7D7B" w:rsidR="56EB683B">
        <w:rPr>
          <w:rFonts w:ascii="Arial" w:hAnsi="Arial" w:eastAsia="Arial" w:cs="Arial" w:asciiTheme="minorAscii" w:hAnsiTheme="minorAscii" w:eastAsiaTheme="minorAscii" w:cstheme="minorAscii"/>
          <w:b w:val="0"/>
          <w:bCs w:val="0"/>
          <w:i w:val="0"/>
          <w:iCs w:val="0"/>
          <w:caps w:val="0"/>
          <w:smallCaps w:val="0"/>
          <w:noProof w:val="0"/>
          <w:color w:val="242424"/>
          <w:sz w:val="22"/>
          <w:szCs w:val="22"/>
          <w:lang w:val="en-GB"/>
        </w:rPr>
        <w:t>The pancreas functions as both an exocrine and endocrine organ, with its endocrine function carried out by clusters of cells known as the islets of Langerhans. Within these islets, beta cells produce and secrete insulin, while alpha cells produce glucagon. The homeostatic control circuit operates through a sophisticated feedback mechanism in which pancreatic beta cells act as controllers, continuously monitoring blood glucose levels and comparing them against a physiological reference value (National Institutes of Health, 2016). When blood glucose rises, beta cells increase insulin secretion; conversely, when glucose falls, alpha cells release glucagon to mobilise glucose stores (Thorens, 2024).</w:t>
      </w:r>
      <w:r>
        <w:br/>
      </w:r>
      <w:r>
        <w:br/>
      </w:r>
      <w:r w:rsidRPr="11BA7D7B" w:rsidR="56EB683B">
        <w:rPr>
          <w:rFonts w:ascii="Arial" w:hAnsi="Arial" w:eastAsia="Arial" w:cs="Arial" w:asciiTheme="minorAscii" w:hAnsiTheme="minorAscii" w:eastAsiaTheme="minorAscii" w:cstheme="minorAscii"/>
          <w:b w:val="0"/>
          <w:bCs w:val="0"/>
          <w:i w:val="0"/>
          <w:iCs w:val="0"/>
          <w:caps w:val="0"/>
          <w:smallCaps w:val="0"/>
          <w:noProof w:val="0"/>
          <w:color w:val="242424"/>
          <w:sz w:val="22"/>
          <w:szCs w:val="22"/>
          <w:lang w:val="en-GB"/>
        </w:rPr>
        <w:t>2.2 Hormonal Regulation of Blood Glucose</w:t>
      </w:r>
      <w:r>
        <w:br/>
      </w:r>
      <w:r>
        <w:br/>
      </w:r>
      <w:r w:rsidRPr="11BA7D7B" w:rsidR="56EB683B">
        <w:rPr>
          <w:rFonts w:ascii="Arial" w:hAnsi="Arial" w:eastAsia="Arial" w:cs="Arial" w:asciiTheme="minorAscii" w:hAnsiTheme="minorAscii" w:eastAsiaTheme="minorAscii" w:cstheme="minorAscii"/>
          <w:b w:val="0"/>
          <w:bCs w:val="0"/>
          <w:i w:val="0"/>
          <w:iCs w:val="0"/>
          <w:caps w:val="0"/>
          <w:smallCaps w:val="0"/>
          <w:noProof w:val="0"/>
          <w:color w:val="242424"/>
          <w:sz w:val="22"/>
          <w:szCs w:val="22"/>
          <w:lang w:val="en-GB"/>
        </w:rPr>
        <w:t>Insulin is released by pancreatic beta cells when blood glucose concentrations are high (La Fleur et al., 2014). This hormone facilitates glucose uptake by muscle and adipose tissue, promoting its utilisation for energy production or storage as glycogen. Simultaneously, insulin suppresses hepatic glucose production, reducing the liver's release of glucose into the circulation (Thorens, 2024). When insulin sensitivity is impaired, as occurs in Type 2 diabetes, plasma glucose concentrations rise due to diminished glucose uptake by peripheral tissues and reduced suppression of hepatic glucose production (Brown and Diggle, 2026). The autonomic nervous system plays a crucial role in this regulatory process, with vagal nerve stimulation enhancing insulin secretion through activation of muscarinic receptors on beta cells (Thorens, 2024).</w:t>
      </w:r>
      <w:r>
        <w:br/>
      </w:r>
      <w:r>
        <w:br/>
      </w:r>
      <w:r w:rsidRPr="11BA7D7B" w:rsidR="56EB683B">
        <w:rPr>
          <w:rFonts w:ascii="Arial" w:hAnsi="Arial" w:eastAsia="Arial" w:cs="Arial" w:asciiTheme="minorAscii" w:hAnsiTheme="minorAscii" w:eastAsiaTheme="minorAscii" w:cstheme="minorAscii"/>
          <w:b w:val="0"/>
          <w:bCs w:val="0"/>
          <w:i w:val="0"/>
          <w:iCs w:val="0"/>
          <w:caps w:val="0"/>
          <w:smallCaps w:val="0"/>
          <w:noProof w:val="0"/>
          <w:color w:val="242424"/>
          <w:sz w:val="22"/>
          <w:szCs w:val="22"/>
          <w:lang w:val="en-GB"/>
        </w:rPr>
        <w:t>Glucagon, secreted by pancreatic alpha cells when plasma glucose concentrations drop, has opposing effects to insulin. It acts primarily on the liver to stimulate glucose production through glycogenolysis (breakdown of glycogen) and gluconeogenesis (synthesis of new glucose from non-carbohydrate sources) (La Fleur et al., 2014). Glucagon also appears to reduce glucose uptake in the liver and muscle, further contributing to the restoration of blood glucose levels (Thorens, 2024). The autonomic nervous system modulates glucagon secretion through sympathetic and parasympathetic innervation of the pancreatic islets, with norepinephrine stimulating glucagon release via beta-2 adrenergic receptors on alpha cells (Thorens, 2024).</w:t>
      </w:r>
      <w:r>
        <w:br/>
      </w:r>
      <w:r>
        <w:br/>
      </w:r>
      <w:r w:rsidRPr="11BA7D7B" w:rsidR="56EB683B">
        <w:rPr>
          <w:rFonts w:ascii="Arial" w:hAnsi="Arial" w:eastAsia="Arial" w:cs="Arial" w:asciiTheme="minorAscii" w:hAnsiTheme="minorAscii" w:eastAsiaTheme="minorAscii" w:cstheme="minorAscii"/>
          <w:b w:val="0"/>
          <w:bCs w:val="0"/>
          <w:i w:val="0"/>
          <w:iCs w:val="0"/>
          <w:caps w:val="0"/>
          <w:smallCaps w:val="0"/>
          <w:noProof w:val="0"/>
          <w:color w:val="242424"/>
          <w:sz w:val="22"/>
          <w:szCs w:val="22"/>
          <w:lang w:val="en-GB"/>
        </w:rPr>
        <w:t>2.3 Cellular Energy Production: Cellular Respiration</w:t>
      </w:r>
      <w:r>
        <w:br/>
      </w:r>
      <w:r>
        <w:br/>
      </w:r>
      <w:r w:rsidRPr="11BA7D7B" w:rsidR="56EB683B">
        <w:rPr>
          <w:rFonts w:ascii="Arial" w:hAnsi="Arial" w:eastAsia="Arial" w:cs="Arial" w:asciiTheme="minorAscii" w:hAnsiTheme="minorAscii" w:eastAsiaTheme="minorAscii" w:cstheme="minorAscii"/>
          <w:b w:val="0"/>
          <w:bCs w:val="0"/>
          <w:i w:val="0"/>
          <w:iCs w:val="0"/>
          <w:caps w:val="0"/>
          <w:smallCaps w:val="0"/>
          <w:noProof w:val="0"/>
          <w:color w:val="242424"/>
          <w:sz w:val="22"/>
          <w:szCs w:val="22"/>
          <w:lang w:val="en-GB"/>
        </w:rPr>
        <w:t>Understanding how cells utilise glucose for energy production provides important context for diabetes management. Cellular respiration is the process by which cells convert glucose and oxygen into adenosine triphosphate (ATP), the energy currency of the cell (UEN Digital Press, 2024). The overall equation for aerobic cellular respiration is:</w:t>
      </w:r>
      <w:r>
        <w:br/>
      </w:r>
      <w:r>
        <w:br/>
      </w:r>
      <w:r w:rsidRPr="11BA7D7B" w:rsidR="56EB683B">
        <w:rPr>
          <w:rFonts w:ascii="Arial" w:hAnsi="Arial" w:eastAsia="Arial" w:cs="Arial" w:asciiTheme="minorAscii" w:hAnsiTheme="minorAscii" w:eastAsiaTheme="minorAscii" w:cstheme="minorAscii"/>
          <w:b w:val="0"/>
          <w:bCs w:val="0"/>
          <w:i w:val="0"/>
          <w:iCs w:val="0"/>
          <w:caps w:val="0"/>
          <w:smallCaps w:val="0"/>
          <w:noProof w:val="0"/>
          <w:color w:val="242424"/>
          <w:sz w:val="22"/>
          <w:szCs w:val="22"/>
          <w:lang w:val="en-GB"/>
        </w:rPr>
        <w:t>C6H12O6 + 6 O2 → 6 CO2 + 6 H2O + 26-38 ATP</w:t>
      </w:r>
      <w:r>
        <w:br/>
      </w:r>
      <w:r>
        <w:br/>
      </w:r>
      <w:r w:rsidRPr="11BA7D7B" w:rsidR="56EB683B">
        <w:rPr>
          <w:rFonts w:ascii="Arial" w:hAnsi="Arial" w:eastAsia="Arial" w:cs="Arial" w:asciiTheme="minorAscii" w:hAnsiTheme="minorAscii" w:eastAsiaTheme="minorAscii" w:cstheme="minorAscii"/>
          <w:b w:val="0"/>
          <w:bCs w:val="0"/>
          <w:i w:val="0"/>
          <w:iCs w:val="0"/>
          <w:caps w:val="0"/>
          <w:smallCaps w:val="0"/>
          <w:noProof w:val="0"/>
          <w:color w:val="242424"/>
          <w:sz w:val="22"/>
          <w:szCs w:val="22"/>
          <w:lang w:val="en-GB"/>
        </w:rPr>
        <w:t>This process occurs in four main stages: glycolysis, acetyl-CoA formation, the citric acid cycle, and the electron transport chain (UEN Digital Press, 2024). Glycolysis takes place in the cytoplasm and breaks down a single glucose molecule (a six-carbon sugar) into two molecules of pyruvic acid (a three-carbon compound). This initial stage yields a small amount of ATP and does not require oxygen. The remaining stages occur within the mitochondria, the cellular powerhouses. Pyruvic acid is converted to acetyl-CoA, which enters the citric acid cycle (also known as the Krebs cycle). This cycle releases carbon dioxide and generates electron carriers (NADH and FADH2) that transport high-energy electrons to the electron transport chain (UEN Digital Press, 2024). The electron transport chain, located in the inner mitochondrial membrane, uses these electrons to drive the production of ATP through oxidative phosphorylation, with oxygen serving as the final electron acceptor. Through this integrated process, glucose is oxidised to generate chemical energy in a form that cells can utilise for all their functions, from muscle contraction to nerve impulse transmission.</w:t>
      </w:r>
      <w:r>
        <w:br/>
      </w:r>
      <w:r>
        <w:br/>
      </w:r>
      <w:r w:rsidRPr="11BA7D7B" w:rsidR="56EB683B">
        <w:rPr>
          <w:rFonts w:ascii="Arial" w:hAnsi="Arial" w:eastAsia="Arial" w:cs="Arial" w:asciiTheme="minorAscii" w:hAnsiTheme="minorAscii" w:eastAsiaTheme="minorAscii" w:cstheme="minorAscii"/>
          <w:b w:val="0"/>
          <w:bCs w:val="0"/>
          <w:i w:val="0"/>
          <w:iCs w:val="0"/>
          <w:caps w:val="0"/>
          <w:smallCaps w:val="0"/>
          <w:noProof w:val="0"/>
          <w:color w:val="242424"/>
          <w:sz w:val="22"/>
          <w:szCs w:val="22"/>
          <w:lang w:val="en-GB"/>
        </w:rPr>
        <w:t>3. Recording and Tracking Blood Sugar Levels in Type 2 Diabetes</w:t>
      </w:r>
      <w:r>
        <w:br/>
      </w:r>
      <w:r>
        <w:br/>
      </w:r>
      <w:r w:rsidRPr="11BA7D7B" w:rsidR="56EB683B">
        <w:rPr>
          <w:rFonts w:ascii="Arial" w:hAnsi="Arial" w:eastAsia="Arial" w:cs="Arial" w:asciiTheme="minorAscii" w:hAnsiTheme="minorAscii" w:eastAsiaTheme="minorAscii" w:cstheme="minorAscii"/>
          <w:b w:val="0"/>
          <w:bCs w:val="0"/>
          <w:i w:val="0"/>
          <w:iCs w:val="0"/>
          <w:caps w:val="0"/>
          <w:smallCaps w:val="0"/>
          <w:noProof w:val="0"/>
          <w:color w:val="242424"/>
          <w:sz w:val="22"/>
          <w:szCs w:val="22"/>
          <w:lang w:val="en-GB"/>
        </w:rPr>
        <w:t>3.1 The Role of Self-Monitoring in Diabetes Management</w:t>
      </w:r>
      <w:r>
        <w:br/>
      </w:r>
      <w:r>
        <w:br/>
      </w:r>
      <w:r w:rsidRPr="11BA7D7B" w:rsidR="56EB683B">
        <w:rPr>
          <w:rFonts w:ascii="Arial" w:hAnsi="Arial" w:eastAsia="Arial" w:cs="Arial" w:asciiTheme="minorAscii" w:hAnsiTheme="minorAscii" w:eastAsiaTheme="minorAscii" w:cstheme="minorAscii"/>
          <w:b w:val="0"/>
          <w:bCs w:val="0"/>
          <w:i w:val="0"/>
          <w:iCs w:val="0"/>
          <w:caps w:val="0"/>
          <w:smallCaps w:val="0"/>
          <w:noProof w:val="0"/>
          <w:color w:val="242424"/>
          <w:sz w:val="22"/>
          <w:szCs w:val="22"/>
          <w:lang w:val="en-GB"/>
        </w:rPr>
        <w:t>Self-monitoring of blood glucose (SMBG) is a fundamental component of effective diabetes self-management, enabling individuals to understand the impact of food choices, physical activity, and medications on their blood glucose levels. The National Diabetes Audit reports that in the financial year ending March 2025, only 58.2% of people with Type 2 and other diabetes received the eight recommended care processes, including HbA1c measurement, indicating significant scope for improvement in monitoring practices (Office for Health Improvement and Disparities, 2026). The National Institute for Health and Care Excellence (2025) recommends measuring HbA1c levels every three to six months until stable, and every six months once control is achieved.</w:t>
      </w:r>
      <w:r>
        <w:br/>
      </w:r>
      <w:r>
        <w:br/>
      </w:r>
      <w:r w:rsidRPr="11BA7D7B" w:rsidR="56EB683B">
        <w:rPr>
          <w:rFonts w:ascii="Arial" w:hAnsi="Arial" w:eastAsia="Arial" w:cs="Arial" w:asciiTheme="minorAscii" w:hAnsiTheme="minorAscii" w:eastAsiaTheme="minorAscii" w:cstheme="minorAscii"/>
          <w:b w:val="0"/>
          <w:bCs w:val="0"/>
          <w:i w:val="0"/>
          <w:iCs w:val="0"/>
          <w:caps w:val="0"/>
          <w:smallCaps w:val="0"/>
          <w:noProof w:val="0"/>
          <w:color w:val="242424"/>
          <w:sz w:val="22"/>
          <w:szCs w:val="22"/>
          <w:lang w:val="en-GB"/>
        </w:rPr>
        <w:t>For individuals with Type 2 diabetes, recording and tracking blood sugar levels over time provides several crucial benefits. It empowers patients to identify patterns and relationships between lifestyle factors and their glucose levels, facilitating more informed decisions about diet, exercise, and medication adherence. The data generated through regular monitoring enables healthcare professionals to make evidence-based adjustments to treatment plans, optimising glycaemic control while minimising the risk of hypoglycaemia. The updated NICE guidance for Type 2 diabetes management emphasises an individualised approach, taking into account personal preferences, comorbidities, and risks from polypharmacy (Brown and Diggle, 2026). This personalised approach is enhanced when patients can contribute their monitoring data to clinical consultations.</w:t>
      </w:r>
      <w:r>
        <w:br/>
      </w:r>
      <w:r>
        <w:br/>
      </w:r>
      <w:r w:rsidRPr="11BA7D7B" w:rsidR="56EB683B">
        <w:rPr>
          <w:rFonts w:ascii="Arial" w:hAnsi="Arial" w:eastAsia="Arial" w:cs="Arial" w:asciiTheme="minorAscii" w:hAnsiTheme="minorAscii" w:eastAsiaTheme="minorAscii" w:cstheme="minorAscii"/>
          <w:b w:val="0"/>
          <w:bCs w:val="0"/>
          <w:i w:val="0"/>
          <w:iCs w:val="0"/>
          <w:caps w:val="0"/>
          <w:smallCaps w:val="0"/>
          <w:noProof w:val="0"/>
          <w:color w:val="242424"/>
          <w:sz w:val="22"/>
          <w:szCs w:val="22"/>
          <w:lang w:val="en-GB"/>
        </w:rPr>
        <w:t>The 2026 update to the NICE NG28 guideline has introduced a seven-track treatment algorithm that varies according to comorbidities including obesity, chronic kidney disease, early-onset Type 2 diabetes, heart failure, atherosclerotic cardiovascular disease, and frailty (Brown and Diggle, 2026). This individualised approach requires accurate monitoring data to inform treatment decisions. Furthermore, the updated guidance recommends measuring HbA1c using methods calibrated according to International Federation of Clinical Chemistry (IFCC) standardisation, ensuring consistency and reliability of results (National Institute for Health and Care Excellence, 2025).</w:t>
      </w:r>
      <w:r>
        <w:br/>
      </w:r>
      <w:r>
        <w:br/>
      </w:r>
      <w:r w:rsidRPr="11BA7D7B" w:rsidR="56EB683B">
        <w:rPr>
          <w:rFonts w:ascii="Arial" w:hAnsi="Arial" w:eastAsia="Arial" w:cs="Arial" w:asciiTheme="minorAscii" w:hAnsiTheme="minorAscii" w:eastAsiaTheme="minorAscii" w:cstheme="minorAscii"/>
          <w:b w:val="0"/>
          <w:bCs w:val="0"/>
          <w:i w:val="0"/>
          <w:iCs w:val="0"/>
          <w:caps w:val="0"/>
          <w:smallCaps w:val="0"/>
          <w:noProof w:val="0"/>
          <w:color w:val="242424"/>
          <w:sz w:val="22"/>
          <w:szCs w:val="22"/>
          <w:lang w:val="en-GB"/>
        </w:rPr>
        <w:t>3.2 Understanding Treatment Targets</w:t>
      </w:r>
      <w:r>
        <w:br/>
      </w:r>
      <w:r>
        <w:br/>
      </w:r>
      <w:r w:rsidRPr="11BA7D7B" w:rsidR="56EB683B">
        <w:rPr>
          <w:rFonts w:ascii="Arial" w:hAnsi="Arial" w:eastAsia="Arial" w:cs="Arial" w:asciiTheme="minorAscii" w:hAnsiTheme="minorAscii" w:eastAsiaTheme="minorAscii" w:cstheme="minorAscii"/>
          <w:b w:val="0"/>
          <w:bCs w:val="0"/>
          <w:i w:val="0"/>
          <w:iCs w:val="0"/>
          <w:caps w:val="0"/>
          <w:smallCaps w:val="0"/>
          <w:noProof w:val="0"/>
          <w:color w:val="242424"/>
          <w:sz w:val="22"/>
          <w:szCs w:val="22"/>
          <w:lang w:val="en-GB"/>
        </w:rPr>
        <w:t>The National Diabetes Audit tracks achievement of three treatment targets recommended by NICE: HbA1c, blood pressure, and statin prescription for cardiovascular disease prevention (Office for Health Improvement and Disparities, 2026). In the financial year ending March 2025, 45.2% of people with Type 2 and other diabetes achieved all three treatment targets, indicating that over half of patients are not meeting recommended goals (Office for Health Improvement and Disparities, 2026). The updated blood pressure threshold of 140/90 mmHg represents a significant change from the previous 140/80 mmHg target (National Institute for Health and Care Excellence, 2025). For HbA1c, 64.7% of people with Type 2 and other diabetes achieved the target of 58 mmol/mol or less in the same period (Office for Health Improvement and Disparities, 2026).</w:t>
      </w:r>
      <w:r>
        <w:br/>
      </w:r>
      <w:r>
        <w:br/>
      </w:r>
      <w:r w:rsidRPr="11BA7D7B" w:rsidR="56EB683B">
        <w:rPr>
          <w:rFonts w:ascii="Arial" w:hAnsi="Arial" w:eastAsia="Arial" w:cs="Arial" w:asciiTheme="minorAscii" w:hAnsiTheme="minorAscii" w:eastAsiaTheme="minorAscii" w:cstheme="minorAscii"/>
          <w:b w:val="0"/>
          <w:bCs w:val="0"/>
          <w:i w:val="0"/>
          <w:iCs w:val="0"/>
          <w:caps w:val="0"/>
          <w:smallCaps w:val="0"/>
          <w:noProof w:val="0"/>
          <w:color w:val="242424"/>
          <w:sz w:val="22"/>
          <w:szCs w:val="22"/>
          <w:lang w:val="en-GB"/>
        </w:rPr>
        <w:t>The 2026 NICE guidance update places increased emphasis on individualised glycaemic targets, involving patients in shared decision-making when reviewing and initiating therapies (Brown and Diggle, 2026). For patients with early-onset Type 2 diabetes (diagnosed before age 40), there is particular urgency in achieving tight control, as early-onset diabetes is associated with a higher lifetime risk of complications, adverse cardiovascular outcomes, and earlier death (Brown and Diggle, 2026). This group may benefit from earlier use of GLP-1 receptor agonists or tirzepatide alongside metformin and SGLT2 inhibitors, although clinical trial evidence specifically for this population is limited (Brown and Diggle, 2026).</w:t>
      </w:r>
      <w:r>
        <w:br/>
      </w:r>
      <w:r>
        <w:br/>
      </w:r>
      <w:r w:rsidRPr="11BA7D7B" w:rsidR="56EB683B">
        <w:rPr>
          <w:rFonts w:ascii="Arial" w:hAnsi="Arial" w:eastAsia="Arial" w:cs="Arial" w:asciiTheme="minorAscii" w:hAnsiTheme="minorAscii" w:eastAsiaTheme="minorAscii" w:cstheme="minorAscii"/>
          <w:b w:val="0"/>
          <w:bCs w:val="0"/>
          <w:i w:val="0"/>
          <w:iCs w:val="0"/>
          <w:caps w:val="0"/>
          <w:smallCaps w:val="0"/>
          <w:noProof w:val="0"/>
          <w:color w:val="242424"/>
          <w:sz w:val="22"/>
          <w:szCs w:val="22"/>
          <w:lang w:val="en-GB"/>
        </w:rPr>
        <w:t>4. Lifestyle Interventions for Diabetes Management</w:t>
      </w:r>
      <w:r>
        <w:br/>
      </w:r>
      <w:r>
        <w:br/>
      </w:r>
      <w:r w:rsidRPr="11BA7D7B" w:rsidR="56EB683B">
        <w:rPr>
          <w:rFonts w:ascii="Arial" w:hAnsi="Arial" w:eastAsia="Arial" w:cs="Arial" w:asciiTheme="minorAscii" w:hAnsiTheme="minorAscii" w:eastAsiaTheme="minorAscii" w:cstheme="minorAscii"/>
          <w:b w:val="0"/>
          <w:bCs w:val="0"/>
          <w:i w:val="0"/>
          <w:iCs w:val="0"/>
          <w:caps w:val="0"/>
          <w:smallCaps w:val="0"/>
          <w:noProof w:val="0"/>
          <w:color w:val="242424"/>
          <w:sz w:val="22"/>
          <w:szCs w:val="22"/>
          <w:lang w:val="en-GB"/>
        </w:rPr>
        <w:t>4.1 Dietary Approaches</w:t>
      </w:r>
      <w:r>
        <w:br/>
      </w:r>
      <w:r>
        <w:br/>
      </w:r>
      <w:r w:rsidRPr="11BA7D7B" w:rsidR="56EB683B">
        <w:rPr>
          <w:rFonts w:ascii="Arial" w:hAnsi="Arial" w:eastAsia="Arial" w:cs="Arial" w:asciiTheme="minorAscii" w:hAnsiTheme="minorAscii" w:eastAsiaTheme="minorAscii" w:cstheme="minorAscii"/>
          <w:b w:val="0"/>
          <w:bCs w:val="0"/>
          <w:i w:val="0"/>
          <w:iCs w:val="0"/>
          <w:caps w:val="0"/>
          <w:smallCaps w:val="0"/>
          <w:noProof w:val="0"/>
          <w:color w:val="242424"/>
          <w:sz w:val="22"/>
          <w:szCs w:val="22"/>
          <w:lang w:val="en-GB"/>
        </w:rPr>
        <w:t>Dietary modification represents one of the most powerful interventions for improving glycaemic control and reducing cardiovascular risk in Type 2 diabetes. NICE recommends providing individualised and ongoing nutritional advice from healthcare professionals with specific expertise and competencies in nutrition (National Institute for Health and Care Excellence, 2025). The dietary advice should encourage adults with Type 2 diabetes to follow the same healthy eating recommendations as the general population, including eating high-fibre, low-glycaemic-index sources of carbohydrate, such as fruit, vegetables, wholegrains, and pulses; choosing low-fat dairy products; eating oily fish; and controlling intake of saturated and trans fatty acids (National Institute for Health and Care Excellence, 2025).</w:t>
      </w:r>
      <w:r>
        <w:br/>
      </w:r>
      <w:r>
        <w:br/>
      </w:r>
      <w:r w:rsidRPr="11BA7D7B" w:rsidR="56EB683B">
        <w:rPr>
          <w:rFonts w:ascii="Arial" w:hAnsi="Arial" w:eastAsia="Arial" w:cs="Arial" w:asciiTheme="minorAscii" w:hAnsiTheme="minorAscii" w:eastAsiaTheme="minorAscii" w:cstheme="minorAscii"/>
          <w:b w:val="0"/>
          <w:bCs w:val="0"/>
          <w:i w:val="0"/>
          <w:iCs w:val="0"/>
          <w:caps w:val="0"/>
          <w:smallCaps w:val="0"/>
          <w:noProof w:val="0"/>
          <w:color w:val="242424"/>
          <w:sz w:val="22"/>
          <w:szCs w:val="22"/>
          <w:lang w:val="en-GB"/>
        </w:rPr>
        <w:t>For adults with Type 2 diabetes who are living with overweight, NICE recommends discussing and agreeing an initial body weight loss target of 5% to 10%, with the understanding that even a small amount of weight loss may be beneficial, while larger amounts will have advantageous metabolic impact in the long term (National Institute for Health and Care Excellence, 2025). Notably, lifestyle interventions alone can reduce the risk of developing Type 2 diabetes by 25-72% in people with prediabetes (Martin, 2025). The updated 2026 NICE guidance also references the NHS Type 2 Diabetes Path to Remission Programme, which employs low-energy and very-low-energy diets for diabetes management (Brown and Diggle, 2026). Weight loss through dietary modification can significantly improve insulin sensitivity, potentially leading to diabetes remission in some cases. Dietary advice should be integrated with a personalised diabetes management plan, including other aspects of healthy living such as increasing physical activity (National Institute for Health and Care Excellence, 2025).</w:t>
      </w:r>
      <w:r>
        <w:br/>
      </w:r>
      <w:r>
        <w:br/>
      </w:r>
      <w:r w:rsidRPr="11BA7D7B" w:rsidR="56EB683B">
        <w:rPr>
          <w:rFonts w:ascii="Arial" w:hAnsi="Arial" w:eastAsia="Arial" w:cs="Arial" w:asciiTheme="minorAscii" w:hAnsiTheme="minorAscii" w:eastAsiaTheme="minorAscii" w:cstheme="minorAscii"/>
          <w:b w:val="0"/>
          <w:bCs w:val="0"/>
          <w:i w:val="0"/>
          <w:iCs w:val="0"/>
          <w:caps w:val="0"/>
          <w:smallCaps w:val="0"/>
          <w:noProof w:val="0"/>
          <w:color w:val="242424"/>
          <w:sz w:val="22"/>
          <w:szCs w:val="22"/>
          <w:lang w:val="en-GB"/>
        </w:rPr>
        <w:t>4.2 Physical Activity</w:t>
      </w:r>
      <w:r>
        <w:br/>
      </w:r>
      <w:r>
        <w:br/>
      </w:r>
      <w:r w:rsidRPr="11BA7D7B" w:rsidR="56EB683B">
        <w:rPr>
          <w:rFonts w:ascii="Arial" w:hAnsi="Arial" w:eastAsia="Arial" w:cs="Arial" w:asciiTheme="minorAscii" w:hAnsiTheme="minorAscii" w:eastAsiaTheme="minorAscii" w:cstheme="minorAscii"/>
          <w:b w:val="0"/>
          <w:bCs w:val="0"/>
          <w:i w:val="0"/>
          <w:iCs w:val="0"/>
          <w:caps w:val="0"/>
          <w:smallCaps w:val="0"/>
          <w:noProof w:val="0"/>
          <w:color w:val="242424"/>
          <w:sz w:val="22"/>
          <w:szCs w:val="22"/>
          <w:lang w:val="en-GB"/>
        </w:rPr>
        <w:t>Regular physical activity is fundamental to Type 2 diabetes management, improving insulin sensitivity, promoting weight loss, and reducing cardiovascular risk. Exercise enhances glucose uptake by muscle tissue through both insulin-dependent and insulin-independent mechanisms. During physical activity, glucose transporter proteins are recruited to the cell surface, facilitating glucose entry into cells without requiring insulin (Martin, 2025). This mechanism is particularly valuable for individuals with insulin resistance, as it provides an alternative pathway for glucose disposal.</w:t>
      </w:r>
      <w:r>
        <w:br/>
      </w:r>
      <w:r>
        <w:br/>
      </w:r>
      <w:r w:rsidRPr="11BA7D7B" w:rsidR="56EB683B">
        <w:rPr>
          <w:rFonts w:ascii="Arial" w:hAnsi="Arial" w:eastAsia="Arial" w:cs="Arial" w:asciiTheme="minorAscii" w:hAnsiTheme="minorAscii" w:eastAsiaTheme="minorAscii" w:cstheme="minorAscii"/>
          <w:b w:val="0"/>
          <w:bCs w:val="0"/>
          <w:i w:val="0"/>
          <w:iCs w:val="0"/>
          <w:caps w:val="0"/>
          <w:smallCaps w:val="0"/>
          <w:noProof w:val="0"/>
          <w:color w:val="242424"/>
          <w:sz w:val="22"/>
          <w:szCs w:val="22"/>
          <w:lang w:val="en-GB"/>
        </w:rPr>
        <w:t>NICE guidance emphasises the importance of integrating dietary advice with a personalised diabetes management plan that includes increasing physical activity (National Institute for Health and Care Excellence, 2025). The updated 2026 guideline also references wellbeing advice, including recommendations on physical activity and tobacco cessation, demonstrating the recognition that comprehensive lifestyle modification is essential for optimal diabetes management (Brown and Diggle, 2026). For individuals taking insulin or sulphonylureas, the risk of hypoglycaemia during and after exercise must be considered, requiring careful monitoring and, where necessary, adjustment of medication or carbohydrate intake (National Institute for Health and Care Excellence, 2025).</w:t>
      </w:r>
      <w:r>
        <w:br/>
      </w:r>
      <w:r>
        <w:br/>
      </w:r>
      <w:r w:rsidRPr="11BA7D7B" w:rsidR="56EB683B">
        <w:rPr>
          <w:rFonts w:ascii="Arial" w:hAnsi="Arial" w:eastAsia="Arial" w:cs="Arial" w:asciiTheme="minorAscii" w:hAnsiTheme="minorAscii" w:eastAsiaTheme="minorAscii" w:cstheme="minorAscii"/>
          <w:b w:val="0"/>
          <w:bCs w:val="0"/>
          <w:i w:val="0"/>
          <w:iCs w:val="0"/>
          <w:caps w:val="0"/>
          <w:smallCaps w:val="0"/>
          <w:noProof w:val="0"/>
          <w:color w:val="242424"/>
          <w:sz w:val="22"/>
          <w:szCs w:val="22"/>
          <w:lang w:val="en-GB"/>
        </w:rPr>
        <w:t>4.3 Smoking Cessation</w:t>
      </w:r>
      <w:r>
        <w:br/>
      </w:r>
      <w:r>
        <w:br/>
      </w:r>
      <w:r w:rsidRPr="11BA7D7B" w:rsidR="56EB683B">
        <w:rPr>
          <w:rFonts w:ascii="Arial" w:hAnsi="Arial" w:eastAsia="Arial" w:cs="Arial" w:asciiTheme="minorAscii" w:hAnsiTheme="minorAscii" w:eastAsiaTheme="minorAscii" w:cstheme="minorAscii"/>
          <w:b w:val="0"/>
          <w:bCs w:val="0"/>
          <w:i w:val="0"/>
          <w:iCs w:val="0"/>
          <w:caps w:val="0"/>
          <w:smallCaps w:val="0"/>
          <w:noProof w:val="0"/>
          <w:color w:val="242424"/>
          <w:sz w:val="22"/>
          <w:szCs w:val="22"/>
          <w:lang w:val="en-GB"/>
        </w:rPr>
        <w:t>Smoking is a significant modifiable risk factor for both the development of Type 2 diabetes and the progression of its complications. The increased cardiovascular risk associated with diabetes and smoking is multiplicative, significantly elevating the likelihood of heart attack, stroke, and peripheral vascular disease. The 2026 NICE guidance explicitly references wellbeing advice on tobacco, reinforcing the importance of smoking cessation as an integral component of diabetes care (Brown and Diggle, 2026). Nicotine and other components of tobacco smoke contribute to insulin resistance and endothelial dysfunction, exacerbating the metabolic abnormalities of diabetes (Martin, 2025). For patients with diabetes who smoke, cessation represents one of the most impactful interventions for reducing cardiovascular morbidity and mortality. Healthcare professionals should provide or signpost to smoking cessation services, with pharmacotherapy and behavioural support as appropriate, and follow up at regular intervals to reinforce cessation efforts (National Institute for Health and Care Excellence, 2025).</w:t>
      </w:r>
      <w:r>
        <w:br/>
      </w:r>
      <w:r>
        <w:br/>
      </w:r>
      <w:r w:rsidRPr="11BA7D7B" w:rsidR="56EB683B">
        <w:rPr>
          <w:rFonts w:ascii="Arial" w:hAnsi="Arial" w:eastAsia="Arial" w:cs="Arial" w:asciiTheme="minorAscii" w:hAnsiTheme="minorAscii" w:eastAsiaTheme="minorAscii" w:cstheme="minorAscii"/>
          <w:b w:val="0"/>
          <w:bCs w:val="0"/>
          <w:i w:val="0"/>
          <w:iCs w:val="0"/>
          <w:caps w:val="0"/>
          <w:smallCaps w:val="0"/>
          <w:noProof w:val="0"/>
          <w:color w:val="242424"/>
          <w:sz w:val="22"/>
          <w:szCs w:val="22"/>
          <w:lang w:val="en-GB"/>
        </w:rPr>
        <w:t>5. Conclusion</w:t>
      </w:r>
      <w:r>
        <w:br/>
      </w:r>
      <w:r>
        <w:br/>
      </w:r>
      <w:r w:rsidRPr="11BA7D7B" w:rsidR="56EB683B">
        <w:rPr>
          <w:rFonts w:ascii="Arial" w:hAnsi="Arial" w:eastAsia="Arial" w:cs="Arial" w:asciiTheme="minorAscii" w:hAnsiTheme="minorAscii" w:eastAsiaTheme="minorAscii" w:cstheme="minorAscii"/>
          <w:b w:val="0"/>
          <w:bCs w:val="0"/>
          <w:i w:val="0"/>
          <w:iCs w:val="0"/>
          <w:caps w:val="0"/>
          <w:smallCaps w:val="0"/>
          <w:noProof w:val="0"/>
          <w:color w:val="242424"/>
          <w:sz w:val="22"/>
          <w:szCs w:val="22"/>
          <w:lang w:val="en-GB"/>
        </w:rPr>
        <w:t>Diabetes mellitus presents a significant and growing challenge to healthcare systems and individual patients alike. Understanding the physiological basis of glucose regulation, including the roles of pancreatic hormones and cellular respiration, provides essential context for appreciating the importance of effective diabetes management. The prevalence of Type 2 diabetes continues to rise, driven largely by modifiable risk factors including overweight, physical inactivity, and poor dietary choices (Public Health Wales, 2023). For patients diagnosed with Type 2 diabetes, self-monitoring of blood glucose and adherence to recommended care processes are fundamental to achieving optimal outcomes.</w:t>
      </w:r>
      <w:r>
        <w:br/>
      </w:r>
      <w:r>
        <w:br/>
      </w:r>
      <w:r w:rsidRPr="11BA7D7B" w:rsidR="56EB683B">
        <w:rPr>
          <w:rFonts w:ascii="Arial" w:hAnsi="Arial" w:eastAsia="Arial" w:cs="Arial" w:asciiTheme="minorAscii" w:hAnsiTheme="minorAscii" w:eastAsiaTheme="minorAscii" w:cstheme="minorAscii"/>
          <w:b w:val="0"/>
          <w:bCs w:val="0"/>
          <w:i w:val="0"/>
          <w:iCs w:val="0"/>
          <w:caps w:val="0"/>
          <w:smallCaps w:val="0"/>
          <w:noProof w:val="0"/>
          <w:color w:val="242424"/>
          <w:sz w:val="22"/>
          <w:szCs w:val="22"/>
          <w:lang w:val="en-GB"/>
        </w:rPr>
        <w:t>The 2026 update to NICE guidance represents a significant shift toward individualised care, with treatment algorithms tailored to comorbidities and patient preferences. First-line therapy now recommends dual therapy with metformin and SGLT2 inhibitors for most patients, with triple therapy including GLP-1 receptor agonists for those at particularly high cardiovascular risk (Brown and Diggle, 2026). These advances in pharmacological management must be complemented by ongoing support for lifestyle modification, including dietary change, physical activity, and smoking cessation.</w:t>
      </w:r>
      <w:r>
        <w:br/>
      </w:r>
      <w:r>
        <w:br/>
      </w:r>
      <w:r w:rsidRPr="11BA7D7B" w:rsidR="56EB683B">
        <w:rPr>
          <w:rFonts w:ascii="Arial" w:hAnsi="Arial" w:eastAsia="Arial" w:cs="Arial" w:asciiTheme="minorAscii" w:hAnsiTheme="minorAscii" w:eastAsiaTheme="minorAscii" w:cstheme="minorAscii"/>
          <w:b w:val="0"/>
          <w:bCs w:val="0"/>
          <w:i w:val="0"/>
          <w:iCs w:val="0"/>
          <w:caps w:val="0"/>
          <w:smallCaps w:val="0"/>
          <w:noProof w:val="0"/>
          <w:color w:val="242424"/>
          <w:sz w:val="22"/>
          <w:szCs w:val="22"/>
          <w:lang w:val="en-GB"/>
        </w:rPr>
        <w:t>As a practice nurse in a GP surgery, I am ideally positioned to support patients in developing the knowledge and skills required for effective diabetes self-management. Through structured education, regular monitoring, and individualised care planning, patients can be empowered to engage more effectively with their care plans and improve their health outcomes. The increasing focus on shared decision-making in the updated NICE guidance reinforces the importance of patient-centred care and the need to tailor interventions to individual circumstances and preferences (National Institute for Health and Care Excellence, 2025). Continued efforts to improve uptake of recommended care processes, currently achieved for only 58.2% of patients with Type 2 diabetes, will be essential for reducing the substantial morbidity and mortality associated with this condition (Office for Health Improvement and Disparities, 2026).</w:t>
      </w:r>
      <w:r>
        <w:br/>
      </w:r>
      <w:r>
        <w:br/>
      </w:r>
      <w:r>
        <w:br/>
      </w:r>
      <w:r w:rsidRPr="11BA7D7B" w:rsidR="56EB683B">
        <w:rPr>
          <w:rFonts w:ascii="Arial" w:hAnsi="Arial" w:eastAsia="Arial" w:cs="Arial" w:asciiTheme="minorAscii" w:hAnsiTheme="minorAscii" w:eastAsiaTheme="minorAscii" w:cstheme="minorAscii"/>
          <w:b w:val="0"/>
          <w:bCs w:val="0"/>
          <w:i w:val="0"/>
          <w:iCs w:val="0"/>
          <w:caps w:val="0"/>
          <w:smallCaps w:val="0"/>
          <w:noProof w:val="0"/>
          <w:color w:val="242424"/>
          <w:sz w:val="22"/>
          <w:szCs w:val="22"/>
          <w:lang w:val="en-GB"/>
        </w:rPr>
        <w:t>Reference List</w:t>
      </w:r>
      <w:r>
        <w:br/>
      </w:r>
      <w:r>
        <w:br/>
      </w:r>
      <w:r w:rsidRPr="11BA7D7B" w:rsidR="56EB683B">
        <w:rPr>
          <w:rFonts w:ascii="Arial" w:hAnsi="Arial" w:eastAsia="Arial" w:cs="Arial" w:asciiTheme="minorAscii" w:hAnsiTheme="minorAscii" w:eastAsiaTheme="minorAscii" w:cstheme="minorAscii"/>
          <w:b w:val="0"/>
          <w:bCs w:val="0"/>
          <w:i w:val="0"/>
          <w:iCs w:val="0"/>
          <w:caps w:val="0"/>
          <w:smallCaps w:val="0"/>
          <w:noProof w:val="0"/>
          <w:color w:val="242424"/>
          <w:sz w:val="22"/>
          <w:szCs w:val="22"/>
          <w:lang w:val="en-GB"/>
        </w:rPr>
        <w:t xml:space="preserve">Brown, P. and Diggle, J. (2026) 'The NICE NG28 Type 2 Diabetes Guideline: Management Update – What's New?', DiabetesontheNet, 6 March. Available at: </w:t>
      </w:r>
      <w:hyperlink r:id="Rda325715289149cd">
        <w:r w:rsidRPr="11BA7D7B" w:rsidR="56EB683B">
          <w:rPr>
            <w:rStyle w:val="Hyperlink"/>
            <w:rFonts w:ascii="Arial" w:hAnsi="Arial" w:eastAsia="Arial" w:cs="Arial" w:asciiTheme="minorAscii" w:hAnsiTheme="minorAscii" w:eastAsiaTheme="minorAscii" w:cstheme="minorAscii"/>
            <w:b w:val="0"/>
            <w:bCs w:val="0"/>
            <w:i w:val="0"/>
            <w:iCs w:val="0"/>
            <w:caps w:val="0"/>
            <w:smallCaps w:val="0"/>
            <w:noProof w:val="0"/>
            <w:sz w:val="22"/>
            <w:szCs w:val="22"/>
            <w:lang w:val="en-GB"/>
          </w:rPr>
          <w:t>https://diabetesonthenet.com/diabetes-primary-care/factsheet-nice-ng28-feb-2026/</w:t>
        </w:r>
      </w:hyperlink>
      <w:r w:rsidRPr="11BA7D7B" w:rsidR="56EB683B">
        <w:rPr>
          <w:rFonts w:ascii="Arial" w:hAnsi="Arial" w:eastAsia="Arial" w:cs="Arial" w:asciiTheme="minorAscii" w:hAnsiTheme="minorAscii" w:eastAsiaTheme="minorAscii" w:cstheme="minorAscii"/>
          <w:b w:val="0"/>
          <w:bCs w:val="0"/>
          <w:i w:val="0"/>
          <w:iCs w:val="0"/>
          <w:caps w:val="0"/>
          <w:smallCaps w:val="0"/>
          <w:noProof w:val="0"/>
          <w:color w:val="242424"/>
          <w:sz w:val="22"/>
          <w:szCs w:val="22"/>
          <w:lang w:val="en-GB"/>
        </w:rPr>
        <w:t xml:space="preserve"> (Accessed: 2</w:t>
      </w:r>
      <w:r w:rsidRPr="11BA7D7B" w:rsidR="2ED79990">
        <w:rPr>
          <w:rFonts w:ascii="Arial" w:hAnsi="Arial" w:eastAsia="Arial" w:cs="Arial" w:asciiTheme="minorAscii" w:hAnsiTheme="minorAscii" w:eastAsiaTheme="minorAscii" w:cstheme="minorAscii"/>
          <w:b w:val="0"/>
          <w:bCs w:val="0"/>
          <w:i w:val="0"/>
          <w:iCs w:val="0"/>
          <w:caps w:val="0"/>
          <w:smallCaps w:val="0"/>
          <w:noProof w:val="0"/>
          <w:color w:val="242424"/>
          <w:sz w:val="22"/>
          <w:szCs w:val="22"/>
          <w:lang w:val="en-GB"/>
        </w:rPr>
        <w:t>7</w:t>
      </w:r>
      <w:r w:rsidRPr="11BA7D7B" w:rsidR="56EB683B">
        <w:rPr>
          <w:rFonts w:ascii="Arial" w:hAnsi="Arial" w:eastAsia="Arial" w:cs="Arial" w:asciiTheme="minorAscii" w:hAnsiTheme="minorAscii" w:eastAsiaTheme="minorAscii" w:cstheme="minorAscii"/>
          <w:b w:val="0"/>
          <w:bCs w:val="0"/>
          <w:i w:val="0"/>
          <w:iCs w:val="0"/>
          <w:caps w:val="0"/>
          <w:smallCaps w:val="0"/>
          <w:noProof w:val="0"/>
          <w:color w:val="242424"/>
          <w:sz w:val="22"/>
          <w:szCs w:val="22"/>
          <w:lang w:val="en-GB"/>
        </w:rPr>
        <w:t xml:space="preserve"> June 2026).</w:t>
      </w:r>
      <w:r>
        <w:br/>
      </w:r>
      <w:r>
        <w:br/>
      </w:r>
      <w:r w:rsidRPr="11BA7D7B" w:rsidR="56EB683B">
        <w:rPr>
          <w:rFonts w:ascii="Arial" w:hAnsi="Arial" w:eastAsia="Arial" w:cs="Arial" w:asciiTheme="minorAscii" w:hAnsiTheme="minorAscii" w:eastAsiaTheme="minorAscii" w:cstheme="minorAscii"/>
          <w:b w:val="0"/>
          <w:bCs w:val="0"/>
          <w:i w:val="0"/>
          <w:iCs w:val="0"/>
          <w:caps w:val="0"/>
          <w:smallCaps w:val="0"/>
          <w:noProof w:val="0"/>
          <w:color w:val="242424"/>
          <w:sz w:val="22"/>
          <w:szCs w:val="22"/>
          <w:lang w:val="en-GB"/>
        </w:rPr>
        <w:t xml:space="preserve">La Fleur, S.E., et al. (2014) 'Blood Glucose', Handbook of Clinical Neurology, 126, pp. 153-168. Available at: </w:t>
      </w:r>
      <w:hyperlink r:id="Rf24b6f9c95364afa">
        <w:r w:rsidRPr="11BA7D7B" w:rsidR="56EB683B">
          <w:rPr>
            <w:rStyle w:val="Hyperlink"/>
            <w:rFonts w:ascii="Arial" w:hAnsi="Arial" w:eastAsia="Arial" w:cs="Arial" w:asciiTheme="minorAscii" w:hAnsiTheme="minorAscii" w:eastAsiaTheme="minorAscii" w:cstheme="minorAscii"/>
            <w:b w:val="0"/>
            <w:bCs w:val="0"/>
            <w:i w:val="0"/>
            <w:iCs w:val="0"/>
            <w:caps w:val="0"/>
            <w:smallCaps w:val="0"/>
            <w:noProof w:val="0"/>
            <w:sz w:val="22"/>
            <w:szCs w:val="22"/>
            <w:lang w:val="en-GB"/>
          </w:rPr>
          <w:t>https://www.sciencedirect.com/topics/medicine-and-dentistry/blood-glucose</w:t>
        </w:r>
      </w:hyperlink>
      <w:r w:rsidRPr="11BA7D7B" w:rsidR="56EB683B">
        <w:rPr>
          <w:rFonts w:ascii="Arial" w:hAnsi="Arial" w:eastAsia="Arial" w:cs="Arial" w:asciiTheme="minorAscii" w:hAnsiTheme="minorAscii" w:eastAsiaTheme="minorAscii" w:cstheme="minorAscii"/>
          <w:b w:val="0"/>
          <w:bCs w:val="0"/>
          <w:i w:val="0"/>
          <w:iCs w:val="0"/>
          <w:caps w:val="0"/>
          <w:smallCaps w:val="0"/>
          <w:noProof w:val="0"/>
          <w:color w:val="242424"/>
          <w:sz w:val="22"/>
          <w:szCs w:val="22"/>
          <w:lang w:val="en-GB"/>
        </w:rPr>
        <w:t xml:space="preserve"> (Accessed: 2</w:t>
      </w:r>
      <w:r w:rsidRPr="11BA7D7B" w:rsidR="56663DFC">
        <w:rPr>
          <w:rFonts w:ascii="Arial" w:hAnsi="Arial" w:eastAsia="Arial" w:cs="Arial" w:asciiTheme="minorAscii" w:hAnsiTheme="minorAscii" w:eastAsiaTheme="minorAscii" w:cstheme="minorAscii"/>
          <w:b w:val="0"/>
          <w:bCs w:val="0"/>
          <w:i w:val="0"/>
          <w:iCs w:val="0"/>
          <w:caps w:val="0"/>
          <w:smallCaps w:val="0"/>
          <w:noProof w:val="0"/>
          <w:color w:val="242424"/>
          <w:sz w:val="22"/>
          <w:szCs w:val="22"/>
          <w:lang w:val="en-GB"/>
        </w:rPr>
        <w:t>6</w:t>
      </w:r>
      <w:r w:rsidRPr="11BA7D7B" w:rsidR="56EB683B">
        <w:rPr>
          <w:rFonts w:ascii="Arial" w:hAnsi="Arial" w:eastAsia="Arial" w:cs="Arial" w:asciiTheme="minorAscii" w:hAnsiTheme="minorAscii" w:eastAsiaTheme="minorAscii" w:cstheme="minorAscii"/>
          <w:b w:val="0"/>
          <w:bCs w:val="0"/>
          <w:i w:val="0"/>
          <w:iCs w:val="0"/>
          <w:caps w:val="0"/>
          <w:smallCaps w:val="0"/>
          <w:noProof w:val="0"/>
          <w:color w:val="242424"/>
          <w:sz w:val="22"/>
          <w:szCs w:val="22"/>
          <w:lang w:val="en-GB"/>
        </w:rPr>
        <w:t xml:space="preserve"> June 2026).</w:t>
      </w:r>
      <w:r>
        <w:br/>
      </w:r>
      <w:r>
        <w:br/>
      </w:r>
      <w:r w:rsidRPr="11BA7D7B" w:rsidR="56EB683B">
        <w:rPr>
          <w:rFonts w:ascii="Arial" w:hAnsi="Arial" w:eastAsia="Arial" w:cs="Arial" w:asciiTheme="minorAscii" w:hAnsiTheme="minorAscii" w:eastAsiaTheme="minorAscii" w:cstheme="minorAscii"/>
          <w:b w:val="0"/>
          <w:bCs w:val="0"/>
          <w:i w:val="0"/>
          <w:iCs w:val="0"/>
          <w:caps w:val="0"/>
          <w:smallCaps w:val="0"/>
          <w:noProof w:val="0"/>
          <w:color w:val="242424"/>
          <w:sz w:val="22"/>
          <w:szCs w:val="22"/>
          <w:lang w:val="en-GB"/>
        </w:rPr>
        <w:t xml:space="preserve">Martin, E. (2025) 'Masterclass: A GP's Complete Guide to Diabetes', Pulse Today, 23 January. Available at: </w:t>
      </w:r>
      <w:hyperlink r:id="R65c0eedca78248bf">
        <w:r w:rsidRPr="11BA7D7B" w:rsidR="56EB683B">
          <w:rPr>
            <w:rStyle w:val="Hyperlink"/>
            <w:rFonts w:ascii="Arial" w:hAnsi="Arial" w:eastAsia="Arial" w:cs="Arial" w:asciiTheme="minorAscii" w:hAnsiTheme="minorAscii" w:eastAsiaTheme="minorAscii" w:cstheme="minorAscii"/>
            <w:b w:val="0"/>
            <w:bCs w:val="0"/>
            <w:i w:val="0"/>
            <w:iCs w:val="0"/>
            <w:caps w:val="0"/>
            <w:smallCaps w:val="0"/>
            <w:noProof w:val="0"/>
            <w:sz w:val="22"/>
            <w:szCs w:val="22"/>
            <w:lang w:val="en-GB"/>
          </w:rPr>
          <w:t>https://www.pulsetoday.co.uk/clinical-feature/clinical-areas/diabetes-endocrinology/masterclass-a-gps-complete-guide-to-diabetes/</w:t>
        </w:r>
      </w:hyperlink>
      <w:r w:rsidRPr="11BA7D7B" w:rsidR="56EB683B">
        <w:rPr>
          <w:rFonts w:ascii="Arial" w:hAnsi="Arial" w:eastAsia="Arial" w:cs="Arial" w:asciiTheme="minorAscii" w:hAnsiTheme="minorAscii" w:eastAsiaTheme="minorAscii" w:cstheme="minorAscii"/>
          <w:b w:val="0"/>
          <w:bCs w:val="0"/>
          <w:i w:val="0"/>
          <w:iCs w:val="0"/>
          <w:caps w:val="0"/>
          <w:smallCaps w:val="0"/>
          <w:noProof w:val="0"/>
          <w:color w:val="242424"/>
          <w:sz w:val="22"/>
          <w:szCs w:val="22"/>
          <w:lang w:val="en-GB"/>
        </w:rPr>
        <w:t xml:space="preserve"> (Accessed: 2</w:t>
      </w:r>
      <w:r w:rsidRPr="11BA7D7B" w:rsidR="6ECE6E6C">
        <w:rPr>
          <w:rFonts w:ascii="Arial" w:hAnsi="Arial" w:eastAsia="Arial" w:cs="Arial" w:asciiTheme="minorAscii" w:hAnsiTheme="minorAscii" w:eastAsiaTheme="minorAscii" w:cstheme="minorAscii"/>
          <w:b w:val="0"/>
          <w:bCs w:val="0"/>
          <w:i w:val="0"/>
          <w:iCs w:val="0"/>
          <w:caps w:val="0"/>
          <w:smallCaps w:val="0"/>
          <w:noProof w:val="0"/>
          <w:color w:val="242424"/>
          <w:sz w:val="22"/>
          <w:szCs w:val="22"/>
          <w:lang w:val="en-GB"/>
        </w:rPr>
        <w:t>8</w:t>
      </w:r>
      <w:r w:rsidRPr="11BA7D7B" w:rsidR="56EB683B">
        <w:rPr>
          <w:rFonts w:ascii="Arial" w:hAnsi="Arial" w:eastAsia="Arial" w:cs="Arial" w:asciiTheme="minorAscii" w:hAnsiTheme="minorAscii" w:eastAsiaTheme="minorAscii" w:cstheme="minorAscii"/>
          <w:b w:val="0"/>
          <w:bCs w:val="0"/>
          <w:i w:val="0"/>
          <w:iCs w:val="0"/>
          <w:caps w:val="0"/>
          <w:smallCaps w:val="0"/>
          <w:noProof w:val="0"/>
          <w:color w:val="242424"/>
          <w:sz w:val="22"/>
          <w:szCs w:val="22"/>
          <w:lang w:val="en-GB"/>
        </w:rPr>
        <w:t xml:space="preserve"> June 2026).</w:t>
      </w:r>
      <w:r>
        <w:br/>
      </w:r>
      <w:r>
        <w:br/>
      </w:r>
      <w:r w:rsidRPr="11BA7D7B" w:rsidR="56EB683B">
        <w:rPr>
          <w:rFonts w:ascii="Arial" w:hAnsi="Arial" w:eastAsia="Arial" w:cs="Arial" w:asciiTheme="minorAscii" w:hAnsiTheme="minorAscii" w:eastAsiaTheme="minorAscii" w:cstheme="minorAscii"/>
          <w:b w:val="0"/>
          <w:bCs w:val="0"/>
          <w:i w:val="0"/>
          <w:iCs w:val="0"/>
          <w:caps w:val="0"/>
          <w:smallCaps w:val="0"/>
          <w:noProof w:val="0"/>
          <w:color w:val="242424"/>
          <w:sz w:val="22"/>
          <w:szCs w:val="22"/>
          <w:lang w:val="en-GB"/>
        </w:rPr>
        <w:t xml:space="preserve">National Institute for Health and Care Excellence (2025) Type 2 Diabetes in Adults: Management (Draft for Consultation). Available at: </w:t>
      </w:r>
      <w:hyperlink r:id="Rd03a662053fa4c7a">
        <w:r w:rsidRPr="11BA7D7B" w:rsidR="56EB683B">
          <w:rPr>
            <w:rStyle w:val="Hyperlink"/>
            <w:rFonts w:ascii="Arial" w:hAnsi="Arial" w:eastAsia="Arial" w:cs="Arial" w:asciiTheme="minorAscii" w:hAnsiTheme="minorAscii" w:eastAsiaTheme="minorAscii" w:cstheme="minorAscii"/>
            <w:b w:val="0"/>
            <w:bCs w:val="0"/>
            <w:i w:val="0"/>
            <w:iCs w:val="0"/>
            <w:caps w:val="0"/>
            <w:smallCaps w:val="0"/>
            <w:noProof w:val="0"/>
            <w:sz w:val="22"/>
            <w:szCs w:val="22"/>
            <w:lang w:val="en-GB"/>
          </w:rPr>
          <w:t>https://www.nice.org.uk/guidance/GID-NG10336/documents/450</w:t>
        </w:r>
      </w:hyperlink>
      <w:r w:rsidRPr="11BA7D7B" w:rsidR="56EB683B">
        <w:rPr>
          <w:rFonts w:ascii="Arial" w:hAnsi="Arial" w:eastAsia="Arial" w:cs="Arial" w:asciiTheme="minorAscii" w:hAnsiTheme="minorAscii" w:eastAsiaTheme="minorAscii" w:cstheme="minorAscii"/>
          <w:b w:val="0"/>
          <w:bCs w:val="0"/>
          <w:i w:val="0"/>
          <w:iCs w:val="0"/>
          <w:caps w:val="0"/>
          <w:smallCaps w:val="0"/>
          <w:noProof w:val="0"/>
          <w:color w:val="242424"/>
          <w:sz w:val="22"/>
          <w:szCs w:val="22"/>
          <w:lang w:val="en-GB"/>
        </w:rPr>
        <w:t xml:space="preserve"> (Accessed: 2</w:t>
      </w:r>
      <w:r w:rsidRPr="11BA7D7B" w:rsidR="304D024E">
        <w:rPr>
          <w:rFonts w:ascii="Arial" w:hAnsi="Arial" w:eastAsia="Arial" w:cs="Arial" w:asciiTheme="minorAscii" w:hAnsiTheme="minorAscii" w:eastAsiaTheme="minorAscii" w:cstheme="minorAscii"/>
          <w:b w:val="0"/>
          <w:bCs w:val="0"/>
          <w:i w:val="0"/>
          <w:iCs w:val="0"/>
          <w:caps w:val="0"/>
          <w:smallCaps w:val="0"/>
          <w:noProof w:val="0"/>
          <w:color w:val="242424"/>
          <w:sz w:val="22"/>
          <w:szCs w:val="22"/>
          <w:lang w:val="en-GB"/>
        </w:rPr>
        <w:t>8</w:t>
      </w:r>
      <w:r w:rsidRPr="11BA7D7B" w:rsidR="56EB683B">
        <w:rPr>
          <w:rFonts w:ascii="Arial" w:hAnsi="Arial" w:eastAsia="Arial" w:cs="Arial" w:asciiTheme="minorAscii" w:hAnsiTheme="minorAscii" w:eastAsiaTheme="minorAscii" w:cstheme="minorAscii"/>
          <w:b w:val="0"/>
          <w:bCs w:val="0"/>
          <w:i w:val="0"/>
          <w:iCs w:val="0"/>
          <w:caps w:val="0"/>
          <w:smallCaps w:val="0"/>
          <w:noProof w:val="0"/>
          <w:color w:val="242424"/>
          <w:sz w:val="22"/>
          <w:szCs w:val="22"/>
          <w:lang w:val="en-GB"/>
        </w:rPr>
        <w:t xml:space="preserve"> June 2026).</w:t>
      </w:r>
      <w:r>
        <w:br/>
      </w:r>
      <w:r>
        <w:br/>
      </w:r>
      <w:r w:rsidRPr="11BA7D7B" w:rsidR="56EB683B">
        <w:rPr>
          <w:rFonts w:ascii="Arial" w:hAnsi="Arial" w:eastAsia="Arial" w:cs="Arial" w:asciiTheme="minorAscii" w:hAnsiTheme="minorAscii" w:eastAsiaTheme="minorAscii" w:cstheme="minorAscii"/>
          <w:b w:val="0"/>
          <w:bCs w:val="0"/>
          <w:i w:val="0"/>
          <w:iCs w:val="0"/>
          <w:caps w:val="0"/>
          <w:smallCaps w:val="0"/>
          <w:noProof w:val="0"/>
          <w:color w:val="242424"/>
          <w:sz w:val="22"/>
          <w:szCs w:val="22"/>
          <w:lang w:val="en-GB"/>
        </w:rPr>
        <w:t xml:space="preserve">National Institutes of Health (2016) 'Figure 2: Homeostatic Control Circuit', PMC. Available at: </w:t>
      </w:r>
      <w:hyperlink r:id="Rf1f6f2e8b49d4fa2">
        <w:r w:rsidRPr="11BA7D7B" w:rsidR="56EB683B">
          <w:rPr>
            <w:rStyle w:val="Hyperlink"/>
            <w:rFonts w:ascii="Arial" w:hAnsi="Arial" w:eastAsia="Arial" w:cs="Arial" w:asciiTheme="minorAscii" w:hAnsiTheme="minorAscii" w:eastAsiaTheme="minorAscii" w:cstheme="minorAscii"/>
            <w:b w:val="0"/>
            <w:bCs w:val="0"/>
            <w:i w:val="0"/>
            <w:iCs w:val="0"/>
            <w:caps w:val="0"/>
            <w:smallCaps w:val="0"/>
            <w:noProof w:val="0"/>
            <w:sz w:val="22"/>
            <w:szCs w:val="22"/>
            <w:lang w:val="en-GB"/>
          </w:rPr>
          <w:t>https://pmc.ncbi.nlm.nih.gov/articles/PMC4369762/figure/F2/</w:t>
        </w:r>
      </w:hyperlink>
      <w:r w:rsidRPr="11BA7D7B" w:rsidR="56EB683B">
        <w:rPr>
          <w:rFonts w:ascii="Arial" w:hAnsi="Arial" w:eastAsia="Arial" w:cs="Arial" w:asciiTheme="minorAscii" w:hAnsiTheme="minorAscii" w:eastAsiaTheme="minorAscii" w:cstheme="minorAscii"/>
          <w:b w:val="0"/>
          <w:bCs w:val="0"/>
          <w:i w:val="0"/>
          <w:iCs w:val="0"/>
          <w:caps w:val="0"/>
          <w:smallCaps w:val="0"/>
          <w:noProof w:val="0"/>
          <w:color w:val="242424"/>
          <w:sz w:val="22"/>
          <w:szCs w:val="22"/>
          <w:lang w:val="en-GB"/>
        </w:rPr>
        <w:t xml:space="preserve"> (Accessed: 27 June 2026).</w:t>
      </w:r>
      <w:r>
        <w:br/>
      </w:r>
      <w:r>
        <w:br/>
      </w:r>
      <w:r w:rsidRPr="11BA7D7B" w:rsidR="56EB683B">
        <w:rPr>
          <w:rFonts w:ascii="Arial" w:hAnsi="Arial" w:eastAsia="Arial" w:cs="Arial" w:asciiTheme="minorAscii" w:hAnsiTheme="minorAscii" w:eastAsiaTheme="minorAscii" w:cstheme="minorAscii"/>
          <w:b w:val="0"/>
          <w:bCs w:val="0"/>
          <w:i w:val="0"/>
          <w:iCs w:val="0"/>
          <w:caps w:val="0"/>
          <w:smallCaps w:val="0"/>
          <w:noProof w:val="0"/>
          <w:color w:val="242424"/>
          <w:sz w:val="22"/>
          <w:szCs w:val="22"/>
          <w:lang w:val="en-GB"/>
        </w:rPr>
        <w:t xml:space="preserve">Office for Health Improvement and Disparities (2026) Diabetes Profile: Statistical Commentary, April 2026. Available at: </w:t>
      </w:r>
      <w:hyperlink r:id="R535cfe4777c3477f">
        <w:r w:rsidRPr="11BA7D7B" w:rsidR="56EB683B">
          <w:rPr>
            <w:rStyle w:val="Hyperlink"/>
            <w:rFonts w:ascii="Arial" w:hAnsi="Arial" w:eastAsia="Arial" w:cs="Arial" w:asciiTheme="minorAscii" w:hAnsiTheme="minorAscii" w:eastAsiaTheme="minorAscii" w:cstheme="minorAscii"/>
            <w:b w:val="0"/>
            <w:bCs w:val="0"/>
            <w:i w:val="0"/>
            <w:iCs w:val="0"/>
            <w:caps w:val="0"/>
            <w:smallCaps w:val="0"/>
            <w:noProof w:val="0"/>
            <w:sz w:val="22"/>
            <w:szCs w:val="22"/>
            <w:lang w:val="en-GB"/>
          </w:rPr>
          <w:t>https://www.gov.uk/government/statistics/diabetes-profile-update-april-2026/diabetes-profile-statistical-commentary-april-2026</w:t>
        </w:r>
      </w:hyperlink>
      <w:r w:rsidRPr="11BA7D7B" w:rsidR="56EB683B">
        <w:rPr>
          <w:rFonts w:ascii="Arial" w:hAnsi="Arial" w:eastAsia="Arial" w:cs="Arial" w:asciiTheme="minorAscii" w:hAnsiTheme="minorAscii" w:eastAsiaTheme="minorAscii" w:cstheme="minorAscii"/>
          <w:b w:val="0"/>
          <w:bCs w:val="0"/>
          <w:i w:val="0"/>
          <w:iCs w:val="0"/>
          <w:caps w:val="0"/>
          <w:smallCaps w:val="0"/>
          <w:noProof w:val="0"/>
          <w:color w:val="242424"/>
          <w:sz w:val="22"/>
          <w:szCs w:val="22"/>
          <w:lang w:val="en-GB"/>
        </w:rPr>
        <w:t xml:space="preserve"> (Accessed: 2</w:t>
      </w:r>
      <w:r w:rsidRPr="11BA7D7B" w:rsidR="737A976D">
        <w:rPr>
          <w:rFonts w:ascii="Arial" w:hAnsi="Arial" w:eastAsia="Arial" w:cs="Arial" w:asciiTheme="minorAscii" w:hAnsiTheme="minorAscii" w:eastAsiaTheme="minorAscii" w:cstheme="minorAscii"/>
          <w:b w:val="0"/>
          <w:bCs w:val="0"/>
          <w:i w:val="0"/>
          <w:iCs w:val="0"/>
          <w:caps w:val="0"/>
          <w:smallCaps w:val="0"/>
          <w:noProof w:val="0"/>
          <w:color w:val="242424"/>
          <w:sz w:val="22"/>
          <w:szCs w:val="22"/>
          <w:lang w:val="en-GB"/>
        </w:rPr>
        <w:t>6</w:t>
      </w:r>
      <w:r w:rsidRPr="11BA7D7B" w:rsidR="56EB683B">
        <w:rPr>
          <w:rFonts w:ascii="Arial" w:hAnsi="Arial" w:eastAsia="Arial" w:cs="Arial" w:asciiTheme="minorAscii" w:hAnsiTheme="minorAscii" w:eastAsiaTheme="minorAscii" w:cstheme="minorAscii"/>
          <w:b w:val="0"/>
          <w:bCs w:val="0"/>
          <w:i w:val="0"/>
          <w:iCs w:val="0"/>
          <w:caps w:val="0"/>
          <w:smallCaps w:val="0"/>
          <w:noProof w:val="0"/>
          <w:color w:val="242424"/>
          <w:sz w:val="22"/>
          <w:szCs w:val="22"/>
          <w:lang w:val="en-GB"/>
        </w:rPr>
        <w:t xml:space="preserve"> June 2026).</w:t>
      </w:r>
      <w:r>
        <w:br/>
      </w:r>
      <w:r>
        <w:br/>
      </w:r>
      <w:r w:rsidRPr="11BA7D7B" w:rsidR="56EB683B">
        <w:rPr>
          <w:rFonts w:ascii="Arial" w:hAnsi="Arial" w:eastAsia="Arial" w:cs="Arial" w:asciiTheme="minorAscii" w:hAnsiTheme="minorAscii" w:eastAsiaTheme="minorAscii" w:cstheme="minorAscii"/>
          <w:b w:val="0"/>
          <w:bCs w:val="0"/>
          <w:i w:val="0"/>
          <w:iCs w:val="0"/>
          <w:caps w:val="0"/>
          <w:smallCaps w:val="0"/>
          <w:noProof w:val="0"/>
          <w:color w:val="242424"/>
          <w:sz w:val="22"/>
          <w:szCs w:val="22"/>
          <w:lang w:val="en-GB"/>
        </w:rPr>
        <w:t xml:space="preserve">Public Health England (2026) Diabetes | Fingertips. Available at: </w:t>
      </w:r>
      <w:hyperlink r:id="R4ada611bdbfa4e2b">
        <w:r w:rsidRPr="11BA7D7B" w:rsidR="56EB683B">
          <w:rPr>
            <w:rStyle w:val="Hyperlink"/>
            <w:rFonts w:ascii="Arial" w:hAnsi="Arial" w:eastAsia="Arial" w:cs="Arial" w:asciiTheme="minorAscii" w:hAnsiTheme="minorAscii" w:eastAsiaTheme="minorAscii" w:cstheme="minorAscii"/>
            <w:b w:val="0"/>
            <w:bCs w:val="0"/>
            <w:i w:val="0"/>
            <w:iCs w:val="0"/>
            <w:caps w:val="0"/>
            <w:smallCaps w:val="0"/>
            <w:noProof w:val="0"/>
            <w:sz w:val="22"/>
            <w:szCs w:val="22"/>
            <w:lang w:val="en-GB"/>
          </w:rPr>
          <w:t>https://fingertips.phe.org.uk/profile-group/cardiovascular-disease-diabetes-kidney-disease/profile/diabetes-ft/</w:t>
        </w:r>
      </w:hyperlink>
      <w:r w:rsidRPr="11BA7D7B" w:rsidR="56EB683B">
        <w:rPr>
          <w:rFonts w:ascii="Arial" w:hAnsi="Arial" w:eastAsia="Arial" w:cs="Arial" w:asciiTheme="minorAscii" w:hAnsiTheme="minorAscii" w:eastAsiaTheme="minorAscii" w:cstheme="minorAscii"/>
          <w:b w:val="0"/>
          <w:bCs w:val="0"/>
          <w:i w:val="0"/>
          <w:iCs w:val="0"/>
          <w:caps w:val="0"/>
          <w:smallCaps w:val="0"/>
          <w:noProof w:val="0"/>
          <w:color w:val="242424"/>
          <w:sz w:val="22"/>
          <w:szCs w:val="22"/>
          <w:lang w:val="en-GB"/>
        </w:rPr>
        <w:t xml:space="preserve"> (Accessed: 2</w:t>
      </w:r>
      <w:r w:rsidRPr="11BA7D7B" w:rsidR="5D6958BB">
        <w:rPr>
          <w:rFonts w:ascii="Arial" w:hAnsi="Arial" w:eastAsia="Arial" w:cs="Arial" w:asciiTheme="minorAscii" w:hAnsiTheme="minorAscii" w:eastAsiaTheme="minorAscii" w:cstheme="minorAscii"/>
          <w:b w:val="0"/>
          <w:bCs w:val="0"/>
          <w:i w:val="0"/>
          <w:iCs w:val="0"/>
          <w:caps w:val="0"/>
          <w:smallCaps w:val="0"/>
          <w:noProof w:val="0"/>
          <w:color w:val="242424"/>
          <w:sz w:val="22"/>
          <w:szCs w:val="22"/>
          <w:lang w:val="en-GB"/>
        </w:rPr>
        <w:t>6</w:t>
      </w:r>
      <w:r w:rsidRPr="11BA7D7B" w:rsidR="56EB683B">
        <w:rPr>
          <w:rFonts w:ascii="Arial" w:hAnsi="Arial" w:eastAsia="Arial" w:cs="Arial" w:asciiTheme="minorAscii" w:hAnsiTheme="minorAscii" w:eastAsiaTheme="minorAscii" w:cstheme="minorAscii"/>
          <w:b w:val="0"/>
          <w:bCs w:val="0"/>
          <w:i w:val="0"/>
          <w:iCs w:val="0"/>
          <w:caps w:val="0"/>
          <w:smallCaps w:val="0"/>
          <w:noProof w:val="0"/>
          <w:color w:val="242424"/>
          <w:sz w:val="22"/>
          <w:szCs w:val="22"/>
          <w:lang w:val="en-GB"/>
        </w:rPr>
        <w:t xml:space="preserve"> June 2026).</w:t>
      </w:r>
      <w:r>
        <w:br/>
      </w:r>
      <w:r>
        <w:br/>
      </w:r>
      <w:r w:rsidRPr="11BA7D7B" w:rsidR="56EB683B">
        <w:rPr>
          <w:rFonts w:ascii="Arial" w:hAnsi="Arial" w:eastAsia="Arial" w:cs="Arial" w:asciiTheme="minorAscii" w:hAnsiTheme="minorAscii" w:eastAsiaTheme="minorAscii" w:cstheme="minorAscii"/>
          <w:b w:val="0"/>
          <w:bCs w:val="0"/>
          <w:i w:val="0"/>
          <w:iCs w:val="0"/>
          <w:caps w:val="0"/>
          <w:smallCaps w:val="0"/>
          <w:noProof w:val="0"/>
          <w:color w:val="242424"/>
          <w:sz w:val="22"/>
          <w:szCs w:val="22"/>
          <w:lang w:val="en-GB"/>
        </w:rPr>
        <w:t xml:space="preserve">Public Health Wales (2023) Diabetes Prevalence, Trends, Risk Factors, and 10-Year Projection. Available at: </w:t>
      </w:r>
      <w:hyperlink r:id="R13f3400c780b40c3">
        <w:r w:rsidRPr="11BA7D7B" w:rsidR="56EB683B">
          <w:rPr>
            <w:rStyle w:val="Hyperlink"/>
            <w:rFonts w:ascii="Arial" w:hAnsi="Arial" w:eastAsia="Arial" w:cs="Arial" w:asciiTheme="minorAscii" w:hAnsiTheme="minorAscii" w:eastAsiaTheme="minorAscii" w:cstheme="minorAscii"/>
            <w:b w:val="0"/>
            <w:bCs w:val="0"/>
            <w:i w:val="0"/>
            <w:iCs w:val="0"/>
            <w:caps w:val="0"/>
            <w:smallCaps w:val="0"/>
            <w:noProof w:val="0"/>
            <w:sz w:val="22"/>
            <w:szCs w:val="22"/>
            <w:lang w:val="en-GB"/>
          </w:rPr>
          <w:t>https://phw.nhs.wales/reports/diabetes-prevalence-trends-risk-factors-and-10-year-projection/</w:t>
        </w:r>
      </w:hyperlink>
      <w:r w:rsidRPr="11BA7D7B" w:rsidR="56EB683B">
        <w:rPr>
          <w:rFonts w:ascii="Arial" w:hAnsi="Arial" w:eastAsia="Arial" w:cs="Arial" w:asciiTheme="minorAscii" w:hAnsiTheme="minorAscii" w:eastAsiaTheme="minorAscii" w:cstheme="minorAscii"/>
          <w:b w:val="0"/>
          <w:bCs w:val="0"/>
          <w:i w:val="0"/>
          <w:iCs w:val="0"/>
          <w:caps w:val="0"/>
          <w:smallCaps w:val="0"/>
          <w:noProof w:val="0"/>
          <w:color w:val="242424"/>
          <w:sz w:val="22"/>
          <w:szCs w:val="22"/>
          <w:lang w:val="en-GB"/>
        </w:rPr>
        <w:t xml:space="preserve"> (Accessed: 27 June 2026).</w:t>
      </w:r>
      <w:r>
        <w:br/>
      </w:r>
      <w:r>
        <w:br/>
      </w:r>
      <w:r w:rsidRPr="11BA7D7B" w:rsidR="56EB683B">
        <w:rPr>
          <w:rFonts w:ascii="Arial" w:hAnsi="Arial" w:eastAsia="Arial" w:cs="Arial" w:asciiTheme="minorAscii" w:hAnsiTheme="minorAscii" w:eastAsiaTheme="minorAscii" w:cstheme="minorAscii"/>
          <w:b w:val="0"/>
          <w:bCs w:val="0"/>
          <w:i w:val="0"/>
          <w:iCs w:val="0"/>
          <w:caps w:val="0"/>
          <w:smallCaps w:val="0"/>
          <w:noProof w:val="0"/>
          <w:color w:val="242424"/>
          <w:sz w:val="22"/>
          <w:szCs w:val="22"/>
          <w:lang w:val="en-GB"/>
        </w:rPr>
        <w:t xml:space="preserve">Thorens, B. (2024) 'Neuronal Glucose Sensing Mechanisms and Circuits in the Control of Insulin and Glucagon Secretion', Physiological Reviews, 104(4). Available at: </w:t>
      </w:r>
      <w:hyperlink r:id="Rb9f2e79929b44309">
        <w:r w:rsidRPr="11BA7D7B" w:rsidR="56EB683B">
          <w:rPr>
            <w:rStyle w:val="Hyperlink"/>
            <w:rFonts w:ascii="Arial" w:hAnsi="Arial" w:eastAsia="Arial" w:cs="Arial" w:asciiTheme="minorAscii" w:hAnsiTheme="minorAscii" w:eastAsiaTheme="minorAscii" w:cstheme="minorAscii"/>
            <w:b w:val="0"/>
            <w:bCs w:val="0"/>
            <w:i w:val="0"/>
            <w:iCs w:val="0"/>
            <w:caps w:val="0"/>
            <w:smallCaps w:val="0"/>
            <w:noProof w:val="0"/>
            <w:sz w:val="22"/>
            <w:szCs w:val="22"/>
            <w:lang w:val="en-GB"/>
          </w:rPr>
          <w:t>https://journals.physiology.org/doi/full/10.1152/physrev.00038.2023</w:t>
        </w:r>
      </w:hyperlink>
      <w:r w:rsidRPr="11BA7D7B" w:rsidR="56EB683B">
        <w:rPr>
          <w:rFonts w:ascii="Arial" w:hAnsi="Arial" w:eastAsia="Arial" w:cs="Arial" w:asciiTheme="minorAscii" w:hAnsiTheme="minorAscii" w:eastAsiaTheme="minorAscii" w:cstheme="minorAscii"/>
          <w:b w:val="0"/>
          <w:bCs w:val="0"/>
          <w:i w:val="0"/>
          <w:iCs w:val="0"/>
          <w:caps w:val="0"/>
          <w:smallCaps w:val="0"/>
          <w:noProof w:val="0"/>
          <w:color w:val="242424"/>
          <w:sz w:val="22"/>
          <w:szCs w:val="22"/>
          <w:lang w:val="en-GB"/>
        </w:rPr>
        <w:t xml:space="preserve"> (Accessed: 27 June 2026).</w:t>
      </w:r>
      <w:r>
        <w:br/>
      </w:r>
      <w:r>
        <w:br/>
      </w:r>
      <w:r w:rsidRPr="11BA7D7B" w:rsidR="56EB683B">
        <w:rPr>
          <w:rFonts w:ascii="Arial" w:hAnsi="Arial" w:eastAsia="Arial" w:cs="Arial" w:asciiTheme="minorAscii" w:hAnsiTheme="minorAscii" w:eastAsiaTheme="minorAscii" w:cstheme="minorAscii"/>
          <w:b w:val="0"/>
          <w:bCs w:val="0"/>
          <w:i w:val="0"/>
          <w:iCs w:val="0"/>
          <w:caps w:val="0"/>
          <w:smallCaps w:val="0"/>
          <w:noProof w:val="0"/>
          <w:color w:val="242424"/>
          <w:sz w:val="22"/>
          <w:szCs w:val="22"/>
          <w:lang w:val="en-GB"/>
        </w:rPr>
        <w:t xml:space="preserve">UEN Digital Press (2024) 'Cellular Respiration', Integrated Human Anatomy and Physiology. Available at: </w:t>
      </w:r>
      <w:hyperlink r:id="Red9a75d4f06b4ae6">
        <w:r w:rsidRPr="11BA7D7B" w:rsidR="56EB683B">
          <w:rPr>
            <w:rStyle w:val="Hyperlink"/>
            <w:rFonts w:ascii="Arial" w:hAnsi="Arial" w:eastAsia="Arial" w:cs="Arial" w:asciiTheme="minorAscii" w:hAnsiTheme="minorAscii" w:eastAsiaTheme="minorAscii" w:cstheme="minorAscii"/>
            <w:b w:val="0"/>
            <w:bCs w:val="0"/>
            <w:i w:val="0"/>
            <w:iCs w:val="0"/>
            <w:caps w:val="0"/>
            <w:smallCaps w:val="0"/>
            <w:noProof w:val="0"/>
            <w:sz w:val="22"/>
            <w:szCs w:val="22"/>
            <w:lang w:val="en-GB"/>
          </w:rPr>
          <w:t>https://uen.pressbooks.pub/anatomyphysiology/chapter/cellular-respiration/</w:t>
        </w:r>
      </w:hyperlink>
      <w:r w:rsidRPr="11BA7D7B" w:rsidR="56EB683B">
        <w:rPr>
          <w:rFonts w:ascii="Arial" w:hAnsi="Arial" w:eastAsia="Arial" w:cs="Arial" w:asciiTheme="minorAscii" w:hAnsiTheme="minorAscii" w:eastAsiaTheme="minorAscii" w:cstheme="minorAscii"/>
          <w:b w:val="0"/>
          <w:bCs w:val="0"/>
          <w:i w:val="0"/>
          <w:iCs w:val="0"/>
          <w:caps w:val="0"/>
          <w:smallCaps w:val="0"/>
          <w:noProof w:val="0"/>
          <w:color w:val="242424"/>
          <w:sz w:val="22"/>
          <w:szCs w:val="22"/>
          <w:lang w:val="en-GB"/>
        </w:rPr>
        <w:t xml:space="preserve"> (Accessed: 2</w:t>
      </w:r>
      <w:r w:rsidRPr="11BA7D7B" w:rsidR="66CAF874">
        <w:rPr>
          <w:rFonts w:ascii="Arial" w:hAnsi="Arial" w:eastAsia="Arial" w:cs="Arial" w:asciiTheme="minorAscii" w:hAnsiTheme="minorAscii" w:eastAsiaTheme="minorAscii" w:cstheme="minorAscii"/>
          <w:b w:val="0"/>
          <w:bCs w:val="0"/>
          <w:i w:val="0"/>
          <w:iCs w:val="0"/>
          <w:caps w:val="0"/>
          <w:smallCaps w:val="0"/>
          <w:noProof w:val="0"/>
          <w:color w:val="242424"/>
          <w:sz w:val="22"/>
          <w:szCs w:val="22"/>
          <w:lang w:val="en-GB"/>
        </w:rPr>
        <w:t>6</w:t>
      </w:r>
      <w:r w:rsidRPr="11BA7D7B" w:rsidR="56EB683B">
        <w:rPr>
          <w:rFonts w:ascii="Arial" w:hAnsi="Arial" w:eastAsia="Arial" w:cs="Arial" w:asciiTheme="minorAscii" w:hAnsiTheme="minorAscii" w:eastAsiaTheme="minorAscii" w:cstheme="minorAscii"/>
          <w:b w:val="0"/>
          <w:bCs w:val="0"/>
          <w:i w:val="0"/>
          <w:iCs w:val="0"/>
          <w:caps w:val="0"/>
          <w:smallCaps w:val="0"/>
          <w:noProof w:val="0"/>
          <w:color w:val="242424"/>
          <w:sz w:val="22"/>
          <w:szCs w:val="22"/>
          <w:lang w:val="en-GB"/>
        </w:rPr>
        <w:t xml:space="preserve"> June 2026).</w:t>
      </w: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numbering.xml><?xml version="1.0" encoding="utf-8"?>
<w:numbering xmlns:w="http://schemas.openxmlformats.org/wordprocessingml/2006/main">
  <w:abstractNum xmlns:w="http://schemas.openxmlformats.org/wordprocessingml/2006/main" w:abstractNumId="4">
    <w:nsid w:val="4c43a2be"/>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3">
    <w:nsid w:val="739eac8e"/>
    <w:multiLevelType xmlns:w="http://schemas.openxmlformats.org/wordprocessingml/2006/main" w:val="hybridMultilevel"/>
    <w:lvl xmlns:w="http://schemas.openxmlformats.org/wordprocessingml/2006/main" w:ilvl="0">
      <w:start w:val="1"/>
      <w:numFmt w:val="decimal"/>
      <w:lvlText w:val="%1."/>
      <w:lvlJc w:val="left"/>
      <w:pPr>
        <w:ind w:left="360" w:hanging="360"/>
      </w:pPr>
    </w:lvl>
    <w:lvl xmlns:w="http://schemas.openxmlformats.org/wordprocessingml/2006/main" w:ilvl="1">
      <w:start w:val="1"/>
      <w:numFmt w:val="lowerLetter"/>
      <w:lvlText w:val="%2."/>
      <w:lvlJc w:val="left"/>
      <w:pPr>
        <w:ind w:left="1080" w:hanging="360"/>
      </w:pPr>
    </w:lvl>
    <w:lvl xmlns:w="http://schemas.openxmlformats.org/wordprocessingml/2006/main" w:ilvl="2">
      <w:start w:val="1"/>
      <w:numFmt w:val="lowerRoman"/>
      <w:lvlText w:val="%3."/>
      <w:lvlJc w:val="right"/>
      <w:pPr>
        <w:ind w:left="1800" w:hanging="180"/>
      </w:pPr>
    </w:lvl>
    <w:lvl xmlns:w="http://schemas.openxmlformats.org/wordprocessingml/2006/main" w:ilvl="3">
      <w:start w:val="1"/>
      <w:numFmt w:val="decimal"/>
      <w:lvlText w:val="%4."/>
      <w:lvlJc w:val="left"/>
      <w:pPr>
        <w:ind w:left="2520" w:hanging="360"/>
      </w:pPr>
    </w:lvl>
    <w:lvl xmlns:w="http://schemas.openxmlformats.org/wordprocessingml/2006/main" w:ilvl="4">
      <w:start w:val="1"/>
      <w:numFmt w:val="lowerLetter"/>
      <w:lvlText w:val="%5."/>
      <w:lvlJc w:val="left"/>
      <w:pPr>
        <w:ind w:left="3240" w:hanging="360"/>
      </w:pPr>
    </w:lvl>
    <w:lvl xmlns:w="http://schemas.openxmlformats.org/wordprocessingml/2006/main" w:ilvl="5">
      <w:start w:val="1"/>
      <w:numFmt w:val="lowerRoman"/>
      <w:lvlText w:val="%6."/>
      <w:lvlJc w:val="right"/>
      <w:pPr>
        <w:ind w:left="3960" w:hanging="180"/>
      </w:pPr>
    </w:lvl>
    <w:lvl xmlns:w="http://schemas.openxmlformats.org/wordprocessingml/2006/main" w:ilvl="6">
      <w:start w:val="1"/>
      <w:numFmt w:val="decimal"/>
      <w:lvlText w:val="%7."/>
      <w:lvlJc w:val="left"/>
      <w:pPr>
        <w:ind w:left="4680" w:hanging="360"/>
      </w:pPr>
    </w:lvl>
    <w:lvl xmlns:w="http://schemas.openxmlformats.org/wordprocessingml/2006/main" w:ilvl="7">
      <w:start w:val="1"/>
      <w:numFmt w:val="lowerLetter"/>
      <w:lvlText w:val="%8."/>
      <w:lvlJc w:val="left"/>
      <w:pPr>
        <w:ind w:left="5400" w:hanging="360"/>
      </w:pPr>
    </w:lvl>
    <w:lvl xmlns:w="http://schemas.openxmlformats.org/wordprocessingml/2006/main" w:ilvl="8">
      <w:start w:val="1"/>
      <w:numFmt w:val="lowerRoman"/>
      <w:lvlText w:val="%9."/>
      <w:lvlJc w:val="right"/>
      <w:pPr>
        <w:ind w:left="6120" w:hanging="180"/>
      </w:pPr>
    </w:lvl>
  </w:abstractNum>
  <w:abstractNum xmlns:w="http://schemas.openxmlformats.org/wordprocessingml/2006/main" w:abstractNumId="2">
    <w:nsid w:val="709dfc6e"/>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
    <w:nsid w:val="6256c412"/>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3B922955"/>
    <w:rsid w:val="040D62BE"/>
    <w:rsid w:val="044DA203"/>
    <w:rsid w:val="0860F2E2"/>
    <w:rsid w:val="08BEA153"/>
    <w:rsid w:val="08CF71D5"/>
    <w:rsid w:val="094E12FD"/>
    <w:rsid w:val="0B2F41DD"/>
    <w:rsid w:val="0BB7D906"/>
    <w:rsid w:val="0CD75C11"/>
    <w:rsid w:val="0DD12801"/>
    <w:rsid w:val="0E6B7B0A"/>
    <w:rsid w:val="0EE095E3"/>
    <w:rsid w:val="0EF78D20"/>
    <w:rsid w:val="11BA7D7B"/>
    <w:rsid w:val="12611002"/>
    <w:rsid w:val="14EAF77B"/>
    <w:rsid w:val="1C962086"/>
    <w:rsid w:val="1DF3064B"/>
    <w:rsid w:val="210641FD"/>
    <w:rsid w:val="24CB4B17"/>
    <w:rsid w:val="24F1037F"/>
    <w:rsid w:val="2E3AC27F"/>
    <w:rsid w:val="2ED79990"/>
    <w:rsid w:val="304D024E"/>
    <w:rsid w:val="320EA944"/>
    <w:rsid w:val="360B2EA6"/>
    <w:rsid w:val="38176CC4"/>
    <w:rsid w:val="38601A4E"/>
    <w:rsid w:val="38E2BDCF"/>
    <w:rsid w:val="3B8EB8B3"/>
    <w:rsid w:val="3B922955"/>
    <w:rsid w:val="3C17E2A5"/>
    <w:rsid w:val="409E864C"/>
    <w:rsid w:val="42AFE00F"/>
    <w:rsid w:val="45E198FD"/>
    <w:rsid w:val="46AD9D9B"/>
    <w:rsid w:val="46B6CA90"/>
    <w:rsid w:val="4823CD2E"/>
    <w:rsid w:val="4C5208C2"/>
    <w:rsid w:val="4F996143"/>
    <w:rsid w:val="51BF78A0"/>
    <w:rsid w:val="54944B08"/>
    <w:rsid w:val="55CEF2BD"/>
    <w:rsid w:val="56663DFC"/>
    <w:rsid w:val="56EB683B"/>
    <w:rsid w:val="57AE2452"/>
    <w:rsid w:val="5C017A8B"/>
    <w:rsid w:val="5C8973C7"/>
    <w:rsid w:val="5D6958BB"/>
    <w:rsid w:val="5DE74114"/>
    <w:rsid w:val="6476E8D7"/>
    <w:rsid w:val="64D25A4D"/>
    <w:rsid w:val="659AD72A"/>
    <w:rsid w:val="66CAF874"/>
    <w:rsid w:val="6B76E217"/>
    <w:rsid w:val="6E3D8D78"/>
    <w:rsid w:val="6ECE6E6C"/>
    <w:rsid w:val="71B1B7DB"/>
    <w:rsid w:val="72051AB0"/>
    <w:rsid w:val="72E257D0"/>
    <w:rsid w:val="737A976D"/>
    <w:rsid w:val="759FAD64"/>
    <w:rsid w:val="7B76543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DDE6BA8"/>
  <w15:chartTrackingRefBased/>
  <w15:docId w15:val="{1EA13BDD-5A78-4159-B64C-14AD6A55BBA0}"/>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yperlink">
    <w:uiPriority w:val="99"/>
    <w:name w:val="Hyperlink"/>
    <w:basedOn w:val="DefaultParagraphFont"/>
    <w:unhideWhenUsed/>
    <w:rsid w:val="11BA7D7B"/>
    <w:rPr>
      <w:color w:val="467886"/>
      <w:u w:val="single"/>
    </w:rPr>
  </w:style>
  <w:style w:type="paragraph" w:styleId="ListParagraph">
    <w:uiPriority w:val="34"/>
    <w:name w:val="List Paragraph"/>
    <w:basedOn w:val="Normal"/>
    <w:qFormat/>
    <w:rsid w:val="11BA7D7B"/>
    <w:pPr>
      <w:spacing/>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yperlink" Target="https://diabetesonthenet.com/diabetes-primary-care/factsheet-nice-ng28-feb-2026/" TargetMode="External" Id="Rda325715289149cd" /><Relationship Type="http://schemas.openxmlformats.org/officeDocument/2006/relationships/hyperlink" Target="https://www.sciencedirect.com/topics/medicine-and-dentistry/blood-glucose" TargetMode="External" Id="Rf24b6f9c95364afa" /><Relationship Type="http://schemas.openxmlformats.org/officeDocument/2006/relationships/hyperlink" Target="https://www.pulsetoday.co.uk/clinical-feature/clinical-areas/diabetes-endocrinology/masterclass-a-gps-complete-guide-to-diabetes/" TargetMode="External" Id="R65c0eedca78248bf" /><Relationship Type="http://schemas.openxmlformats.org/officeDocument/2006/relationships/hyperlink" Target="https://www.nice.org.uk/guidance/GID-NG10336/documents/450" TargetMode="External" Id="Rd03a662053fa4c7a" /><Relationship Type="http://schemas.openxmlformats.org/officeDocument/2006/relationships/hyperlink" Target="https://pmc.ncbi.nlm.nih.gov/articles/PMC4369762/figure/F2/" TargetMode="External" Id="Rf1f6f2e8b49d4fa2" /><Relationship Type="http://schemas.openxmlformats.org/officeDocument/2006/relationships/hyperlink" Target="https://www.gov.uk/government/statistics/diabetes-profile-update-april-2026/diabetes-profile-statistical-commentary-april-2026" TargetMode="External" Id="R535cfe4777c3477f" /><Relationship Type="http://schemas.openxmlformats.org/officeDocument/2006/relationships/hyperlink" Target="https://fingertips.phe.org.uk/profile-group/cardiovascular-disease-diabetes-kidney-disease/profile/diabetes-ft/" TargetMode="External" Id="R4ada611bdbfa4e2b" /><Relationship Type="http://schemas.openxmlformats.org/officeDocument/2006/relationships/hyperlink" Target="https://phw.nhs.wales/reports/diabetes-prevalence-trends-risk-factors-and-10-year-projection/" TargetMode="External" Id="R13f3400c780b40c3" /><Relationship Type="http://schemas.openxmlformats.org/officeDocument/2006/relationships/hyperlink" Target="https://journals.physiology.org/doi/full/10.1152/physrev.00038.2023" TargetMode="External" Id="Rb9f2e79929b44309" /><Relationship Type="http://schemas.openxmlformats.org/officeDocument/2006/relationships/hyperlink" Target="https://uen.pressbooks.pub/anatomyphysiology/chapter/cellular-respiration/" TargetMode="External" Id="Red9a75d4f06b4ae6" /><Relationship Type="http://schemas.openxmlformats.org/officeDocument/2006/relationships/numbering" Target="/word/numbering.xml" Id="R9729a23c74814eb5"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rial"/>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Sadia Ousman (2235624)</dc:creator>
  <keywords/>
  <dc:description/>
  <lastModifiedBy>Sadia Ousman (2235624)</lastModifiedBy>
  <revision>2</revision>
  <dcterms:created xsi:type="dcterms:W3CDTF">2026-06-27T22:57:37.7964150Z</dcterms:created>
  <dcterms:modified xsi:type="dcterms:W3CDTF">2026-06-28T22:56:40.9809219Z</dcterms:modified>
</coreProperties>
</file>