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D1368" w14:textId="77777777" w:rsidR="00693689" w:rsidRDefault="00693689">
      <w:pPr>
        <w:spacing w:after="0" w:line="360" w:lineRule="auto"/>
        <w:jc w:val="both"/>
        <w:outlineLvl w:val="1"/>
        <w:rPr>
          <w:rFonts w:ascii="Times New Roman" w:eastAsia="Times New Roman" w:hAnsi="Times New Roman" w:cs="Times New Roman"/>
          <w:b/>
          <w:bCs/>
          <w:kern w:val="0"/>
          <w:lang w:eastAsia="en-GB"/>
          <w14:ligatures w14:val="none"/>
        </w:rPr>
      </w:pPr>
    </w:p>
    <w:p w14:paraId="7714DE25" w14:textId="3FCBC5A9" w:rsidR="00693689" w:rsidRDefault="00693689">
      <w:pPr>
        <w:spacing w:after="0" w:line="360" w:lineRule="auto"/>
        <w:jc w:val="both"/>
        <w:outlineLvl w:val="1"/>
        <w:rPr>
          <w:rFonts w:ascii="Times New Roman" w:eastAsia="Times New Roman" w:hAnsi="Times New Roman" w:cs="Times New Roman"/>
          <w:b/>
          <w:bCs/>
          <w:kern w:val="0"/>
          <w:lang w:eastAsia="en-GB"/>
          <w14:ligatures w14:val="none"/>
        </w:rPr>
      </w:pPr>
    </w:p>
    <w:p w14:paraId="313C7F22" w14:textId="4E401784" w:rsidR="00AD24C7" w:rsidRDefault="00AD24C7">
      <w:pPr>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Module name: Changemakers </w:t>
      </w:r>
    </w:p>
    <w:p w14:paraId="25AC8C28" w14:textId="7DDD57CF" w:rsidR="00AD24C7" w:rsidRPr="00AD24C7" w:rsidRDefault="00AD24C7">
      <w:pPr>
        <w:rPr>
          <w:rFonts w:ascii="Times New Roman" w:eastAsia="Times New Roman" w:hAnsi="Times New Roman" w:cs="Times New Roman"/>
          <w:b/>
          <w:bCs/>
          <w:kern w:val="0"/>
          <w:lang w:val="nl-NL" w:eastAsia="en-GB"/>
          <w14:ligatures w14:val="none"/>
        </w:rPr>
      </w:pPr>
      <w:r w:rsidRPr="00AD24C7">
        <w:rPr>
          <w:rFonts w:ascii="Times New Roman" w:eastAsia="Times New Roman" w:hAnsi="Times New Roman" w:cs="Times New Roman"/>
          <w:b/>
          <w:bCs/>
          <w:kern w:val="0"/>
          <w:lang w:val="nl-NL" w:eastAsia="en-GB"/>
          <w14:ligatures w14:val="none"/>
        </w:rPr>
        <w:t>Module code: BMHP5015</w:t>
      </w:r>
    </w:p>
    <w:p w14:paraId="2759572D" w14:textId="7DF9309A" w:rsidR="00AD24C7" w:rsidRPr="00AD24C7" w:rsidRDefault="00AD24C7">
      <w:pPr>
        <w:rPr>
          <w:rFonts w:ascii="Times New Roman" w:eastAsia="Times New Roman" w:hAnsi="Times New Roman" w:cs="Times New Roman"/>
          <w:b/>
          <w:bCs/>
          <w:kern w:val="0"/>
          <w:lang w:eastAsia="en-GB"/>
          <w14:ligatures w14:val="none"/>
        </w:rPr>
      </w:pPr>
      <w:r w:rsidRPr="00AD24C7">
        <w:rPr>
          <w:rFonts w:ascii="Times New Roman" w:eastAsia="Times New Roman" w:hAnsi="Times New Roman" w:cs="Times New Roman"/>
          <w:b/>
          <w:bCs/>
          <w:kern w:val="0"/>
          <w:lang w:eastAsia="en-GB"/>
          <w14:ligatures w14:val="none"/>
        </w:rPr>
        <w:t xml:space="preserve"> Student name: Charity Amihere</w:t>
      </w:r>
    </w:p>
    <w:p w14:paraId="076AACC7" w14:textId="699945F6" w:rsidR="00693689" w:rsidRPr="00AD24C7" w:rsidRDefault="00AD24C7">
      <w:pPr>
        <w:rPr>
          <w:rFonts w:ascii="Times New Roman" w:eastAsia="Times New Roman" w:hAnsi="Times New Roman" w:cs="Times New Roman"/>
          <w:b/>
          <w:bCs/>
          <w:kern w:val="0"/>
          <w:lang w:eastAsia="en-GB"/>
          <w14:ligatures w14:val="none"/>
        </w:rPr>
      </w:pPr>
      <w:r w:rsidRPr="00AD24C7">
        <w:rPr>
          <w:rFonts w:ascii="Times New Roman" w:eastAsia="Times New Roman" w:hAnsi="Times New Roman" w:cs="Times New Roman"/>
          <w:b/>
          <w:bCs/>
          <w:kern w:val="0"/>
          <w:lang w:eastAsia="en-GB"/>
          <w14:ligatures w14:val="none"/>
        </w:rPr>
        <w:t>Student ID:</w:t>
      </w:r>
      <w:r>
        <w:rPr>
          <w:rFonts w:ascii="Times New Roman" w:eastAsia="Times New Roman" w:hAnsi="Times New Roman" w:cs="Times New Roman"/>
          <w:b/>
          <w:bCs/>
          <w:kern w:val="0"/>
          <w:lang w:eastAsia="en-GB"/>
          <w14:ligatures w14:val="none"/>
        </w:rPr>
        <w:t xml:space="preserve"> </w:t>
      </w:r>
      <w:r w:rsidR="002E41FE">
        <w:rPr>
          <w:rFonts w:ascii="Times New Roman" w:eastAsia="Times New Roman" w:hAnsi="Times New Roman" w:cs="Times New Roman"/>
          <w:b/>
          <w:bCs/>
          <w:kern w:val="0"/>
          <w:lang w:eastAsia="en-GB"/>
          <w14:ligatures w14:val="none"/>
        </w:rPr>
        <w:t>2336795</w:t>
      </w:r>
      <w:r w:rsidR="00693689" w:rsidRPr="00AD24C7">
        <w:rPr>
          <w:rFonts w:ascii="Times New Roman" w:eastAsia="Times New Roman" w:hAnsi="Times New Roman" w:cs="Times New Roman"/>
          <w:b/>
          <w:bCs/>
          <w:kern w:val="0"/>
          <w:lang w:eastAsia="en-GB"/>
          <w14:ligatures w14:val="none"/>
        </w:rPr>
        <w:br w:type="page"/>
      </w:r>
    </w:p>
    <w:p w14:paraId="4D8D4639" w14:textId="7AE0D386" w:rsidR="00693689" w:rsidRPr="00AD24C7" w:rsidRDefault="00693689">
      <w:pPr>
        <w:spacing w:after="0" w:line="360" w:lineRule="auto"/>
        <w:jc w:val="both"/>
        <w:outlineLvl w:val="1"/>
        <w:rPr>
          <w:rFonts w:ascii="Times New Roman" w:eastAsia="Times New Roman" w:hAnsi="Times New Roman" w:cs="Times New Roman"/>
          <w:b/>
          <w:bCs/>
          <w:kern w:val="0"/>
          <w:lang w:eastAsia="en-GB"/>
          <w14:ligatures w14:val="none"/>
        </w:rPr>
      </w:pPr>
    </w:p>
    <w:p w14:paraId="1E1FBCB5" w14:textId="77777777" w:rsidR="00693689" w:rsidRPr="00AD24C7" w:rsidRDefault="00693689">
      <w:pPr>
        <w:rPr>
          <w:rFonts w:ascii="Times New Roman" w:eastAsia="Times New Roman" w:hAnsi="Times New Roman" w:cs="Times New Roman"/>
          <w:b/>
          <w:bCs/>
          <w:kern w:val="0"/>
          <w:lang w:eastAsia="en-GB"/>
          <w14:ligatures w14:val="none"/>
        </w:rPr>
      </w:pPr>
      <w:r w:rsidRPr="00AD24C7">
        <w:rPr>
          <w:rFonts w:ascii="Times New Roman" w:eastAsia="Times New Roman" w:hAnsi="Times New Roman" w:cs="Times New Roman"/>
          <w:b/>
          <w:bCs/>
          <w:kern w:val="0"/>
          <w:lang w:eastAsia="en-GB"/>
          <w14:ligatures w14:val="none"/>
        </w:rPr>
        <w:br w:type="page"/>
      </w:r>
    </w:p>
    <w:p w14:paraId="33C3D576" w14:textId="77777777" w:rsidR="00693689" w:rsidRPr="00AD24C7" w:rsidRDefault="00693689">
      <w:pPr>
        <w:spacing w:after="0" w:line="360" w:lineRule="auto"/>
        <w:jc w:val="both"/>
        <w:outlineLvl w:val="1"/>
        <w:rPr>
          <w:rFonts w:ascii="Times New Roman" w:eastAsia="Times New Roman" w:hAnsi="Times New Roman" w:cs="Times New Roman"/>
          <w:b/>
          <w:bCs/>
          <w:kern w:val="0"/>
          <w:lang w:eastAsia="en-GB"/>
          <w14:ligatures w14:val="none"/>
        </w:rPr>
      </w:pPr>
    </w:p>
    <w:p w14:paraId="6D931715" w14:textId="565E349A" w:rsidR="00330C95" w:rsidRDefault="00000000">
      <w:pPr>
        <w:spacing w:after="0" w:line="360" w:lineRule="auto"/>
        <w:jc w:val="both"/>
        <w:outlineLvl w:val="1"/>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Building Employability Skills and Personal Brand for a Career as a Social Worker</w:t>
      </w:r>
    </w:p>
    <w:p w14:paraId="3EE95FDD"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1. Introduction</w:t>
      </w:r>
    </w:p>
    <w:p w14:paraId="0436BD30" w14:textId="77777777" w:rsidR="00693689"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This research examines employability as a fundamental goal of higher education, </w:t>
      </w:r>
      <w:r w:rsidR="00807D16">
        <w:rPr>
          <w:rFonts w:ascii="Times New Roman" w:eastAsia="Times New Roman" w:hAnsi="Times New Roman" w:cs="Times New Roman"/>
          <w:kern w:val="0"/>
          <w:lang w:eastAsia="en-GB"/>
          <w14:ligatures w14:val="none"/>
        </w:rPr>
        <w:t>focusing on health and social care, as it directly impacts</w:t>
      </w:r>
      <w:r>
        <w:rPr>
          <w:rFonts w:ascii="Times New Roman" w:eastAsia="Times New Roman" w:hAnsi="Times New Roman" w:cs="Times New Roman"/>
          <w:kern w:val="0"/>
          <w:lang w:eastAsia="en-GB"/>
          <w14:ligatures w14:val="none"/>
        </w:rPr>
        <w:t xml:space="preserve"> vulnerable people and communities. The research </w:t>
      </w:r>
    </w:p>
    <w:p w14:paraId="1A0F7608" w14:textId="6A095CB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prompts students to critically evaluate their employability skills, undertake a self-evaluation</w:t>
      </w:r>
      <w:r w:rsidR="00807D16">
        <w:rPr>
          <w:rFonts w:ascii="Times New Roman" w:eastAsia="Times New Roman" w:hAnsi="Times New Roman" w:cs="Times New Roman"/>
          <w:kern w:val="0"/>
          <w:lang w:eastAsia="en-GB"/>
          <w14:ligatures w14:val="none"/>
        </w:rPr>
        <w:t>, and develop</w:t>
      </w:r>
      <w:r>
        <w:rPr>
          <w:rFonts w:ascii="Times New Roman" w:eastAsia="Times New Roman" w:hAnsi="Times New Roman" w:cs="Times New Roman"/>
          <w:kern w:val="0"/>
          <w:lang w:eastAsia="en-GB"/>
          <w14:ligatures w14:val="none"/>
        </w:rPr>
        <w:t xml:space="preserve"> a personal and professional development plan. The research report is based on the role of a social worker in the UK, highlighting the essential competencies of a social worker in terms of employability, comparing the author's current capabilities with these competencies, and outlining a strategic plan for achieving a set career goal. The research also discusses personal branding and professional identity in relation to enhancing employability in social care services. "Employability is more than getting a job; it is about acquiring portable skills for the </w:t>
      </w:r>
      <w:r w:rsidR="00807D16">
        <w:rPr>
          <w:rFonts w:ascii="Times New Roman" w:eastAsia="Times New Roman" w:hAnsi="Times New Roman" w:cs="Times New Roman"/>
          <w:kern w:val="0"/>
          <w:lang w:eastAsia="en-GB"/>
          <w14:ligatures w14:val="none"/>
        </w:rPr>
        <w:t>labour</w:t>
      </w:r>
      <w:r>
        <w:rPr>
          <w:rFonts w:ascii="Times New Roman" w:eastAsia="Times New Roman" w:hAnsi="Times New Roman" w:cs="Times New Roman"/>
          <w:kern w:val="0"/>
          <w:lang w:eastAsia="en-GB"/>
          <w14:ligatures w14:val="none"/>
        </w:rPr>
        <w:t xml:space="preserve"> market and developing competencies for a chosen career path" (Cheng et al., 2022).</w:t>
      </w:r>
    </w:p>
    <w:p w14:paraId="5E2FD517" w14:textId="77777777" w:rsidR="00330C95" w:rsidRDefault="00000000" w:rsidP="008660FD">
      <w:pPr>
        <w:spacing w:after="0" w:line="360" w:lineRule="auto"/>
        <w:jc w:val="center"/>
        <w:rPr>
          <w:rFonts w:ascii="Times New Roman" w:eastAsia="Times New Roman" w:hAnsi="Times New Roman" w:cs="Times New Roman"/>
          <w:kern w:val="0"/>
          <w:lang w:eastAsia="en-GB"/>
          <w14:ligatures w14:val="none"/>
        </w:rPr>
      </w:pPr>
      <w:r>
        <w:rPr>
          <w:noProof/>
          <w:lang w:val="en-US"/>
        </w:rPr>
        <w:drawing>
          <wp:inline distT="0" distB="0" distL="0" distR="0" wp14:anchorId="22F5A312" wp14:editId="447DC002">
            <wp:extent cx="4816046" cy="3173238"/>
            <wp:effectExtent l="0" t="0" r="0" b="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5" cstate="print"/>
                    <a:srcRect/>
                    <a:stretch/>
                  </pic:blipFill>
                  <pic:spPr>
                    <a:xfrm>
                      <a:off x="0" y="0"/>
                      <a:ext cx="4816046" cy="3173238"/>
                    </a:xfrm>
                    <a:prstGeom prst="rect">
                      <a:avLst/>
                    </a:prstGeom>
                  </pic:spPr>
                </pic:pic>
              </a:graphicData>
            </a:graphic>
          </wp:inline>
        </w:drawing>
      </w:r>
    </w:p>
    <w:p w14:paraId="6C0EB86E"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2. Employability Skills Required for a Social Worker</w:t>
      </w:r>
    </w:p>
    <w:p w14:paraId="0BC65571"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Employability skills are a combination of knowledge, competencies, and personal qualities that enable people to function efficiently in their respective professional capacities (Clinkard, 2024). In the social work domain, these skills are highly complex since they involve dealing with vulnerable populations and complex social problems that require a multifaceted approach. Therefore, social workers have to exhibit these capabilities while dealing with people from diverse social, cultural, and emotional backgrounds.</w:t>
      </w:r>
    </w:p>
    <w:p w14:paraId="52C87EBB"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lastRenderedPageBreak/>
        <w:t>2.1 Communication and Interpersonal Skills</w:t>
      </w:r>
    </w:p>
    <w:p w14:paraId="70B2ABFD" w14:textId="5DAD6068"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Communication is a critical component of effective social work practice. Social workers have to communicate with people from diverse social, cultural, and emotional backgrounds while dealing with critical situations. According to Fennell (2021), effective communication is a critical component of effective leadership and teamwork in the healthcare domain. Cheng et al. (2022) have also </w:t>
      </w:r>
      <w:r w:rsidR="00807D16">
        <w:rPr>
          <w:rFonts w:ascii="Times New Roman" w:eastAsia="Times New Roman" w:hAnsi="Times New Roman" w:cs="Times New Roman"/>
          <w:kern w:val="0"/>
          <w:lang w:eastAsia="en-GB"/>
          <w14:ligatures w14:val="none"/>
        </w:rPr>
        <w:t>emphasised</w:t>
      </w:r>
      <w:r>
        <w:rPr>
          <w:rFonts w:ascii="Times New Roman" w:eastAsia="Times New Roman" w:hAnsi="Times New Roman" w:cs="Times New Roman"/>
          <w:kern w:val="0"/>
          <w:lang w:eastAsia="en-GB"/>
          <w14:ligatures w14:val="none"/>
        </w:rPr>
        <w:t xml:space="preserve"> the importance of flexibility in communication while dealing with diverse stakeholders in the social work domain. This implies that communication is a dynamic skill rather than a static skill.</w:t>
      </w:r>
    </w:p>
    <w:p w14:paraId="117D03DF"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2.2 Safeguarding and Ethical Practice</w:t>
      </w:r>
    </w:p>
    <w:p w14:paraId="040A3857"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Safeguarding is a critical component of social work practice since it demands a high level of adherence to legal standards and ethical principles while dealing with vulnerable populations. Social workers have to ensure the safety of people while dealing with critical social problems. According to Vincent and Fabri (2022), professional identity plays a critical role in ethical decision-making since it is a critical component of employability skills.</w:t>
      </w:r>
    </w:p>
    <w:p w14:paraId="1720092C"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2.3 Critical Thinking and Decision-Making</w:t>
      </w:r>
    </w:p>
    <w:p w14:paraId="430C8CDD"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Social workers often have to deal with complex and dynamic situations that require critical thinking and decision-making. According to Cloud (2020), critical thinking and decision-making involve the importance of governance and responsibility. On the other hand, Clinkard (2024) suggests that reflective thinking is essential in enhancing critical thinking and decision-making. Therefore, it is evident that critical thinking in social work involves the use of reasoning and reflective thinking in decision-making.</w:t>
      </w:r>
    </w:p>
    <w:p w14:paraId="5384D6BF"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2.4 Teamwork and Multi-Agency Collaboration</w:t>
      </w:r>
    </w:p>
    <w:p w14:paraId="2A2F3CC6" w14:textId="69CD5401"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Social work practice involves collaboration with other professionals from various fields. This collaboration involves working with people from various agencies such as healthcare services, educational institutions, and law enforcement agencies. According to Zegwaard and Pretti (2023), work-integrated learning is essential in developing teamwork skills. This suggests that social workers require practical experience </w:t>
      </w:r>
      <w:r w:rsidR="00807D16">
        <w:rPr>
          <w:rFonts w:ascii="Times New Roman" w:eastAsia="Times New Roman" w:hAnsi="Times New Roman" w:cs="Times New Roman"/>
          <w:kern w:val="0"/>
          <w:lang w:eastAsia="en-GB"/>
          <w14:ligatures w14:val="none"/>
        </w:rPr>
        <w:t>to</w:t>
      </w:r>
      <w:r>
        <w:rPr>
          <w:rFonts w:ascii="Times New Roman" w:eastAsia="Times New Roman" w:hAnsi="Times New Roman" w:cs="Times New Roman"/>
          <w:kern w:val="0"/>
          <w:lang w:eastAsia="en-GB"/>
          <w14:ligatures w14:val="none"/>
        </w:rPr>
        <w:t xml:space="preserve"> develop the ability to work with other professionals. In addition, collaboration with other agencies helps in enhancing the quality of service delivered to service users.</w:t>
      </w:r>
    </w:p>
    <w:p w14:paraId="713B342B"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2.5 Emotional Resilience and Adaptability</w:t>
      </w:r>
    </w:p>
    <w:p w14:paraId="074D5753"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Social work involves dealing with emotionally challenging situations. Therefore, it requires a high level of resilience and adaptability. According to Cheng et al. (2022), adaptability is an important skill in enhancing employability. This suggests that social workers require psychological resilience in order to effectively handle their tasks. This indicates that </w:t>
      </w:r>
      <w:r>
        <w:rPr>
          <w:rFonts w:ascii="Times New Roman" w:eastAsia="Times New Roman" w:hAnsi="Times New Roman" w:cs="Times New Roman"/>
          <w:kern w:val="0"/>
          <w:lang w:eastAsia="en-GB"/>
          <w14:ligatures w14:val="none"/>
        </w:rPr>
        <w:lastRenderedPageBreak/>
        <w:t>psychological resilience is as important as technical knowledge in enhancing the ability of social workers to effectively handle their tasks.</w:t>
      </w:r>
    </w:p>
    <w:p w14:paraId="3D1BCED0" w14:textId="0E8F952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Figure 2: Core Employability Skills Required in Social Work </w:t>
      </w:r>
      <w:r w:rsidR="00807D16">
        <w:rPr>
          <w:rFonts w:ascii="Times New Roman" w:eastAsia="Times New Roman" w:hAnsi="Times New Roman" w:cs="Times New Roman"/>
          <w:kern w:val="0"/>
          <w:lang w:eastAsia="en-GB"/>
          <w14:ligatures w14:val="none"/>
        </w:rPr>
        <w:t>Practice</w:t>
      </w:r>
    </w:p>
    <w:p w14:paraId="6ED9DC39"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noProof/>
          <w:lang w:val="en-US"/>
        </w:rPr>
        <w:drawing>
          <wp:anchor distT="0" distB="0" distL="0" distR="0" simplePos="0" relativeHeight="2" behindDoc="0" locked="0" layoutInCell="1" allowOverlap="1" wp14:anchorId="273BD7BB" wp14:editId="3DCFF3F4">
            <wp:simplePos x="0" y="0"/>
            <wp:positionH relativeFrom="page">
              <wp:posOffset>1457125</wp:posOffset>
            </wp:positionH>
            <wp:positionV relativeFrom="page">
              <wp:posOffset>1851724</wp:posOffset>
            </wp:positionV>
            <wp:extent cx="4513810" cy="3025832"/>
            <wp:effectExtent l="0" t="0" r="1270" b="0"/>
            <wp:wrapNone/>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6" cstate="print"/>
                    <a:srcRect l="-580" t="-2858" r="6316" b="-8656"/>
                    <a:stretch/>
                  </pic:blipFill>
                  <pic:spPr>
                    <a:xfrm>
                      <a:off x="0" y="0"/>
                      <a:ext cx="4513810" cy="3025832"/>
                    </a:xfrm>
                    <a:prstGeom prst="rect">
                      <a:avLst/>
                    </a:prstGeom>
                    <a:ln>
                      <a:noFill/>
                    </a:ln>
                  </pic:spPr>
                </pic:pic>
              </a:graphicData>
            </a:graphic>
            <wp14:sizeRelH relativeFrom="margin">
              <wp14:pctWidth>0</wp14:pctWidth>
            </wp14:sizeRelH>
            <wp14:sizeRelV relativeFrom="margin">
              <wp14:pctHeight>0</wp14:pctHeight>
            </wp14:sizeRelV>
          </wp:anchor>
        </w:drawing>
      </w:r>
    </w:p>
    <w:p w14:paraId="36E26EAB"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27BC689E"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02064EB8"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470689BD"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60DEE789"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62655560"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64891F36"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7B7F4490"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5C76425F"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3FDD0C4E"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1E2DE55A"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61C47F71"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4A59F269"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3. Self-Evaluation of Skills</w:t>
      </w:r>
    </w:p>
    <w:p w14:paraId="77B5703F"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Self-reflection is an essential process that helps one identify their strength and areas of improvement, especially in professional fields such as social work. Clinkard (2024) highlights the importance of reflective learning in developing one’s employability by allowing them to critically evaluate their skills and assume responsibility for their professional development. This process of reflection is vital in preparing one for the complexities of social work practice. </w:t>
      </w:r>
    </w:p>
    <w:p w14:paraId="06A01362"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3.1 Strengths</w:t>
      </w:r>
    </w:p>
    <w:p w14:paraId="461438B2" w14:textId="32A4229D"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 possess good communication and interpersonal skills, which allow me to interact effectively with different kinds of people. This is very important in social work, as it is essential for developing </w:t>
      </w:r>
      <w:r w:rsidR="00807D16">
        <w:rPr>
          <w:rFonts w:ascii="Times New Roman" w:eastAsia="Times New Roman" w:hAnsi="Times New Roman" w:cs="Times New Roman"/>
          <w:kern w:val="0"/>
          <w:lang w:eastAsia="en-GB"/>
          <w14:ligatures w14:val="none"/>
        </w:rPr>
        <w:t>trusting</w:t>
      </w:r>
      <w:r>
        <w:rPr>
          <w:rFonts w:ascii="Times New Roman" w:eastAsia="Times New Roman" w:hAnsi="Times New Roman" w:cs="Times New Roman"/>
          <w:kern w:val="0"/>
          <w:lang w:eastAsia="en-GB"/>
          <w14:ligatures w14:val="none"/>
        </w:rPr>
        <w:t xml:space="preserve"> relations with service users and meeting their needs through empathetic and </w:t>
      </w:r>
      <w:r w:rsidR="00807D16">
        <w:rPr>
          <w:rFonts w:ascii="Times New Roman" w:eastAsia="Times New Roman" w:hAnsi="Times New Roman" w:cs="Times New Roman"/>
          <w:kern w:val="0"/>
          <w:lang w:eastAsia="en-GB"/>
          <w14:ligatures w14:val="none"/>
        </w:rPr>
        <w:t>person-centred</w:t>
      </w:r>
      <w:r>
        <w:rPr>
          <w:rFonts w:ascii="Times New Roman" w:eastAsia="Times New Roman" w:hAnsi="Times New Roman" w:cs="Times New Roman"/>
          <w:kern w:val="0"/>
          <w:lang w:eastAsia="en-GB"/>
          <w14:ligatures w14:val="none"/>
        </w:rPr>
        <w:t xml:space="preserve"> ways. I am a good team player, which is very important in social work, as it is a multidisciplinary field requiring the contribution of many professionals. The Skills I possess are relevant to the factors of employability discussed in the literature by Fennell (2021) and Cheng et al. (2022).</w:t>
      </w:r>
    </w:p>
    <w:p w14:paraId="10CFD0F2"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3.2 Areas for Improvement</w:t>
      </w:r>
    </w:p>
    <w:p w14:paraId="0F8F83F2"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Despite these positives, I also identify areas for improvement. I have a lack of knowledge of safeguarding policies and legislation, which I need to improve upon through studying and training. I also have difficulty in decision-making in complex situations or when the situation </w:t>
      </w:r>
      <w:r>
        <w:rPr>
          <w:rFonts w:ascii="Times New Roman" w:eastAsia="Times New Roman" w:hAnsi="Times New Roman" w:cs="Times New Roman"/>
          <w:kern w:val="0"/>
          <w:lang w:eastAsia="en-GB"/>
          <w14:ligatures w14:val="none"/>
        </w:rPr>
        <w:lastRenderedPageBreak/>
        <w:t>is critical; therefore, I need training to improve in these areas. I also need to improve my emotional well-being and resilience to tackle the emotional demands of social work in a competent manner. Nahar et al. (2022) mention that "employability skills are developed over a period of time through education and practice</w:t>
      </w:r>
    </w:p>
    <w:p w14:paraId="0FC59EF4" w14:textId="77777777" w:rsidR="00330C95" w:rsidRDefault="00000000" w:rsidP="008660FD">
      <w:pPr>
        <w:spacing w:after="0" w:line="360" w:lineRule="auto"/>
        <w:jc w:val="center"/>
        <w:rPr>
          <w:rFonts w:ascii="Times New Roman" w:eastAsia="Times New Roman" w:hAnsi="Times New Roman" w:cs="Times New Roman"/>
          <w:kern w:val="0"/>
          <w:lang w:eastAsia="en-GB"/>
          <w14:ligatures w14:val="none"/>
        </w:rPr>
      </w:pPr>
      <w:r>
        <w:rPr>
          <w:noProof/>
          <w:lang w:val="en-US"/>
        </w:rPr>
        <w:drawing>
          <wp:inline distT="0" distB="0" distL="0" distR="0" wp14:anchorId="6DCEBB5E" wp14:editId="2EF6FC49">
            <wp:extent cx="4971011" cy="3391593"/>
            <wp:effectExtent l="0" t="0" r="1270" b="0"/>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7" cstate="print"/>
                    <a:srcRect/>
                    <a:stretch/>
                  </pic:blipFill>
                  <pic:spPr>
                    <a:xfrm>
                      <a:off x="0" y="0"/>
                      <a:ext cx="4971011" cy="3391593"/>
                    </a:xfrm>
                    <a:prstGeom prst="rect">
                      <a:avLst/>
                    </a:prstGeom>
                  </pic:spPr>
                </pic:pic>
              </a:graphicData>
            </a:graphic>
          </wp:inline>
        </w:drawing>
      </w:r>
    </w:p>
    <w:p w14:paraId="2B6FA76C"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4. Experience and Qualifications</w:t>
      </w:r>
    </w:p>
    <w:p w14:paraId="75769739" w14:textId="011108D0"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Work-integrated learning (WIL) is considered vital for employability and bridges knowledge from academic and professional domains (Zegwaard &amp; Pretti, 2023). In health and social care studies, I’ve learned the essential concepts of safeguarding, communication, and </w:t>
      </w:r>
      <w:r w:rsidR="00807D16">
        <w:rPr>
          <w:rFonts w:ascii="Times New Roman" w:eastAsia="Times New Roman" w:hAnsi="Times New Roman" w:cs="Times New Roman"/>
          <w:kern w:val="0"/>
          <w:lang w:eastAsia="en-GB"/>
          <w14:ligatures w14:val="none"/>
        </w:rPr>
        <w:t>person-centred</w:t>
      </w:r>
      <w:r>
        <w:rPr>
          <w:rFonts w:ascii="Times New Roman" w:eastAsia="Times New Roman" w:hAnsi="Times New Roman" w:cs="Times New Roman"/>
          <w:kern w:val="0"/>
          <w:lang w:eastAsia="en-GB"/>
          <w14:ligatures w14:val="none"/>
        </w:rPr>
        <w:t xml:space="preserve"> care. Group work has helped me develop teamwork and communication skills, which are vital for effective social work practice. There is a significant knowledge-experience divide. There is a difference between learning and the practical experience of social work practice. Nahar et al. (2022) highlight the significance of student engagement for enhancing employability. It is also clear that knowledge alone is not sufficient for making decisions in real-life situations and for emotional intelligence. There has been no direct experience of social care practice. It may impact readiness for WIL experiences. There is a </w:t>
      </w:r>
      <w:r w:rsidR="00807D16">
        <w:rPr>
          <w:rFonts w:ascii="Times New Roman" w:eastAsia="Times New Roman" w:hAnsi="Times New Roman" w:cs="Times New Roman"/>
          <w:kern w:val="0"/>
          <w:lang w:eastAsia="en-GB"/>
          <w14:ligatures w14:val="none"/>
        </w:rPr>
        <w:t>realisation</w:t>
      </w:r>
      <w:r>
        <w:rPr>
          <w:rFonts w:ascii="Times New Roman" w:eastAsia="Times New Roman" w:hAnsi="Times New Roman" w:cs="Times New Roman"/>
          <w:kern w:val="0"/>
          <w:lang w:eastAsia="en-GB"/>
          <w14:ligatures w14:val="none"/>
        </w:rPr>
        <w:t xml:space="preserve"> of the significance of WIL for enhancing employability. In the future, I plan to engage with WIL by volunteering at community service agencies. It is aligned with the idea that employability is a product of education, experience, and reflection (Zegwaard &amp; Pretti, 2023; Nahar et al., 2022).</w:t>
      </w:r>
    </w:p>
    <w:p w14:paraId="6194605D"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1441B6F7" w14:textId="77777777" w:rsidR="00330C95" w:rsidRDefault="00330C95">
      <w:pPr>
        <w:spacing w:after="0" w:line="360" w:lineRule="auto"/>
        <w:jc w:val="both"/>
        <w:rPr>
          <w:rFonts w:ascii="Times New Roman" w:eastAsia="Times New Roman" w:hAnsi="Times New Roman" w:cs="Times New Roman"/>
          <w:kern w:val="0"/>
          <w:lang w:eastAsia="en-GB"/>
          <w14:ligatures w14:val="none"/>
        </w:rPr>
      </w:pPr>
    </w:p>
    <w:p w14:paraId="3814D9C7" w14:textId="77777777" w:rsidR="00330C95" w:rsidRDefault="00000000" w:rsidP="008660FD">
      <w:pPr>
        <w:spacing w:after="0" w:line="360" w:lineRule="auto"/>
        <w:jc w:val="center"/>
        <w:rPr>
          <w:rFonts w:ascii="Times New Roman" w:eastAsia="Times New Roman" w:hAnsi="Times New Roman" w:cs="Times New Roman"/>
          <w:kern w:val="0"/>
          <w:lang w:eastAsia="en-GB"/>
          <w14:ligatures w14:val="none"/>
        </w:rPr>
      </w:pPr>
      <w:r>
        <w:rPr>
          <w:noProof/>
          <w:lang w:val="en-US"/>
        </w:rPr>
        <w:lastRenderedPageBreak/>
        <w:drawing>
          <wp:inline distT="0" distB="0" distL="0" distR="0" wp14:anchorId="54394F2A" wp14:editId="359EE583">
            <wp:extent cx="4796444" cy="3655246"/>
            <wp:effectExtent l="0" t="0" r="4445" b="2540"/>
            <wp:docPr id="102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a:blip r:embed="rId8" cstate="print"/>
                    <a:srcRect/>
                    <a:stretch/>
                  </pic:blipFill>
                  <pic:spPr>
                    <a:xfrm>
                      <a:off x="0" y="0"/>
                      <a:ext cx="4796444" cy="3655246"/>
                    </a:xfrm>
                    <a:prstGeom prst="rect">
                      <a:avLst/>
                    </a:prstGeom>
                  </pic:spPr>
                </pic:pic>
              </a:graphicData>
            </a:graphic>
          </wp:inline>
        </w:drawing>
      </w:r>
    </w:p>
    <w:p w14:paraId="12F37C0A"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5. Personal Branding and Professional Identity</w:t>
      </w:r>
    </w:p>
    <w:p w14:paraId="21EA4FD2"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Personal branding refers to the process by which people present their skills and experience to potential employers with the aim of increasing their employability. In the field of social work, personal branding assumes critical importance as it allows people to present themselves as both skilled and ethical professionals. </w:t>
      </w:r>
    </w:p>
    <w:p w14:paraId="3504EA01"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5.1 Personal Branding</w:t>
      </w:r>
    </w:p>
    <w:p w14:paraId="1892037B" w14:textId="64D6DEDF"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In order to build a strong personal brand, it is important to present oneself strategically. This involves developing a professional curriculum vitae, establishing a strong online presence through social media sites like LinkedIn, and effectively communicating one’s skills and experience to potential employers. In other words, it involves all the aspects through which one presents </w:t>
      </w:r>
      <w:r w:rsidR="00807D16">
        <w:rPr>
          <w:rFonts w:ascii="Times New Roman" w:eastAsia="Times New Roman" w:hAnsi="Times New Roman" w:cs="Times New Roman"/>
          <w:kern w:val="0"/>
          <w:lang w:eastAsia="en-GB"/>
          <w14:ligatures w14:val="none"/>
        </w:rPr>
        <w:t>oneself</w:t>
      </w:r>
      <w:r>
        <w:rPr>
          <w:rFonts w:ascii="Times New Roman" w:eastAsia="Times New Roman" w:hAnsi="Times New Roman" w:cs="Times New Roman"/>
          <w:kern w:val="0"/>
          <w:lang w:eastAsia="en-GB"/>
          <w14:ligatures w14:val="none"/>
        </w:rPr>
        <w:t xml:space="preserve"> in the </w:t>
      </w:r>
      <w:r w:rsidR="00807D16">
        <w:rPr>
          <w:rFonts w:ascii="Times New Roman" w:eastAsia="Times New Roman" w:hAnsi="Times New Roman" w:cs="Times New Roman"/>
          <w:kern w:val="0"/>
          <w:lang w:eastAsia="en-GB"/>
          <w14:ligatures w14:val="none"/>
        </w:rPr>
        <w:t>labour</w:t>
      </w:r>
      <w:r>
        <w:rPr>
          <w:rFonts w:ascii="Times New Roman" w:eastAsia="Times New Roman" w:hAnsi="Times New Roman" w:cs="Times New Roman"/>
          <w:kern w:val="0"/>
          <w:lang w:eastAsia="en-GB"/>
          <w14:ligatures w14:val="none"/>
        </w:rPr>
        <w:t xml:space="preserve"> market. According to Cheng et al. (2022), personal branding increases one’s chances of getting employed by increasing one’s presence and differentiation in the </w:t>
      </w:r>
      <w:r w:rsidR="00807D16">
        <w:rPr>
          <w:rFonts w:ascii="Times New Roman" w:eastAsia="Times New Roman" w:hAnsi="Times New Roman" w:cs="Times New Roman"/>
          <w:kern w:val="0"/>
          <w:lang w:eastAsia="en-GB"/>
          <w14:ligatures w14:val="none"/>
        </w:rPr>
        <w:t>labour</w:t>
      </w:r>
      <w:r>
        <w:rPr>
          <w:rFonts w:ascii="Times New Roman" w:eastAsia="Times New Roman" w:hAnsi="Times New Roman" w:cs="Times New Roman"/>
          <w:kern w:val="0"/>
          <w:lang w:eastAsia="en-GB"/>
          <w14:ligatures w14:val="none"/>
        </w:rPr>
        <w:t xml:space="preserve"> market. However, it can also be argued that personal branding involves more than just self-promotion. In the field of social work, it involves being able to present oneself as a skilled and ethical professional. This means that one must also present </w:t>
      </w:r>
      <w:r w:rsidR="00807D16">
        <w:rPr>
          <w:rFonts w:ascii="Times New Roman" w:eastAsia="Times New Roman" w:hAnsi="Times New Roman" w:cs="Times New Roman"/>
          <w:kern w:val="0"/>
          <w:lang w:eastAsia="en-GB"/>
          <w14:ligatures w14:val="none"/>
        </w:rPr>
        <w:t>oneself</w:t>
      </w:r>
      <w:r>
        <w:rPr>
          <w:rFonts w:ascii="Times New Roman" w:eastAsia="Times New Roman" w:hAnsi="Times New Roman" w:cs="Times New Roman"/>
          <w:kern w:val="0"/>
          <w:lang w:eastAsia="en-GB"/>
          <w14:ligatures w14:val="none"/>
        </w:rPr>
        <w:t xml:space="preserve"> as someone who is empathetic and committed to service users.</w:t>
      </w:r>
    </w:p>
    <w:p w14:paraId="349C345D"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5.2 Professional Identity</w:t>
      </w:r>
    </w:p>
    <w:p w14:paraId="6791B3D7" w14:textId="6F4DCCC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Professional identity entails the adoption of values, </w:t>
      </w:r>
      <w:r w:rsidR="00807D16">
        <w:rPr>
          <w:rFonts w:ascii="Times New Roman" w:eastAsia="Times New Roman" w:hAnsi="Times New Roman" w:cs="Times New Roman"/>
          <w:kern w:val="0"/>
          <w:lang w:eastAsia="en-GB"/>
          <w14:ligatures w14:val="none"/>
        </w:rPr>
        <w:t>behaviour</w:t>
      </w:r>
      <w:r>
        <w:rPr>
          <w:rFonts w:ascii="Times New Roman" w:eastAsia="Times New Roman" w:hAnsi="Times New Roman" w:cs="Times New Roman"/>
          <w:kern w:val="0"/>
          <w:lang w:eastAsia="en-GB"/>
          <w14:ligatures w14:val="none"/>
        </w:rPr>
        <w:t xml:space="preserve">, and norms associated with a specific profession. Vincent and Fabri (2022) highlight that professional identity is </w:t>
      </w:r>
      <w:r>
        <w:rPr>
          <w:rFonts w:ascii="Times New Roman" w:eastAsia="Times New Roman" w:hAnsi="Times New Roman" w:cs="Times New Roman"/>
          <w:kern w:val="0"/>
          <w:lang w:eastAsia="en-GB"/>
          <w14:ligatures w14:val="none"/>
        </w:rPr>
        <w:lastRenderedPageBreak/>
        <w:t>instrumental in influencing ethical decision-making and behavior. In social work practice, it entails core values like empathy, integrity, responsibility, and diversity. This approach recognizes that being employable encompasses values and attitudes. A strong professional identity allows social workers to practice ethically, make well-informed decisions, and adhere to professional norms in complex situations. In addition, the construction of professional identity is a continuous process that involves lifelong education, experience, and reflection. This approach recognizes that being employable is a continuous process that involves lifelong development. Therefore, it is essential to have a strong personal brand and professional identity to achieve long-term success in social work practice.</w:t>
      </w:r>
    </w:p>
    <w:p w14:paraId="5BAD3A10" w14:textId="77777777" w:rsidR="00330C95" w:rsidRDefault="00000000" w:rsidP="008660FD">
      <w:pPr>
        <w:spacing w:after="0" w:line="360" w:lineRule="auto"/>
        <w:jc w:val="center"/>
        <w:rPr>
          <w:rFonts w:ascii="Times New Roman" w:eastAsia="Times New Roman" w:hAnsi="Times New Roman" w:cs="Times New Roman"/>
          <w:kern w:val="0"/>
          <w:lang w:eastAsia="en-GB"/>
          <w14:ligatures w14:val="none"/>
        </w:rPr>
      </w:pPr>
      <w:r>
        <w:rPr>
          <w:noProof/>
          <w:lang w:val="en-US"/>
        </w:rPr>
        <w:drawing>
          <wp:inline distT="0" distB="0" distL="0" distR="0" wp14:anchorId="2BD7919B" wp14:editId="07F9B7EF">
            <wp:extent cx="4397433" cy="4455621"/>
            <wp:effectExtent l="0" t="0" r="3175" b="2540"/>
            <wp:docPr id="103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
                    <pic:cNvPicPr/>
                  </pic:nvPicPr>
                  <pic:blipFill>
                    <a:blip r:embed="rId9" cstate="print"/>
                    <a:srcRect/>
                    <a:stretch/>
                  </pic:blipFill>
                  <pic:spPr>
                    <a:xfrm>
                      <a:off x="0" y="0"/>
                      <a:ext cx="4397433" cy="4455621"/>
                    </a:xfrm>
                    <a:prstGeom prst="rect">
                      <a:avLst/>
                    </a:prstGeom>
                  </pic:spPr>
                </pic:pic>
              </a:graphicData>
            </a:graphic>
          </wp:inline>
        </w:drawing>
      </w:r>
    </w:p>
    <w:p w14:paraId="1F99546D"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6. Unique Selling Point (USP)</w:t>
      </w:r>
    </w:p>
    <w:p w14:paraId="5848A08E" w14:textId="39F2B92A"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My unique selling point is based on my interpersonal skills, as well as my personal values, which are all important for a social work career. I have empathy skills, which are useful for dealing with people from diverse backgrounds, and my awareness of cultures is significant for effective interaction with people from different backgrounds, promoting non-discriminatory practice. My desire to help others is one of the personal values that are significant for a social work career, as it is consistent with global healthcare values, promoting respect, dignity, and </w:t>
      </w:r>
      <w:r w:rsidR="00807D16">
        <w:rPr>
          <w:rFonts w:ascii="Times New Roman" w:eastAsia="Times New Roman" w:hAnsi="Times New Roman" w:cs="Times New Roman"/>
          <w:kern w:val="0"/>
          <w:lang w:eastAsia="en-GB"/>
          <w14:ligatures w14:val="none"/>
        </w:rPr>
        <w:lastRenderedPageBreak/>
        <w:t>person-centred</w:t>
      </w:r>
      <w:r>
        <w:rPr>
          <w:rFonts w:ascii="Times New Roman" w:eastAsia="Times New Roman" w:hAnsi="Times New Roman" w:cs="Times New Roman"/>
          <w:kern w:val="0"/>
          <w:lang w:eastAsia="en-GB"/>
          <w14:ligatures w14:val="none"/>
        </w:rPr>
        <w:t xml:space="preserve"> care, as stipulated by WHO (2020). In addition, skills are not sufficient; one must be able to communicate them effectively to employers through CVs, job interviews, and online platforms, hence the importance of strategically showcasing one’s skills.</w:t>
      </w:r>
    </w:p>
    <w:p w14:paraId="754441F2"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7. Action Plan and Timeline</w:t>
      </w:r>
    </w:p>
    <w:p w14:paraId="56A2E35D"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Creating a plan is important for achieving long-term goals, and employability is not an exception, even for a social work career.</w:t>
      </w:r>
    </w:p>
    <w:p w14:paraId="41F949C4" w14:textId="77777777" w:rsidR="00330C95" w:rsidRDefault="00000000">
      <w:pPr>
        <w:spacing w:after="0" w:line="360" w:lineRule="auto"/>
        <w:jc w:val="both"/>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Short term: Years 1-2  </w:t>
      </w:r>
    </w:p>
    <w:p w14:paraId="138FBC06" w14:textId="695FB9D0"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Study and increase knowledge of theoretical perspectives on social work, including safeguarding, ethics, and communication skills, and look for </w:t>
      </w:r>
      <w:r w:rsidR="00807D16">
        <w:rPr>
          <w:rFonts w:ascii="Times New Roman" w:eastAsia="Times New Roman" w:hAnsi="Times New Roman" w:cs="Times New Roman"/>
          <w:kern w:val="0"/>
          <w:lang w:eastAsia="en-GB"/>
          <w14:ligatures w14:val="none"/>
        </w:rPr>
        <w:t>volunteering opportunities</w:t>
      </w:r>
      <w:r>
        <w:rPr>
          <w:rFonts w:ascii="Times New Roman" w:eastAsia="Times New Roman" w:hAnsi="Times New Roman" w:cs="Times New Roman"/>
          <w:kern w:val="0"/>
          <w:lang w:eastAsia="en-GB"/>
          <w14:ligatures w14:val="none"/>
        </w:rPr>
        <w:t>.</w:t>
      </w:r>
    </w:p>
    <w:p w14:paraId="0C2CE12A" w14:textId="77777777" w:rsidR="00330C95" w:rsidRDefault="00000000">
      <w:pPr>
        <w:spacing w:after="0" w:line="360" w:lineRule="auto"/>
        <w:jc w:val="both"/>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Medium term: Year 3  </w:t>
      </w:r>
    </w:p>
    <w:p w14:paraId="30C6B777"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Gain experience through placements or part-time jobs, focusing on social care, and participate in training workshops.</w:t>
      </w:r>
    </w:p>
    <w:p w14:paraId="52791457" w14:textId="77777777" w:rsidR="00330C95" w:rsidRDefault="00000000">
      <w:pPr>
        <w:spacing w:after="0" w:line="360" w:lineRule="auto"/>
        <w:jc w:val="both"/>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Long term: Year 4  </w:t>
      </w:r>
    </w:p>
    <w:p w14:paraId="0A0E2BB8"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Apply for a social work job/internship, networking, improving CV, and portfolio.</w:t>
      </w:r>
    </w:p>
    <w:p w14:paraId="5CAFEAB7" w14:textId="77777777" w:rsidR="00330C95" w:rsidRDefault="00000000">
      <w:pPr>
        <w:spacing w:after="0" w:line="360" w:lineRule="auto"/>
        <w:jc w:val="both"/>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Year 5  </w:t>
      </w:r>
    </w:p>
    <w:p w14:paraId="63CC4326"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Secure a job as a social worker, focusing on professional development, including training.</w:t>
      </w:r>
    </w:p>
    <w:p w14:paraId="2E38EC63" w14:textId="5E45BCA2"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Pérez Zúñiga et al. (2025) </w:t>
      </w:r>
      <w:r w:rsidR="00807D16">
        <w:rPr>
          <w:rFonts w:ascii="Times New Roman" w:eastAsia="Times New Roman" w:hAnsi="Times New Roman" w:cs="Times New Roman"/>
          <w:kern w:val="0"/>
          <w:lang w:eastAsia="en-GB"/>
          <w14:ligatures w14:val="none"/>
        </w:rPr>
        <w:t>emphasise</w:t>
      </w:r>
      <w:r>
        <w:rPr>
          <w:rFonts w:ascii="Times New Roman" w:eastAsia="Times New Roman" w:hAnsi="Times New Roman" w:cs="Times New Roman"/>
          <w:kern w:val="0"/>
          <w:lang w:eastAsia="en-GB"/>
          <w14:ligatures w14:val="none"/>
        </w:rPr>
        <w:t xml:space="preserve"> competency-based education for employability.</w:t>
      </w:r>
    </w:p>
    <w:p w14:paraId="58D154CD" w14:textId="77777777" w:rsidR="00330C95" w:rsidRDefault="00330C95">
      <w:pPr>
        <w:spacing w:after="0" w:line="360" w:lineRule="auto"/>
        <w:jc w:val="both"/>
        <w:rPr>
          <w:noProof/>
          <w:lang w:val="en-US"/>
        </w:rPr>
      </w:pPr>
    </w:p>
    <w:p w14:paraId="71AF1735" w14:textId="77777777" w:rsidR="00330C95" w:rsidRDefault="00000000" w:rsidP="008660FD">
      <w:pPr>
        <w:spacing w:after="0" w:line="360" w:lineRule="auto"/>
        <w:jc w:val="center"/>
        <w:rPr>
          <w:rFonts w:ascii="Times New Roman" w:eastAsia="Times New Roman" w:hAnsi="Times New Roman" w:cs="Times New Roman"/>
          <w:kern w:val="0"/>
          <w:lang w:eastAsia="en-GB"/>
          <w14:ligatures w14:val="none"/>
        </w:rPr>
      </w:pPr>
      <w:r>
        <w:rPr>
          <w:noProof/>
          <w:lang w:val="en-US"/>
        </w:rPr>
        <w:drawing>
          <wp:inline distT="0" distB="0" distL="0" distR="0" wp14:anchorId="12121063" wp14:editId="5A0B6128">
            <wp:extent cx="4688378" cy="3232781"/>
            <wp:effectExtent l="0" t="0" r="0" b="6350"/>
            <wp:docPr id="1031"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1"/>
                    <pic:cNvPicPr/>
                  </pic:nvPicPr>
                  <pic:blipFill>
                    <a:blip r:embed="rId10" cstate="print"/>
                    <a:srcRect/>
                    <a:stretch/>
                  </pic:blipFill>
                  <pic:spPr>
                    <a:xfrm>
                      <a:off x="0" y="0"/>
                      <a:ext cx="4688378" cy="3232781"/>
                    </a:xfrm>
                    <a:prstGeom prst="rect">
                      <a:avLst/>
                    </a:prstGeom>
                  </pic:spPr>
                </pic:pic>
              </a:graphicData>
            </a:graphic>
          </wp:inline>
        </w:drawing>
      </w:r>
    </w:p>
    <w:p w14:paraId="651A4B2E" w14:textId="77777777" w:rsidR="00330C95" w:rsidRDefault="00000000" w:rsidP="008660FD">
      <w:pPr>
        <w:pStyle w:val="Heading2"/>
        <w:spacing w:before="0"/>
        <w:jc w:val="center"/>
        <w:rPr>
          <w:rFonts w:eastAsia="Times New Roman" w:cs="Times New Roman"/>
          <w:szCs w:val="24"/>
          <w:lang w:eastAsia="en-GB"/>
        </w:rPr>
      </w:pPr>
      <w:r>
        <w:rPr>
          <w:rFonts w:eastAsia="Times New Roman" w:cs="Times New Roman"/>
          <w:szCs w:val="24"/>
          <w:lang w:val="en-US" w:eastAsia="en-GB"/>
        </w:rPr>
        <w:lastRenderedPageBreak/>
        <w:t>Figure 6: Multi-agency Collaboration in Social Work Practice</w:t>
      </w:r>
    </w:p>
    <w:p w14:paraId="3CC31886"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8. Resources Required</w:t>
      </w:r>
    </w:p>
    <w:p w14:paraId="2390AD57"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resources needed include placements and opportunities for volunteering, training, and continuous professional development, focusing on safeguarding, communication skills, and decision-making skills. Mentorship from experienced professionals is also important for guidance, feedback, and support. According to Fennell (2021), leadership and development are important for progression.</w:t>
      </w:r>
    </w:p>
    <w:p w14:paraId="0056A239"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9. Communicating Skills to Employers</w:t>
      </w:r>
    </w:p>
    <w:p w14:paraId="169A205A"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It is important to communicate your skills to employers. You need to have a well-structured CV and cover letter that highlight your skills and experiences. You also need a strong online presence, such as LinkedIn. Interviews are also important for communicating your skills to employers. According to Cheng et al. (2022), employers value both your skills and experiences.</w:t>
      </w:r>
    </w:p>
    <w:p w14:paraId="31D7E6A7"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10. Job Advertisement Analysis</w:t>
      </w:r>
    </w:p>
    <w:p w14:paraId="42B8613A"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In the UK, job advertisements for a social work role require a degree in social work and registration with social work England. The competencies for a social work role include strong communication skills, knowledge of safeguarding, and case management skills. Qualifications and personal qualities are important for a social work role. The emphasis on safeguarding and ethics is important for social workers since they work with vulnerable people. According to the employability literature, employers value your competence and personal qualities (Cheng et al., 2022). You need a balanced approach for a social work role.</w:t>
      </w:r>
    </w:p>
    <w:p w14:paraId="3676C1D7"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11. Personal Reflection</w:t>
      </w:r>
    </w:p>
    <w:p w14:paraId="04F731CC" w14:textId="77777777" w:rsidR="00330C95" w:rsidRDefault="00000000">
      <w:pPr>
        <w:spacing w:after="0" w:line="360" w:lineRule="auto"/>
        <w:jc w:val="both"/>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Current Position</w:t>
      </w:r>
    </w:p>
    <w:p w14:paraId="1A3E06AD" w14:textId="77777777"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have good communication and empathy skills, which are important for effective communication and a genuine desire to help others. I lack experience and confidence in dealing with challenging situations, which are important for a social work role.</w:t>
      </w:r>
    </w:p>
    <w:p w14:paraId="5892CABA" w14:textId="77777777" w:rsidR="00330C95" w:rsidRDefault="00330C95">
      <w:pPr>
        <w:spacing w:after="0" w:line="360" w:lineRule="auto"/>
        <w:jc w:val="both"/>
        <w:rPr>
          <w:rFonts w:ascii="Times New Roman" w:eastAsia="Times New Roman" w:hAnsi="Times New Roman" w:cs="Times New Roman"/>
          <w:b/>
          <w:bCs/>
          <w:kern w:val="0"/>
          <w:lang w:eastAsia="en-GB"/>
          <w14:ligatures w14:val="none"/>
        </w:rPr>
      </w:pPr>
    </w:p>
    <w:p w14:paraId="12781E09" w14:textId="77777777" w:rsidR="00330C95" w:rsidRDefault="00000000">
      <w:pPr>
        <w:spacing w:after="0" w:line="360" w:lineRule="auto"/>
        <w:jc w:val="both"/>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Future Development</w:t>
      </w:r>
    </w:p>
    <w:p w14:paraId="2524F84B" w14:textId="4A46D023" w:rsidR="00330C95" w:rsidRDefault="00000000">
      <w:pPr>
        <w:spacing w:after="0" w:line="360" w:lineRule="auto"/>
        <w:jc w:val="both"/>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kern w:val="0"/>
          <w:lang w:eastAsia="en-GB"/>
          <w14:ligatures w14:val="none"/>
        </w:rPr>
        <w:t xml:space="preserve">I plan to gain practical experiences through volunteering or placements to gain practical knowledge and </w:t>
      </w:r>
      <w:r w:rsidR="00807D16">
        <w:rPr>
          <w:rFonts w:ascii="Times New Roman" w:eastAsia="Times New Roman" w:hAnsi="Times New Roman" w:cs="Times New Roman"/>
          <w:kern w:val="0"/>
          <w:lang w:eastAsia="en-GB"/>
          <w14:ligatures w14:val="none"/>
        </w:rPr>
        <w:t>experience</w:t>
      </w:r>
      <w:r>
        <w:rPr>
          <w:rFonts w:ascii="Times New Roman" w:eastAsia="Times New Roman" w:hAnsi="Times New Roman" w:cs="Times New Roman"/>
          <w:kern w:val="0"/>
          <w:lang w:eastAsia="en-GB"/>
          <w14:ligatures w14:val="none"/>
        </w:rPr>
        <w:t xml:space="preserve"> of dealing with challenging situations in the real world. I also plan to improve my emotional strength and knowledge of policies and safeguarding frameworks.</w:t>
      </w:r>
    </w:p>
    <w:p w14:paraId="1656117E" w14:textId="77777777" w:rsidR="00330C95" w:rsidRDefault="00000000">
      <w:pPr>
        <w:spacing w:after="0" w:line="360" w:lineRule="auto"/>
        <w:jc w:val="both"/>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Personal Brand Reflection</w:t>
      </w:r>
    </w:p>
    <w:p w14:paraId="7EE9C3BF" w14:textId="77777777" w:rsidR="00330C95" w:rsidRDefault="00000000">
      <w:pPr>
        <w:spacing w:after="0" w:line="360" w:lineRule="auto"/>
        <w:jc w:val="both"/>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kern w:val="0"/>
          <w:lang w:eastAsia="en-GB"/>
          <w14:ligatures w14:val="none"/>
        </w:rPr>
        <w:t xml:space="preserve">My personal brand is based on empathy, dependability, and a desire to help others. I need to improve my personal presentation by enhancing my CV and online presence and building </w:t>
      </w:r>
      <w:r>
        <w:rPr>
          <w:rFonts w:ascii="Times New Roman" w:eastAsia="Times New Roman" w:hAnsi="Times New Roman" w:cs="Times New Roman"/>
          <w:kern w:val="0"/>
          <w:lang w:eastAsia="en-GB"/>
          <w14:ligatures w14:val="none"/>
        </w:rPr>
        <w:lastRenderedPageBreak/>
        <w:t>confidence for interviews. According to Clinkard (2024), reflective learning is important for personal evaluation for employability.</w:t>
      </w:r>
    </w:p>
    <w:p w14:paraId="69076055" w14:textId="77777777" w:rsidR="00330C95" w:rsidRDefault="00000000">
      <w:pPr>
        <w:pStyle w:val="Heading2"/>
        <w:spacing w:before="0"/>
        <w:rPr>
          <w:rFonts w:eastAsia="Times New Roman" w:cs="Times New Roman"/>
          <w:szCs w:val="24"/>
          <w:lang w:eastAsia="en-GB"/>
        </w:rPr>
      </w:pPr>
      <w:r>
        <w:rPr>
          <w:rFonts w:eastAsia="Times New Roman" w:cs="Times New Roman"/>
          <w:szCs w:val="24"/>
          <w:lang w:eastAsia="en-GB"/>
        </w:rPr>
        <w:t>12. Conclusion</w:t>
      </w:r>
    </w:p>
    <w:p w14:paraId="5B079716" w14:textId="1177184C" w:rsidR="00330C95" w:rsidRDefault="00000000">
      <w:pPr>
        <w:spacing w:after="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 report focuses on the employability skills for social work and evaluates my competencies. Employability skills are a combination of knowledge, transferable skills, and professional values that are essential for practice. Self-reflection of one’s strengths and areas for improvement </w:t>
      </w:r>
      <w:r w:rsidR="00693689">
        <w:rPr>
          <w:rFonts w:ascii="Times New Roman" w:eastAsia="Times New Roman" w:hAnsi="Times New Roman" w:cs="Times New Roman"/>
          <w:kern w:val="0"/>
          <w:lang w:eastAsia="en-GB"/>
          <w14:ligatures w14:val="none"/>
        </w:rPr>
        <w:t>emphasises</w:t>
      </w:r>
      <w:r>
        <w:rPr>
          <w:rFonts w:ascii="Times New Roman" w:eastAsia="Times New Roman" w:hAnsi="Times New Roman" w:cs="Times New Roman"/>
          <w:kern w:val="0"/>
          <w:lang w:eastAsia="en-GB"/>
          <w14:ligatures w14:val="none"/>
        </w:rPr>
        <w:t xml:space="preserve"> the importance of a well-structured action plan. Personal branding and professional identity are essential for building employability skills to help me succeed in a competitive market and become a competent and ethical social worker.</w:t>
      </w:r>
    </w:p>
    <w:p w14:paraId="4D3C0AA5" w14:textId="77777777" w:rsidR="00330C95" w:rsidRDefault="00000000">
      <w:pPr>
        <w:spacing w:line="360" w:lineRule="auto"/>
        <w:rPr>
          <w:rFonts w:ascii="Times New Roman" w:hAnsi="Times New Roman" w:cs="Times New Roman"/>
        </w:rPr>
      </w:pPr>
      <w:r>
        <w:rPr>
          <w:rFonts w:ascii="Times New Roman" w:hAnsi="Times New Roman" w:cs="Times New Roman"/>
        </w:rPr>
        <w:br w:type="page"/>
      </w:r>
    </w:p>
    <w:p w14:paraId="13714C1D" w14:textId="77777777" w:rsidR="00330C95" w:rsidRDefault="00000000">
      <w:pPr>
        <w:pStyle w:val="Heading2"/>
      </w:pPr>
      <w:r>
        <w:lastRenderedPageBreak/>
        <w:t>Reference</w:t>
      </w:r>
    </w:p>
    <w:p w14:paraId="7C81A4C9" w14:textId="77777777" w:rsidR="00330C95" w:rsidRDefault="00000000">
      <w:pPr>
        <w:spacing w:after="0" w:line="360" w:lineRule="auto"/>
        <w:jc w:val="both"/>
        <w:rPr>
          <w:rFonts w:ascii="Times New Roman" w:hAnsi="Times New Roman" w:cs="Times New Roman"/>
        </w:rPr>
      </w:pPr>
      <w:r>
        <w:rPr>
          <w:rFonts w:ascii="Times New Roman" w:hAnsi="Times New Roman" w:cs="Times New Roman"/>
        </w:rPr>
        <w:t xml:space="preserve">Cheng, M., Adekola, O., Albia, J. and Cai, S., 2022. Employability in higher education: a </w:t>
      </w:r>
    </w:p>
    <w:p w14:paraId="149BB253" w14:textId="77777777" w:rsidR="00330C95" w:rsidRDefault="00000000">
      <w:pPr>
        <w:spacing w:after="0" w:line="360" w:lineRule="auto"/>
        <w:ind w:left="720"/>
        <w:jc w:val="both"/>
        <w:rPr>
          <w:rFonts w:ascii="Times New Roman" w:hAnsi="Times New Roman" w:cs="Times New Roman"/>
        </w:rPr>
      </w:pPr>
      <w:r>
        <w:rPr>
          <w:rFonts w:ascii="Times New Roman" w:hAnsi="Times New Roman" w:cs="Times New Roman"/>
        </w:rPr>
        <w:t>review of key stakeholders' perspectives. Higher Education Evaluation and Development, 16(1), pp.16-31.</w:t>
      </w:r>
    </w:p>
    <w:p w14:paraId="3414E502" w14:textId="77777777" w:rsidR="00330C95" w:rsidRDefault="00000000">
      <w:pPr>
        <w:spacing w:after="0" w:line="360" w:lineRule="auto"/>
        <w:jc w:val="both"/>
        <w:rPr>
          <w:rFonts w:ascii="Times New Roman" w:hAnsi="Times New Roman" w:cs="Times New Roman"/>
        </w:rPr>
      </w:pPr>
      <w:r>
        <w:rPr>
          <w:rFonts w:ascii="Times New Roman" w:hAnsi="Times New Roman" w:cs="Times New Roman"/>
        </w:rPr>
        <w:t xml:space="preserve">Clinkard, K., 2024. A systematic review of employability and enterprise education learning </w:t>
      </w:r>
    </w:p>
    <w:p w14:paraId="20A242D0" w14:textId="12F2BA4F" w:rsidR="00330C95" w:rsidRDefault="00693689">
      <w:pPr>
        <w:spacing w:after="0" w:line="360" w:lineRule="auto"/>
        <w:ind w:left="720"/>
        <w:jc w:val="both"/>
        <w:rPr>
          <w:rFonts w:ascii="Times New Roman" w:hAnsi="Times New Roman" w:cs="Times New Roman"/>
        </w:rPr>
      </w:pPr>
      <w:r>
        <w:rPr>
          <w:rFonts w:ascii="Times New Roman" w:hAnsi="Times New Roman" w:cs="Times New Roman"/>
        </w:rPr>
        <w:t>Tools</w:t>
      </w:r>
      <w:r w:rsidR="00000000">
        <w:rPr>
          <w:rFonts w:ascii="Times New Roman" w:hAnsi="Times New Roman" w:cs="Times New Roman"/>
        </w:rPr>
        <w:t>: the argument for AGILE reflection. Business Education in the 21st Century, pp.28-54.</w:t>
      </w:r>
    </w:p>
    <w:p w14:paraId="0BE9EB2D" w14:textId="77777777" w:rsidR="00330C95" w:rsidRDefault="00000000">
      <w:pPr>
        <w:spacing w:after="0" w:line="360" w:lineRule="auto"/>
        <w:jc w:val="both"/>
        <w:rPr>
          <w:rFonts w:ascii="Times New Roman" w:hAnsi="Times New Roman" w:cs="Times New Roman"/>
        </w:rPr>
      </w:pPr>
      <w:r>
        <w:rPr>
          <w:rFonts w:ascii="Times New Roman" w:hAnsi="Times New Roman" w:cs="Times New Roman"/>
        </w:rPr>
        <w:t xml:space="preserve">Cloud, R.C., 2020. Governance in community colleges. In The International Encyclopedia of </w:t>
      </w:r>
    </w:p>
    <w:p w14:paraId="27EFC702" w14:textId="77777777" w:rsidR="00330C95" w:rsidRPr="00807D16" w:rsidRDefault="00000000">
      <w:pPr>
        <w:spacing w:after="0" w:line="360" w:lineRule="auto"/>
        <w:ind w:left="720"/>
        <w:jc w:val="both"/>
        <w:rPr>
          <w:rFonts w:ascii="Times New Roman" w:hAnsi="Times New Roman" w:cs="Times New Roman"/>
          <w:lang w:val="nl-NL"/>
        </w:rPr>
      </w:pPr>
      <w:r>
        <w:rPr>
          <w:rFonts w:ascii="Times New Roman" w:hAnsi="Times New Roman" w:cs="Times New Roman"/>
        </w:rPr>
        <w:t xml:space="preserve">Higher Education Systems and Institutions (pp. 578-584). </w:t>
      </w:r>
      <w:r w:rsidRPr="00807D16">
        <w:rPr>
          <w:rFonts w:ascii="Times New Roman" w:hAnsi="Times New Roman" w:cs="Times New Roman"/>
          <w:lang w:val="nl-NL"/>
        </w:rPr>
        <w:t>Dordrecht: Springer Netherlands.</w:t>
      </w:r>
    </w:p>
    <w:p w14:paraId="34B27144" w14:textId="19E60C51" w:rsidR="00330C95" w:rsidRDefault="00000000">
      <w:pPr>
        <w:spacing w:after="0" w:line="360" w:lineRule="auto"/>
        <w:jc w:val="both"/>
        <w:rPr>
          <w:rFonts w:ascii="Times New Roman" w:hAnsi="Times New Roman" w:cs="Times New Roman"/>
        </w:rPr>
      </w:pPr>
      <w:r w:rsidRPr="00807D16">
        <w:rPr>
          <w:rFonts w:ascii="Times New Roman" w:hAnsi="Times New Roman" w:cs="Times New Roman"/>
          <w:lang w:val="nl-NL"/>
        </w:rPr>
        <w:t xml:space="preserve">Fennell, K., 2021. </w:t>
      </w:r>
      <w:r>
        <w:rPr>
          <w:rFonts w:ascii="Times New Roman" w:hAnsi="Times New Roman" w:cs="Times New Roman"/>
        </w:rPr>
        <w:t xml:space="preserve">Conceptualisations of leadership and relevance to health and human </w:t>
      </w:r>
      <w:r w:rsidR="00693689">
        <w:rPr>
          <w:rFonts w:ascii="Times New Roman" w:hAnsi="Times New Roman" w:cs="Times New Roman"/>
        </w:rPr>
        <w:t>services</w:t>
      </w:r>
      <w:r>
        <w:rPr>
          <w:rFonts w:ascii="Times New Roman" w:hAnsi="Times New Roman" w:cs="Times New Roman"/>
        </w:rPr>
        <w:t xml:space="preserve"> </w:t>
      </w:r>
    </w:p>
    <w:p w14:paraId="3CB019DE" w14:textId="10D94764" w:rsidR="00330C95" w:rsidRDefault="00693689">
      <w:pPr>
        <w:spacing w:after="0" w:line="360" w:lineRule="auto"/>
        <w:ind w:left="720"/>
        <w:jc w:val="both"/>
        <w:rPr>
          <w:rFonts w:ascii="Times New Roman" w:hAnsi="Times New Roman" w:cs="Times New Roman"/>
        </w:rPr>
      </w:pPr>
      <w:r>
        <w:rPr>
          <w:rFonts w:ascii="Times New Roman" w:hAnsi="Times New Roman" w:cs="Times New Roman"/>
        </w:rPr>
        <w:t>Workforce</w:t>
      </w:r>
      <w:r w:rsidR="00000000">
        <w:rPr>
          <w:rFonts w:ascii="Times New Roman" w:hAnsi="Times New Roman" w:cs="Times New Roman"/>
        </w:rPr>
        <w:t xml:space="preserve"> development: A scoping review. Journal of Multidisciplinary Healthcare, pp.3035-3051.</w:t>
      </w:r>
    </w:p>
    <w:p w14:paraId="4ADD1D29" w14:textId="748ABAAA" w:rsidR="00330C95" w:rsidRDefault="00000000">
      <w:pPr>
        <w:spacing w:after="0" w:line="360" w:lineRule="auto"/>
        <w:jc w:val="both"/>
        <w:rPr>
          <w:rFonts w:ascii="Times New Roman" w:hAnsi="Times New Roman" w:cs="Times New Roman"/>
        </w:rPr>
      </w:pPr>
      <w:r>
        <w:rPr>
          <w:rFonts w:ascii="Times New Roman" w:hAnsi="Times New Roman" w:cs="Times New Roman"/>
        </w:rPr>
        <w:t xml:space="preserve">Huston, C., 2021. Professional issues in nursing: Challenges and </w:t>
      </w:r>
      <w:r w:rsidR="00693689">
        <w:rPr>
          <w:rFonts w:ascii="Times New Roman" w:hAnsi="Times New Roman" w:cs="Times New Roman"/>
        </w:rPr>
        <w:t>opportunities. Huston</w:t>
      </w:r>
      <w:r>
        <w:rPr>
          <w:rFonts w:ascii="Times New Roman" w:hAnsi="Times New Roman" w:cs="Times New Roman"/>
        </w:rPr>
        <w:t xml:space="preserve">, C., </w:t>
      </w:r>
    </w:p>
    <w:p w14:paraId="1FB47AA0" w14:textId="77777777" w:rsidR="00330C95" w:rsidRDefault="00000000">
      <w:pPr>
        <w:spacing w:after="0" w:line="360" w:lineRule="auto"/>
        <w:ind w:left="720"/>
        <w:jc w:val="both"/>
        <w:rPr>
          <w:rFonts w:ascii="Times New Roman" w:hAnsi="Times New Roman" w:cs="Times New Roman"/>
        </w:rPr>
      </w:pPr>
      <w:r>
        <w:rPr>
          <w:rFonts w:ascii="Times New Roman" w:hAnsi="Times New Roman" w:cs="Times New Roman"/>
        </w:rPr>
        <w:t>2021. Professional issues in nursing: Challenges and opportunities.</w:t>
      </w:r>
    </w:p>
    <w:p w14:paraId="69D0FF99" w14:textId="77777777" w:rsidR="00330C95" w:rsidRDefault="00000000">
      <w:pPr>
        <w:spacing w:after="0" w:line="360" w:lineRule="auto"/>
        <w:jc w:val="both"/>
        <w:rPr>
          <w:rFonts w:ascii="Times New Roman" w:hAnsi="Times New Roman" w:cs="Times New Roman"/>
        </w:rPr>
      </w:pPr>
      <w:r>
        <w:rPr>
          <w:rFonts w:ascii="Times New Roman" w:hAnsi="Times New Roman" w:cs="Times New Roman"/>
        </w:rPr>
        <w:t xml:space="preserve">Lebanov, L., 2021. Application of multivariate statistical analysis and machine learning on the </w:t>
      </w:r>
    </w:p>
    <w:p w14:paraId="11EA889F" w14:textId="77777777" w:rsidR="00330C95" w:rsidRDefault="00000000">
      <w:pPr>
        <w:spacing w:after="0" w:line="360" w:lineRule="auto"/>
        <w:ind w:left="720"/>
        <w:jc w:val="both"/>
        <w:rPr>
          <w:rFonts w:ascii="Times New Roman" w:hAnsi="Times New Roman" w:cs="Times New Roman"/>
        </w:rPr>
      </w:pPr>
      <w:r>
        <w:rPr>
          <w:rFonts w:ascii="Times New Roman" w:hAnsi="Times New Roman" w:cs="Times New Roman"/>
        </w:rPr>
        <w:t>signals recorded in analytical chemistry in the metabolomic studies of natural products (Doctoral dissertation, University of Tasmania).</w:t>
      </w:r>
    </w:p>
    <w:p w14:paraId="6D87EEC9" w14:textId="77777777" w:rsidR="00330C95" w:rsidRDefault="00000000">
      <w:pPr>
        <w:spacing w:after="0" w:line="360" w:lineRule="auto"/>
        <w:jc w:val="both"/>
        <w:rPr>
          <w:rFonts w:ascii="Times New Roman" w:hAnsi="Times New Roman" w:cs="Times New Roman"/>
        </w:rPr>
      </w:pPr>
      <w:r>
        <w:rPr>
          <w:rFonts w:ascii="Times New Roman" w:hAnsi="Times New Roman" w:cs="Times New Roman"/>
        </w:rPr>
        <w:t xml:space="preserve">Nahar, N., Siddiqui, N., Hossain, M.S., Tazmeen, A. and Ali, K.S., 2022, March. Path to </w:t>
      </w:r>
    </w:p>
    <w:p w14:paraId="12E0899C" w14:textId="615F8287" w:rsidR="00330C95" w:rsidRDefault="00693689">
      <w:pPr>
        <w:spacing w:after="0" w:line="360" w:lineRule="auto"/>
        <w:ind w:left="720"/>
        <w:jc w:val="both"/>
        <w:rPr>
          <w:rFonts w:ascii="Times New Roman" w:hAnsi="Times New Roman" w:cs="Times New Roman"/>
        </w:rPr>
      </w:pPr>
      <w:r>
        <w:rPr>
          <w:rFonts w:ascii="Times New Roman" w:hAnsi="Times New Roman" w:cs="Times New Roman"/>
        </w:rPr>
        <w:t>Outcome-based</w:t>
      </w:r>
      <w:r w:rsidR="00000000">
        <w:rPr>
          <w:rFonts w:ascii="Times New Roman" w:hAnsi="Times New Roman" w:cs="Times New Roman"/>
        </w:rPr>
        <w:t xml:space="preserve"> higher education in Bangladesh: an analysis of student engagement and socio-demographic factors. In 2022 IEEE Global Engineering Education Conference (EDUCON) (pp. 344-350). IEEE.</w:t>
      </w:r>
    </w:p>
    <w:p w14:paraId="4B0BF16D" w14:textId="77777777" w:rsidR="00330C95" w:rsidRDefault="00000000">
      <w:pPr>
        <w:spacing w:after="0" w:line="360" w:lineRule="auto"/>
        <w:jc w:val="both"/>
        <w:rPr>
          <w:rFonts w:ascii="Times New Roman" w:hAnsi="Times New Roman" w:cs="Times New Roman"/>
        </w:rPr>
      </w:pPr>
      <w:r>
        <w:rPr>
          <w:rFonts w:ascii="Times New Roman" w:hAnsi="Times New Roman" w:cs="Times New Roman"/>
        </w:rPr>
        <w:t xml:space="preserve">Nico, M. and Pollock, G. eds., 2022. The Routledge handbook of contemporary inequalities </w:t>
      </w:r>
    </w:p>
    <w:p w14:paraId="2439AE94" w14:textId="77777777" w:rsidR="00330C95" w:rsidRDefault="00000000">
      <w:pPr>
        <w:spacing w:after="0" w:line="360" w:lineRule="auto"/>
        <w:ind w:left="720"/>
        <w:jc w:val="both"/>
        <w:rPr>
          <w:rFonts w:ascii="Times New Roman" w:hAnsi="Times New Roman" w:cs="Times New Roman"/>
        </w:rPr>
      </w:pPr>
      <w:r>
        <w:rPr>
          <w:rFonts w:ascii="Times New Roman" w:hAnsi="Times New Roman" w:cs="Times New Roman"/>
        </w:rPr>
        <w:t>and the life course. Abingdon and New York: Routledge.</w:t>
      </w:r>
    </w:p>
    <w:p w14:paraId="53EB1E49" w14:textId="48783C62" w:rsidR="00330C95" w:rsidRDefault="00000000">
      <w:pPr>
        <w:spacing w:after="0" w:line="360" w:lineRule="auto"/>
        <w:jc w:val="both"/>
        <w:rPr>
          <w:rFonts w:ascii="Times New Roman" w:hAnsi="Times New Roman" w:cs="Times New Roman"/>
        </w:rPr>
      </w:pPr>
      <w:r>
        <w:rPr>
          <w:rFonts w:ascii="Times New Roman" w:hAnsi="Times New Roman" w:cs="Times New Roman"/>
        </w:rPr>
        <w:t xml:space="preserve">Pérez Zúñiga, R., Martínez García, M. </w:t>
      </w:r>
      <w:r w:rsidR="00693689">
        <w:rPr>
          <w:rFonts w:ascii="Times New Roman" w:hAnsi="Times New Roman" w:cs="Times New Roman"/>
        </w:rPr>
        <w:t>y</w:t>
      </w:r>
      <w:r>
        <w:rPr>
          <w:rFonts w:ascii="Times New Roman" w:hAnsi="Times New Roman" w:cs="Times New Roman"/>
        </w:rPr>
        <w:t xml:space="preserve"> Oliva Ibarra, F.E., 2025, </w:t>
      </w:r>
      <w:r w:rsidR="00693689">
        <w:rPr>
          <w:rFonts w:ascii="Times New Roman" w:hAnsi="Times New Roman" w:cs="Times New Roman"/>
        </w:rPr>
        <w:t>Decembre</w:t>
      </w:r>
      <w:r>
        <w:rPr>
          <w:rFonts w:ascii="Times New Roman" w:hAnsi="Times New Roman" w:cs="Times New Roman"/>
        </w:rPr>
        <w:t xml:space="preserve">. Employability </w:t>
      </w:r>
    </w:p>
    <w:p w14:paraId="7DF5AB09" w14:textId="77777777" w:rsidR="00330C95" w:rsidRDefault="00000000">
      <w:pPr>
        <w:spacing w:after="0" w:line="360" w:lineRule="auto"/>
        <w:ind w:left="720"/>
        <w:jc w:val="both"/>
        <w:rPr>
          <w:rFonts w:ascii="Times New Roman" w:hAnsi="Times New Roman" w:cs="Times New Roman"/>
        </w:rPr>
      </w:pPr>
      <w:r>
        <w:rPr>
          <w:rFonts w:ascii="Times New Roman" w:hAnsi="Times New Roman" w:cs="Times New Roman"/>
        </w:rPr>
        <w:t>and its relationship with the competency-based approach, teaching methodologies, and assessment in higher education: a systematic review. In Frontiers in Education (Vol. 10, p. 1703144). Frontiers Media SA.</w:t>
      </w:r>
    </w:p>
    <w:p w14:paraId="54AF7446" w14:textId="4B95B231" w:rsidR="00330C95" w:rsidRDefault="00000000">
      <w:pPr>
        <w:spacing w:after="0" w:line="360" w:lineRule="auto"/>
        <w:jc w:val="both"/>
        <w:rPr>
          <w:rFonts w:ascii="Times New Roman" w:hAnsi="Times New Roman" w:cs="Times New Roman"/>
        </w:rPr>
      </w:pPr>
      <w:r>
        <w:rPr>
          <w:rFonts w:ascii="Times New Roman" w:hAnsi="Times New Roman" w:cs="Times New Roman"/>
        </w:rPr>
        <w:t xml:space="preserve">Vincent, J. and Fabri, M., 2022. The ecosystem of competitive employment for </w:t>
      </w:r>
      <w:r w:rsidR="00693689">
        <w:rPr>
          <w:rFonts w:ascii="Times New Roman" w:hAnsi="Times New Roman" w:cs="Times New Roman"/>
        </w:rPr>
        <w:t xml:space="preserve">the </w:t>
      </w:r>
      <w:r>
        <w:rPr>
          <w:rFonts w:ascii="Times New Roman" w:hAnsi="Times New Roman" w:cs="Times New Roman"/>
        </w:rPr>
        <w:t xml:space="preserve">university </w:t>
      </w:r>
    </w:p>
    <w:p w14:paraId="6A0C92F2" w14:textId="77777777" w:rsidR="00330C95" w:rsidRDefault="00000000">
      <w:pPr>
        <w:spacing w:after="0" w:line="360" w:lineRule="auto"/>
        <w:ind w:left="720"/>
        <w:jc w:val="both"/>
        <w:rPr>
          <w:rFonts w:ascii="Times New Roman" w:hAnsi="Times New Roman" w:cs="Times New Roman"/>
        </w:rPr>
      </w:pPr>
      <w:r>
        <w:rPr>
          <w:rFonts w:ascii="Times New Roman" w:hAnsi="Times New Roman" w:cs="Times New Roman"/>
        </w:rPr>
        <w:t>graduates with autism. International Journal of Disability, Development and Education, 69(5), pp.1823-1839.</w:t>
      </w:r>
    </w:p>
    <w:p w14:paraId="7F6E2EDE" w14:textId="78C31D40" w:rsidR="00330C95" w:rsidRDefault="00000000">
      <w:pPr>
        <w:spacing w:after="0" w:line="360" w:lineRule="auto"/>
        <w:jc w:val="both"/>
        <w:rPr>
          <w:rFonts w:ascii="Times New Roman" w:hAnsi="Times New Roman" w:cs="Times New Roman"/>
        </w:rPr>
      </w:pPr>
      <w:r>
        <w:rPr>
          <w:rFonts w:ascii="Times New Roman" w:hAnsi="Times New Roman" w:cs="Times New Roman"/>
        </w:rPr>
        <w:t xml:space="preserve">World Health </w:t>
      </w:r>
      <w:r w:rsidR="00693689">
        <w:rPr>
          <w:rFonts w:ascii="Times New Roman" w:hAnsi="Times New Roman" w:cs="Times New Roman"/>
        </w:rPr>
        <w:t>Organisation</w:t>
      </w:r>
      <w:r>
        <w:rPr>
          <w:rFonts w:ascii="Times New Roman" w:hAnsi="Times New Roman" w:cs="Times New Roman"/>
        </w:rPr>
        <w:t xml:space="preserve">, 2020. Protecting, promoting and supporting breastfeeding in </w:t>
      </w:r>
    </w:p>
    <w:p w14:paraId="4108FC80" w14:textId="7FF82C63" w:rsidR="00330C95" w:rsidRDefault="00000000">
      <w:pPr>
        <w:spacing w:after="0" w:line="360" w:lineRule="auto"/>
        <w:ind w:left="720"/>
        <w:jc w:val="both"/>
        <w:rPr>
          <w:rFonts w:ascii="Times New Roman" w:hAnsi="Times New Roman" w:cs="Times New Roman"/>
        </w:rPr>
      </w:pPr>
      <w:r>
        <w:rPr>
          <w:rFonts w:ascii="Times New Roman" w:hAnsi="Times New Roman" w:cs="Times New Roman"/>
        </w:rPr>
        <w:lastRenderedPageBreak/>
        <w:t xml:space="preserve">facilities providing maternity and newborn services: the revised Baby-friendly Hospital Initiative 2018 implementation guidance. Frequently asked questions. World Health </w:t>
      </w:r>
      <w:r w:rsidR="00693689">
        <w:rPr>
          <w:rFonts w:ascii="Times New Roman" w:hAnsi="Times New Roman" w:cs="Times New Roman"/>
        </w:rPr>
        <w:t>Organisation</w:t>
      </w:r>
      <w:r>
        <w:rPr>
          <w:rFonts w:ascii="Times New Roman" w:hAnsi="Times New Roman" w:cs="Times New Roman"/>
        </w:rPr>
        <w:t>.</w:t>
      </w:r>
    </w:p>
    <w:p w14:paraId="10CB8C1A" w14:textId="77777777" w:rsidR="00330C95" w:rsidRDefault="00000000">
      <w:pPr>
        <w:spacing w:after="0" w:line="360" w:lineRule="auto"/>
        <w:jc w:val="both"/>
        <w:rPr>
          <w:rFonts w:ascii="Times New Roman" w:hAnsi="Times New Roman" w:cs="Times New Roman"/>
        </w:rPr>
      </w:pPr>
      <w:r>
        <w:rPr>
          <w:rFonts w:ascii="Times New Roman" w:hAnsi="Times New Roman" w:cs="Times New Roman"/>
        </w:rPr>
        <w:t>Zegwaard, K. and Pretti, T.J. eds., 2023. The Routledge international handbook of work-</w:t>
      </w:r>
    </w:p>
    <w:p w14:paraId="6BCA6D80" w14:textId="13E08E4F" w:rsidR="00330C95" w:rsidRDefault="00693689">
      <w:pPr>
        <w:spacing w:after="0" w:line="360" w:lineRule="auto"/>
        <w:ind w:firstLine="720"/>
        <w:jc w:val="both"/>
        <w:rPr>
          <w:rFonts w:ascii="Times New Roman" w:hAnsi="Times New Roman" w:cs="Times New Roman"/>
        </w:rPr>
      </w:pPr>
      <w:r>
        <w:rPr>
          <w:rFonts w:ascii="Times New Roman" w:hAnsi="Times New Roman" w:cs="Times New Roman"/>
        </w:rPr>
        <w:t>Integrated Learning</w:t>
      </w:r>
      <w:r w:rsidR="00000000">
        <w:rPr>
          <w:rFonts w:ascii="Times New Roman" w:hAnsi="Times New Roman" w:cs="Times New Roman"/>
        </w:rPr>
        <w:t xml:space="preserve"> (Vol. 1). New York: Routledge.</w:t>
      </w:r>
    </w:p>
    <w:p w14:paraId="4FD7C035" w14:textId="77777777" w:rsidR="00330C95" w:rsidRDefault="00330C95">
      <w:pPr>
        <w:spacing w:after="0" w:line="360" w:lineRule="auto"/>
        <w:jc w:val="both"/>
        <w:rPr>
          <w:rFonts w:ascii="Times New Roman" w:hAnsi="Times New Roman" w:cs="Times New Roman"/>
        </w:rPr>
      </w:pPr>
    </w:p>
    <w:sectPr w:rsidR="00330C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5FC228AE"/>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0000002"/>
    <w:multiLevelType w:val="multilevel"/>
    <w:tmpl w:val="A212189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multilevel"/>
    <w:tmpl w:val="91A037A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5A946AD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85FA46E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A07EAA9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multilevel"/>
    <w:tmpl w:val="5A640AA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4AAC098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9"/>
    <w:multiLevelType w:val="multilevel"/>
    <w:tmpl w:val="8FBEFCE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A"/>
    <w:multiLevelType w:val="multilevel"/>
    <w:tmpl w:val="6D72241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0B"/>
    <w:multiLevelType w:val="multilevel"/>
    <w:tmpl w:val="E8F2502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76ECA76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B45A700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E"/>
    <w:multiLevelType w:val="multilevel"/>
    <w:tmpl w:val="4C0612D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F"/>
    <w:multiLevelType w:val="multilevel"/>
    <w:tmpl w:val="5F16338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A8F43C9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1"/>
    <w:multiLevelType w:val="multilevel"/>
    <w:tmpl w:val="E6C47E8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multilevel"/>
    <w:tmpl w:val="E5FCAFC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3"/>
    <w:multiLevelType w:val="multilevel"/>
    <w:tmpl w:val="3C6A22E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1584B15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multilevel"/>
    <w:tmpl w:val="6296A00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6"/>
    <w:multiLevelType w:val="multilevel"/>
    <w:tmpl w:val="9850BE4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0000017"/>
    <w:multiLevelType w:val="multilevel"/>
    <w:tmpl w:val="72D618D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00000018"/>
    <w:multiLevelType w:val="multilevel"/>
    <w:tmpl w:val="BE4CE8C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710F1D86"/>
    <w:multiLevelType w:val="multilevel"/>
    <w:tmpl w:val="00000001"/>
    <w:lvl w:ilvl="0">
      <w:start w:val="1"/>
      <w:numFmt w:val="none"/>
      <w:suff w:val="nothing"/>
      <w:lvlText w:val=""/>
      <w:lvlJc w:val="left"/>
      <w:pPr>
        <w:tabs>
          <w:tab w:val="left" w:pos="432"/>
        </w:tabs>
        <w:ind w:left="432" w:hanging="432"/>
      </w:pPr>
    </w:lvl>
    <w:lvl w:ilvl="1">
      <w:start w:val="1"/>
      <w:numFmt w:val="none"/>
      <w:suff w:val="nothing"/>
      <w:lvlText w:val=""/>
      <w:lvlJc w:val="left"/>
      <w:pPr>
        <w:tabs>
          <w:tab w:val="left" w:pos="576"/>
        </w:tabs>
        <w:ind w:left="576" w:hanging="576"/>
      </w:pPr>
    </w:lvl>
    <w:lvl w:ilvl="2">
      <w:start w:val="1"/>
      <w:numFmt w:val="none"/>
      <w:suff w:val="nothing"/>
      <w:lvlText w:val=""/>
      <w:lvlJc w:val="left"/>
      <w:pPr>
        <w:tabs>
          <w:tab w:val="left" w:pos="720"/>
        </w:tabs>
        <w:ind w:left="720" w:hanging="720"/>
      </w:pPr>
    </w:lvl>
    <w:lvl w:ilvl="3">
      <w:start w:val="1"/>
      <w:numFmt w:val="none"/>
      <w:suff w:val="nothing"/>
      <w:lvlText w:val=""/>
      <w:lvlJc w:val="left"/>
      <w:pPr>
        <w:tabs>
          <w:tab w:val="left" w:pos="864"/>
        </w:tabs>
        <w:ind w:left="864" w:hanging="864"/>
      </w:pPr>
    </w:lvl>
    <w:lvl w:ilvl="4">
      <w:start w:val="1"/>
      <w:numFmt w:val="none"/>
      <w:suff w:val="nothing"/>
      <w:lvlText w:val=""/>
      <w:lvlJc w:val="left"/>
      <w:pPr>
        <w:tabs>
          <w:tab w:val="left" w:pos="1008"/>
        </w:tabs>
        <w:ind w:left="1008" w:hanging="1008"/>
      </w:pPr>
    </w:lvl>
    <w:lvl w:ilvl="5">
      <w:start w:val="1"/>
      <w:numFmt w:val="none"/>
      <w:suff w:val="nothing"/>
      <w:lvlText w:val=""/>
      <w:lvlJc w:val="left"/>
      <w:pPr>
        <w:tabs>
          <w:tab w:val="left" w:pos="1152"/>
        </w:tabs>
        <w:ind w:left="1152" w:hanging="1152"/>
      </w:pPr>
    </w:lvl>
    <w:lvl w:ilvl="6">
      <w:start w:val="1"/>
      <w:numFmt w:val="none"/>
      <w:suff w:val="nothing"/>
      <w:lvlText w:val=""/>
      <w:lvlJc w:val="left"/>
      <w:pPr>
        <w:tabs>
          <w:tab w:val="left" w:pos="1296"/>
        </w:tabs>
        <w:ind w:left="1296" w:hanging="1296"/>
      </w:pPr>
    </w:lvl>
    <w:lvl w:ilvl="7">
      <w:start w:val="1"/>
      <w:numFmt w:val="none"/>
      <w:suff w:val="nothing"/>
      <w:lvlText w:val=""/>
      <w:lvlJc w:val="left"/>
      <w:pPr>
        <w:tabs>
          <w:tab w:val="left" w:pos="1440"/>
        </w:tabs>
        <w:ind w:left="1440" w:hanging="1440"/>
      </w:pPr>
    </w:lvl>
    <w:lvl w:ilvl="8">
      <w:start w:val="1"/>
      <w:numFmt w:val="none"/>
      <w:suff w:val="nothing"/>
      <w:lvlText w:val=""/>
      <w:lvlJc w:val="left"/>
      <w:pPr>
        <w:tabs>
          <w:tab w:val="left" w:pos="1584"/>
        </w:tabs>
        <w:ind w:left="1584" w:hanging="1584"/>
      </w:pPr>
    </w:lvl>
  </w:abstractNum>
  <w:num w:numId="1" w16cid:durableId="2093232037">
    <w:abstractNumId w:val="0"/>
  </w:num>
  <w:num w:numId="2" w16cid:durableId="2045517571">
    <w:abstractNumId w:val="24"/>
  </w:num>
  <w:num w:numId="3" w16cid:durableId="1579754820">
    <w:abstractNumId w:val="24"/>
  </w:num>
  <w:num w:numId="4" w16cid:durableId="800264913">
    <w:abstractNumId w:val="3"/>
  </w:num>
  <w:num w:numId="5" w16cid:durableId="1083991921">
    <w:abstractNumId w:val="5"/>
  </w:num>
  <w:num w:numId="6" w16cid:durableId="1439980426">
    <w:abstractNumId w:val="10"/>
  </w:num>
  <w:num w:numId="7" w16cid:durableId="1021517287">
    <w:abstractNumId w:val="19"/>
  </w:num>
  <w:num w:numId="8" w16cid:durableId="1047415467">
    <w:abstractNumId w:val="12"/>
  </w:num>
  <w:num w:numId="9" w16cid:durableId="651371240">
    <w:abstractNumId w:val="6"/>
  </w:num>
  <w:num w:numId="10" w16cid:durableId="755439670">
    <w:abstractNumId w:val="21"/>
  </w:num>
  <w:num w:numId="11" w16cid:durableId="731537695">
    <w:abstractNumId w:val="8"/>
  </w:num>
  <w:num w:numId="12" w16cid:durableId="1085079847">
    <w:abstractNumId w:val="7"/>
  </w:num>
  <w:num w:numId="13" w16cid:durableId="1865822583">
    <w:abstractNumId w:val="2"/>
  </w:num>
  <w:num w:numId="14" w16cid:durableId="1071661780">
    <w:abstractNumId w:val="22"/>
  </w:num>
  <w:num w:numId="15" w16cid:durableId="1839616483">
    <w:abstractNumId w:val="23"/>
  </w:num>
  <w:num w:numId="16" w16cid:durableId="815099674">
    <w:abstractNumId w:val="14"/>
  </w:num>
  <w:num w:numId="17" w16cid:durableId="1390033503">
    <w:abstractNumId w:val="4"/>
  </w:num>
  <w:num w:numId="18" w16cid:durableId="1939019517">
    <w:abstractNumId w:val="15"/>
  </w:num>
  <w:num w:numId="19" w16cid:durableId="1447961436">
    <w:abstractNumId w:val="20"/>
  </w:num>
  <w:num w:numId="20" w16cid:durableId="2008315572">
    <w:abstractNumId w:val="16"/>
  </w:num>
  <w:num w:numId="21" w16cid:durableId="1860464139">
    <w:abstractNumId w:val="18"/>
  </w:num>
  <w:num w:numId="22" w16cid:durableId="1765953186">
    <w:abstractNumId w:val="11"/>
  </w:num>
  <w:num w:numId="23" w16cid:durableId="1125000841">
    <w:abstractNumId w:val="1"/>
  </w:num>
  <w:num w:numId="24" w16cid:durableId="742802753">
    <w:abstractNumId w:val="13"/>
  </w:num>
  <w:num w:numId="25" w16cid:durableId="319120728">
    <w:abstractNumId w:val="17"/>
  </w:num>
  <w:num w:numId="26" w16cid:durableId="5647291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C95"/>
    <w:rsid w:val="002E41FE"/>
    <w:rsid w:val="00330C95"/>
    <w:rsid w:val="00444B52"/>
    <w:rsid w:val="00693689"/>
    <w:rsid w:val="00807D16"/>
    <w:rsid w:val="008660FD"/>
    <w:rsid w:val="00AD24C7"/>
    <w:rsid w:val="00E84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B7D6C"/>
  <w15:docId w15:val="{57BA41F3-F00B-8442-AEB9-865F9C1D4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SimSun"/>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0" w:line="240" w:lineRule="auto"/>
      <w:jc w:val="center"/>
      <w:outlineLvl w:val="0"/>
    </w:pPr>
    <w:rPr>
      <w:rFonts w:ascii="Times New Roman" w:eastAsia="SimSun" w:hAnsi="Times New Roman"/>
      <w:b/>
      <w:szCs w:val="32"/>
      <w:lang w:val="en-US"/>
    </w:rPr>
  </w:style>
  <w:style w:type="paragraph" w:styleId="Heading2">
    <w:name w:val="heading 2"/>
    <w:basedOn w:val="Normal"/>
    <w:next w:val="Normal"/>
    <w:link w:val="Heading2Char"/>
    <w:uiPriority w:val="9"/>
    <w:unhideWhenUsed/>
    <w:qFormat/>
    <w:pPr>
      <w:keepNext/>
      <w:keepLines/>
      <w:spacing w:before="200" w:after="0" w:line="360" w:lineRule="auto"/>
      <w:jc w:val="both"/>
      <w:outlineLvl w:val="1"/>
    </w:pPr>
    <w:rPr>
      <w:rFonts w:ascii="Times New Roman" w:eastAsia="SimSun" w:hAnsi="Times New Roman"/>
      <w:b/>
      <w:bCs/>
      <w:szCs w:val="26"/>
    </w:rPr>
  </w:style>
  <w:style w:type="paragraph" w:styleId="Heading3">
    <w:name w:val="heading 3"/>
    <w:basedOn w:val="Normal"/>
    <w:next w:val="Normal"/>
    <w:link w:val="Heading3Char"/>
    <w:uiPriority w:val="9"/>
    <w:semiHidden/>
    <w:unhideWhenUsed/>
    <w:qFormat/>
    <w:pPr>
      <w:keepNext/>
      <w:keepLines/>
      <w:spacing w:after="0" w:line="240" w:lineRule="auto"/>
      <w:jc w:val="both"/>
      <w:outlineLvl w:val="2"/>
    </w:pPr>
    <w:rPr>
      <w:rFonts w:ascii="Times New Roman" w:eastAsia="SimSun" w:hAnsi="Times New Roman"/>
      <w:b/>
      <w:lang w:val="en-US"/>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olor w:val="595959"/>
    </w:rPr>
  </w:style>
  <w:style w:type="paragraph" w:styleId="Heading8">
    <w:name w:val="heading 8"/>
    <w:basedOn w:val="Normal"/>
    <w:next w:val="Normal"/>
    <w:link w:val="Heading8Char"/>
    <w:uiPriority w:val="9"/>
    <w:qFormat/>
    <w:pPr>
      <w:keepNext/>
      <w:keepLines/>
      <w:spacing w:after="0"/>
      <w:outlineLvl w:val="7"/>
    </w:pPr>
    <w:rPr>
      <w:rFonts w:eastAsia="SimSu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qFormat/>
    <w:pPr>
      <w:spacing w:after="0" w:line="240" w:lineRule="auto"/>
      <w:jc w:val="center"/>
    </w:pPr>
    <w:rPr>
      <w:rFonts w:ascii="Times New Roman" w:eastAsia="Calibri" w:hAnsi="Times New Roman" w:cs="Calibri"/>
      <w:b/>
      <w:kern w:val="0"/>
      <w:szCs w:val="22"/>
      <w:lang w:val="en-US"/>
      <w14:ligatures w14:val="none"/>
    </w:rPr>
  </w:style>
  <w:style w:type="character" w:customStyle="1" w:styleId="Heading1Char">
    <w:name w:val="Heading 1 Char"/>
    <w:basedOn w:val="DefaultParagraphFont"/>
    <w:link w:val="Heading1"/>
    <w:uiPriority w:val="9"/>
    <w:rPr>
      <w:rFonts w:ascii="Times New Roman" w:eastAsia="SimSun" w:hAnsi="Times New Roman"/>
      <w:b/>
      <w:szCs w:val="32"/>
      <w:lang w:val="en-US"/>
    </w:rPr>
  </w:style>
  <w:style w:type="character" w:customStyle="1" w:styleId="Heading2Char">
    <w:name w:val="Heading 2 Char"/>
    <w:basedOn w:val="DefaultParagraphFont"/>
    <w:link w:val="Heading2"/>
    <w:uiPriority w:val="9"/>
    <w:rPr>
      <w:rFonts w:ascii="Times New Roman" w:eastAsia="SimSun" w:hAnsi="Times New Roman" w:cs="SimSun"/>
      <w:b/>
      <w:bCs/>
      <w:szCs w:val="26"/>
    </w:rPr>
  </w:style>
  <w:style w:type="character" w:customStyle="1" w:styleId="Heading3Char">
    <w:name w:val="Heading 3 Char"/>
    <w:basedOn w:val="DefaultParagraphFont"/>
    <w:link w:val="Heading3"/>
    <w:uiPriority w:val="9"/>
    <w:rPr>
      <w:rFonts w:ascii="Times New Roman" w:eastAsia="SimSun" w:hAnsi="Times New Roman" w:cs="SimSun"/>
      <w:b/>
      <w:lang w:val="en-US"/>
    </w:rPr>
  </w:style>
  <w:style w:type="paragraph" w:styleId="NormalWeb">
    <w:name w:val="Normal (Web)"/>
    <w:basedOn w:val="Normal"/>
    <w:uiPriority w:val="99"/>
    <w:rPr>
      <w:rFonts w:ascii="Times New Roman" w:hAnsi="Times New Roman"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paragraph" w:styleId="Title">
    <w:name w:val="Title"/>
    <w:basedOn w:val="Heading1"/>
    <w:next w:val="Normal"/>
    <w:link w:val="TitleChar"/>
    <w:uiPriority w:val="10"/>
    <w:qFormat/>
  </w:style>
  <w:style w:type="character" w:customStyle="1" w:styleId="TitleChar">
    <w:name w:val="Title Char"/>
    <w:basedOn w:val="DefaultParagraphFont"/>
    <w:link w:val="Title"/>
    <w:uiPriority w:val="10"/>
    <w:rPr>
      <w:rFonts w:ascii="Times New Roman" w:eastAsia="Calibri" w:hAnsi="Times New Roman" w:cs="Calibri"/>
      <w:b/>
      <w:kern w:val="0"/>
      <w14:ligatures w14:val="none"/>
    </w:rPr>
  </w:style>
  <w:style w:type="character" w:customStyle="1" w:styleId="Heading4Char">
    <w:name w:val="Heading 4 Char"/>
    <w:basedOn w:val="DefaultParagraphFont"/>
    <w:link w:val="Heading4"/>
    <w:uiPriority w:val="9"/>
    <w:rPr>
      <w:rFonts w:eastAsia="SimSun" w:cs="SimSun"/>
      <w:i/>
      <w:iCs/>
      <w:color w:val="0F4761"/>
    </w:rPr>
  </w:style>
  <w:style w:type="character" w:customStyle="1" w:styleId="Heading5Char">
    <w:name w:val="Heading 5 Char"/>
    <w:basedOn w:val="DefaultParagraphFont"/>
    <w:link w:val="Heading5"/>
    <w:uiPriority w:val="9"/>
    <w:rPr>
      <w:rFonts w:eastAsia="SimSun" w:cs="SimSun"/>
      <w:color w:val="0F4761"/>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Subtitle">
    <w:name w:val="Subtitle"/>
    <w:basedOn w:val="Normal"/>
    <w:next w:val="Normal"/>
    <w:link w:val="SubtitleChar"/>
    <w:uiPriority w:val="11"/>
    <w:qFormat/>
    <w:pPr>
      <w:numPr>
        <w:ilvl w:val="1"/>
      </w:numPr>
    </w:pPr>
    <w:rPr>
      <w:rFonts w:eastAsia="SimSun"/>
      <w:color w:val="595959"/>
      <w:spacing w:val="15"/>
      <w:sz w:val="28"/>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2549</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 oduniyi</dc:creator>
  <cp:lastModifiedBy>Charity Amihere (2336795)</cp:lastModifiedBy>
  <cp:revision>2</cp:revision>
  <dcterms:created xsi:type="dcterms:W3CDTF">2026-04-29T12:14:00Z</dcterms:created>
  <dcterms:modified xsi:type="dcterms:W3CDTF">2026-04-29T12:14:00Z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d83467fb9d034f6abe9132f668180f96</vt:lpwstr>
  </property>
  <property fmtid="{D5CDD505-2E9C-101B-9397-08002B2CF9AE}" pid="3" name="GrammarlyDocumentId">
    <vt:lpwstr>6dfc4c79-d250-4885-9b06-406727080481</vt:lpwstr>
  </property>
</Properties>
</file>