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6A3969" w14:textId="77777777" w:rsidR="00B85C8E" w:rsidRDefault="00B85C8E" w:rsidP="00B85C8E">
      <w:pPr>
        <w:rPr>
          <w:rFonts w:ascii="Arial" w:hAnsi="Arial" w:cs="Arial"/>
        </w:rPr>
      </w:pPr>
      <w:r>
        <w:rPr>
          <w:rFonts w:ascii="Arial" w:hAnsi="Arial" w:cs="Arial"/>
        </w:rPr>
        <w:t>Name: Laura Thomas</w:t>
      </w:r>
    </w:p>
    <w:p w14:paraId="62291EED" w14:textId="77777777" w:rsidR="00B85C8E" w:rsidRDefault="00B85C8E" w:rsidP="00B85C8E">
      <w:pPr>
        <w:rPr>
          <w:rFonts w:ascii="Arial" w:hAnsi="Arial" w:cs="Arial"/>
        </w:rPr>
      </w:pPr>
      <w:r>
        <w:rPr>
          <w:rFonts w:ascii="Arial" w:hAnsi="Arial" w:cs="Arial"/>
        </w:rPr>
        <w:t>Student no: 2245957</w:t>
      </w:r>
    </w:p>
    <w:p w14:paraId="6FC6752F" w14:textId="03759D17" w:rsidR="00CC2092" w:rsidRDefault="00B85C8E">
      <w:r>
        <w:rPr>
          <w:rFonts w:ascii="Arial" w:hAnsi="Arial" w:cs="Arial"/>
          <w:b/>
          <w:bCs/>
        </w:rPr>
        <w:t>Essay One: How effectively has the police service adapted to accommodate diversity within the UK? Consider the police force itself and/or the way police engage with diverse communities. Your answer must be based on academic research.</w:t>
      </w:r>
    </w:p>
    <w:p w14:paraId="47983182" w14:textId="518E624C" w:rsidR="00DF3B49" w:rsidRDefault="00DF3B49">
      <w:r>
        <w:t xml:space="preserve">This piece of work will explore the police force and their engagement with diverse communities, using academic research the paper will touch upon how the effectively the police service has adapted to accommodate diversity within the UK and what work has been done to reflect this. </w:t>
      </w:r>
    </w:p>
    <w:p w14:paraId="23B59BFE" w14:textId="22B1960A" w:rsidR="00B85C8E" w:rsidRDefault="00B85C8E">
      <w:r>
        <w:t>Research conducted by Elena Carruthers published in 2023 gave an insight to explore the number of people from underrepresented groups in local and regional forces nationwide. This research includ</w:t>
      </w:r>
      <w:r w:rsidR="002F2FE3">
        <w:t>es</w:t>
      </w:r>
      <w:r>
        <w:t xml:space="preserve"> </w:t>
      </w:r>
      <w:r w:rsidR="002F2FE3">
        <w:t>officers</w:t>
      </w:r>
      <w:r>
        <w:t xml:space="preserve"> in senior roles and </w:t>
      </w:r>
      <w:r w:rsidR="00417B27">
        <w:t>how many members of the public see themselves represented by forces in charge of protecting them. There are many di</w:t>
      </w:r>
      <w:r w:rsidR="002F2FE3">
        <w:t xml:space="preserve">verse </w:t>
      </w:r>
      <w:r w:rsidR="00417B27">
        <w:t>communities in the UK inclusive of Black, Asian Minority Ethnic communities (BAME), as well as LGBTQ+ communities</w:t>
      </w:r>
      <w:r w:rsidR="002F2FE3">
        <w:t>, and many more</w:t>
      </w:r>
      <w:r w:rsidR="00417B27">
        <w:t xml:space="preserve">. </w:t>
      </w:r>
      <w:r w:rsidR="002F2FE3">
        <w:t xml:space="preserve">It has been identified that the percentage of officers within the </w:t>
      </w:r>
      <w:r w:rsidR="00417B27">
        <w:t xml:space="preserve">police force which represent these communities are </w:t>
      </w:r>
      <w:r w:rsidR="008C075F">
        <w:t xml:space="preserve">particularly low. </w:t>
      </w:r>
      <w:r w:rsidR="002F2FE3">
        <w:t>For example, s</w:t>
      </w:r>
      <w:r w:rsidR="008C075F">
        <w:t xml:space="preserve">tatistics from this study reveal that </w:t>
      </w:r>
      <w:r w:rsidR="002F2FE3">
        <w:t xml:space="preserve">forces in Northern Ireland make up of 0.59% of </w:t>
      </w:r>
      <w:r w:rsidR="008C075F">
        <w:t>constables / PCSO’s</w:t>
      </w:r>
      <w:r w:rsidR="002F2FE3">
        <w:t xml:space="preserve"> </w:t>
      </w:r>
      <w:r w:rsidR="008C075F">
        <w:t>who represent the BAME community</w:t>
      </w:r>
      <w:r w:rsidR="002F2FE3">
        <w:t xml:space="preserve">, and </w:t>
      </w:r>
      <w:r w:rsidR="005D1649">
        <w:t>with senior officers ranking of S</w:t>
      </w:r>
      <w:r w:rsidR="003B44F2">
        <w:t>e</w:t>
      </w:r>
      <w:r w:rsidR="005D1649">
        <w:t xml:space="preserve">rgeant and upwards being 0.63%. However, </w:t>
      </w:r>
      <w:r w:rsidR="00A11BD8">
        <w:t xml:space="preserve">the same </w:t>
      </w:r>
      <w:r w:rsidR="005D1649">
        <w:t>force</w:t>
      </w:r>
      <w:r w:rsidR="00A11BD8">
        <w:t xml:space="preserve"> area has a percentage of 3.18%</w:t>
      </w:r>
      <w:r w:rsidR="005D1649">
        <w:t xml:space="preserve"> </w:t>
      </w:r>
      <w:r w:rsidR="00A11BD8">
        <w:t xml:space="preserve">representing the </w:t>
      </w:r>
      <w:r w:rsidR="005D1649">
        <w:t xml:space="preserve">LGBTQ+ communities </w:t>
      </w:r>
      <w:r w:rsidR="00A11BD8">
        <w:t xml:space="preserve">within their force. </w:t>
      </w:r>
      <w:r w:rsidR="00635FD5">
        <w:t xml:space="preserve">3.08% </w:t>
      </w:r>
      <w:r w:rsidR="00A11BD8">
        <w:t xml:space="preserve">of these officers are </w:t>
      </w:r>
      <w:r w:rsidR="00635FD5">
        <w:t>Senior officers of Sergeants and above</w:t>
      </w:r>
      <w:r w:rsidR="00A11BD8">
        <w:t>, although this is a slightly higher percentage, regardless it is a</w:t>
      </w:r>
      <w:r w:rsidR="00635FD5">
        <w:t xml:space="preserve"> low </w:t>
      </w:r>
      <w:r w:rsidR="00A11BD8">
        <w:t>number</w:t>
      </w:r>
      <w:r w:rsidR="00635FD5">
        <w:t xml:space="preserve">. </w:t>
      </w:r>
      <w:sdt>
        <w:sdtPr>
          <w:id w:val="-1457780434"/>
          <w:citation/>
        </w:sdtPr>
        <w:sdtEndPr/>
        <w:sdtContent>
          <w:r w:rsidR="006379AC">
            <w:fldChar w:fldCharType="begin"/>
          </w:r>
          <w:r w:rsidR="009C504E">
            <w:instrText xml:space="preserve">CITATION The23 \l 2057 </w:instrText>
          </w:r>
          <w:r w:rsidR="006379AC">
            <w:fldChar w:fldCharType="separate"/>
          </w:r>
          <w:r w:rsidR="009C504E" w:rsidRPr="009C504E">
            <w:rPr>
              <w:noProof/>
            </w:rPr>
            <w:t>(The University of Law, 2023)</w:t>
          </w:r>
          <w:r w:rsidR="006379AC">
            <w:fldChar w:fldCharType="end"/>
          </w:r>
        </w:sdtContent>
      </w:sdt>
      <w:r w:rsidR="006379AC">
        <w:t>.</w:t>
      </w:r>
    </w:p>
    <w:p w14:paraId="141A15C6" w14:textId="7193E185" w:rsidR="004A27ED" w:rsidRDefault="009D28CC">
      <w:r>
        <w:t>Research shows that s</w:t>
      </w:r>
      <w:r w:rsidR="000A102D">
        <w:t>imilarly to Europe, the UK has a</w:t>
      </w:r>
      <w:r w:rsidR="009C504E">
        <w:t xml:space="preserve"> worryingly</w:t>
      </w:r>
      <w:r w:rsidR="000A102D">
        <w:t xml:space="preserve"> low percentage of represented diverse communities within the Police Force with this percentage only decreasing as the</w:t>
      </w:r>
      <w:r w:rsidR="00775E22">
        <w:t xml:space="preserve"> officer rank increases</w:t>
      </w:r>
      <w:r w:rsidR="000A102D">
        <w:t>.</w:t>
      </w:r>
      <w:r w:rsidR="006379AC">
        <w:t xml:space="preserve"> </w:t>
      </w:r>
      <w:sdt>
        <w:sdtPr>
          <w:id w:val="402417996"/>
          <w:citation/>
        </w:sdtPr>
        <w:sdtEndPr/>
        <w:sdtContent>
          <w:r w:rsidR="006379AC">
            <w:fldChar w:fldCharType="begin"/>
          </w:r>
          <w:r w:rsidR="009C504E">
            <w:instrText xml:space="preserve">CITATION Ute23 \l 2057 </w:instrText>
          </w:r>
          <w:r w:rsidR="006379AC">
            <w:fldChar w:fldCharType="separate"/>
          </w:r>
          <w:r w:rsidR="009C504E" w:rsidRPr="009C504E">
            <w:rPr>
              <w:noProof/>
            </w:rPr>
            <w:t>(Uterecht University, Oxford Journals, 2011)</w:t>
          </w:r>
          <w:r w:rsidR="006379AC">
            <w:fldChar w:fldCharType="end"/>
          </w:r>
        </w:sdtContent>
      </w:sdt>
      <w:r w:rsidR="006379AC">
        <w:t>.</w:t>
      </w:r>
      <w:r w:rsidR="000A102D">
        <w:t xml:space="preserve"> </w:t>
      </w:r>
      <w:r w:rsidR="00775E22">
        <w:t>A lot can be said from these figures, giving a view of a force who</w:t>
      </w:r>
      <w:r>
        <w:t xml:space="preserve"> has very little education and diversity within its own organisation </w:t>
      </w:r>
      <w:r w:rsidR="009C504E">
        <w:t xml:space="preserve">giving way to </w:t>
      </w:r>
      <w:r>
        <w:t>asking the question of</w:t>
      </w:r>
      <w:r w:rsidR="009C504E">
        <w:t>,</w:t>
      </w:r>
      <w:r>
        <w:t xml:space="preserve"> </w:t>
      </w:r>
      <w:r w:rsidR="00775E22">
        <w:t xml:space="preserve">how </w:t>
      </w:r>
      <w:r>
        <w:t>the police can</w:t>
      </w:r>
      <w:r w:rsidR="00775E22">
        <w:t xml:space="preserve"> engage effectively with diverse communities</w:t>
      </w:r>
      <w:r>
        <w:t xml:space="preserve"> and how communities can feel represented by their police force</w:t>
      </w:r>
      <w:r w:rsidR="009C504E">
        <w:t xml:space="preserve"> if they do not include these practices themselves</w:t>
      </w:r>
      <w:r w:rsidR="00775E22">
        <w:t xml:space="preserve">. An article published by The British Journal of Criminology highlights the legitimacy of authority by ethnic minority communities, different communities come from </w:t>
      </w:r>
      <w:r w:rsidR="006C11B7">
        <w:t>diverse cultures</w:t>
      </w:r>
      <w:r w:rsidR="00775E22">
        <w:t xml:space="preserve"> or countries where a distrust of the law is prevalent. </w:t>
      </w:r>
      <w:sdt>
        <w:sdtPr>
          <w:id w:val="-1544518086"/>
          <w:citation/>
        </w:sdtPr>
        <w:sdtEndPr/>
        <w:sdtContent>
          <w:r w:rsidR="002343DD">
            <w:fldChar w:fldCharType="begin"/>
          </w:r>
          <w:r w:rsidR="009C504E">
            <w:instrText xml:space="preserve">CITATION The12 \l 2057 </w:instrText>
          </w:r>
          <w:r w:rsidR="002343DD">
            <w:fldChar w:fldCharType="separate"/>
          </w:r>
          <w:r w:rsidR="009C504E" w:rsidRPr="009C504E">
            <w:rPr>
              <w:noProof/>
            </w:rPr>
            <w:t>(Oxford Academic, 2012)</w:t>
          </w:r>
          <w:r w:rsidR="002343DD">
            <w:fldChar w:fldCharType="end"/>
          </w:r>
        </w:sdtContent>
      </w:sdt>
      <w:r w:rsidR="002343DD">
        <w:t>.</w:t>
      </w:r>
      <w:r>
        <w:t xml:space="preserve"> There have been </w:t>
      </w:r>
      <w:r w:rsidR="00CE2916">
        <w:t>prominent</w:t>
      </w:r>
      <w:r>
        <w:t xml:space="preserve"> controversies </w:t>
      </w:r>
      <w:r w:rsidR="00CE2916">
        <w:t xml:space="preserve">surrounding the </w:t>
      </w:r>
      <w:r>
        <w:t>Police force which has only encouraged a distrust from diverse communities within the UK.</w:t>
      </w:r>
      <w:r w:rsidR="00515165">
        <w:t xml:space="preserve"> </w:t>
      </w:r>
      <w:r w:rsidR="002343DD">
        <w:t xml:space="preserve">A prominent incident that demonstrates this, was the </w:t>
      </w:r>
      <w:r w:rsidRPr="009D28CC">
        <w:t>Stephen Lawrence’s murder</w:t>
      </w:r>
      <w:r w:rsidR="00CE2916">
        <w:t xml:space="preserve"> in 1993</w:t>
      </w:r>
      <w:r w:rsidR="002343DD">
        <w:t>, quickly follow</w:t>
      </w:r>
      <w:r w:rsidR="009C504E">
        <w:t xml:space="preserve">ing, </w:t>
      </w:r>
      <w:r w:rsidR="002343DD">
        <w:t xml:space="preserve">The </w:t>
      </w:r>
      <w:r w:rsidR="002343DD" w:rsidRPr="009D28CC">
        <w:t xml:space="preserve">Macpherson </w:t>
      </w:r>
      <w:r w:rsidR="009C504E">
        <w:t>Inquiry r</w:t>
      </w:r>
      <w:r w:rsidR="002343DD" w:rsidRPr="009D28CC">
        <w:t>eport into th</w:t>
      </w:r>
      <w:r w:rsidR="009C504E">
        <w:t>is</w:t>
      </w:r>
      <w:r w:rsidR="002343DD" w:rsidRPr="009D28CC">
        <w:t xml:space="preserve"> </w:t>
      </w:r>
      <w:r w:rsidR="002343DD">
        <w:t>highlight</w:t>
      </w:r>
      <w:r w:rsidR="009C504E">
        <w:t>ed several</w:t>
      </w:r>
      <w:r w:rsidR="002343DD">
        <w:t xml:space="preserve"> significant failings</w:t>
      </w:r>
      <w:r w:rsidR="009C504E">
        <w:t xml:space="preserve"> and </w:t>
      </w:r>
      <w:r w:rsidR="00BC2A3A">
        <w:t xml:space="preserve">subsequently </w:t>
      </w:r>
      <w:r w:rsidR="009C504E">
        <w:t xml:space="preserve">gave a damming report </w:t>
      </w:r>
      <w:r w:rsidR="00BC2A3A">
        <w:t>into the actions taken and questioning the actions</w:t>
      </w:r>
      <w:r w:rsidR="009C504E">
        <w:t xml:space="preserve"> of the police force </w:t>
      </w:r>
      <w:r w:rsidR="00BC2A3A">
        <w:t xml:space="preserve">and how they conduct their lawful responsibilities </w:t>
      </w:r>
      <w:r w:rsidR="009C504E">
        <w:t>as a whole. As a result</w:t>
      </w:r>
      <w:r w:rsidR="002343DD">
        <w:t xml:space="preserve"> of</w:t>
      </w:r>
      <w:r w:rsidRPr="009D28CC">
        <w:t xml:space="preserve"> the report a host of initiatives addressed issues ranging from police liaison with victims, first aid training, to stop and search procedures and police complaints.</w:t>
      </w:r>
      <w:r w:rsidR="00CE2916">
        <w:t xml:space="preserve"> </w:t>
      </w:r>
      <w:sdt>
        <w:sdtPr>
          <w:id w:val="1953281252"/>
          <w:citation/>
        </w:sdtPr>
        <w:sdtEndPr/>
        <w:sdtContent>
          <w:r w:rsidR="002343DD">
            <w:fldChar w:fldCharType="begin"/>
          </w:r>
          <w:r w:rsidR="002343DD">
            <w:instrText xml:space="preserve"> CITATION Hom051 \l 2057 </w:instrText>
          </w:r>
          <w:r w:rsidR="002343DD">
            <w:fldChar w:fldCharType="separate"/>
          </w:r>
          <w:r w:rsidR="002343DD" w:rsidRPr="002343DD">
            <w:rPr>
              <w:noProof/>
            </w:rPr>
            <w:t>(Home Office Research Study 294, 2005)</w:t>
          </w:r>
          <w:r w:rsidR="002343DD">
            <w:fldChar w:fldCharType="end"/>
          </w:r>
        </w:sdtContent>
      </w:sdt>
      <w:r w:rsidR="00C0382C">
        <w:t xml:space="preserve">. </w:t>
      </w:r>
      <w:r w:rsidR="00CE2916">
        <w:t xml:space="preserve">Another </w:t>
      </w:r>
      <w:r w:rsidR="002343DD">
        <w:t>was the</w:t>
      </w:r>
      <w:r w:rsidR="00C0382C">
        <w:t xml:space="preserve"> </w:t>
      </w:r>
      <w:r w:rsidR="00CE2916">
        <w:t>1981 Brixton Riots</w:t>
      </w:r>
      <w:r w:rsidR="002343DD">
        <w:t>,</w:t>
      </w:r>
      <w:r w:rsidR="00CE2916">
        <w:t xml:space="preserve"> which saw a fight back from the </w:t>
      </w:r>
      <w:r w:rsidR="006C11B7">
        <w:t>Black</w:t>
      </w:r>
      <w:r w:rsidR="00CE2916">
        <w:t xml:space="preserve"> community against police discrimination.</w:t>
      </w:r>
      <w:r w:rsidRPr="009D28CC">
        <w:t xml:space="preserve"> This subsequently </w:t>
      </w:r>
      <w:r w:rsidR="00CE2916">
        <w:t xml:space="preserve">highlighted significant changes that needed to be put in place on how to police force engage with diverse minority communities and </w:t>
      </w:r>
      <w:r w:rsidRPr="009D28CC">
        <w:t xml:space="preserve">to </w:t>
      </w:r>
      <w:r w:rsidR="00C0382C">
        <w:t xml:space="preserve">address where </w:t>
      </w:r>
      <w:r w:rsidRPr="009D28CC">
        <w:t>efforts ought to be concentrated</w:t>
      </w:r>
      <w:r w:rsidR="00C0382C">
        <w:t xml:space="preserve">. </w:t>
      </w:r>
      <w:sdt>
        <w:sdtPr>
          <w:id w:val="-1570653465"/>
          <w:citation/>
        </w:sdtPr>
        <w:sdtEndPr/>
        <w:sdtContent>
          <w:r w:rsidR="002343DD">
            <w:fldChar w:fldCharType="begin"/>
          </w:r>
          <w:r w:rsidR="002343DD">
            <w:instrText xml:space="preserve"> CITATION Uni10 \l 2057 </w:instrText>
          </w:r>
          <w:r w:rsidR="002343DD">
            <w:fldChar w:fldCharType="separate"/>
          </w:r>
          <w:r w:rsidR="002343DD" w:rsidRPr="002343DD">
            <w:rPr>
              <w:noProof/>
            </w:rPr>
            <w:t>(University of Ulster, 2010)</w:t>
          </w:r>
          <w:r w:rsidR="002343DD">
            <w:fldChar w:fldCharType="end"/>
          </w:r>
        </w:sdtContent>
      </w:sdt>
      <w:r w:rsidR="002343DD">
        <w:t>.</w:t>
      </w:r>
    </w:p>
    <w:p w14:paraId="004A433D" w14:textId="4C1DCE96" w:rsidR="00E45BCC" w:rsidRDefault="00E45BCC">
      <w:r>
        <w:t xml:space="preserve">A prominent issue from </w:t>
      </w:r>
      <w:r w:rsidR="006C3451">
        <w:t>both</w:t>
      </w:r>
      <w:r>
        <w:t xml:space="preserve"> incidents was Police Stop and Search Powers and how ethnic/racial bias can </w:t>
      </w:r>
      <w:r w:rsidR="006C3451">
        <w:t>affect</w:t>
      </w:r>
      <w:r>
        <w:t xml:space="preserve"> an officers</w:t>
      </w:r>
      <w:r w:rsidR="006C3451">
        <w:t>’</w:t>
      </w:r>
      <w:r>
        <w:t xml:space="preserve"> decision in the individual they use this power on. </w:t>
      </w:r>
      <w:r w:rsidR="006C3451">
        <w:t xml:space="preserve">A study taken from the Criminology and Public Policy’s examination of this explores trials where theorised training could reduce officer bias by improving their competence by applying </w:t>
      </w:r>
      <w:r w:rsidR="006C3451">
        <w:lastRenderedPageBreak/>
        <w:t xml:space="preserve">legitimate criteria in search decisions. As a result, training was found to be the most effective form of reform. </w:t>
      </w:r>
      <w:sdt>
        <w:sdtPr>
          <w:id w:val="-628084275"/>
          <w:citation/>
        </w:sdtPr>
        <w:sdtEndPr/>
        <w:sdtContent>
          <w:r w:rsidR="00FA4180">
            <w:fldChar w:fldCharType="begin"/>
          </w:r>
          <w:r w:rsidR="00FA4180">
            <w:instrText xml:space="preserve"> CITATION Cri20 \l 2057 </w:instrText>
          </w:r>
          <w:r w:rsidR="00FA4180">
            <w:fldChar w:fldCharType="separate"/>
          </w:r>
          <w:r w:rsidR="00FA4180" w:rsidRPr="00FA4180">
            <w:rPr>
              <w:noProof/>
            </w:rPr>
            <w:t>(Policy, 2020)</w:t>
          </w:r>
          <w:r w:rsidR="00FA4180">
            <w:fldChar w:fldCharType="end"/>
          </w:r>
        </w:sdtContent>
      </w:sdt>
      <w:r w:rsidR="00AD5C4D">
        <w:t>. In addition, The Police and Criminal Evidence Act 1984 (PACE) was introduced</w:t>
      </w:r>
      <w:r w:rsidR="006A0E3E">
        <w:t xml:space="preserve">, this piece of legislation is the </w:t>
      </w:r>
      <w:r w:rsidR="00681598">
        <w:t>focus</w:t>
      </w:r>
      <w:r w:rsidR="006A0E3E">
        <w:t xml:space="preserve"> of an </w:t>
      </w:r>
      <w:r w:rsidR="00975A50">
        <w:t>officer’s</w:t>
      </w:r>
      <w:r w:rsidR="006A0E3E">
        <w:t xml:space="preserve"> career and one that is set out to be strictly followed</w:t>
      </w:r>
      <w:r w:rsidR="003D60B5">
        <w:t xml:space="preserve"> by officers and</w:t>
      </w:r>
      <w:r w:rsidR="00AD5C4D">
        <w:t xml:space="preserve"> setting out a balance of police powers and the rights and freedoms of the public. PACE has been given praise as well as criticism, however with PACE, </w:t>
      </w:r>
      <w:r w:rsidR="00975A50">
        <w:t>giving</w:t>
      </w:r>
      <w:r w:rsidR="00AD5C4D">
        <w:t xml:space="preserve"> members of the public</w:t>
      </w:r>
      <w:r w:rsidR="006A0E3E">
        <w:t xml:space="preserve"> reassurance</w:t>
      </w:r>
      <w:r w:rsidR="00975A50">
        <w:t xml:space="preserve"> and guidance of the law that officers follow.</w:t>
      </w:r>
      <w:r w:rsidR="00FA4180">
        <w:t xml:space="preserve"> </w:t>
      </w:r>
      <w:sdt>
        <w:sdtPr>
          <w:id w:val="-1668246320"/>
          <w:citation/>
        </w:sdtPr>
        <w:sdtEndPr/>
        <w:sdtContent>
          <w:r w:rsidR="00FA4180">
            <w:fldChar w:fldCharType="begin"/>
          </w:r>
          <w:r w:rsidR="00FA4180">
            <w:instrText xml:space="preserve"> CITATION Bla19 \l 2057 </w:instrText>
          </w:r>
          <w:r w:rsidR="00FA4180">
            <w:fldChar w:fldCharType="separate"/>
          </w:r>
          <w:r w:rsidR="00FA4180" w:rsidRPr="00FA4180">
            <w:rPr>
              <w:noProof/>
            </w:rPr>
            <w:t>(Blackstones Practical Policing, 2019)</w:t>
          </w:r>
          <w:r w:rsidR="00FA4180">
            <w:fldChar w:fldCharType="end"/>
          </w:r>
        </w:sdtContent>
      </w:sdt>
      <w:r w:rsidR="006A0E3E">
        <w:t>.</w:t>
      </w:r>
    </w:p>
    <w:p w14:paraId="37C6FE08" w14:textId="0FDFC9B8" w:rsidR="00681598" w:rsidRDefault="00681598">
      <w:r w:rsidRPr="00681598">
        <w:t>There has been much discussion in the police service as to whether racial equality training should be woven like a golden thread through all police training or whether it should be covered in stand-alone courses.</w:t>
      </w:r>
      <w:r w:rsidR="00451DD8">
        <w:t xml:space="preserve"> However, this </w:t>
      </w:r>
      <w:r w:rsidRPr="00681598">
        <w:t>approach</w:t>
      </w:r>
      <w:r w:rsidR="00451DD8">
        <w:t xml:space="preserve"> can be argued that it </w:t>
      </w:r>
      <w:r w:rsidRPr="00681598">
        <w:t xml:space="preserve">can become so fine that it is easily omitted or ignored. Several different courses have been introduced to officers to ensure a vast knowledge and understanding of </w:t>
      </w:r>
      <w:r w:rsidR="006C11B7" w:rsidRPr="00681598">
        <w:t>diverse cultures</w:t>
      </w:r>
      <w:r w:rsidRPr="00681598">
        <w:t xml:space="preserve"> and ethnicities. To ensure this is correctly taught, police forces are </w:t>
      </w:r>
      <w:r w:rsidR="006C11B7" w:rsidRPr="00681598">
        <w:t>collaborating</w:t>
      </w:r>
      <w:r w:rsidRPr="00681598">
        <w:t xml:space="preserve"> with communities and including officers of different ethnic backgrounds to ensure that this is delivered correctly and appropriately.</w:t>
      </w:r>
      <w:r w:rsidR="00097972">
        <w:t xml:space="preserve"> </w:t>
      </w:r>
      <w:sdt>
        <w:sdtPr>
          <w:id w:val="-1952933307"/>
          <w:citation/>
        </w:sdtPr>
        <w:sdtEndPr/>
        <w:sdtContent>
          <w:r w:rsidR="00097972">
            <w:fldChar w:fldCharType="begin"/>
          </w:r>
          <w:r w:rsidR="00097972">
            <w:instrText xml:space="preserve"> CITATION Eme06 \l 2057 </w:instrText>
          </w:r>
          <w:r w:rsidR="00097972">
            <w:fldChar w:fldCharType="separate"/>
          </w:r>
          <w:r w:rsidR="00097972" w:rsidRPr="00097972">
            <w:rPr>
              <w:noProof/>
            </w:rPr>
            <w:t>(Insight, 2006)</w:t>
          </w:r>
          <w:r w:rsidR="00097972">
            <w:fldChar w:fldCharType="end"/>
          </w:r>
        </w:sdtContent>
      </w:sdt>
      <w:r w:rsidR="00451DD8">
        <w:t xml:space="preserve">. </w:t>
      </w:r>
    </w:p>
    <w:p w14:paraId="6F24AB91" w14:textId="169A6D16" w:rsidR="005B447A" w:rsidRDefault="005B447A">
      <w:r w:rsidRPr="005B447A">
        <w:t>Shared leadership with minority ethnic communities</w:t>
      </w:r>
      <w:r>
        <w:t xml:space="preserve"> is a study conducted to focus on the </w:t>
      </w:r>
      <w:r w:rsidR="006C11B7">
        <w:t>various aspects</w:t>
      </w:r>
      <w:r>
        <w:t xml:space="preserve"> of Shared Leadership within the context of the police and minority ethnic communities. It is believed that Shared Leadership and communities working together to gain a trust and desired outcome with shared communication between police and that of their communities they protect. </w:t>
      </w:r>
      <w:r w:rsidR="00F46961">
        <w:t>W</w:t>
      </w:r>
      <w:r>
        <w:t>hile there is a generalised commitment to consulting with minority ethnic communities via contemporary approaches, there is still a problem with concluding the different approaches given specific community needs. In turn, this concluded a re-introduction of PCSO’s and neighbourhood policing teams within communities to gain a form of trust and understanding between both police and diverse communities.</w:t>
      </w:r>
      <w:r w:rsidR="00097972">
        <w:t xml:space="preserve"> </w:t>
      </w:r>
      <w:sdt>
        <w:sdtPr>
          <w:id w:val="-434058811"/>
          <w:citation/>
        </w:sdtPr>
        <w:sdtEndPr/>
        <w:sdtContent>
          <w:r w:rsidR="00097972">
            <w:fldChar w:fldCharType="begin"/>
          </w:r>
          <w:r w:rsidR="00097972">
            <w:instrText xml:space="preserve"> CITATION Rou10 \l 2057 </w:instrText>
          </w:r>
          <w:r w:rsidR="00097972">
            <w:fldChar w:fldCharType="separate"/>
          </w:r>
          <w:r w:rsidR="00097972" w:rsidRPr="00097972">
            <w:rPr>
              <w:noProof/>
            </w:rPr>
            <w:t>(Group, 2010)</w:t>
          </w:r>
          <w:r w:rsidR="00097972">
            <w:fldChar w:fldCharType="end"/>
          </w:r>
        </w:sdtContent>
      </w:sdt>
      <w:r w:rsidR="00307B59">
        <w:t>.</w:t>
      </w:r>
    </w:p>
    <w:p w14:paraId="18893659" w14:textId="1110A583" w:rsidR="00321D2C" w:rsidRDefault="00D609CF">
      <w:r>
        <w:t xml:space="preserve">Results from a study following Police engagement with the communities concluded that there is much more work to be done moving forward and highlights that including communities in decision-making and having communication with their specific needs. </w:t>
      </w:r>
      <w:r w:rsidR="00321D2C">
        <w:t xml:space="preserve">Positive factors include working with schools and the wider public. By </w:t>
      </w:r>
      <w:r w:rsidR="006C11B7">
        <w:t>collaborating</w:t>
      </w:r>
      <w:r w:rsidR="00321D2C">
        <w:t xml:space="preserve"> with communities in this way ensures that lessons can be learnt by forces and education on minority ethnic groups within these communities can be done effectively.</w:t>
      </w:r>
      <w:r w:rsidR="00097972">
        <w:t xml:space="preserve"> </w:t>
      </w:r>
      <w:sdt>
        <w:sdtPr>
          <w:id w:val="-2077657124"/>
          <w:citation/>
        </w:sdtPr>
        <w:sdtEndPr/>
        <w:sdtContent>
          <w:r w:rsidR="00097972">
            <w:fldChar w:fldCharType="begin"/>
          </w:r>
          <w:r w:rsidR="00097972">
            <w:instrText xml:space="preserve"> CITATION Tay19 \l 2057 </w:instrText>
          </w:r>
          <w:r w:rsidR="00097972">
            <w:fldChar w:fldCharType="separate"/>
          </w:r>
          <w:r w:rsidR="00097972" w:rsidRPr="00097972">
            <w:rPr>
              <w:noProof/>
            </w:rPr>
            <w:t>(Taylor and Francis Online, 2019)</w:t>
          </w:r>
          <w:r w:rsidR="00097972">
            <w:fldChar w:fldCharType="end"/>
          </w:r>
        </w:sdtContent>
      </w:sdt>
      <w:r w:rsidR="00321D2C">
        <w:t xml:space="preserve">. </w:t>
      </w:r>
    </w:p>
    <w:p w14:paraId="188865E4" w14:textId="0C54836F" w:rsidR="00321D2C" w:rsidRDefault="00321D2C">
      <w:r>
        <w:t>T</w:t>
      </w:r>
      <w:r w:rsidRPr="00321D2C">
        <w:t>he Police Reform Act 2002</w:t>
      </w:r>
      <w:r>
        <w:t xml:space="preserve"> was originally introduced to include PCSO’s in the community, however the recruitment of PCSO officers is described as a more demographically diverse than regular recruitment, </w:t>
      </w:r>
      <w:r w:rsidR="002A3E0A">
        <w:t>this ensuring that officers are representing the communities they serve as well as having a</w:t>
      </w:r>
      <w:r w:rsidR="00CD39E0">
        <w:t>n</w:t>
      </w:r>
      <w:r w:rsidR="002A3E0A">
        <w:t xml:space="preserve"> inclusive police force.</w:t>
      </w:r>
      <w:r w:rsidR="00097972">
        <w:t xml:space="preserve"> </w:t>
      </w:r>
      <w:sdt>
        <w:sdtPr>
          <w:id w:val="-230535677"/>
          <w:citation/>
        </w:sdtPr>
        <w:sdtEndPr/>
        <w:sdtContent>
          <w:r w:rsidR="00097972">
            <w:fldChar w:fldCharType="begin"/>
          </w:r>
          <w:r w:rsidR="00097972">
            <w:instrText xml:space="preserve"> CITATION Wil06 \l 2057 </w:instrText>
          </w:r>
          <w:r w:rsidR="00097972">
            <w:fldChar w:fldCharType="separate"/>
          </w:r>
          <w:r w:rsidR="00097972" w:rsidRPr="00097972">
            <w:rPr>
              <w:noProof/>
            </w:rPr>
            <w:t>(Wiley Online Library, 2006)</w:t>
          </w:r>
          <w:r w:rsidR="00097972">
            <w:fldChar w:fldCharType="end"/>
          </w:r>
        </w:sdtContent>
      </w:sdt>
      <w:r w:rsidR="002A3E0A">
        <w:t>.</w:t>
      </w:r>
    </w:p>
    <w:p w14:paraId="7C4AFCC6" w14:textId="77777777" w:rsidR="004A27ED" w:rsidRDefault="004A27ED"/>
    <w:p w14:paraId="6180BD09" w14:textId="1DA801AA" w:rsidR="00635FD5" w:rsidRDefault="002A3E0A">
      <w:r>
        <w:t xml:space="preserve"> </w:t>
      </w:r>
      <w:r w:rsidR="00BC2A3A">
        <w:t xml:space="preserve">1026 </w:t>
      </w:r>
      <w:r>
        <w:t>words</w:t>
      </w:r>
      <w:r w:rsidR="00BC2A3A">
        <w:t>.</w:t>
      </w:r>
    </w:p>
    <w:p w14:paraId="50A691EF" w14:textId="77777777" w:rsidR="005D1649" w:rsidRDefault="005D1649"/>
    <w:p w14:paraId="30C51C58" w14:textId="77777777" w:rsidR="005D1649" w:rsidRDefault="005D1649"/>
    <w:p w14:paraId="04B553F6" w14:textId="77777777" w:rsidR="009D5AEA" w:rsidRDefault="009D5AEA"/>
    <w:p w14:paraId="1AEC3DC2" w14:textId="77777777" w:rsidR="0053721A" w:rsidRDefault="0053721A" w:rsidP="009D5AEA"/>
    <w:p w14:paraId="11C13A85" w14:textId="11343544" w:rsidR="009D5AEA" w:rsidRPr="00101156" w:rsidRDefault="009D5AEA" w:rsidP="009D5AEA">
      <w:pPr>
        <w:rPr>
          <w:rFonts w:asciiTheme="minorHAnsi" w:hAnsiTheme="minorHAnsi" w:cs="Arial"/>
          <w:b/>
          <w:bCs/>
        </w:rPr>
      </w:pPr>
      <w:r w:rsidRPr="00101156">
        <w:rPr>
          <w:rFonts w:asciiTheme="minorHAnsi" w:hAnsiTheme="minorHAnsi" w:cs="Arial"/>
          <w:b/>
          <w:bCs/>
        </w:rPr>
        <w:lastRenderedPageBreak/>
        <w:t>Essay Two: Response policing – Why is it important to manage mental wellbeing in policing? What can be the consequences if mental wellbeing is not managed appropriately?</w:t>
      </w:r>
    </w:p>
    <w:p w14:paraId="5FF287DE" w14:textId="56E70852" w:rsidR="00460BEA" w:rsidRPr="000B0905" w:rsidRDefault="009D5AEA" w:rsidP="009D5AEA">
      <w:pPr>
        <w:rPr>
          <w:rFonts w:asciiTheme="minorHAnsi" w:hAnsiTheme="minorHAnsi" w:cs="Arial"/>
        </w:rPr>
      </w:pPr>
      <w:r w:rsidRPr="000B0905">
        <w:rPr>
          <w:rFonts w:asciiTheme="minorHAnsi" w:hAnsiTheme="minorHAnsi" w:cs="Arial"/>
        </w:rPr>
        <w:t xml:space="preserve">The importance to manage mental welling </w:t>
      </w:r>
      <w:r w:rsidR="002A6B7E" w:rsidRPr="000B0905">
        <w:rPr>
          <w:rFonts w:asciiTheme="minorHAnsi" w:hAnsiTheme="minorHAnsi" w:cs="Arial"/>
        </w:rPr>
        <w:t xml:space="preserve">is vital, no more so than in Policing. </w:t>
      </w:r>
      <w:r w:rsidR="00460BEA" w:rsidRPr="000B0905">
        <w:rPr>
          <w:rFonts w:asciiTheme="minorHAnsi" w:hAnsiTheme="minorHAnsi" w:cs="Arial"/>
        </w:rPr>
        <w:t>Daily</w:t>
      </w:r>
      <w:r w:rsidR="00AD2176" w:rsidRPr="000B0905">
        <w:rPr>
          <w:rFonts w:asciiTheme="minorHAnsi" w:hAnsiTheme="minorHAnsi" w:cs="Arial"/>
        </w:rPr>
        <w:t>,</w:t>
      </w:r>
      <w:r w:rsidR="00460BEA" w:rsidRPr="000B0905">
        <w:rPr>
          <w:rFonts w:asciiTheme="minorHAnsi" w:hAnsiTheme="minorHAnsi" w:cs="Arial"/>
        </w:rPr>
        <w:t xml:space="preserve"> o</w:t>
      </w:r>
      <w:r w:rsidR="002A6B7E" w:rsidRPr="000B0905">
        <w:rPr>
          <w:rFonts w:asciiTheme="minorHAnsi" w:hAnsiTheme="minorHAnsi" w:cs="Arial"/>
        </w:rPr>
        <w:t>fficers</w:t>
      </w:r>
      <w:r w:rsidR="00460BEA" w:rsidRPr="000B0905">
        <w:rPr>
          <w:rFonts w:asciiTheme="minorHAnsi" w:hAnsiTheme="minorHAnsi" w:cs="Arial"/>
        </w:rPr>
        <w:t xml:space="preserve"> will</w:t>
      </w:r>
      <w:r w:rsidR="002A6B7E" w:rsidRPr="000B0905">
        <w:rPr>
          <w:rFonts w:asciiTheme="minorHAnsi" w:hAnsiTheme="minorHAnsi" w:cs="Arial"/>
        </w:rPr>
        <w:t xml:space="preserve"> face</w:t>
      </w:r>
      <w:r w:rsidR="00460BEA" w:rsidRPr="000B0905">
        <w:rPr>
          <w:rFonts w:asciiTheme="minorHAnsi" w:hAnsiTheme="minorHAnsi" w:cs="Arial"/>
        </w:rPr>
        <w:t xml:space="preserve"> heightened emotional situations, dangerous incidents,</w:t>
      </w:r>
      <w:r w:rsidR="002A6B7E" w:rsidRPr="000B0905">
        <w:rPr>
          <w:rFonts w:asciiTheme="minorHAnsi" w:hAnsiTheme="minorHAnsi" w:cs="Arial"/>
        </w:rPr>
        <w:t xml:space="preserve"> trauma, criticism, high </w:t>
      </w:r>
      <w:r w:rsidR="00460BEA" w:rsidRPr="000B0905">
        <w:rPr>
          <w:rFonts w:asciiTheme="minorHAnsi" w:hAnsiTheme="minorHAnsi" w:cs="Arial"/>
        </w:rPr>
        <w:t>workloads</w:t>
      </w:r>
      <w:r w:rsidR="002A6B7E" w:rsidRPr="000B0905">
        <w:rPr>
          <w:rFonts w:asciiTheme="minorHAnsi" w:hAnsiTheme="minorHAnsi" w:cs="Arial"/>
        </w:rPr>
        <w:t>,</w:t>
      </w:r>
      <w:r w:rsidR="00460BEA" w:rsidRPr="000B0905">
        <w:rPr>
          <w:rFonts w:asciiTheme="minorHAnsi" w:hAnsiTheme="minorHAnsi" w:cs="Arial"/>
        </w:rPr>
        <w:t xml:space="preserve"> as well as other stress factors that may contribute such as </w:t>
      </w:r>
      <w:r w:rsidR="00AD2176" w:rsidRPr="000B0905">
        <w:rPr>
          <w:rFonts w:asciiTheme="minorHAnsi" w:hAnsiTheme="minorHAnsi" w:cs="Arial"/>
        </w:rPr>
        <w:t>personal stressors</w:t>
      </w:r>
      <w:r w:rsidR="00537E87">
        <w:rPr>
          <w:rFonts w:asciiTheme="minorHAnsi" w:hAnsiTheme="minorHAnsi" w:cs="Arial"/>
        </w:rPr>
        <w:t xml:space="preserve">, resulting in low morale and taking a leave of sickness </w:t>
      </w:r>
      <w:r w:rsidR="00210EF3">
        <w:rPr>
          <w:rFonts w:asciiTheme="minorHAnsi" w:hAnsiTheme="minorHAnsi" w:cs="Arial"/>
        </w:rPr>
        <w:t>consequently</w:t>
      </w:r>
      <w:r w:rsidR="00537E87">
        <w:rPr>
          <w:rFonts w:asciiTheme="minorHAnsi" w:hAnsiTheme="minorHAnsi" w:cs="Arial"/>
        </w:rPr>
        <w:t xml:space="preserve"> putting additional pressures on other officers and staff</w:t>
      </w:r>
      <w:r w:rsidR="00460BEA" w:rsidRPr="000B0905">
        <w:rPr>
          <w:rFonts w:asciiTheme="minorHAnsi" w:hAnsiTheme="minorHAnsi" w:cs="Arial"/>
        </w:rPr>
        <w:t>. Historically</w:t>
      </w:r>
      <w:r w:rsidR="00BA2EFA" w:rsidRPr="000B0905">
        <w:rPr>
          <w:rFonts w:asciiTheme="minorHAnsi" w:hAnsiTheme="minorHAnsi" w:cs="Arial"/>
        </w:rPr>
        <w:t xml:space="preserve">, forces have been criticised for lack for support of their officers when they find themselves struggling with their mental wellbeing. Majority of these officers may not say a word and try to struggle to complete their duties, but others will speak out. In recent years there have been findings that the police force does not take officers seriously when faced with their mental wellbeing and a request for support. One article published by The Times Newspaper reported that officers were not taken seriously when struggling with their mental wellbeing, this resulting in </w:t>
      </w:r>
      <w:r w:rsidR="006C11B7" w:rsidRPr="000B0905">
        <w:rPr>
          <w:rFonts w:asciiTheme="minorHAnsi" w:hAnsiTheme="minorHAnsi" w:cs="Arial"/>
        </w:rPr>
        <w:t>more</w:t>
      </w:r>
      <w:r w:rsidR="00BA2EFA" w:rsidRPr="000B0905">
        <w:rPr>
          <w:rFonts w:asciiTheme="minorHAnsi" w:hAnsiTheme="minorHAnsi" w:cs="Arial"/>
        </w:rPr>
        <w:t xml:space="preserve"> officers taking sickness leave</w:t>
      </w:r>
      <w:r w:rsidR="00460BEA" w:rsidRPr="000B0905">
        <w:rPr>
          <w:rFonts w:asciiTheme="minorHAnsi" w:hAnsiTheme="minorHAnsi" w:cs="Arial"/>
        </w:rPr>
        <w:t>.</w:t>
      </w:r>
      <w:r w:rsidR="00A71136">
        <w:rPr>
          <w:rFonts w:asciiTheme="minorHAnsi" w:hAnsiTheme="minorHAnsi" w:cs="Arial"/>
        </w:rPr>
        <w:t xml:space="preserve"> </w:t>
      </w:r>
      <w:sdt>
        <w:sdtPr>
          <w:rPr>
            <w:rFonts w:asciiTheme="minorHAnsi" w:hAnsiTheme="minorHAnsi" w:cs="Arial"/>
          </w:rPr>
          <w:id w:val="1878739214"/>
          <w:citation/>
        </w:sdtPr>
        <w:sdtEndPr/>
        <w:sdtContent>
          <w:r w:rsidR="00A71136">
            <w:rPr>
              <w:rFonts w:asciiTheme="minorHAnsi" w:hAnsiTheme="minorHAnsi" w:cs="Arial"/>
            </w:rPr>
            <w:fldChar w:fldCharType="begin"/>
          </w:r>
          <w:r w:rsidR="00A71136">
            <w:rPr>
              <w:rFonts w:asciiTheme="minorHAnsi" w:hAnsiTheme="minorHAnsi" w:cs="Arial"/>
            </w:rPr>
            <w:instrText xml:space="preserve"> CITATION The24 \l 2057 </w:instrText>
          </w:r>
          <w:r w:rsidR="00A71136">
            <w:rPr>
              <w:rFonts w:asciiTheme="minorHAnsi" w:hAnsiTheme="minorHAnsi" w:cs="Arial"/>
            </w:rPr>
            <w:fldChar w:fldCharType="separate"/>
          </w:r>
          <w:r w:rsidR="00A71136" w:rsidRPr="00A71136">
            <w:rPr>
              <w:rFonts w:asciiTheme="minorHAnsi" w:hAnsiTheme="minorHAnsi" w:cs="Arial"/>
              <w:noProof/>
            </w:rPr>
            <w:t>(The Times, 2024)</w:t>
          </w:r>
          <w:r w:rsidR="00A71136">
            <w:rPr>
              <w:rFonts w:asciiTheme="minorHAnsi" w:hAnsiTheme="minorHAnsi" w:cs="Arial"/>
            </w:rPr>
            <w:fldChar w:fldCharType="end"/>
          </w:r>
        </w:sdtContent>
      </w:sdt>
      <w:r w:rsidR="00BA2EFA" w:rsidRPr="000B0905">
        <w:rPr>
          <w:rFonts w:asciiTheme="minorHAnsi" w:hAnsiTheme="minorHAnsi" w:cs="Arial"/>
        </w:rPr>
        <w:t>.</w:t>
      </w:r>
      <w:r w:rsidR="00460BEA" w:rsidRPr="000B0905">
        <w:rPr>
          <w:rFonts w:asciiTheme="minorHAnsi" w:hAnsiTheme="minorHAnsi" w:cs="Arial"/>
        </w:rPr>
        <w:t xml:space="preserve"> </w:t>
      </w:r>
      <w:r w:rsidR="00BA2EFA" w:rsidRPr="000B0905">
        <w:rPr>
          <w:rFonts w:asciiTheme="minorHAnsi" w:hAnsiTheme="minorHAnsi" w:cs="Arial"/>
        </w:rPr>
        <w:t>I</w:t>
      </w:r>
      <w:r w:rsidR="00460BEA" w:rsidRPr="000B0905">
        <w:rPr>
          <w:rFonts w:asciiTheme="minorHAnsi" w:hAnsiTheme="minorHAnsi" w:cs="Arial"/>
        </w:rPr>
        <w:t>n recent years there have been studies that show the effects that policing has on officers</w:t>
      </w:r>
      <w:r w:rsidR="005053DC" w:rsidRPr="000B0905">
        <w:rPr>
          <w:rFonts w:asciiTheme="minorHAnsi" w:hAnsiTheme="minorHAnsi" w:cs="Arial"/>
        </w:rPr>
        <w:t xml:space="preserve"> and what needs to change to ensure the support of officers. A systematic review published in 2019 concluded that there </w:t>
      </w:r>
      <w:r w:rsidR="001A0551" w:rsidRPr="000B0905">
        <w:rPr>
          <w:rFonts w:asciiTheme="minorHAnsi" w:hAnsiTheme="minorHAnsi" w:cs="Arial"/>
        </w:rPr>
        <w:t>was</w:t>
      </w:r>
      <w:r w:rsidR="005053DC" w:rsidRPr="000B0905">
        <w:rPr>
          <w:rFonts w:asciiTheme="minorHAnsi" w:hAnsiTheme="minorHAnsi" w:cs="Arial"/>
        </w:rPr>
        <w:t xml:space="preserve"> </w:t>
      </w:r>
      <w:r w:rsidR="006C11B7" w:rsidRPr="000B0905">
        <w:rPr>
          <w:rFonts w:asciiTheme="minorHAnsi" w:hAnsiTheme="minorHAnsi" w:cs="Arial"/>
        </w:rPr>
        <w:t>convincing evidence</w:t>
      </w:r>
      <w:r w:rsidR="005053DC" w:rsidRPr="000B0905">
        <w:rPr>
          <w:rFonts w:asciiTheme="minorHAnsi" w:hAnsiTheme="minorHAnsi" w:cs="Arial"/>
        </w:rPr>
        <w:t xml:space="preserve"> to suggest that organisation factors were a contributor when reviewing officers’ poor mental wellbeing. Some highlighted factors were, emotional exhaustion, lack of support, long working </w:t>
      </w:r>
      <w:r w:rsidR="006C11B7" w:rsidRPr="000B0905">
        <w:rPr>
          <w:rFonts w:asciiTheme="minorHAnsi" w:hAnsiTheme="minorHAnsi" w:cs="Arial"/>
        </w:rPr>
        <w:t>hours,</w:t>
      </w:r>
      <w:r w:rsidR="005053DC" w:rsidRPr="000B0905">
        <w:rPr>
          <w:rFonts w:asciiTheme="minorHAnsi" w:hAnsiTheme="minorHAnsi" w:cs="Arial"/>
        </w:rPr>
        <w:t xml:space="preserve"> and job pressure.</w:t>
      </w:r>
      <w:r w:rsidR="00A71136">
        <w:rPr>
          <w:rFonts w:asciiTheme="minorHAnsi" w:hAnsiTheme="minorHAnsi" w:cs="Arial"/>
        </w:rPr>
        <w:t xml:space="preserve"> </w:t>
      </w:r>
      <w:sdt>
        <w:sdtPr>
          <w:rPr>
            <w:rFonts w:asciiTheme="minorHAnsi" w:hAnsiTheme="minorHAnsi" w:cs="Arial"/>
          </w:rPr>
          <w:id w:val="1233038585"/>
          <w:citation/>
        </w:sdtPr>
        <w:sdtEndPr/>
        <w:sdtContent>
          <w:r w:rsidR="00A71136">
            <w:rPr>
              <w:rFonts w:asciiTheme="minorHAnsi" w:hAnsiTheme="minorHAnsi" w:cs="Arial"/>
            </w:rPr>
            <w:fldChar w:fldCharType="begin"/>
          </w:r>
          <w:r w:rsidR="00A71136">
            <w:rPr>
              <w:rFonts w:asciiTheme="minorHAnsi" w:hAnsiTheme="minorHAnsi" w:cs="Arial"/>
            </w:rPr>
            <w:instrText xml:space="preserve"> CITATION BMC19 \l 2057 </w:instrText>
          </w:r>
          <w:r w:rsidR="00A71136">
            <w:rPr>
              <w:rFonts w:asciiTheme="minorHAnsi" w:hAnsiTheme="minorHAnsi" w:cs="Arial"/>
            </w:rPr>
            <w:fldChar w:fldCharType="separate"/>
          </w:r>
          <w:r w:rsidR="00A71136" w:rsidRPr="00A71136">
            <w:rPr>
              <w:rFonts w:asciiTheme="minorHAnsi" w:hAnsiTheme="minorHAnsi" w:cs="Arial"/>
              <w:noProof/>
            </w:rPr>
            <w:t>(BMC Public Health, 2019)</w:t>
          </w:r>
          <w:r w:rsidR="00A71136">
            <w:rPr>
              <w:rFonts w:asciiTheme="minorHAnsi" w:hAnsiTheme="minorHAnsi" w:cs="Arial"/>
            </w:rPr>
            <w:fldChar w:fldCharType="end"/>
          </w:r>
        </w:sdtContent>
      </w:sdt>
      <w:r w:rsidR="005053DC" w:rsidRPr="000B0905">
        <w:rPr>
          <w:rFonts w:asciiTheme="minorHAnsi" w:hAnsiTheme="minorHAnsi" w:cs="Arial"/>
        </w:rPr>
        <w:t>.</w:t>
      </w:r>
    </w:p>
    <w:p w14:paraId="70ECA0C0" w14:textId="2F1089CD" w:rsidR="00460BEA" w:rsidRPr="000B0905" w:rsidRDefault="00D246A3" w:rsidP="009D5AEA">
      <w:pPr>
        <w:rPr>
          <w:rFonts w:asciiTheme="minorHAnsi" w:hAnsiTheme="minorHAnsi" w:cs="Arial"/>
        </w:rPr>
      </w:pPr>
      <w:r w:rsidRPr="000B0905">
        <w:rPr>
          <w:rFonts w:asciiTheme="minorHAnsi" w:hAnsiTheme="minorHAnsi" w:cs="Arial"/>
        </w:rPr>
        <w:t xml:space="preserve">Situational and organisation factors play </w:t>
      </w:r>
      <w:r w:rsidR="006C11B7" w:rsidRPr="000B0905">
        <w:rPr>
          <w:rFonts w:asciiTheme="minorHAnsi" w:hAnsiTheme="minorHAnsi" w:cs="Arial"/>
        </w:rPr>
        <w:t>a key role</w:t>
      </w:r>
      <w:r w:rsidRPr="000B0905">
        <w:rPr>
          <w:rFonts w:asciiTheme="minorHAnsi" w:hAnsiTheme="minorHAnsi" w:cs="Arial"/>
        </w:rPr>
        <w:t xml:space="preserve"> in the influence of an individual’s mental wellbeing. The stresses that are faced have almost doubled in the last decade leading to stress related sickness leave, this cost one force area in Lincolnshire 10,324 duty days and £1.7 million on sick leave between the years of 2016-2017. The main factors of the sickness leave taken were due to stress, </w:t>
      </w:r>
      <w:r w:rsidR="006C11B7" w:rsidRPr="000B0905">
        <w:rPr>
          <w:rFonts w:asciiTheme="minorHAnsi" w:hAnsiTheme="minorHAnsi" w:cs="Arial"/>
        </w:rPr>
        <w:t>anxiety,</w:t>
      </w:r>
      <w:r w:rsidRPr="000B0905">
        <w:rPr>
          <w:rFonts w:asciiTheme="minorHAnsi" w:hAnsiTheme="minorHAnsi" w:cs="Arial"/>
        </w:rPr>
        <w:t xml:space="preserve"> and depression. Given that Policing is considered a dangerous occupation, this is having a deep impact on its officers.</w:t>
      </w:r>
      <w:r w:rsidR="00A71136">
        <w:rPr>
          <w:rFonts w:asciiTheme="minorHAnsi" w:hAnsiTheme="minorHAnsi" w:cs="Arial"/>
        </w:rPr>
        <w:t xml:space="preserve"> </w:t>
      </w:r>
      <w:sdt>
        <w:sdtPr>
          <w:rPr>
            <w:rFonts w:asciiTheme="minorHAnsi" w:hAnsiTheme="minorHAnsi" w:cs="Arial"/>
          </w:rPr>
          <w:id w:val="-1763674969"/>
          <w:citation/>
        </w:sdtPr>
        <w:sdtEndPr/>
        <w:sdtContent>
          <w:r w:rsidR="00A71136">
            <w:rPr>
              <w:rFonts w:asciiTheme="minorHAnsi" w:hAnsiTheme="minorHAnsi" w:cs="Arial"/>
            </w:rPr>
            <w:fldChar w:fldCharType="begin"/>
          </w:r>
          <w:r w:rsidR="00A71136">
            <w:rPr>
              <w:rFonts w:asciiTheme="minorHAnsi" w:hAnsiTheme="minorHAnsi" w:cs="Arial"/>
            </w:rPr>
            <w:instrText xml:space="preserve"> CITATION Jou21 \l 2057 </w:instrText>
          </w:r>
          <w:r w:rsidR="00A71136">
            <w:rPr>
              <w:rFonts w:asciiTheme="minorHAnsi" w:hAnsiTheme="minorHAnsi" w:cs="Arial"/>
            </w:rPr>
            <w:fldChar w:fldCharType="separate"/>
          </w:r>
          <w:r w:rsidR="00A71136" w:rsidRPr="00A71136">
            <w:rPr>
              <w:rFonts w:asciiTheme="minorHAnsi" w:hAnsiTheme="minorHAnsi" w:cs="Arial"/>
              <w:noProof/>
            </w:rPr>
            <w:t>(Journals, 2021)</w:t>
          </w:r>
          <w:r w:rsidR="00A71136">
            <w:rPr>
              <w:rFonts w:asciiTheme="minorHAnsi" w:hAnsiTheme="minorHAnsi" w:cs="Arial"/>
            </w:rPr>
            <w:fldChar w:fldCharType="end"/>
          </w:r>
        </w:sdtContent>
      </w:sdt>
      <w:r w:rsidRPr="000B0905">
        <w:rPr>
          <w:rFonts w:asciiTheme="minorHAnsi" w:hAnsiTheme="minorHAnsi" w:cs="Arial"/>
        </w:rPr>
        <w:t>. Organisational, top-down stressors are included in this study and this research concludes that when employee</w:t>
      </w:r>
      <w:r w:rsidR="006C11B7">
        <w:rPr>
          <w:rFonts w:asciiTheme="minorHAnsi" w:hAnsiTheme="minorHAnsi" w:cs="Arial"/>
        </w:rPr>
        <w:t xml:space="preserve">s felt </w:t>
      </w:r>
      <w:r w:rsidRPr="000B0905">
        <w:rPr>
          <w:rFonts w:asciiTheme="minorHAnsi" w:hAnsiTheme="minorHAnsi" w:cs="Arial"/>
        </w:rPr>
        <w:t xml:space="preserve">supported and trust with their organisation the stress factors are significantly lower than employee’s who do not. </w:t>
      </w:r>
      <w:r w:rsidR="00AD2176" w:rsidRPr="000B0905">
        <w:rPr>
          <w:rFonts w:asciiTheme="minorHAnsi" w:hAnsiTheme="minorHAnsi" w:cs="Arial"/>
        </w:rPr>
        <w:t xml:space="preserve">A Psychological Contract between employer and employee where an unwritten agreement is outlined for expectations, </w:t>
      </w:r>
      <w:r w:rsidR="006C11B7" w:rsidRPr="000B0905">
        <w:rPr>
          <w:rFonts w:asciiTheme="minorHAnsi" w:hAnsiTheme="minorHAnsi" w:cs="Arial"/>
        </w:rPr>
        <w:t>beliefs,</w:t>
      </w:r>
      <w:r w:rsidR="00AD2176" w:rsidRPr="000B0905">
        <w:rPr>
          <w:rFonts w:asciiTheme="minorHAnsi" w:hAnsiTheme="minorHAnsi" w:cs="Arial"/>
        </w:rPr>
        <w:t xml:space="preserve"> and ambitions. This </w:t>
      </w:r>
      <w:r w:rsidR="00B312DA" w:rsidRPr="000B0905">
        <w:rPr>
          <w:rFonts w:asciiTheme="minorHAnsi" w:hAnsiTheme="minorHAnsi" w:cs="Arial"/>
        </w:rPr>
        <w:t>causes</w:t>
      </w:r>
      <w:r w:rsidR="00AD2176" w:rsidRPr="000B0905">
        <w:rPr>
          <w:rFonts w:asciiTheme="minorHAnsi" w:hAnsiTheme="minorHAnsi" w:cs="Arial"/>
        </w:rPr>
        <w:t xml:space="preserve"> an additional stress for officers as they are faced with criticism daily, which subsequently will result in poor wellbeing.</w:t>
      </w:r>
      <w:r w:rsidR="00E14C7C">
        <w:rPr>
          <w:rFonts w:asciiTheme="minorHAnsi" w:hAnsiTheme="minorHAnsi" w:cs="Arial"/>
        </w:rPr>
        <w:t xml:space="preserve"> </w:t>
      </w:r>
      <w:sdt>
        <w:sdtPr>
          <w:rPr>
            <w:rFonts w:asciiTheme="minorHAnsi" w:hAnsiTheme="minorHAnsi" w:cs="Arial"/>
          </w:rPr>
          <w:id w:val="523287744"/>
          <w:citation/>
        </w:sdtPr>
        <w:sdtEndPr/>
        <w:sdtContent>
          <w:r w:rsidR="00E14C7C">
            <w:rPr>
              <w:rFonts w:asciiTheme="minorHAnsi" w:hAnsiTheme="minorHAnsi" w:cs="Arial"/>
            </w:rPr>
            <w:fldChar w:fldCharType="begin"/>
          </w:r>
          <w:r w:rsidR="00E14C7C">
            <w:rPr>
              <w:rFonts w:asciiTheme="minorHAnsi" w:hAnsiTheme="minorHAnsi" w:cs="Arial"/>
            </w:rPr>
            <w:instrText xml:space="preserve"> CITATION Uni19 \l 2057 </w:instrText>
          </w:r>
          <w:r w:rsidR="00E14C7C">
            <w:rPr>
              <w:rFonts w:asciiTheme="minorHAnsi" w:hAnsiTheme="minorHAnsi" w:cs="Arial"/>
            </w:rPr>
            <w:fldChar w:fldCharType="separate"/>
          </w:r>
          <w:r w:rsidR="00E14C7C" w:rsidRPr="00E14C7C">
            <w:rPr>
              <w:rFonts w:asciiTheme="minorHAnsi" w:hAnsiTheme="minorHAnsi" w:cs="Arial"/>
              <w:noProof/>
            </w:rPr>
            <w:t>(Birmingham, 2019)</w:t>
          </w:r>
          <w:r w:rsidR="00E14C7C">
            <w:rPr>
              <w:rFonts w:asciiTheme="minorHAnsi" w:hAnsiTheme="minorHAnsi" w:cs="Arial"/>
            </w:rPr>
            <w:fldChar w:fldCharType="end"/>
          </w:r>
        </w:sdtContent>
      </w:sdt>
      <w:r w:rsidR="00AD2176" w:rsidRPr="000B0905">
        <w:rPr>
          <w:rFonts w:asciiTheme="minorHAnsi" w:hAnsiTheme="minorHAnsi" w:cs="Arial"/>
        </w:rPr>
        <w:t>.</w:t>
      </w:r>
    </w:p>
    <w:p w14:paraId="37436992" w14:textId="38A97202" w:rsidR="004A7109" w:rsidRPr="000B0905" w:rsidRDefault="00574C88" w:rsidP="009D5AEA">
      <w:pPr>
        <w:rPr>
          <w:rFonts w:asciiTheme="minorHAnsi" w:hAnsiTheme="minorHAnsi" w:cs="Arial"/>
        </w:rPr>
      </w:pPr>
      <w:r w:rsidRPr="000B0905">
        <w:rPr>
          <w:rFonts w:asciiTheme="minorHAnsi" w:hAnsiTheme="minorHAnsi" w:cs="Arial"/>
        </w:rPr>
        <w:t>There are</w:t>
      </w:r>
      <w:r w:rsidR="00E14C7C">
        <w:rPr>
          <w:rFonts w:asciiTheme="minorHAnsi" w:hAnsiTheme="minorHAnsi" w:cs="Arial"/>
        </w:rPr>
        <w:t xml:space="preserve"> a number of</w:t>
      </w:r>
      <w:r w:rsidRPr="000B0905">
        <w:rPr>
          <w:rFonts w:asciiTheme="minorHAnsi" w:hAnsiTheme="minorHAnsi" w:cs="Arial"/>
        </w:rPr>
        <w:t xml:space="preserve"> reasons as to why officers and staff in the police force feel that asking for help from their organisation will be a hindrance to them.</w:t>
      </w:r>
      <w:r w:rsidR="00E14C7C">
        <w:rPr>
          <w:rFonts w:asciiTheme="minorHAnsi" w:hAnsiTheme="minorHAnsi" w:cs="Arial"/>
        </w:rPr>
        <w:t xml:space="preserve"> </w:t>
      </w:r>
      <w:r w:rsidRPr="000B0905">
        <w:rPr>
          <w:rFonts w:asciiTheme="minorHAnsi" w:hAnsiTheme="minorHAnsi" w:cs="Arial"/>
        </w:rPr>
        <w:t xml:space="preserve">Many feel that there is a stigma attached to asking for support and </w:t>
      </w:r>
      <w:r w:rsidR="006C11B7" w:rsidRPr="000B0905">
        <w:rPr>
          <w:rFonts w:asciiTheme="minorHAnsi" w:hAnsiTheme="minorHAnsi" w:cs="Arial"/>
        </w:rPr>
        <w:t>do not</w:t>
      </w:r>
      <w:r w:rsidRPr="000B0905">
        <w:rPr>
          <w:rFonts w:asciiTheme="minorHAnsi" w:hAnsiTheme="minorHAnsi" w:cs="Arial"/>
        </w:rPr>
        <w:t xml:space="preserve"> want to come across as weak or unable to cope, there has always been an underlying perception that officers should present as a strong unphased front when it comes to dealing with their mental wellbeing. </w:t>
      </w:r>
      <w:r w:rsidR="00F65F24" w:rsidRPr="000B0905">
        <w:rPr>
          <w:rFonts w:asciiTheme="minorHAnsi" w:hAnsiTheme="minorHAnsi" w:cs="Arial"/>
        </w:rPr>
        <w:t>Studies have revealed that officers and their peers feel that there is a stigma attached to this,</w:t>
      </w:r>
      <w:r w:rsidR="00486299" w:rsidRPr="000B0905">
        <w:rPr>
          <w:rFonts w:asciiTheme="minorHAnsi" w:hAnsiTheme="minorHAnsi" w:cs="Arial"/>
        </w:rPr>
        <w:t xml:space="preserve"> as well as a lack of confidentiality if they were to seek support. Flagging their mental wellbeing to senior officers if there is concern is reported as having a negative label and officers feel they face </w:t>
      </w:r>
      <w:r w:rsidR="006C11B7" w:rsidRPr="000B0905">
        <w:rPr>
          <w:rFonts w:asciiTheme="minorHAnsi" w:hAnsiTheme="minorHAnsi" w:cs="Arial"/>
        </w:rPr>
        <w:t>repercussions</w:t>
      </w:r>
      <w:r w:rsidR="00F65F24" w:rsidRPr="000B0905">
        <w:rPr>
          <w:rFonts w:asciiTheme="minorHAnsi" w:hAnsiTheme="minorHAnsi" w:cs="Arial"/>
        </w:rPr>
        <w:t xml:space="preserve"> for future progression in the role.</w:t>
      </w:r>
      <w:r w:rsidR="00E14C7C">
        <w:rPr>
          <w:rFonts w:asciiTheme="minorHAnsi" w:hAnsiTheme="minorHAnsi" w:cs="Arial"/>
        </w:rPr>
        <w:t xml:space="preserve"> </w:t>
      </w:r>
      <w:sdt>
        <w:sdtPr>
          <w:rPr>
            <w:rFonts w:asciiTheme="minorHAnsi" w:hAnsiTheme="minorHAnsi" w:cs="Arial"/>
          </w:rPr>
          <w:id w:val="-1080674177"/>
          <w:citation/>
        </w:sdtPr>
        <w:sdtEndPr/>
        <w:sdtContent>
          <w:r w:rsidR="00E14C7C">
            <w:rPr>
              <w:rFonts w:asciiTheme="minorHAnsi" w:hAnsiTheme="minorHAnsi" w:cs="Arial"/>
            </w:rPr>
            <w:fldChar w:fldCharType="begin"/>
          </w:r>
          <w:r w:rsidR="00E14C7C">
            <w:rPr>
              <w:rFonts w:asciiTheme="minorHAnsi" w:hAnsiTheme="minorHAnsi" w:cs="Arial"/>
            </w:rPr>
            <w:instrText xml:space="preserve">CITATION Rou22 \l 2057 </w:instrText>
          </w:r>
          <w:r w:rsidR="00E14C7C">
            <w:rPr>
              <w:rFonts w:asciiTheme="minorHAnsi" w:hAnsiTheme="minorHAnsi" w:cs="Arial"/>
            </w:rPr>
            <w:fldChar w:fldCharType="separate"/>
          </w:r>
          <w:r w:rsidR="00E14C7C" w:rsidRPr="00E14C7C">
            <w:rPr>
              <w:rFonts w:asciiTheme="minorHAnsi" w:hAnsiTheme="minorHAnsi" w:cs="Arial"/>
              <w:noProof/>
            </w:rPr>
            <w:t>(Group, 2022)</w:t>
          </w:r>
          <w:r w:rsidR="00E14C7C">
            <w:rPr>
              <w:rFonts w:asciiTheme="minorHAnsi" w:hAnsiTheme="minorHAnsi" w:cs="Arial"/>
            </w:rPr>
            <w:fldChar w:fldCharType="end"/>
          </w:r>
        </w:sdtContent>
      </w:sdt>
      <w:r w:rsidR="00E14C7C">
        <w:rPr>
          <w:rFonts w:asciiTheme="minorHAnsi" w:hAnsiTheme="minorHAnsi" w:cs="Arial"/>
        </w:rPr>
        <w:t>.</w:t>
      </w:r>
    </w:p>
    <w:p w14:paraId="58BB837A" w14:textId="21888C27" w:rsidR="00C475DF" w:rsidRDefault="000B0905" w:rsidP="009D5AEA">
      <w:pPr>
        <w:rPr>
          <w:rFonts w:asciiTheme="minorHAnsi" w:hAnsiTheme="minorHAnsi" w:cs="Arial"/>
        </w:rPr>
      </w:pPr>
      <w:r>
        <w:rPr>
          <w:rFonts w:asciiTheme="minorHAnsi" w:hAnsiTheme="minorHAnsi" w:cs="Arial"/>
        </w:rPr>
        <w:t xml:space="preserve">The COVID-19 pandemic saw an alarming increase on the impact of police officer wellbeing. As front-line workers, officers faced </w:t>
      </w:r>
      <w:r w:rsidR="00D57918">
        <w:rPr>
          <w:rFonts w:asciiTheme="minorHAnsi" w:hAnsiTheme="minorHAnsi" w:cs="Arial"/>
        </w:rPr>
        <w:t>several</w:t>
      </w:r>
      <w:r>
        <w:rPr>
          <w:rFonts w:asciiTheme="minorHAnsi" w:hAnsiTheme="minorHAnsi" w:cs="Arial"/>
        </w:rPr>
        <w:t xml:space="preserve"> challenges when dealing with the pandemic facing a surge of officers feeling </w:t>
      </w:r>
      <w:r w:rsidR="00C475DF">
        <w:rPr>
          <w:rFonts w:asciiTheme="minorHAnsi" w:hAnsiTheme="minorHAnsi" w:cs="Arial"/>
        </w:rPr>
        <w:t>less safe</w:t>
      </w:r>
      <w:r>
        <w:rPr>
          <w:rFonts w:asciiTheme="minorHAnsi" w:hAnsiTheme="minorHAnsi" w:cs="Arial"/>
        </w:rPr>
        <w:t xml:space="preserve"> and as a result suffered anxiety. </w:t>
      </w:r>
      <w:r w:rsidR="00C475DF">
        <w:rPr>
          <w:rFonts w:asciiTheme="minorHAnsi" w:hAnsiTheme="minorHAnsi" w:cs="Arial"/>
        </w:rPr>
        <w:t xml:space="preserve">This is plausible when thinking that officers deal with the already high demand that comes with the role but during the COVID-19 pandemic, officers were not only faced with the demand in enforcing the restrictions that </w:t>
      </w:r>
      <w:r w:rsidR="00C475DF">
        <w:rPr>
          <w:rFonts w:asciiTheme="minorHAnsi" w:hAnsiTheme="minorHAnsi" w:cs="Arial"/>
        </w:rPr>
        <w:lastRenderedPageBreak/>
        <w:t>came with the pandemic but also the organisation stressors of having to work on the front line while keeping others and themselves safe. This brought a massive strain on officer who already face a greater risk of poor wellbeing. The lasting effect of the pandemic will inevitably be a long road to recovery for force areas while they continue to proceed with protecting the public in their normal daily duties.</w:t>
      </w:r>
      <w:r w:rsidR="00E14C7C">
        <w:rPr>
          <w:rFonts w:asciiTheme="minorHAnsi" w:hAnsiTheme="minorHAnsi" w:cs="Arial"/>
        </w:rPr>
        <w:t xml:space="preserve"> </w:t>
      </w:r>
      <w:sdt>
        <w:sdtPr>
          <w:rPr>
            <w:rFonts w:asciiTheme="minorHAnsi" w:hAnsiTheme="minorHAnsi" w:cs="Arial"/>
          </w:rPr>
          <w:id w:val="-1818642676"/>
          <w:citation/>
        </w:sdtPr>
        <w:sdtEndPr/>
        <w:sdtContent>
          <w:r w:rsidR="00E14C7C">
            <w:rPr>
              <w:rFonts w:asciiTheme="minorHAnsi" w:hAnsiTheme="minorHAnsi" w:cs="Arial"/>
            </w:rPr>
            <w:fldChar w:fldCharType="begin"/>
          </w:r>
          <w:r w:rsidR="00E14C7C">
            <w:rPr>
              <w:rFonts w:asciiTheme="minorHAnsi" w:hAnsiTheme="minorHAnsi" w:cs="Arial"/>
            </w:rPr>
            <w:instrText xml:space="preserve"> CITATION Uni20 \l 2057 </w:instrText>
          </w:r>
          <w:r w:rsidR="00E14C7C">
            <w:rPr>
              <w:rFonts w:asciiTheme="minorHAnsi" w:hAnsiTheme="minorHAnsi" w:cs="Arial"/>
            </w:rPr>
            <w:fldChar w:fldCharType="separate"/>
          </w:r>
          <w:r w:rsidR="00E14C7C" w:rsidRPr="00E14C7C">
            <w:rPr>
              <w:rFonts w:asciiTheme="minorHAnsi" w:hAnsiTheme="minorHAnsi" w:cs="Arial"/>
              <w:noProof/>
            </w:rPr>
            <w:t>(Charlotte, 2020)</w:t>
          </w:r>
          <w:r w:rsidR="00E14C7C">
            <w:rPr>
              <w:rFonts w:asciiTheme="minorHAnsi" w:hAnsiTheme="minorHAnsi" w:cs="Arial"/>
            </w:rPr>
            <w:fldChar w:fldCharType="end"/>
          </w:r>
        </w:sdtContent>
      </w:sdt>
      <w:r w:rsidR="00DB29CB">
        <w:rPr>
          <w:rFonts w:asciiTheme="minorHAnsi" w:hAnsiTheme="minorHAnsi" w:cs="Arial"/>
        </w:rPr>
        <w:t xml:space="preserve">. </w:t>
      </w:r>
    </w:p>
    <w:p w14:paraId="392C1F18" w14:textId="5FAEAC74" w:rsidR="004D33FA" w:rsidRDefault="004D33FA" w:rsidP="009D5AEA">
      <w:pPr>
        <w:rPr>
          <w:rFonts w:asciiTheme="minorHAnsi" w:hAnsiTheme="minorHAnsi" w:cs="Arial"/>
        </w:rPr>
      </w:pPr>
      <w:r>
        <w:rPr>
          <w:rFonts w:asciiTheme="minorHAnsi" w:hAnsiTheme="minorHAnsi" w:cs="Arial"/>
        </w:rPr>
        <w:t xml:space="preserve">With ongoing challenges officer’s face in their roles, </w:t>
      </w:r>
      <w:r w:rsidR="006C11B7">
        <w:rPr>
          <w:rFonts w:asciiTheme="minorHAnsi" w:hAnsiTheme="minorHAnsi" w:cs="Arial"/>
        </w:rPr>
        <w:t>it is</w:t>
      </w:r>
      <w:r>
        <w:rPr>
          <w:rFonts w:asciiTheme="minorHAnsi" w:hAnsiTheme="minorHAnsi" w:cs="Arial"/>
        </w:rPr>
        <w:t xml:space="preserve"> not a surprise that approximately 1 in 5 officers and staff in the UK face symptoms of Post-Traumatic Stress Disorder (PTSD), this is something that requires urgent addressing given the volume of those it affects in the police force. The consequences of this if not treated can lead to additional ongoing sickness leave, cost to forces not only financially but through officer number decline, officers leaving their role. PTSD if not treated can have a lasting effect on officers and staff in their personal and professional careers, not only does this effect the individual but also their peers.</w:t>
      </w:r>
      <w:r w:rsidR="00750801">
        <w:rPr>
          <w:rFonts w:asciiTheme="minorHAnsi" w:hAnsiTheme="minorHAnsi" w:cs="Arial"/>
        </w:rPr>
        <w:t xml:space="preserve"> </w:t>
      </w:r>
      <w:sdt>
        <w:sdtPr>
          <w:rPr>
            <w:rFonts w:asciiTheme="minorHAnsi" w:hAnsiTheme="minorHAnsi" w:cs="Arial"/>
          </w:rPr>
          <w:id w:val="1665208127"/>
          <w:citation/>
        </w:sdtPr>
        <w:sdtEndPr/>
        <w:sdtContent>
          <w:r w:rsidR="00750801">
            <w:rPr>
              <w:rFonts w:asciiTheme="minorHAnsi" w:hAnsiTheme="minorHAnsi" w:cs="Arial"/>
            </w:rPr>
            <w:fldChar w:fldCharType="begin"/>
          </w:r>
          <w:r w:rsidR="00750801">
            <w:rPr>
              <w:rFonts w:asciiTheme="minorHAnsi" w:hAnsiTheme="minorHAnsi" w:cs="Arial"/>
            </w:rPr>
            <w:instrText xml:space="preserve"> CITATION PMA24 \l 2057 </w:instrText>
          </w:r>
          <w:r w:rsidR="00750801">
            <w:rPr>
              <w:rFonts w:asciiTheme="minorHAnsi" w:hAnsiTheme="minorHAnsi" w:cs="Arial"/>
            </w:rPr>
            <w:fldChar w:fldCharType="separate"/>
          </w:r>
          <w:r w:rsidR="00750801" w:rsidRPr="00750801">
            <w:rPr>
              <w:rFonts w:asciiTheme="minorHAnsi" w:hAnsiTheme="minorHAnsi" w:cs="Arial"/>
              <w:noProof/>
            </w:rPr>
            <w:t>(PMAC, n.d.)</w:t>
          </w:r>
          <w:r w:rsidR="00750801">
            <w:rPr>
              <w:rFonts w:asciiTheme="minorHAnsi" w:hAnsiTheme="minorHAnsi" w:cs="Arial"/>
            </w:rPr>
            <w:fldChar w:fldCharType="end"/>
          </w:r>
        </w:sdtContent>
      </w:sdt>
      <w:r>
        <w:rPr>
          <w:rFonts w:asciiTheme="minorHAnsi" w:hAnsiTheme="minorHAnsi" w:cs="Arial"/>
        </w:rPr>
        <w:t>.</w:t>
      </w:r>
    </w:p>
    <w:p w14:paraId="07A3839D" w14:textId="2C30342D" w:rsidR="006E273D" w:rsidRDefault="00701C5E" w:rsidP="009D5AEA">
      <w:pPr>
        <w:rPr>
          <w:rFonts w:asciiTheme="minorHAnsi" w:hAnsiTheme="minorHAnsi" w:cs="Arial"/>
        </w:rPr>
      </w:pPr>
      <w:r>
        <w:rPr>
          <w:rFonts w:asciiTheme="minorHAnsi" w:hAnsiTheme="minorHAnsi" w:cs="Arial"/>
        </w:rPr>
        <w:t>There have been an extremely high number of voluntary resignations from officers, and from 2022 a Leavers Survey has been put in place to try and identify officers and staff reasons for leaving their force to try and improve and address the reasons behind officers’ decision to leave. Of 651 participants that completed the Leavers Survey, 23.2% of these reported to now have a disillusionment with policing and of these reasons, 6.3% felt they have Health and Wellbeing concerns for leaving the role. From these findings given the right support on officer’s health and wellbeing this percentage would potentially be reduced.</w:t>
      </w:r>
      <w:r w:rsidR="00750801">
        <w:rPr>
          <w:rFonts w:asciiTheme="minorHAnsi" w:hAnsiTheme="minorHAnsi" w:cs="Arial"/>
        </w:rPr>
        <w:t xml:space="preserve"> </w:t>
      </w:r>
      <w:sdt>
        <w:sdtPr>
          <w:rPr>
            <w:rFonts w:asciiTheme="minorHAnsi" w:hAnsiTheme="minorHAnsi" w:cs="Arial"/>
          </w:rPr>
          <w:id w:val="1600443937"/>
          <w:citation/>
        </w:sdtPr>
        <w:sdtEndPr/>
        <w:sdtContent>
          <w:r w:rsidR="00750801">
            <w:rPr>
              <w:rFonts w:asciiTheme="minorHAnsi" w:hAnsiTheme="minorHAnsi" w:cs="Arial"/>
            </w:rPr>
            <w:fldChar w:fldCharType="begin"/>
          </w:r>
          <w:r w:rsidR="00750801">
            <w:rPr>
              <w:rFonts w:asciiTheme="minorHAnsi" w:hAnsiTheme="minorHAnsi" w:cs="Arial"/>
            </w:rPr>
            <w:instrText xml:space="preserve"> CITATION Met23 \l 2057 </w:instrText>
          </w:r>
          <w:r w:rsidR="00750801">
            <w:rPr>
              <w:rFonts w:asciiTheme="minorHAnsi" w:hAnsiTheme="minorHAnsi" w:cs="Arial"/>
            </w:rPr>
            <w:fldChar w:fldCharType="separate"/>
          </w:r>
          <w:r w:rsidR="00750801" w:rsidRPr="00750801">
            <w:rPr>
              <w:rFonts w:asciiTheme="minorHAnsi" w:hAnsiTheme="minorHAnsi" w:cs="Arial"/>
              <w:noProof/>
            </w:rPr>
            <w:t>(Police, 2023)</w:t>
          </w:r>
          <w:r w:rsidR="00750801">
            <w:rPr>
              <w:rFonts w:asciiTheme="minorHAnsi" w:hAnsiTheme="minorHAnsi" w:cs="Arial"/>
            </w:rPr>
            <w:fldChar w:fldCharType="end"/>
          </w:r>
        </w:sdtContent>
      </w:sdt>
      <w:r>
        <w:rPr>
          <w:rFonts w:asciiTheme="minorHAnsi" w:hAnsiTheme="minorHAnsi" w:cs="Arial"/>
        </w:rPr>
        <w:t>.</w:t>
      </w:r>
    </w:p>
    <w:p w14:paraId="4B054712" w14:textId="6D0BB31D" w:rsidR="00701C5E" w:rsidRDefault="00701C5E" w:rsidP="009D5AEA">
      <w:pPr>
        <w:rPr>
          <w:rFonts w:asciiTheme="minorHAnsi" w:hAnsiTheme="minorHAnsi" w:cs="Arial"/>
        </w:rPr>
      </w:pPr>
      <w:r>
        <w:rPr>
          <w:rFonts w:asciiTheme="minorHAnsi" w:hAnsiTheme="minorHAnsi" w:cs="Arial"/>
        </w:rPr>
        <w:t xml:space="preserve">Support in the police forces has come a long way, with the introduction of </w:t>
      </w:r>
      <w:r w:rsidR="00D60CEA">
        <w:rPr>
          <w:rFonts w:asciiTheme="minorHAnsi" w:hAnsiTheme="minorHAnsi" w:cs="Arial"/>
        </w:rPr>
        <w:t>stress specific training for officers and staff making it mandatory for them to complete is a positive factor. As well as the introduction of Trauma Risk Management (TRiM) which is an organisational peer support response for officers who attend traumatic incidents. This identifies individual officers who have attended the incident, and they are then offered support to process the incident should they feel they require this.</w:t>
      </w:r>
      <w:r w:rsidR="00750801">
        <w:rPr>
          <w:rFonts w:asciiTheme="minorHAnsi" w:hAnsiTheme="minorHAnsi" w:cs="Arial"/>
        </w:rPr>
        <w:t xml:space="preserve"> </w:t>
      </w:r>
      <w:sdt>
        <w:sdtPr>
          <w:rPr>
            <w:rFonts w:asciiTheme="minorHAnsi" w:hAnsiTheme="minorHAnsi" w:cs="Arial"/>
          </w:rPr>
          <w:id w:val="357624567"/>
          <w:citation/>
        </w:sdtPr>
        <w:sdtEndPr/>
        <w:sdtContent>
          <w:r w:rsidR="00750801">
            <w:rPr>
              <w:rFonts w:asciiTheme="minorHAnsi" w:hAnsiTheme="minorHAnsi" w:cs="Arial"/>
            </w:rPr>
            <w:fldChar w:fldCharType="begin"/>
          </w:r>
          <w:r w:rsidR="00750801">
            <w:rPr>
              <w:rFonts w:asciiTheme="minorHAnsi" w:hAnsiTheme="minorHAnsi" w:cs="Arial"/>
            </w:rPr>
            <w:instrText xml:space="preserve"> CITATION Oxf13 \l 2057 </w:instrText>
          </w:r>
          <w:r w:rsidR="00750801">
            <w:rPr>
              <w:rFonts w:asciiTheme="minorHAnsi" w:hAnsiTheme="minorHAnsi" w:cs="Arial"/>
            </w:rPr>
            <w:fldChar w:fldCharType="separate"/>
          </w:r>
          <w:r w:rsidR="00750801" w:rsidRPr="00750801">
            <w:rPr>
              <w:rFonts w:asciiTheme="minorHAnsi" w:hAnsiTheme="minorHAnsi" w:cs="Arial"/>
              <w:noProof/>
            </w:rPr>
            <w:t>(Oxford Academic, 2013)</w:t>
          </w:r>
          <w:r w:rsidR="00750801">
            <w:rPr>
              <w:rFonts w:asciiTheme="minorHAnsi" w:hAnsiTheme="minorHAnsi" w:cs="Arial"/>
            </w:rPr>
            <w:fldChar w:fldCharType="end"/>
          </w:r>
        </w:sdtContent>
      </w:sdt>
      <w:r w:rsidR="003718F4">
        <w:rPr>
          <w:rFonts w:asciiTheme="minorHAnsi" w:hAnsiTheme="minorHAnsi" w:cs="Arial"/>
        </w:rPr>
        <w:t xml:space="preserve">. </w:t>
      </w:r>
      <w:r w:rsidR="00B95B23">
        <w:rPr>
          <w:rFonts w:asciiTheme="minorHAnsi" w:hAnsiTheme="minorHAnsi" w:cs="Arial"/>
        </w:rPr>
        <w:t>The Blue Light Wellbeing Framework</w:t>
      </w:r>
      <w:r w:rsidR="003718F4">
        <w:rPr>
          <w:rFonts w:asciiTheme="minorHAnsi" w:hAnsiTheme="minorHAnsi" w:cs="Arial"/>
        </w:rPr>
        <w:t xml:space="preserve"> (BLWF)</w:t>
      </w:r>
      <w:r w:rsidR="00B95B23">
        <w:rPr>
          <w:rFonts w:asciiTheme="minorHAnsi" w:hAnsiTheme="minorHAnsi" w:cs="Arial"/>
        </w:rPr>
        <w:t xml:space="preserve"> is a self-assessment tool which is available for emergency services workers that sets a standard for wellbeing in each force area</w:t>
      </w:r>
      <w:r w:rsidR="003718F4">
        <w:rPr>
          <w:rFonts w:asciiTheme="minorHAnsi" w:hAnsiTheme="minorHAnsi" w:cs="Arial"/>
        </w:rPr>
        <w:t xml:space="preserve"> and by using the tools available to them via the BLWF, organisations can ensure that they are trained to deal with the specific support that officers and staff require. This and other support networks are a step in the right direction, but research shows that there is a lot more work that is needed to ensure that officer and staff wellbeing is safeguarded in their roles for future. </w:t>
      </w:r>
      <w:sdt>
        <w:sdtPr>
          <w:rPr>
            <w:rFonts w:asciiTheme="minorHAnsi" w:hAnsiTheme="minorHAnsi" w:cs="Arial"/>
          </w:rPr>
          <w:id w:val="-747190033"/>
          <w:citation/>
        </w:sdtPr>
        <w:sdtEndPr/>
        <w:sdtContent>
          <w:r w:rsidR="00750801">
            <w:rPr>
              <w:rFonts w:asciiTheme="minorHAnsi" w:hAnsiTheme="minorHAnsi" w:cs="Arial"/>
            </w:rPr>
            <w:fldChar w:fldCharType="begin"/>
          </w:r>
          <w:r w:rsidR="00750801">
            <w:rPr>
              <w:rFonts w:asciiTheme="minorHAnsi" w:hAnsiTheme="minorHAnsi" w:cs="Arial"/>
            </w:rPr>
            <w:instrText xml:space="preserve"> CITATION The241 \l 2057 </w:instrText>
          </w:r>
          <w:r w:rsidR="00750801">
            <w:rPr>
              <w:rFonts w:asciiTheme="minorHAnsi" w:hAnsiTheme="minorHAnsi" w:cs="Arial"/>
            </w:rPr>
            <w:fldChar w:fldCharType="separate"/>
          </w:r>
          <w:r w:rsidR="00750801" w:rsidRPr="00750801">
            <w:rPr>
              <w:rFonts w:asciiTheme="minorHAnsi" w:hAnsiTheme="minorHAnsi" w:cs="Arial"/>
              <w:noProof/>
            </w:rPr>
            <w:t>(The National Police Wellbeing Service, 2024)</w:t>
          </w:r>
          <w:r w:rsidR="00750801">
            <w:rPr>
              <w:rFonts w:asciiTheme="minorHAnsi" w:hAnsiTheme="minorHAnsi" w:cs="Arial"/>
            </w:rPr>
            <w:fldChar w:fldCharType="end"/>
          </w:r>
        </w:sdtContent>
      </w:sdt>
      <w:r w:rsidR="003718F4">
        <w:rPr>
          <w:rFonts w:asciiTheme="minorHAnsi" w:hAnsiTheme="minorHAnsi" w:cs="Arial"/>
        </w:rPr>
        <w:t>.</w:t>
      </w:r>
    </w:p>
    <w:p w14:paraId="17510DEF" w14:textId="77777777" w:rsidR="006E273D" w:rsidRDefault="006E273D" w:rsidP="009D5AEA">
      <w:pPr>
        <w:rPr>
          <w:rFonts w:asciiTheme="minorHAnsi" w:hAnsiTheme="minorHAnsi" w:cs="Arial"/>
        </w:rPr>
      </w:pPr>
    </w:p>
    <w:p w14:paraId="3451A417" w14:textId="4BA5D9CE" w:rsidR="00DB29CB" w:rsidRDefault="003718F4" w:rsidP="009D5AEA">
      <w:pPr>
        <w:rPr>
          <w:rFonts w:asciiTheme="minorHAnsi" w:hAnsiTheme="minorHAnsi" w:cs="Arial"/>
        </w:rPr>
      </w:pPr>
      <w:r>
        <w:rPr>
          <w:rFonts w:asciiTheme="minorHAnsi" w:hAnsiTheme="minorHAnsi" w:cs="Arial"/>
        </w:rPr>
        <w:t>10</w:t>
      </w:r>
      <w:r w:rsidR="00750801">
        <w:rPr>
          <w:rFonts w:asciiTheme="minorHAnsi" w:hAnsiTheme="minorHAnsi" w:cs="Arial"/>
        </w:rPr>
        <w:t>82</w:t>
      </w:r>
      <w:r>
        <w:rPr>
          <w:rFonts w:asciiTheme="minorHAnsi" w:hAnsiTheme="minorHAnsi" w:cs="Arial"/>
        </w:rPr>
        <w:t xml:space="preserve"> words.</w:t>
      </w:r>
    </w:p>
    <w:p w14:paraId="78818875" w14:textId="77777777" w:rsidR="00DB29CB" w:rsidRDefault="00DB29CB" w:rsidP="009D5AEA">
      <w:pPr>
        <w:rPr>
          <w:rFonts w:asciiTheme="minorHAnsi" w:hAnsiTheme="minorHAnsi" w:cs="Arial"/>
        </w:rPr>
      </w:pPr>
    </w:p>
    <w:p w14:paraId="47FC581E" w14:textId="77777777" w:rsidR="00AD2176" w:rsidRDefault="00AD2176" w:rsidP="009D5AEA">
      <w:pPr>
        <w:rPr>
          <w:rFonts w:ascii="Arial" w:hAnsi="Arial" w:cs="Arial"/>
        </w:rPr>
      </w:pPr>
    </w:p>
    <w:p w14:paraId="662FAE49" w14:textId="77777777" w:rsidR="00460BEA" w:rsidRDefault="00460BEA" w:rsidP="009D5AEA">
      <w:pPr>
        <w:rPr>
          <w:rFonts w:ascii="Arial" w:hAnsi="Arial" w:cs="Arial"/>
        </w:rPr>
      </w:pPr>
    </w:p>
    <w:p w14:paraId="6205412C" w14:textId="77777777" w:rsidR="00101156" w:rsidRDefault="00101156" w:rsidP="009D5AEA">
      <w:pPr>
        <w:rPr>
          <w:rFonts w:ascii="Arial" w:hAnsi="Arial" w:cs="Arial"/>
        </w:rPr>
      </w:pPr>
    </w:p>
    <w:p w14:paraId="2A8141EE" w14:textId="77777777" w:rsidR="00101156" w:rsidRDefault="00101156" w:rsidP="009D5AEA">
      <w:pPr>
        <w:rPr>
          <w:rFonts w:ascii="Arial" w:hAnsi="Arial" w:cs="Arial"/>
        </w:rPr>
      </w:pPr>
    </w:p>
    <w:p w14:paraId="76F8049D" w14:textId="77777777" w:rsidR="00101156" w:rsidRDefault="00101156" w:rsidP="009D5AEA">
      <w:pPr>
        <w:rPr>
          <w:rFonts w:ascii="Arial" w:hAnsi="Arial" w:cs="Arial"/>
        </w:rPr>
      </w:pPr>
    </w:p>
    <w:p w14:paraId="3E3A6021" w14:textId="77777777" w:rsidR="0053721A" w:rsidRDefault="0053721A" w:rsidP="00101156">
      <w:pPr>
        <w:rPr>
          <w:rFonts w:ascii="Arial" w:hAnsi="Arial" w:cs="Arial"/>
        </w:rPr>
      </w:pPr>
    </w:p>
    <w:p w14:paraId="16568722" w14:textId="7409FCF6" w:rsidR="00101156" w:rsidRPr="00101156" w:rsidRDefault="00101156" w:rsidP="00101156">
      <w:pPr>
        <w:rPr>
          <w:rFonts w:asciiTheme="minorHAnsi" w:hAnsiTheme="minorHAnsi" w:cs="Arial"/>
          <w:b/>
          <w:bCs/>
        </w:rPr>
      </w:pPr>
      <w:r w:rsidRPr="00101156">
        <w:rPr>
          <w:rFonts w:asciiTheme="minorHAnsi" w:hAnsiTheme="minorHAnsi" w:cs="Arial"/>
          <w:b/>
          <w:bCs/>
        </w:rPr>
        <w:lastRenderedPageBreak/>
        <w:t>Essay Three: Outline potential links between serious and organised crime and public protection issues. What characteristics make some people more vulnerable to exploitation by serious and organised crime gangs? Your answer must be based on academic research.</w:t>
      </w:r>
    </w:p>
    <w:p w14:paraId="595FFF42" w14:textId="66EFFB03" w:rsidR="00DD1B3F" w:rsidRDefault="000E6A78" w:rsidP="000E6A78">
      <w:pPr>
        <w:rPr>
          <w:rFonts w:asciiTheme="minorHAnsi" w:hAnsiTheme="minorHAnsi" w:cs="Arial"/>
        </w:rPr>
      </w:pPr>
      <w:r>
        <w:rPr>
          <w:rFonts w:asciiTheme="minorHAnsi" w:hAnsiTheme="minorHAnsi" w:cs="Arial"/>
        </w:rPr>
        <w:t xml:space="preserve">There are many potential links when addressing Serious and Organised Crime (SOC) and those who are risk. There </w:t>
      </w:r>
      <w:r w:rsidR="00DB0344">
        <w:rPr>
          <w:rFonts w:asciiTheme="minorHAnsi" w:hAnsiTheme="minorHAnsi" w:cs="Arial"/>
        </w:rPr>
        <w:t xml:space="preserve">is an alarming rate of </w:t>
      </w:r>
      <w:r>
        <w:rPr>
          <w:rFonts w:asciiTheme="minorHAnsi" w:hAnsiTheme="minorHAnsi" w:cs="Arial"/>
        </w:rPr>
        <w:t xml:space="preserve">people living in the UK who are involved in SOC that costs the UK </w:t>
      </w:r>
      <w:r w:rsidR="00DB0344">
        <w:rPr>
          <w:rFonts w:asciiTheme="minorHAnsi" w:hAnsiTheme="minorHAnsi" w:cs="Arial"/>
        </w:rPr>
        <w:t>£47 billion</w:t>
      </w:r>
      <w:r>
        <w:rPr>
          <w:rFonts w:asciiTheme="minorHAnsi" w:hAnsiTheme="minorHAnsi" w:cs="Arial"/>
        </w:rPr>
        <w:t xml:space="preserve"> each year.</w:t>
      </w:r>
      <w:r w:rsidR="009A2B01">
        <w:rPr>
          <w:rFonts w:asciiTheme="minorHAnsi" w:hAnsiTheme="minorHAnsi" w:cs="Arial"/>
        </w:rPr>
        <w:t xml:space="preserve"> </w:t>
      </w:r>
      <w:sdt>
        <w:sdtPr>
          <w:rPr>
            <w:rFonts w:asciiTheme="minorHAnsi" w:hAnsiTheme="minorHAnsi" w:cs="Arial"/>
          </w:rPr>
          <w:id w:val="-1662461805"/>
          <w:citation/>
        </w:sdtPr>
        <w:sdtEndPr/>
        <w:sdtContent>
          <w:r w:rsidR="00286C02">
            <w:rPr>
              <w:rFonts w:asciiTheme="minorHAnsi" w:hAnsiTheme="minorHAnsi" w:cs="Arial"/>
            </w:rPr>
            <w:fldChar w:fldCharType="begin"/>
          </w:r>
          <w:r w:rsidR="00286C02">
            <w:rPr>
              <w:rFonts w:asciiTheme="minorHAnsi" w:hAnsiTheme="minorHAnsi" w:cs="Arial"/>
            </w:rPr>
            <w:instrText xml:space="preserve"> CITATION GOV241 \l 2057 </w:instrText>
          </w:r>
          <w:r w:rsidR="00286C02">
            <w:rPr>
              <w:rFonts w:asciiTheme="minorHAnsi" w:hAnsiTheme="minorHAnsi" w:cs="Arial"/>
            </w:rPr>
            <w:fldChar w:fldCharType="separate"/>
          </w:r>
          <w:r w:rsidR="00286C02" w:rsidRPr="00286C02">
            <w:rPr>
              <w:rFonts w:asciiTheme="minorHAnsi" w:hAnsiTheme="minorHAnsi" w:cs="Arial"/>
              <w:noProof/>
            </w:rPr>
            <w:t>(GOV.UK, 2024)</w:t>
          </w:r>
          <w:r w:rsidR="00286C02">
            <w:rPr>
              <w:rFonts w:asciiTheme="minorHAnsi" w:hAnsiTheme="minorHAnsi" w:cs="Arial"/>
            </w:rPr>
            <w:fldChar w:fldCharType="end"/>
          </w:r>
        </w:sdtContent>
      </w:sdt>
      <w:r w:rsidR="00DB0344">
        <w:rPr>
          <w:rFonts w:asciiTheme="minorHAnsi" w:hAnsiTheme="minorHAnsi" w:cs="Arial"/>
        </w:rPr>
        <w:t>.</w:t>
      </w:r>
      <w:r>
        <w:rPr>
          <w:rFonts w:asciiTheme="minorHAnsi" w:hAnsiTheme="minorHAnsi" w:cs="Arial"/>
        </w:rPr>
        <w:t xml:space="preserve"> Other than cost there is wider public concern for individuals who are drawn in to SOC</w:t>
      </w:r>
      <w:r w:rsidR="00DB0344">
        <w:rPr>
          <w:rFonts w:asciiTheme="minorHAnsi" w:hAnsiTheme="minorHAnsi" w:cs="Arial"/>
        </w:rPr>
        <w:t xml:space="preserve">. </w:t>
      </w:r>
      <w:r w:rsidR="00DD1B3F">
        <w:rPr>
          <w:rFonts w:asciiTheme="minorHAnsi" w:hAnsiTheme="minorHAnsi" w:cs="Arial"/>
        </w:rPr>
        <w:t xml:space="preserve">There are many different networks of </w:t>
      </w:r>
      <w:r w:rsidR="0094597E">
        <w:rPr>
          <w:rFonts w:asciiTheme="minorHAnsi" w:hAnsiTheme="minorHAnsi" w:cs="Arial"/>
        </w:rPr>
        <w:t>SOC,</w:t>
      </w:r>
      <w:r w:rsidR="00DD1B3F">
        <w:rPr>
          <w:rFonts w:asciiTheme="minorHAnsi" w:hAnsiTheme="minorHAnsi" w:cs="Arial"/>
        </w:rPr>
        <w:t xml:space="preserve"> and the list is not exhaustive, some include, cybercrime, child sexual abuse, modern slavery, organised immigration crime and drug trafficking or illegal drugs. With a growing towns and cities, come growing initiative from offenders who organise these crimes. Given the </w:t>
      </w:r>
      <w:r w:rsidR="0094597E">
        <w:rPr>
          <w:rFonts w:asciiTheme="minorHAnsi" w:hAnsiTheme="minorHAnsi" w:cs="Arial"/>
        </w:rPr>
        <w:t>number</w:t>
      </w:r>
      <w:r w:rsidR="00DD1B3F">
        <w:rPr>
          <w:rFonts w:asciiTheme="minorHAnsi" w:hAnsiTheme="minorHAnsi" w:cs="Arial"/>
        </w:rPr>
        <w:t xml:space="preserve"> of different networks and the vast areas in which they are dealt from, protecting the public is a mammoth task and one that is extremely challenging. Offenders who are organising these serious crimes are increasingly getting </w:t>
      </w:r>
      <w:r w:rsidR="006C11B7">
        <w:rPr>
          <w:rFonts w:asciiTheme="minorHAnsi" w:hAnsiTheme="minorHAnsi" w:cs="Arial"/>
        </w:rPr>
        <w:t>more</w:t>
      </w:r>
      <w:r w:rsidR="00DD1B3F">
        <w:rPr>
          <w:rFonts w:asciiTheme="minorHAnsi" w:hAnsiTheme="minorHAnsi" w:cs="Arial"/>
        </w:rPr>
        <w:t xml:space="preserve"> savvy</w:t>
      </w:r>
      <w:r w:rsidR="00D50E57">
        <w:rPr>
          <w:rFonts w:asciiTheme="minorHAnsi" w:hAnsiTheme="minorHAnsi" w:cs="Arial"/>
        </w:rPr>
        <w:t>. I</w:t>
      </w:r>
      <w:r w:rsidR="0094597E">
        <w:rPr>
          <w:rFonts w:asciiTheme="minorHAnsi" w:hAnsiTheme="minorHAnsi" w:cs="Arial"/>
        </w:rPr>
        <w:t>t is therefore vital for police to work together and identify any weaknesses in its structure to tackle the growing issue.</w:t>
      </w:r>
      <w:r w:rsidR="00286C02">
        <w:rPr>
          <w:rFonts w:asciiTheme="minorHAnsi" w:hAnsiTheme="minorHAnsi" w:cs="Arial"/>
        </w:rPr>
        <w:t xml:space="preserve"> </w:t>
      </w:r>
      <w:sdt>
        <w:sdtPr>
          <w:rPr>
            <w:rFonts w:asciiTheme="minorHAnsi" w:hAnsiTheme="minorHAnsi" w:cs="Arial"/>
          </w:rPr>
          <w:id w:val="-1139797288"/>
          <w:citation/>
        </w:sdtPr>
        <w:sdtEndPr/>
        <w:sdtContent>
          <w:r w:rsidR="00286C02">
            <w:rPr>
              <w:rFonts w:asciiTheme="minorHAnsi" w:hAnsiTheme="minorHAnsi" w:cs="Arial"/>
            </w:rPr>
            <w:fldChar w:fldCharType="begin"/>
          </w:r>
          <w:r w:rsidR="00286C02">
            <w:rPr>
              <w:rFonts w:asciiTheme="minorHAnsi" w:hAnsiTheme="minorHAnsi" w:cs="Arial"/>
            </w:rPr>
            <w:instrText xml:space="preserve"> CITATION Eme08 \l 2057 </w:instrText>
          </w:r>
          <w:r w:rsidR="00286C02">
            <w:rPr>
              <w:rFonts w:asciiTheme="minorHAnsi" w:hAnsiTheme="minorHAnsi" w:cs="Arial"/>
            </w:rPr>
            <w:fldChar w:fldCharType="separate"/>
          </w:r>
          <w:r w:rsidR="00286C02" w:rsidRPr="00286C02">
            <w:rPr>
              <w:rFonts w:asciiTheme="minorHAnsi" w:hAnsiTheme="minorHAnsi" w:cs="Arial"/>
              <w:noProof/>
            </w:rPr>
            <w:t>(Emerald Insight, 2008)</w:t>
          </w:r>
          <w:r w:rsidR="00286C02">
            <w:rPr>
              <w:rFonts w:asciiTheme="minorHAnsi" w:hAnsiTheme="minorHAnsi" w:cs="Arial"/>
            </w:rPr>
            <w:fldChar w:fldCharType="end"/>
          </w:r>
        </w:sdtContent>
      </w:sdt>
      <w:r w:rsidR="0094597E">
        <w:rPr>
          <w:rFonts w:asciiTheme="minorHAnsi" w:hAnsiTheme="minorHAnsi" w:cs="Arial"/>
        </w:rPr>
        <w:t>.</w:t>
      </w:r>
    </w:p>
    <w:p w14:paraId="19BFB815" w14:textId="4A88BD65" w:rsidR="0094597E" w:rsidRDefault="00AE47E5" w:rsidP="000E6A78">
      <w:pPr>
        <w:rPr>
          <w:rFonts w:asciiTheme="minorHAnsi" w:hAnsiTheme="minorHAnsi" w:cs="Arial"/>
        </w:rPr>
      </w:pPr>
      <w:r>
        <w:rPr>
          <w:rFonts w:asciiTheme="minorHAnsi" w:hAnsiTheme="minorHAnsi" w:cs="Arial"/>
        </w:rPr>
        <w:t>Problem-orientated p</w:t>
      </w:r>
      <w:r w:rsidR="0094597E">
        <w:rPr>
          <w:rFonts w:asciiTheme="minorHAnsi" w:hAnsiTheme="minorHAnsi" w:cs="Arial"/>
        </w:rPr>
        <w:t>olicing is effective</w:t>
      </w:r>
      <w:r>
        <w:rPr>
          <w:rFonts w:asciiTheme="minorHAnsi" w:hAnsiTheme="minorHAnsi" w:cs="Arial"/>
        </w:rPr>
        <w:t xml:space="preserve"> when implemented,</w:t>
      </w:r>
      <w:r w:rsidR="0094597E">
        <w:rPr>
          <w:rFonts w:asciiTheme="minorHAnsi" w:hAnsiTheme="minorHAnsi" w:cs="Arial"/>
        </w:rPr>
        <w:t xml:space="preserve"> but there are several barriers when it </w:t>
      </w:r>
      <w:r w:rsidR="00676426">
        <w:rPr>
          <w:rFonts w:asciiTheme="minorHAnsi" w:hAnsiTheme="minorHAnsi" w:cs="Arial"/>
        </w:rPr>
        <w:t>comes</w:t>
      </w:r>
      <w:r w:rsidR="0094597E">
        <w:rPr>
          <w:rFonts w:asciiTheme="minorHAnsi" w:hAnsiTheme="minorHAnsi" w:cs="Arial"/>
        </w:rPr>
        <w:t xml:space="preserve"> to conducting problem-orientated policing and for it to be effective. The scale of SOC is vast and the police force already being at full capacity of workload</w:t>
      </w:r>
      <w:r>
        <w:rPr>
          <w:rFonts w:asciiTheme="minorHAnsi" w:hAnsiTheme="minorHAnsi" w:cs="Arial"/>
        </w:rPr>
        <w:t xml:space="preserve"> and officers,</w:t>
      </w:r>
      <w:r w:rsidR="0094597E">
        <w:rPr>
          <w:rFonts w:asciiTheme="minorHAnsi" w:hAnsiTheme="minorHAnsi" w:cs="Arial"/>
        </w:rPr>
        <w:t xml:space="preserve"> it c</w:t>
      </w:r>
      <w:r>
        <w:rPr>
          <w:rFonts w:asciiTheme="minorHAnsi" w:hAnsiTheme="minorHAnsi" w:cs="Arial"/>
        </w:rPr>
        <w:t>ould</w:t>
      </w:r>
      <w:r w:rsidR="0094597E">
        <w:rPr>
          <w:rFonts w:asciiTheme="minorHAnsi" w:hAnsiTheme="minorHAnsi" w:cs="Arial"/>
        </w:rPr>
        <w:t xml:space="preserve"> be argued that there could be a lack of </w:t>
      </w:r>
      <w:r>
        <w:rPr>
          <w:rFonts w:asciiTheme="minorHAnsi" w:hAnsiTheme="minorHAnsi" w:cs="Arial"/>
        </w:rPr>
        <w:t>focus on SOC. Given that there is a lack of research and understanding surrounding SOC and the factors within it, this is an addition to the issue that the police force face. SOC is connected via a large network of different counties and countries which not only give a clear difficulty to police but also, requires partnership working with other force areas who are also facing the same strains.</w:t>
      </w:r>
      <w:r w:rsidR="00286C02">
        <w:rPr>
          <w:rFonts w:asciiTheme="minorHAnsi" w:hAnsiTheme="minorHAnsi" w:cs="Arial"/>
        </w:rPr>
        <w:t xml:space="preserve"> </w:t>
      </w:r>
      <w:sdt>
        <w:sdtPr>
          <w:rPr>
            <w:rFonts w:asciiTheme="minorHAnsi" w:hAnsiTheme="minorHAnsi" w:cs="Arial"/>
          </w:rPr>
          <w:id w:val="624976691"/>
          <w:citation/>
        </w:sdtPr>
        <w:sdtEndPr/>
        <w:sdtContent>
          <w:r w:rsidR="00286C02">
            <w:rPr>
              <w:rFonts w:asciiTheme="minorHAnsi" w:hAnsiTheme="minorHAnsi" w:cs="Arial"/>
            </w:rPr>
            <w:fldChar w:fldCharType="begin"/>
          </w:r>
          <w:r w:rsidR="00286C02">
            <w:rPr>
              <w:rFonts w:asciiTheme="minorHAnsi" w:hAnsiTheme="minorHAnsi" w:cs="Arial"/>
            </w:rPr>
            <w:instrText xml:space="preserve"> CITATION Tay22 \l 2057 </w:instrText>
          </w:r>
          <w:r w:rsidR="00286C02">
            <w:rPr>
              <w:rFonts w:asciiTheme="minorHAnsi" w:hAnsiTheme="minorHAnsi" w:cs="Arial"/>
            </w:rPr>
            <w:fldChar w:fldCharType="separate"/>
          </w:r>
          <w:r w:rsidR="00286C02" w:rsidRPr="00286C02">
            <w:rPr>
              <w:rFonts w:asciiTheme="minorHAnsi" w:hAnsiTheme="minorHAnsi" w:cs="Arial"/>
              <w:noProof/>
            </w:rPr>
            <w:t>(Taylor &amp; Francis Online, 2022)</w:t>
          </w:r>
          <w:r w:rsidR="00286C02">
            <w:rPr>
              <w:rFonts w:asciiTheme="minorHAnsi" w:hAnsiTheme="minorHAnsi" w:cs="Arial"/>
            </w:rPr>
            <w:fldChar w:fldCharType="end"/>
          </w:r>
        </w:sdtContent>
      </w:sdt>
      <w:r>
        <w:rPr>
          <w:rFonts w:asciiTheme="minorHAnsi" w:hAnsiTheme="minorHAnsi" w:cs="Arial"/>
        </w:rPr>
        <w:t>.</w:t>
      </w:r>
    </w:p>
    <w:p w14:paraId="57258768" w14:textId="20BB1A96" w:rsidR="000E6A78" w:rsidRDefault="00DB0344" w:rsidP="000E6A78">
      <w:pPr>
        <w:rPr>
          <w:rFonts w:asciiTheme="minorHAnsi" w:hAnsiTheme="minorHAnsi" w:cs="Arial"/>
        </w:rPr>
      </w:pPr>
      <w:r>
        <w:rPr>
          <w:rFonts w:asciiTheme="minorHAnsi" w:hAnsiTheme="minorHAnsi" w:cs="Arial"/>
        </w:rPr>
        <w:t xml:space="preserve">Better known as </w:t>
      </w:r>
      <w:r w:rsidR="000E6A78">
        <w:rPr>
          <w:rFonts w:asciiTheme="minorHAnsi" w:hAnsiTheme="minorHAnsi" w:cs="Arial"/>
        </w:rPr>
        <w:t xml:space="preserve">County Lines, </w:t>
      </w:r>
      <w:r>
        <w:rPr>
          <w:rFonts w:asciiTheme="minorHAnsi" w:hAnsiTheme="minorHAnsi" w:cs="Arial"/>
        </w:rPr>
        <w:t>groups target vulnerable individuals to distribute drugs from larger cities to more rural areas not only putting the individuals who are drawn in at risk but also the communities that are faced with the growing number of SOC areas that are targeted. This is a</w:t>
      </w:r>
      <w:r w:rsidR="00AF3B8B">
        <w:rPr>
          <w:rFonts w:asciiTheme="minorHAnsi" w:hAnsiTheme="minorHAnsi" w:cs="Arial"/>
        </w:rPr>
        <w:t>n</w:t>
      </w:r>
      <w:r>
        <w:rPr>
          <w:rFonts w:asciiTheme="minorHAnsi" w:hAnsiTheme="minorHAnsi" w:cs="Arial"/>
        </w:rPr>
        <w:t xml:space="preserve"> extensive network which is spread across different counties with the aim of distributing drugs under the radar of law enforcement.</w:t>
      </w:r>
      <w:r w:rsidR="00AF3B8B">
        <w:rPr>
          <w:rFonts w:asciiTheme="minorHAnsi" w:hAnsiTheme="minorHAnsi" w:cs="Arial"/>
        </w:rPr>
        <w:t xml:space="preserve"> Evidence suggests that </w:t>
      </w:r>
      <w:r w:rsidR="000D1462">
        <w:rPr>
          <w:rFonts w:asciiTheme="minorHAnsi" w:hAnsiTheme="minorHAnsi" w:cs="Arial"/>
        </w:rPr>
        <w:t>higher ranking members of these</w:t>
      </w:r>
      <w:r w:rsidR="00AF3B8B">
        <w:rPr>
          <w:rFonts w:asciiTheme="minorHAnsi" w:hAnsiTheme="minorHAnsi" w:cs="Arial"/>
        </w:rPr>
        <w:t xml:space="preserve"> gangs have no issue in using extreme violence and intimidation of lower ranking members to enforce their duties, resulting in vulnerable individuals continuing to </w:t>
      </w:r>
      <w:r w:rsidR="006C11B7">
        <w:rPr>
          <w:rFonts w:asciiTheme="minorHAnsi" w:hAnsiTheme="minorHAnsi" w:cs="Arial"/>
        </w:rPr>
        <w:t>conduct</w:t>
      </w:r>
      <w:r w:rsidR="00AF3B8B">
        <w:rPr>
          <w:rFonts w:asciiTheme="minorHAnsi" w:hAnsiTheme="minorHAnsi" w:cs="Arial"/>
        </w:rPr>
        <w:t xml:space="preserve"> their roles</w:t>
      </w:r>
      <w:r w:rsidR="00340A4F">
        <w:rPr>
          <w:rFonts w:asciiTheme="minorHAnsi" w:hAnsiTheme="minorHAnsi" w:cs="Arial"/>
        </w:rPr>
        <w:t xml:space="preserve"> or even death</w:t>
      </w:r>
      <w:r w:rsidR="00AF3B8B">
        <w:rPr>
          <w:rFonts w:asciiTheme="minorHAnsi" w:hAnsiTheme="minorHAnsi" w:cs="Arial"/>
        </w:rPr>
        <w:t>.</w:t>
      </w:r>
      <w:r w:rsidR="00340A4F">
        <w:rPr>
          <w:rFonts w:asciiTheme="minorHAnsi" w:hAnsiTheme="minorHAnsi" w:cs="Arial"/>
        </w:rPr>
        <w:t xml:space="preserve"> This identifies the grand scale of concern that these children face when recruited into SOC.</w:t>
      </w:r>
      <w:r w:rsidR="00286C02">
        <w:rPr>
          <w:rFonts w:asciiTheme="minorHAnsi" w:hAnsiTheme="minorHAnsi" w:cs="Arial"/>
        </w:rPr>
        <w:t xml:space="preserve"> </w:t>
      </w:r>
      <w:sdt>
        <w:sdtPr>
          <w:rPr>
            <w:rFonts w:asciiTheme="minorHAnsi" w:hAnsiTheme="minorHAnsi" w:cs="Arial"/>
          </w:rPr>
          <w:id w:val="-457727944"/>
          <w:citation/>
        </w:sdtPr>
        <w:sdtEndPr/>
        <w:sdtContent>
          <w:r w:rsidR="00286C02">
            <w:rPr>
              <w:rFonts w:asciiTheme="minorHAnsi" w:hAnsiTheme="minorHAnsi" w:cs="Arial"/>
            </w:rPr>
            <w:fldChar w:fldCharType="begin"/>
          </w:r>
          <w:r w:rsidR="00286C02">
            <w:rPr>
              <w:rFonts w:asciiTheme="minorHAnsi" w:hAnsiTheme="minorHAnsi" w:cs="Arial"/>
            </w:rPr>
            <w:instrText xml:space="preserve"> CITATION Not21 \l 2057 </w:instrText>
          </w:r>
          <w:r w:rsidR="00286C02">
            <w:rPr>
              <w:rFonts w:asciiTheme="minorHAnsi" w:hAnsiTheme="minorHAnsi" w:cs="Arial"/>
            </w:rPr>
            <w:fldChar w:fldCharType="separate"/>
          </w:r>
          <w:r w:rsidR="00286C02" w:rsidRPr="00286C02">
            <w:rPr>
              <w:rFonts w:asciiTheme="minorHAnsi" w:hAnsiTheme="minorHAnsi" w:cs="Arial"/>
              <w:noProof/>
            </w:rPr>
            <w:t>(Nottingham Trent University, 2021)</w:t>
          </w:r>
          <w:r w:rsidR="00286C02">
            <w:rPr>
              <w:rFonts w:asciiTheme="minorHAnsi" w:hAnsiTheme="minorHAnsi" w:cs="Arial"/>
            </w:rPr>
            <w:fldChar w:fldCharType="end"/>
          </w:r>
        </w:sdtContent>
      </w:sdt>
      <w:r w:rsidR="00286C02">
        <w:rPr>
          <w:rFonts w:asciiTheme="minorHAnsi" w:hAnsiTheme="minorHAnsi" w:cs="Arial"/>
        </w:rPr>
        <w:t>.</w:t>
      </w:r>
    </w:p>
    <w:p w14:paraId="473F1C0D" w14:textId="1EAB229E" w:rsidR="00F8225D" w:rsidRDefault="00F8225D" w:rsidP="000E6A78">
      <w:pPr>
        <w:rPr>
          <w:rFonts w:asciiTheme="minorHAnsi" w:hAnsiTheme="minorHAnsi" w:cs="Arial"/>
        </w:rPr>
      </w:pPr>
      <w:r>
        <w:rPr>
          <w:rFonts w:asciiTheme="minorHAnsi" w:hAnsiTheme="minorHAnsi" w:cs="Arial"/>
        </w:rPr>
        <w:t xml:space="preserve">Communities are directly affected by SOC, a research project conducted by The University of Sterling published its findings on how communities’ live side by side with the SOC in their area. They sought to answer several questions which gave an insight into relationship existence between SOC </w:t>
      </w:r>
      <w:r w:rsidR="00D50E57">
        <w:rPr>
          <w:rFonts w:asciiTheme="minorHAnsi" w:hAnsiTheme="minorHAnsi" w:cs="Arial"/>
        </w:rPr>
        <w:t>and</w:t>
      </w:r>
      <w:r>
        <w:rPr>
          <w:rFonts w:asciiTheme="minorHAnsi" w:hAnsiTheme="minorHAnsi" w:cs="Arial"/>
        </w:rPr>
        <w:t xml:space="preserve"> </w:t>
      </w:r>
      <w:r w:rsidR="00D50E57">
        <w:rPr>
          <w:rFonts w:asciiTheme="minorHAnsi" w:hAnsiTheme="minorHAnsi" w:cs="Arial"/>
        </w:rPr>
        <w:t>the community</w:t>
      </w:r>
      <w:r>
        <w:rPr>
          <w:rFonts w:asciiTheme="minorHAnsi" w:hAnsiTheme="minorHAnsi" w:cs="Arial"/>
        </w:rPr>
        <w:t xml:space="preserve">, differences in experience they have faced as a community and the impact of community wellbeing and </w:t>
      </w:r>
      <w:r w:rsidR="006E4DD5">
        <w:rPr>
          <w:rFonts w:asciiTheme="minorHAnsi" w:hAnsiTheme="minorHAnsi" w:cs="Arial"/>
        </w:rPr>
        <w:t>if possible, the mitigation of harm associated with SOC in their community. Addressing these issues shows that there is a growing risk when it comes to tackling SOC, but it is also a positive factor in tackling it. However, given the vast increase in communities being affected by SOC, it is unclear if this will have any impact on tackling these issues within the community.</w:t>
      </w:r>
      <w:r w:rsidR="001E14A7">
        <w:rPr>
          <w:rFonts w:asciiTheme="minorHAnsi" w:hAnsiTheme="minorHAnsi" w:cs="Arial"/>
        </w:rPr>
        <w:t xml:space="preserve"> </w:t>
      </w:r>
      <w:sdt>
        <w:sdtPr>
          <w:rPr>
            <w:rFonts w:asciiTheme="minorHAnsi" w:hAnsiTheme="minorHAnsi" w:cs="Arial"/>
          </w:rPr>
          <w:id w:val="-778942049"/>
          <w:citation/>
        </w:sdtPr>
        <w:sdtEndPr/>
        <w:sdtContent>
          <w:r w:rsidR="001E14A7">
            <w:rPr>
              <w:rFonts w:asciiTheme="minorHAnsi" w:hAnsiTheme="minorHAnsi" w:cs="Arial"/>
            </w:rPr>
            <w:fldChar w:fldCharType="begin"/>
          </w:r>
          <w:r w:rsidR="001E14A7">
            <w:rPr>
              <w:rFonts w:asciiTheme="minorHAnsi" w:hAnsiTheme="minorHAnsi" w:cs="Arial"/>
            </w:rPr>
            <w:instrText xml:space="preserve"> CITATION Uni18 \l 2057 </w:instrText>
          </w:r>
          <w:r w:rsidR="001E14A7">
            <w:rPr>
              <w:rFonts w:asciiTheme="minorHAnsi" w:hAnsiTheme="minorHAnsi" w:cs="Arial"/>
            </w:rPr>
            <w:fldChar w:fldCharType="separate"/>
          </w:r>
          <w:r w:rsidR="001E14A7" w:rsidRPr="001E14A7">
            <w:rPr>
              <w:rFonts w:asciiTheme="minorHAnsi" w:hAnsiTheme="minorHAnsi" w:cs="Arial"/>
              <w:noProof/>
            </w:rPr>
            <w:t>(University of Sterling, 2018)</w:t>
          </w:r>
          <w:r w:rsidR="001E14A7">
            <w:rPr>
              <w:rFonts w:asciiTheme="minorHAnsi" w:hAnsiTheme="minorHAnsi" w:cs="Arial"/>
            </w:rPr>
            <w:fldChar w:fldCharType="end"/>
          </w:r>
        </w:sdtContent>
      </w:sdt>
      <w:r w:rsidR="006E4DD5">
        <w:rPr>
          <w:rFonts w:asciiTheme="minorHAnsi" w:hAnsiTheme="minorHAnsi" w:cs="Arial"/>
        </w:rPr>
        <w:t>.</w:t>
      </w:r>
    </w:p>
    <w:p w14:paraId="29EE81AC" w14:textId="5E99C74C" w:rsidR="00B93206" w:rsidRDefault="00B93206" w:rsidP="00B93206">
      <w:pPr>
        <w:rPr>
          <w:rFonts w:asciiTheme="minorHAnsi" w:hAnsiTheme="minorHAnsi" w:cs="Arial"/>
        </w:rPr>
      </w:pPr>
      <w:r>
        <w:rPr>
          <w:rFonts w:asciiTheme="minorHAnsi" w:hAnsiTheme="minorHAnsi" w:cs="Arial"/>
        </w:rPr>
        <w:t>Although limited, research shows that individuals</w:t>
      </w:r>
      <w:r w:rsidR="006E4DD5">
        <w:rPr>
          <w:rFonts w:asciiTheme="minorHAnsi" w:hAnsiTheme="minorHAnsi" w:cs="Arial"/>
        </w:rPr>
        <w:t xml:space="preserve"> who are vulnerable and </w:t>
      </w:r>
      <w:r>
        <w:rPr>
          <w:rFonts w:asciiTheme="minorHAnsi" w:hAnsiTheme="minorHAnsi" w:cs="Arial"/>
        </w:rPr>
        <w:t xml:space="preserve">are likely to be </w:t>
      </w:r>
      <w:r w:rsidR="006E4DD5">
        <w:rPr>
          <w:rFonts w:asciiTheme="minorHAnsi" w:hAnsiTheme="minorHAnsi" w:cs="Arial"/>
        </w:rPr>
        <w:t xml:space="preserve">exposed </w:t>
      </w:r>
      <w:r>
        <w:rPr>
          <w:rFonts w:asciiTheme="minorHAnsi" w:hAnsiTheme="minorHAnsi" w:cs="Arial"/>
        </w:rPr>
        <w:t xml:space="preserve">to SOC are male, under </w:t>
      </w:r>
      <w:r w:rsidR="006C11B7">
        <w:rPr>
          <w:rFonts w:asciiTheme="minorHAnsi" w:hAnsiTheme="minorHAnsi" w:cs="Arial"/>
        </w:rPr>
        <w:t>eighteen</w:t>
      </w:r>
      <w:r>
        <w:rPr>
          <w:rFonts w:asciiTheme="minorHAnsi" w:hAnsiTheme="minorHAnsi" w:cs="Arial"/>
        </w:rPr>
        <w:t xml:space="preserve">, have a history of being in the care system and are lacking in positive role models. Young males who have come from a life of crime where family members including parents and siblings who have already embedded themselves in a life of SOC are likely to lead a pathway for younger generations of children within their family making their career of crime inevitable. In addition, victims of violence or suffering with mental health </w:t>
      </w:r>
      <w:r>
        <w:rPr>
          <w:rFonts w:asciiTheme="minorHAnsi" w:hAnsiTheme="minorHAnsi" w:cs="Arial"/>
        </w:rPr>
        <w:lastRenderedPageBreak/>
        <w:t>and drugs is also a strong factor when drawn in to SOC.</w:t>
      </w:r>
      <w:r w:rsidR="001E14A7">
        <w:rPr>
          <w:rFonts w:asciiTheme="minorHAnsi" w:hAnsiTheme="minorHAnsi" w:cs="Arial"/>
        </w:rPr>
        <w:t xml:space="preserve"> </w:t>
      </w:r>
      <w:sdt>
        <w:sdtPr>
          <w:rPr>
            <w:rFonts w:asciiTheme="minorHAnsi" w:hAnsiTheme="minorHAnsi" w:cs="Arial"/>
          </w:rPr>
          <w:id w:val="1127204316"/>
          <w:citation/>
        </w:sdtPr>
        <w:sdtEndPr/>
        <w:sdtContent>
          <w:r w:rsidR="001E14A7">
            <w:rPr>
              <w:rFonts w:asciiTheme="minorHAnsi" w:hAnsiTheme="minorHAnsi" w:cs="Arial"/>
            </w:rPr>
            <w:fldChar w:fldCharType="begin"/>
          </w:r>
          <w:r w:rsidR="001E14A7">
            <w:rPr>
              <w:rFonts w:asciiTheme="minorHAnsi" w:hAnsiTheme="minorHAnsi" w:cs="Arial"/>
            </w:rPr>
            <w:instrText xml:space="preserve"> CITATION Uni191 \l 2057 </w:instrText>
          </w:r>
          <w:r w:rsidR="001E14A7">
            <w:rPr>
              <w:rFonts w:asciiTheme="minorHAnsi" w:hAnsiTheme="minorHAnsi" w:cs="Arial"/>
            </w:rPr>
            <w:fldChar w:fldCharType="separate"/>
          </w:r>
          <w:r w:rsidR="001E14A7" w:rsidRPr="001E14A7">
            <w:rPr>
              <w:rFonts w:asciiTheme="minorHAnsi" w:hAnsiTheme="minorHAnsi" w:cs="Arial"/>
              <w:noProof/>
            </w:rPr>
            <w:t>(University of Central Lancashire, 2019)</w:t>
          </w:r>
          <w:r w:rsidR="001E14A7">
            <w:rPr>
              <w:rFonts w:asciiTheme="minorHAnsi" w:hAnsiTheme="minorHAnsi" w:cs="Arial"/>
            </w:rPr>
            <w:fldChar w:fldCharType="end"/>
          </w:r>
        </w:sdtContent>
      </w:sdt>
      <w:r w:rsidR="001E14A7">
        <w:rPr>
          <w:rFonts w:asciiTheme="minorHAnsi" w:hAnsiTheme="minorHAnsi" w:cs="Arial"/>
        </w:rPr>
        <w:t xml:space="preserve">. </w:t>
      </w:r>
      <w:r w:rsidR="005F6366">
        <w:rPr>
          <w:rFonts w:asciiTheme="minorHAnsi" w:hAnsiTheme="minorHAnsi" w:cs="Arial"/>
        </w:rPr>
        <w:t>In addition, an article published by Cambell Systematic Reviews argues that family environment and social relations is a weak perspective of evidence when it comes to recruitment of individuals, however they do believe that there is strong evidence to suggest that the individual-level factors for recruitment include being male and having a criminal and violent background prior to recruitment.</w:t>
      </w:r>
      <w:r w:rsidR="001E14A7">
        <w:rPr>
          <w:rFonts w:asciiTheme="minorHAnsi" w:hAnsiTheme="minorHAnsi" w:cs="Arial"/>
        </w:rPr>
        <w:t xml:space="preserve"> </w:t>
      </w:r>
      <w:sdt>
        <w:sdtPr>
          <w:rPr>
            <w:rFonts w:asciiTheme="minorHAnsi" w:hAnsiTheme="minorHAnsi" w:cs="Arial"/>
          </w:rPr>
          <w:id w:val="926160299"/>
          <w:citation/>
        </w:sdtPr>
        <w:sdtEndPr/>
        <w:sdtContent>
          <w:r w:rsidR="001E14A7">
            <w:rPr>
              <w:rFonts w:asciiTheme="minorHAnsi" w:hAnsiTheme="minorHAnsi" w:cs="Arial"/>
            </w:rPr>
            <w:fldChar w:fldCharType="begin"/>
          </w:r>
          <w:r w:rsidR="001E14A7">
            <w:rPr>
              <w:rFonts w:asciiTheme="minorHAnsi" w:hAnsiTheme="minorHAnsi" w:cs="Arial"/>
            </w:rPr>
            <w:instrText xml:space="preserve"> CITATION Wil22 \l 2057 </w:instrText>
          </w:r>
          <w:r w:rsidR="001E14A7">
            <w:rPr>
              <w:rFonts w:asciiTheme="minorHAnsi" w:hAnsiTheme="minorHAnsi" w:cs="Arial"/>
            </w:rPr>
            <w:fldChar w:fldCharType="separate"/>
          </w:r>
          <w:r w:rsidR="001E14A7" w:rsidRPr="001E14A7">
            <w:rPr>
              <w:rFonts w:asciiTheme="minorHAnsi" w:hAnsiTheme="minorHAnsi" w:cs="Arial"/>
              <w:noProof/>
            </w:rPr>
            <w:t>(Wiley Library Online, 2022)</w:t>
          </w:r>
          <w:r w:rsidR="001E14A7">
            <w:rPr>
              <w:rFonts w:asciiTheme="minorHAnsi" w:hAnsiTheme="minorHAnsi" w:cs="Arial"/>
            </w:rPr>
            <w:fldChar w:fldCharType="end"/>
          </w:r>
        </w:sdtContent>
      </w:sdt>
      <w:r w:rsidR="005F6366">
        <w:rPr>
          <w:rFonts w:asciiTheme="minorHAnsi" w:hAnsiTheme="minorHAnsi" w:cs="Arial"/>
        </w:rPr>
        <w:t>.</w:t>
      </w:r>
    </w:p>
    <w:p w14:paraId="12DE912A" w14:textId="2161746E" w:rsidR="00D67D43" w:rsidRDefault="00CB75E8" w:rsidP="00B93206">
      <w:pPr>
        <w:rPr>
          <w:rFonts w:asciiTheme="minorHAnsi" w:hAnsiTheme="minorHAnsi" w:cs="Arial"/>
        </w:rPr>
      </w:pPr>
      <w:r>
        <w:rPr>
          <w:rFonts w:asciiTheme="minorHAnsi" w:hAnsiTheme="minorHAnsi" w:cs="Arial"/>
        </w:rPr>
        <w:t xml:space="preserve">Considering the seriousness of the risk faced to young children who are recruited into SOC, the question can be asked of what is actively being done to tackle and support children who are recruited into SOC. There are many different avenues that can be considered following the research already conducted, such as family support, individual-based needs, encouragement of good relationships, mentoring. However, it has been identified that the most </w:t>
      </w:r>
      <w:r w:rsidR="00210EF3">
        <w:rPr>
          <w:rFonts w:asciiTheme="minorHAnsi" w:hAnsiTheme="minorHAnsi" w:cs="Arial"/>
        </w:rPr>
        <w:t>effective</w:t>
      </w:r>
      <w:r>
        <w:rPr>
          <w:rFonts w:asciiTheme="minorHAnsi" w:hAnsiTheme="minorHAnsi" w:cs="Arial"/>
        </w:rPr>
        <w:t xml:space="preserve"> way is by early intervention. The Scottish Police Force’s SOC strategy sets out four main strands of early intervention which include: Divert, Deter, Detect and Disrupt. The aim, to reduce risk and increase awareness. Education of SOC for children who are at risk or who are already </w:t>
      </w:r>
      <w:r w:rsidR="00B6213E">
        <w:rPr>
          <w:rFonts w:asciiTheme="minorHAnsi" w:hAnsiTheme="minorHAnsi" w:cs="Arial"/>
        </w:rPr>
        <w:t xml:space="preserve">experiencing a life of SOC is vital, not only to protect themselves but to identify when they are being exploited. It has been noted that some children may not be aware that they are being exploited due to their lack of education and awareness. It is not only vital to educate the children but also, the adults that surround them may it be friends, </w:t>
      </w:r>
      <w:r w:rsidR="006C11B7">
        <w:rPr>
          <w:rFonts w:asciiTheme="minorHAnsi" w:hAnsiTheme="minorHAnsi" w:cs="Arial"/>
        </w:rPr>
        <w:t>family,</w:t>
      </w:r>
      <w:r w:rsidR="00B6213E">
        <w:rPr>
          <w:rFonts w:asciiTheme="minorHAnsi" w:hAnsiTheme="minorHAnsi" w:cs="Arial"/>
        </w:rPr>
        <w:t xml:space="preserve"> or professionals, providing them with a basic duty of care.</w:t>
      </w:r>
      <w:r w:rsidR="001E14A7">
        <w:rPr>
          <w:rFonts w:asciiTheme="minorHAnsi" w:hAnsiTheme="minorHAnsi" w:cs="Arial"/>
        </w:rPr>
        <w:t xml:space="preserve"> </w:t>
      </w:r>
      <w:sdt>
        <w:sdtPr>
          <w:rPr>
            <w:rFonts w:asciiTheme="minorHAnsi" w:hAnsiTheme="minorHAnsi" w:cs="Arial"/>
          </w:rPr>
          <w:id w:val="1413898474"/>
          <w:citation/>
        </w:sdtPr>
        <w:sdtEndPr/>
        <w:sdtContent>
          <w:r w:rsidR="001E14A7">
            <w:rPr>
              <w:rFonts w:asciiTheme="minorHAnsi" w:hAnsiTheme="minorHAnsi" w:cs="Arial"/>
            </w:rPr>
            <w:fldChar w:fldCharType="begin"/>
          </w:r>
          <w:r w:rsidR="001E14A7">
            <w:rPr>
              <w:rFonts w:asciiTheme="minorHAnsi" w:hAnsiTheme="minorHAnsi" w:cs="Arial"/>
            </w:rPr>
            <w:instrText xml:space="preserve"> CITATION Uni181 \l 2057 </w:instrText>
          </w:r>
          <w:r w:rsidR="001E14A7">
            <w:rPr>
              <w:rFonts w:asciiTheme="minorHAnsi" w:hAnsiTheme="minorHAnsi" w:cs="Arial"/>
            </w:rPr>
            <w:fldChar w:fldCharType="separate"/>
          </w:r>
          <w:r w:rsidR="001E14A7" w:rsidRPr="001E14A7">
            <w:rPr>
              <w:rFonts w:asciiTheme="minorHAnsi" w:hAnsiTheme="minorHAnsi" w:cs="Arial"/>
              <w:noProof/>
            </w:rPr>
            <w:t>(University of Strathclyde, Glasgow, 2018)</w:t>
          </w:r>
          <w:r w:rsidR="001E14A7">
            <w:rPr>
              <w:rFonts w:asciiTheme="minorHAnsi" w:hAnsiTheme="minorHAnsi" w:cs="Arial"/>
            </w:rPr>
            <w:fldChar w:fldCharType="end"/>
          </w:r>
        </w:sdtContent>
      </w:sdt>
      <w:r w:rsidR="00B6213E">
        <w:rPr>
          <w:rFonts w:asciiTheme="minorHAnsi" w:hAnsiTheme="minorHAnsi" w:cs="Arial"/>
        </w:rPr>
        <w:t>.</w:t>
      </w:r>
    </w:p>
    <w:p w14:paraId="739FAEB6" w14:textId="396A7626" w:rsidR="005E328A" w:rsidRDefault="005E328A" w:rsidP="00B93206">
      <w:pPr>
        <w:rPr>
          <w:rFonts w:asciiTheme="minorHAnsi" w:hAnsiTheme="minorHAnsi" w:cs="Arial"/>
        </w:rPr>
      </w:pPr>
      <w:r>
        <w:rPr>
          <w:rFonts w:asciiTheme="minorHAnsi" w:hAnsiTheme="minorHAnsi" w:cs="Arial"/>
        </w:rPr>
        <w:t>Conducting additional research can only be a positive factor to ensure the safety and wellbeing of the children who are recruited into SOC. There ar</w:t>
      </w:r>
      <w:r w:rsidR="00B76A1F">
        <w:rPr>
          <w:rFonts w:asciiTheme="minorHAnsi" w:hAnsiTheme="minorHAnsi" w:cs="Arial"/>
        </w:rPr>
        <w:t xml:space="preserve">e now several early intervention services who have an aim to support and deter children from a pathway to SOC. Following the success of the SOC strategy introduced by Scottland’s force, Action for Children have secured funding for four additional sites to </w:t>
      </w:r>
      <w:r w:rsidR="006C11B7">
        <w:rPr>
          <w:rFonts w:asciiTheme="minorHAnsi" w:hAnsiTheme="minorHAnsi" w:cs="Arial"/>
        </w:rPr>
        <w:t>assess</w:t>
      </w:r>
      <w:r w:rsidR="00B76A1F">
        <w:rPr>
          <w:rFonts w:asciiTheme="minorHAnsi" w:hAnsiTheme="minorHAnsi" w:cs="Arial"/>
        </w:rPr>
        <w:t xml:space="preserve"> the model in </w:t>
      </w:r>
      <w:r w:rsidR="00B76A1F" w:rsidRPr="00B76A1F">
        <w:rPr>
          <w:rFonts w:asciiTheme="minorHAnsi" w:hAnsiTheme="minorHAnsi" w:cs="Arial"/>
        </w:rPr>
        <w:t xml:space="preserve">Cardiff, Dundee, </w:t>
      </w:r>
      <w:r w:rsidR="001E14A7" w:rsidRPr="00B76A1F">
        <w:rPr>
          <w:rFonts w:asciiTheme="minorHAnsi" w:hAnsiTheme="minorHAnsi" w:cs="Arial"/>
        </w:rPr>
        <w:t>Edinburgh,</w:t>
      </w:r>
      <w:r w:rsidR="00B76A1F" w:rsidRPr="00B76A1F">
        <w:rPr>
          <w:rFonts w:asciiTheme="minorHAnsi" w:hAnsiTheme="minorHAnsi" w:cs="Arial"/>
        </w:rPr>
        <w:t xml:space="preserve"> and Newcastle.</w:t>
      </w:r>
      <w:r w:rsidR="00B76A1F">
        <w:rPr>
          <w:rFonts w:asciiTheme="minorHAnsi" w:hAnsiTheme="minorHAnsi" w:cs="Arial"/>
        </w:rPr>
        <w:t xml:space="preserve"> </w:t>
      </w:r>
      <w:r w:rsidR="00D400B0">
        <w:rPr>
          <w:rFonts w:asciiTheme="minorHAnsi" w:hAnsiTheme="minorHAnsi" w:cs="Arial"/>
        </w:rPr>
        <w:t>These services will focus on supporting children between the ages of 11-18 to give them the awareness and support they require to ensure a positive outcome.</w:t>
      </w:r>
      <w:r w:rsidR="001E14A7">
        <w:rPr>
          <w:rFonts w:asciiTheme="minorHAnsi" w:hAnsiTheme="minorHAnsi" w:cs="Arial"/>
        </w:rPr>
        <w:t xml:space="preserve"> </w:t>
      </w:r>
      <w:sdt>
        <w:sdtPr>
          <w:rPr>
            <w:rFonts w:asciiTheme="minorHAnsi" w:hAnsiTheme="minorHAnsi" w:cs="Arial"/>
          </w:rPr>
          <w:id w:val="-1620064309"/>
          <w:citation/>
        </w:sdtPr>
        <w:sdtEndPr/>
        <w:sdtContent>
          <w:r w:rsidR="00AC0074">
            <w:rPr>
              <w:rFonts w:asciiTheme="minorHAnsi" w:hAnsiTheme="minorHAnsi" w:cs="Arial"/>
            </w:rPr>
            <w:fldChar w:fldCharType="begin"/>
          </w:r>
          <w:r w:rsidR="00AC0074">
            <w:rPr>
              <w:rFonts w:asciiTheme="minorHAnsi" w:hAnsiTheme="minorHAnsi" w:cs="Arial"/>
            </w:rPr>
            <w:instrText xml:space="preserve"> CITATION Car22 \l 2057 </w:instrText>
          </w:r>
          <w:r w:rsidR="00AC0074">
            <w:rPr>
              <w:rFonts w:asciiTheme="minorHAnsi" w:hAnsiTheme="minorHAnsi" w:cs="Arial"/>
            </w:rPr>
            <w:fldChar w:fldCharType="separate"/>
          </w:r>
          <w:r w:rsidR="00AC0074" w:rsidRPr="00AC0074">
            <w:rPr>
              <w:rFonts w:asciiTheme="minorHAnsi" w:hAnsiTheme="minorHAnsi" w:cs="Arial"/>
              <w:noProof/>
            </w:rPr>
            <w:t>(Cardiff University, 2022)</w:t>
          </w:r>
          <w:r w:rsidR="00AC0074">
            <w:rPr>
              <w:rFonts w:asciiTheme="minorHAnsi" w:hAnsiTheme="minorHAnsi" w:cs="Arial"/>
            </w:rPr>
            <w:fldChar w:fldCharType="end"/>
          </w:r>
        </w:sdtContent>
      </w:sdt>
      <w:r w:rsidR="00B76A1F">
        <w:rPr>
          <w:rFonts w:asciiTheme="minorHAnsi" w:hAnsiTheme="minorHAnsi" w:cs="Arial"/>
        </w:rPr>
        <w:t>.</w:t>
      </w:r>
    </w:p>
    <w:p w14:paraId="705A66C5" w14:textId="77777777" w:rsidR="000E6A78" w:rsidRDefault="000E6A78" w:rsidP="00101156">
      <w:pPr>
        <w:rPr>
          <w:rFonts w:asciiTheme="minorHAnsi" w:hAnsiTheme="minorHAnsi" w:cs="Arial"/>
        </w:rPr>
      </w:pPr>
    </w:p>
    <w:p w14:paraId="2EFC9CD7" w14:textId="50867E5E" w:rsidR="00946B4A" w:rsidRDefault="007D569A" w:rsidP="00101156">
      <w:pPr>
        <w:rPr>
          <w:rFonts w:asciiTheme="minorHAnsi" w:hAnsiTheme="minorHAnsi" w:cs="Arial"/>
        </w:rPr>
      </w:pPr>
      <w:r>
        <w:rPr>
          <w:rFonts w:asciiTheme="minorHAnsi" w:hAnsiTheme="minorHAnsi" w:cs="Arial"/>
        </w:rPr>
        <w:t>10</w:t>
      </w:r>
      <w:r w:rsidR="00AC0074">
        <w:rPr>
          <w:rFonts w:asciiTheme="minorHAnsi" w:hAnsiTheme="minorHAnsi" w:cs="Arial"/>
        </w:rPr>
        <w:t>33</w:t>
      </w:r>
      <w:r>
        <w:rPr>
          <w:rFonts w:asciiTheme="minorHAnsi" w:hAnsiTheme="minorHAnsi" w:cs="Arial"/>
        </w:rPr>
        <w:t xml:space="preserve"> words.</w:t>
      </w:r>
    </w:p>
    <w:p w14:paraId="73BAFA3A" w14:textId="77777777" w:rsidR="001F421D" w:rsidRDefault="001F421D" w:rsidP="00101156">
      <w:pPr>
        <w:rPr>
          <w:rFonts w:asciiTheme="minorHAnsi" w:hAnsiTheme="minorHAnsi" w:cs="Arial"/>
        </w:rPr>
      </w:pPr>
    </w:p>
    <w:p w14:paraId="1717F7C5" w14:textId="77777777" w:rsidR="001F421D" w:rsidRDefault="001F421D" w:rsidP="00101156">
      <w:pPr>
        <w:rPr>
          <w:rFonts w:asciiTheme="minorHAnsi" w:hAnsiTheme="minorHAnsi" w:cs="Arial"/>
        </w:rPr>
      </w:pPr>
    </w:p>
    <w:p w14:paraId="58C24A48" w14:textId="77777777" w:rsidR="001F421D" w:rsidRDefault="001F421D" w:rsidP="00101156">
      <w:pPr>
        <w:rPr>
          <w:rFonts w:asciiTheme="minorHAnsi" w:hAnsiTheme="minorHAnsi" w:cs="Arial"/>
        </w:rPr>
      </w:pPr>
    </w:p>
    <w:p w14:paraId="4CE430E7" w14:textId="77777777" w:rsidR="001F421D" w:rsidRDefault="001F421D" w:rsidP="00101156">
      <w:pPr>
        <w:rPr>
          <w:rFonts w:asciiTheme="minorHAnsi" w:hAnsiTheme="minorHAnsi" w:cs="Arial"/>
        </w:rPr>
      </w:pPr>
    </w:p>
    <w:p w14:paraId="2DB46EC3" w14:textId="77777777" w:rsidR="001F421D" w:rsidRDefault="001F421D" w:rsidP="00101156">
      <w:pPr>
        <w:rPr>
          <w:rFonts w:asciiTheme="minorHAnsi" w:hAnsiTheme="minorHAnsi" w:cs="Arial"/>
        </w:rPr>
      </w:pPr>
    </w:p>
    <w:p w14:paraId="601042FF" w14:textId="77777777" w:rsidR="001F421D" w:rsidRDefault="001F421D" w:rsidP="00101156">
      <w:pPr>
        <w:rPr>
          <w:rFonts w:asciiTheme="minorHAnsi" w:hAnsiTheme="minorHAnsi" w:cs="Arial"/>
        </w:rPr>
      </w:pPr>
    </w:p>
    <w:p w14:paraId="3E9AA432" w14:textId="77777777" w:rsidR="001F421D" w:rsidRDefault="001F421D" w:rsidP="00101156">
      <w:pPr>
        <w:rPr>
          <w:rFonts w:asciiTheme="minorHAnsi" w:hAnsiTheme="minorHAnsi" w:cs="Arial"/>
        </w:rPr>
      </w:pPr>
    </w:p>
    <w:p w14:paraId="264D2509" w14:textId="77777777" w:rsidR="001F421D" w:rsidRDefault="001F421D" w:rsidP="00101156">
      <w:pPr>
        <w:rPr>
          <w:rFonts w:asciiTheme="minorHAnsi" w:hAnsiTheme="minorHAnsi" w:cs="Arial"/>
        </w:rPr>
      </w:pPr>
    </w:p>
    <w:p w14:paraId="28EAFC28" w14:textId="77777777" w:rsidR="0053721A" w:rsidRDefault="0053721A" w:rsidP="00101156">
      <w:pPr>
        <w:rPr>
          <w:rFonts w:asciiTheme="minorHAnsi" w:hAnsiTheme="minorHAnsi" w:cs="Arial"/>
          <w:b/>
          <w:bCs/>
        </w:rPr>
      </w:pPr>
    </w:p>
    <w:p w14:paraId="59E08C9A" w14:textId="77777777" w:rsidR="0053721A" w:rsidRDefault="0053721A" w:rsidP="00101156">
      <w:pPr>
        <w:rPr>
          <w:rFonts w:asciiTheme="minorHAnsi" w:hAnsiTheme="minorHAnsi" w:cs="Arial"/>
          <w:b/>
          <w:bCs/>
        </w:rPr>
      </w:pPr>
    </w:p>
    <w:p w14:paraId="0DC461C9" w14:textId="59D84BCB" w:rsidR="001F421D" w:rsidRDefault="001F421D" w:rsidP="00101156">
      <w:pPr>
        <w:rPr>
          <w:rFonts w:asciiTheme="minorHAnsi" w:hAnsiTheme="minorHAnsi" w:cs="Arial"/>
          <w:b/>
          <w:bCs/>
        </w:rPr>
      </w:pPr>
      <w:r w:rsidRPr="001F421D">
        <w:rPr>
          <w:rFonts w:asciiTheme="minorHAnsi" w:hAnsiTheme="minorHAnsi" w:cs="Arial"/>
          <w:b/>
          <w:bCs/>
        </w:rPr>
        <w:lastRenderedPageBreak/>
        <w:t>Essay Four: How effective is early intervention an effective means of preventing young people from offending or re-offending? Your answer must be based on academic research, but you may make reference to relevant case studies.</w:t>
      </w:r>
    </w:p>
    <w:p w14:paraId="240CA9B0" w14:textId="26700BA8" w:rsidR="00930D43" w:rsidRDefault="00930D43" w:rsidP="001F421D">
      <w:pPr>
        <w:rPr>
          <w:rFonts w:asciiTheme="minorHAnsi" w:hAnsiTheme="minorHAnsi" w:cs="Arial"/>
        </w:rPr>
      </w:pPr>
      <w:r>
        <w:rPr>
          <w:rFonts w:asciiTheme="minorHAnsi" w:hAnsiTheme="minorHAnsi" w:cs="Arial"/>
        </w:rPr>
        <w:t>Primary research conducted by practitioners in Northen Ireland explored the assumption that when young people from an early age were assessed, whether it may be via education, health, social care, or youth justice, that because of experiencing risk factors they were more likely to be involved in anti-social and/or criminal behaviours.</w:t>
      </w:r>
      <w:r w:rsidR="00C065D1">
        <w:rPr>
          <w:rFonts w:asciiTheme="minorHAnsi" w:hAnsiTheme="minorHAnsi" w:cs="Arial"/>
        </w:rPr>
        <w:t xml:space="preserve"> </w:t>
      </w:r>
      <w:sdt>
        <w:sdtPr>
          <w:rPr>
            <w:rFonts w:asciiTheme="minorHAnsi" w:hAnsiTheme="minorHAnsi" w:cs="Arial"/>
          </w:rPr>
          <w:id w:val="-1549831254"/>
          <w:citation/>
        </w:sdtPr>
        <w:sdtEndPr/>
        <w:sdtContent>
          <w:r w:rsidR="00C065D1">
            <w:rPr>
              <w:rFonts w:asciiTheme="minorHAnsi" w:hAnsiTheme="minorHAnsi" w:cs="Arial"/>
            </w:rPr>
            <w:fldChar w:fldCharType="begin"/>
          </w:r>
          <w:r w:rsidR="00C065D1">
            <w:rPr>
              <w:rFonts w:asciiTheme="minorHAnsi" w:hAnsiTheme="minorHAnsi" w:cs="Arial"/>
            </w:rPr>
            <w:instrText xml:space="preserve"> CITATION Sag14 \l 2057 </w:instrText>
          </w:r>
          <w:r w:rsidR="00C065D1">
            <w:rPr>
              <w:rFonts w:asciiTheme="minorHAnsi" w:hAnsiTheme="minorHAnsi" w:cs="Arial"/>
            </w:rPr>
            <w:fldChar w:fldCharType="separate"/>
          </w:r>
          <w:r w:rsidR="00C065D1" w:rsidRPr="00C065D1">
            <w:rPr>
              <w:rFonts w:asciiTheme="minorHAnsi" w:hAnsiTheme="minorHAnsi" w:cs="Arial"/>
              <w:noProof/>
            </w:rPr>
            <w:t>(Sage Journals, 2014)</w:t>
          </w:r>
          <w:r w:rsidR="00C065D1">
            <w:rPr>
              <w:rFonts w:asciiTheme="minorHAnsi" w:hAnsiTheme="minorHAnsi" w:cs="Arial"/>
            </w:rPr>
            <w:fldChar w:fldCharType="end"/>
          </w:r>
        </w:sdtContent>
      </w:sdt>
      <w:r w:rsidR="00C065D1">
        <w:rPr>
          <w:rFonts w:asciiTheme="minorHAnsi" w:hAnsiTheme="minorHAnsi" w:cs="Arial"/>
        </w:rPr>
        <w:t>.</w:t>
      </w:r>
      <w:r>
        <w:rPr>
          <w:rFonts w:asciiTheme="minorHAnsi" w:hAnsiTheme="minorHAnsi" w:cs="Arial"/>
        </w:rPr>
        <w:t xml:space="preserve"> </w:t>
      </w:r>
      <w:r w:rsidR="00EE2092">
        <w:rPr>
          <w:rFonts w:asciiTheme="minorHAnsi" w:hAnsiTheme="minorHAnsi" w:cs="Arial"/>
        </w:rPr>
        <w:t xml:space="preserve">This research has been supported by a study conducted on juvenile offenders in Florida, USA, to examine if </w:t>
      </w:r>
      <w:r w:rsidR="00BF097D">
        <w:rPr>
          <w:rFonts w:asciiTheme="minorHAnsi" w:hAnsiTheme="minorHAnsi" w:cs="Arial"/>
        </w:rPr>
        <w:t>offenders who suffered Adverse Childhood Experiences (ACE’s) were at higher risk of re-offending. Although, historically, research has shown that ACE’s has been linked to significant health risks,</w:t>
      </w:r>
      <w:r w:rsidR="00C065D1">
        <w:rPr>
          <w:rFonts w:asciiTheme="minorHAnsi" w:hAnsiTheme="minorHAnsi" w:cs="Arial"/>
        </w:rPr>
        <w:t xml:space="preserve"> </w:t>
      </w:r>
      <w:sdt>
        <w:sdtPr>
          <w:rPr>
            <w:rFonts w:asciiTheme="minorHAnsi" w:hAnsiTheme="minorHAnsi" w:cs="Arial"/>
          </w:rPr>
          <w:id w:val="451682398"/>
          <w:citation/>
        </w:sdtPr>
        <w:sdtEndPr/>
        <w:sdtContent>
          <w:r w:rsidR="00C065D1">
            <w:rPr>
              <w:rFonts w:asciiTheme="minorHAnsi" w:hAnsiTheme="minorHAnsi" w:cs="Arial"/>
            </w:rPr>
            <w:fldChar w:fldCharType="begin"/>
          </w:r>
          <w:r w:rsidR="00C065D1">
            <w:rPr>
              <w:rFonts w:asciiTheme="minorHAnsi" w:hAnsiTheme="minorHAnsi" w:cs="Arial"/>
            </w:rPr>
            <w:instrText xml:space="preserve"> CITATION Sci18 \l 2057 </w:instrText>
          </w:r>
          <w:r w:rsidR="00C065D1">
            <w:rPr>
              <w:rFonts w:asciiTheme="minorHAnsi" w:hAnsiTheme="minorHAnsi" w:cs="Arial"/>
            </w:rPr>
            <w:fldChar w:fldCharType="separate"/>
          </w:r>
          <w:r w:rsidR="00C065D1" w:rsidRPr="00C065D1">
            <w:rPr>
              <w:rFonts w:asciiTheme="minorHAnsi" w:hAnsiTheme="minorHAnsi" w:cs="Arial"/>
              <w:noProof/>
            </w:rPr>
            <w:t>(Science Direct, 2018)</w:t>
          </w:r>
          <w:r w:rsidR="00C065D1">
            <w:rPr>
              <w:rFonts w:asciiTheme="minorHAnsi" w:hAnsiTheme="minorHAnsi" w:cs="Arial"/>
            </w:rPr>
            <w:fldChar w:fldCharType="end"/>
          </w:r>
        </w:sdtContent>
      </w:sdt>
      <w:r w:rsidR="00BF097D">
        <w:rPr>
          <w:rFonts w:asciiTheme="minorHAnsi" w:hAnsiTheme="minorHAnsi" w:cs="Arial"/>
        </w:rPr>
        <w:t xml:space="preserve">. The study conducted in Florida not only concluded the poor health risks following </w:t>
      </w:r>
      <w:r w:rsidR="00CE1341">
        <w:rPr>
          <w:rFonts w:asciiTheme="minorHAnsi" w:hAnsiTheme="minorHAnsi" w:cs="Arial"/>
        </w:rPr>
        <w:t xml:space="preserve">an exposure to </w:t>
      </w:r>
      <w:r w:rsidR="00BF097D">
        <w:rPr>
          <w:rFonts w:asciiTheme="minorHAnsi" w:hAnsiTheme="minorHAnsi" w:cs="Arial"/>
        </w:rPr>
        <w:t>ACE’s</w:t>
      </w:r>
      <w:r w:rsidR="006C11B7">
        <w:rPr>
          <w:rFonts w:asciiTheme="minorHAnsi" w:hAnsiTheme="minorHAnsi" w:cs="Arial"/>
        </w:rPr>
        <w:t xml:space="preserve"> </w:t>
      </w:r>
      <w:r w:rsidR="00CE1341">
        <w:rPr>
          <w:rFonts w:asciiTheme="minorHAnsi" w:hAnsiTheme="minorHAnsi" w:cs="Arial"/>
        </w:rPr>
        <w:t>but found that juveniles would be</w:t>
      </w:r>
      <w:r w:rsidR="00BF097D">
        <w:rPr>
          <w:rFonts w:asciiTheme="minorHAnsi" w:hAnsiTheme="minorHAnsi" w:cs="Arial"/>
        </w:rPr>
        <w:t xml:space="preserve"> </w:t>
      </w:r>
      <w:r w:rsidR="00CE1341">
        <w:rPr>
          <w:rFonts w:asciiTheme="minorHAnsi" w:hAnsiTheme="minorHAnsi" w:cs="Arial"/>
        </w:rPr>
        <w:t xml:space="preserve">more than </w:t>
      </w:r>
      <w:r w:rsidR="00BF097D">
        <w:rPr>
          <w:rFonts w:asciiTheme="minorHAnsi" w:hAnsiTheme="minorHAnsi" w:cs="Arial"/>
        </w:rPr>
        <w:t>likely to re-offend</w:t>
      </w:r>
      <w:r w:rsidR="00CE1341">
        <w:rPr>
          <w:rFonts w:asciiTheme="minorHAnsi" w:hAnsiTheme="minorHAnsi" w:cs="Arial"/>
        </w:rPr>
        <w:t xml:space="preserve">. In addition, the study found that not only would the juveniles be more than likely to re-offend but the nature of the crime they would go on to commit would be that of </w:t>
      </w:r>
      <w:r w:rsidR="00D65756">
        <w:rPr>
          <w:rFonts w:asciiTheme="minorHAnsi" w:hAnsiTheme="minorHAnsi" w:cs="Arial"/>
        </w:rPr>
        <w:t>serious and violent crimes.</w:t>
      </w:r>
      <w:r w:rsidR="00C065D1">
        <w:rPr>
          <w:rFonts w:asciiTheme="minorHAnsi" w:hAnsiTheme="minorHAnsi" w:cs="Arial"/>
        </w:rPr>
        <w:t xml:space="preserve"> </w:t>
      </w:r>
      <w:sdt>
        <w:sdtPr>
          <w:rPr>
            <w:rFonts w:asciiTheme="minorHAnsi" w:hAnsiTheme="minorHAnsi" w:cs="Arial"/>
          </w:rPr>
          <w:id w:val="97147373"/>
          <w:citation/>
        </w:sdtPr>
        <w:sdtEndPr/>
        <w:sdtContent>
          <w:r w:rsidR="00C065D1">
            <w:rPr>
              <w:rFonts w:asciiTheme="minorHAnsi" w:hAnsiTheme="minorHAnsi" w:cs="Arial"/>
            </w:rPr>
            <w:fldChar w:fldCharType="begin"/>
          </w:r>
          <w:r w:rsidR="00C065D1">
            <w:rPr>
              <w:rFonts w:asciiTheme="minorHAnsi" w:hAnsiTheme="minorHAnsi" w:cs="Arial"/>
            </w:rPr>
            <w:instrText xml:space="preserve"> CITATION Bry15 \l 2057 </w:instrText>
          </w:r>
          <w:r w:rsidR="00C065D1">
            <w:rPr>
              <w:rFonts w:asciiTheme="minorHAnsi" w:hAnsiTheme="minorHAnsi" w:cs="Arial"/>
            </w:rPr>
            <w:fldChar w:fldCharType="separate"/>
          </w:r>
          <w:r w:rsidR="00C065D1" w:rsidRPr="00C065D1">
            <w:rPr>
              <w:rFonts w:asciiTheme="minorHAnsi" w:hAnsiTheme="minorHAnsi" w:cs="Arial"/>
              <w:noProof/>
            </w:rPr>
            <w:t>(Bryanna Hahn Fox, 2015)</w:t>
          </w:r>
          <w:r w:rsidR="00C065D1">
            <w:rPr>
              <w:rFonts w:asciiTheme="minorHAnsi" w:hAnsiTheme="minorHAnsi" w:cs="Arial"/>
            </w:rPr>
            <w:fldChar w:fldCharType="end"/>
          </w:r>
        </w:sdtContent>
      </w:sdt>
      <w:r w:rsidR="00D65756">
        <w:rPr>
          <w:rFonts w:asciiTheme="minorHAnsi" w:hAnsiTheme="minorHAnsi" w:cs="Arial"/>
        </w:rPr>
        <w:t>.</w:t>
      </w:r>
    </w:p>
    <w:p w14:paraId="5805BDDE" w14:textId="420BB73B" w:rsidR="00C15B59" w:rsidRDefault="003F786D" w:rsidP="001F421D">
      <w:pPr>
        <w:rPr>
          <w:rFonts w:asciiTheme="minorHAnsi" w:hAnsiTheme="minorHAnsi" w:cs="Arial"/>
        </w:rPr>
      </w:pPr>
      <w:r>
        <w:rPr>
          <w:rFonts w:asciiTheme="minorHAnsi" w:hAnsiTheme="minorHAnsi" w:cs="Arial"/>
        </w:rPr>
        <w:t>An example of effective early intervention is from a</w:t>
      </w:r>
      <w:r w:rsidR="0073197D">
        <w:rPr>
          <w:rFonts w:asciiTheme="minorHAnsi" w:hAnsiTheme="minorHAnsi" w:cs="Arial"/>
        </w:rPr>
        <w:t xml:space="preserve"> Case Study following the actions of a</w:t>
      </w:r>
      <w:r>
        <w:rPr>
          <w:rFonts w:asciiTheme="minorHAnsi" w:hAnsiTheme="minorHAnsi" w:cs="Arial"/>
        </w:rPr>
        <w:t xml:space="preserve"> Pupil Referral Unit in a Primary School relating to an </w:t>
      </w:r>
      <w:r w:rsidR="00C15B59">
        <w:rPr>
          <w:rFonts w:asciiTheme="minorHAnsi" w:hAnsiTheme="minorHAnsi" w:cs="Arial"/>
        </w:rPr>
        <w:t>8-year-old</w:t>
      </w:r>
      <w:r>
        <w:rPr>
          <w:rFonts w:asciiTheme="minorHAnsi" w:hAnsiTheme="minorHAnsi" w:cs="Arial"/>
        </w:rPr>
        <w:t xml:space="preserve"> child</w:t>
      </w:r>
      <w:r w:rsidR="0073197D">
        <w:rPr>
          <w:rFonts w:asciiTheme="minorHAnsi" w:hAnsiTheme="minorHAnsi" w:cs="Arial"/>
        </w:rPr>
        <w:t>,</w:t>
      </w:r>
      <w:r>
        <w:rPr>
          <w:rFonts w:asciiTheme="minorHAnsi" w:hAnsiTheme="minorHAnsi" w:cs="Arial"/>
        </w:rPr>
        <w:t xml:space="preserve"> who was described as having an extremely complex home life.</w:t>
      </w:r>
      <w:r w:rsidR="00C15B59">
        <w:rPr>
          <w:rFonts w:asciiTheme="minorHAnsi" w:hAnsiTheme="minorHAnsi" w:cs="Arial"/>
        </w:rPr>
        <w:t xml:space="preserve"> </w:t>
      </w:r>
      <w:r>
        <w:rPr>
          <w:rFonts w:asciiTheme="minorHAnsi" w:hAnsiTheme="minorHAnsi" w:cs="Arial"/>
        </w:rPr>
        <w:t xml:space="preserve">Both parents were physically and verbally violent towards each other regardless of </w:t>
      </w:r>
      <w:r w:rsidR="00BA677E">
        <w:rPr>
          <w:rFonts w:asciiTheme="minorHAnsi" w:hAnsiTheme="minorHAnsi" w:cs="Arial"/>
        </w:rPr>
        <w:t>being</w:t>
      </w:r>
      <w:r>
        <w:rPr>
          <w:rFonts w:asciiTheme="minorHAnsi" w:hAnsiTheme="minorHAnsi" w:cs="Arial"/>
        </w:rPr>
        <w:t xml:space="preserve"> separated, the mother’s new partner was also physically and </w:t>
      </w:r>
      <w:r w:rsidR="00BA677E">
        <w:rPr>
          <w:rFonts w:asciiTheme="minorHAnsi" w:hAnsiTheme="minorHAnsi" w:cs="Arial"/>
        </w:rPr>
        <w:t xml:space="preserve">verbally abusive. The child </w:t>
      </w:r>
      <w:r w:rsidR="00023915">
        <w:rPr>
          <w:rFonts w:asciiTheme="minorHAnsi" w:hAnsiTheme="minorHAnsi" w:cs="Arial"/>
        </w:rPr>
        <w:t xml:space="preserve">was identified as having experienced emotional and physical abuse and neglect, drug abuse, parental separation, mother treated violently, and mental illness. The child </w:t>
      </w:r>
      <w:r w:rsidR="00BA677E">
        <w:rPr>
          <w:rFonts w:asciiTheme="minorHAnsi" w:hAnsiTheme="minorHAnsi" w:cs="Arial"/>
        </w:rPr>
        <w:t>was well known to Social Services and other professionals</w:t>
      </w:r>
      <w:r w:rsidR="00023915">
        <w:rPr>
          <w:rFonts w:asciiTheme="minorHAnsi" w:hAnsiTheme="minorHAnsi" w:cs="Arial"/>
        </w:rPr>
        <w:t>, and the child’s mother</w:t>
      </w:r>
      <w:r w:rsidR="00BA677E">
        <w:rPr>
          <w:rFonts w:asciiTheme="minorHAnsi" w:hAnsiTheme="minorHAnsi" w:cs="Arial"/>
        </w:rPr>
        <w:t xml:space="preserve"> had </w:t>
      </w:r>
      <w:r w:rsidR="00023915">
        <w:rPr>
          <w:rFonts w:asciiTheme="minorHAnsi" w:hAnsiTheme="minorHAnsi" w:cs="Arial"/>
        </w:rPr>
        <w:t>attempted</w:t>
      </w:r>
      <w:r w:rsidR="00BA677E">
        <w:rPr>
          <w:rFonts w:asciiTheme="minorHAnsi" w:hAnsiTheme="minorHAnsi" w:cs="Arial"/>
        </w:rPr>
        <w:t xml:space="preserve"> to remove the child from the school in fear that the biological father would do the same first as they were both trying to gain full custody of the child</w:t>
      </w:r>
      <w:r w:rsidR="00F430A0">
        <w:rPr>
          <w:rFonts w:asciiTheme="minorHAnsi" w:hAnsiTheme="minorHAnsi" w:cs="Arial"/>
        </w:rPr>
        <w:t xml:space="preserve"> and was often described as a weapon used by his parents.</w:t>
      </w:r>
      <w:r w:rsidR="00BA677E">
        <w:rPr>
          <w:rFonts w:asciiTheme="minorHAnsi" w:hAnsiTheme="minorHAnsi" w:cs="Arial"/>
        </w:rPr>
        <w:t xml:space="preserve"> There was drug abuse at the home address with staff at the school witnessing the child smelling of cannabis. The child would frequently attend school and be physically violent towards staff and was verbally abusive and was labelled by other pupils, “Psycho Kid”. This child has been formally diagnosed with ADHD and Autism</w:t>
      </w:r>
      <w:r w:rsidR="00F430A0">
        <w:rPr>
          <w:rFonts w:asciiTheme="minorHAnsi" w:hAnsiTheme="minorHAnsi" w:cs="Arial"/>
        </w:rPr>
        <w:t xml:space="preserve"> and would often have violent outbursts at staff and increasingly at other pupils, where the child threatened to stab them following an outburst. </w:t>
      </w:r>
    </w:p>
    <w:p w14:paraId="76E4963E" w14:textId="760A33B5" w:rsidR="00D65756" w:rsidRDefault="00F430A0" w:rsidP="001F421D">
      <w:pPr>
        <w:rPr>
          <w:rFonts w:asciiTheme="minorHAnsi" w:hAnsiTheme="minorHAnsi" w:cs="Arial"/>
        </w:rPr>
      </w:pPr>
      <w:r>
        <w:rPr>
          <w:rFonts w:asciiTheme="minorHAnsi" w:hAnsiTheme="minorHAnsi" w:cs="Arial"/>
        </w:rPr>
        <w:t xml:space="preserve">This was one of many </w:t>
      </w:r>
      <w:r w:rsidR="00C15B59">
        <w:rPr>
          <w:rFonts w:asciiTheme="minorHAnsi" w:hAnsiTheme="minorHAnsi" w:cs="Arial"/>
        </w:rPr>
        <w:t>outbursts</w:t>
      </w:r>
      <w:r>
        <w:rPr>
          <w:rFonts w:asciiTheme="minorHAnsi" w:hAnsiTheme="minorHAnsi" w:cs="Arial"/>
        </w:rPr>
        <w:t xml:space="preserve"> </w:t>
      </w:r>
      <w:r w:rsidR="00C15B59">
        <w:rPr>
          <w:rFonts w:asciiTheme="minorHAnsi" w:hAnsiTheme="minorHAnsi" w:cs="Arial"/>
        </w:rPr>
        <w:t xml:space="preserve">from </w:t>
      </w:r>
      <w:r>
        <w:rPr>
          <w:rFonts w:asciiTheme="minorHAnsi" w:hAnsiTheme="minorHAnsi" w:cs="Arial"/>
        </w:rPr>
        <w:t xml:space="preserve">the child until the child was referred to the Pupil Referral Unit (PRU) where they had </w:t>
      </w:r>
      <w:r w:rsidR="00C15B59">
        <w:rPr>
          <w:rFonts w:asciiTheme="minorHAnsi" w:hAnsiTheme="minorHAnsi" w:cs="Arial"/>
        </w:rPr>
        <w:t>completed an</w:t>
      </w:r>
      <w:r>
        <w:rPr>
          <w:rFonts w:asciiTheme="minorHAnsi" w:hAnsiTheme="minorHAnsi" w:cs="Arial"/>
        </w:rPr>
        <w:t xml:space="preserve"> ACE’s training</w:t>
      </w:r>
      <w:r w:rsidR="00C15B59">
        <w:rPr>
          <w:rFonts w:asciiTheme="minorHAnsi" w:hAnsiTheme="minorHAnsi" w:cs="Arial"/>
        </w:rPr>
        <w:t xml:space="preserve"> course</w:t>
      </w:r>
      <w:r>
        <w:rPr>
          <w:rFonts w:asciiTheme="minorHAnsi" w:hAnsiTheme="minorHAnsi" w:cs="Arial"/>
        </w:rPr>
        <w:t xml:space="preserve"> and were able to </w:t>
      </w:r>
      <w:r w:rsidR="00C15B59">
        <w:rPr>
          <w:rFonts w:asciiTheme="minorHAnsi" w:hAnsiTheme="minorHAnsi" w:cs="Arial"/>
        </w:rPr>
        <w:t>identify the behavioural factors within the child and knew how to approach the child and improve his behaviour by identifying his individual needs and building a coping strategy with him. Over time, the child began to engage with staff and as a result uses the coping strategies in stressful situations. This case study perfectly highlights the positive factors of early intervention, demonstrated by the awareness, training and commitment of staff.</w:t>
      </w:r>
      <w:r w:rsidR="004D21A5">
        <w:rPr>
          <w:rFonts w:asciiTheme="minorHAnsi" w:hAnsiTheme="minorHAnsi" w:cs="Arial"/>
        </w:rPr>
        <w:t xml:space="preserve"> </w:t>
      </w:r>
      <w:sdt>
        <w:sdtPr>
          <w:rPr>
            <w:rFonts w:asciiTheme="minorHAnsi" w:hAnsiTheme="minorHAnsi" w:cs="Arial"/>
          </w:rPr>
          <w:id w:val="153890491"/>
          <w:citation/>
        </w:sdtPr>
        <w:sdtEndPr/>
        <w:sdtContent>
          <w:r w:rsidR="004D21A5">
            <w:rPr>
              <w:rFonts w:asciiTheme="minorHAnsi" w:hAnsiTheme="minorHAnsi" w:cs="Arial"/>
            </w:rPr>
            <w:fldChar w:fldCharType="begin"/>
          </w:r>
          <w:r w:rsidR="004D21A5">
            <w:rPr>
              <w:rFonts w:asciiTheme="minorHAnsi" w:hAnsiTheme="minorHAnsi" w:cs="Arial"/>
            </w:rPr>
            <w:instrText xml:space="preserve"> CITATION ACE19 \l 2057 </w:instrText>
          </w:r>
          <w:r w:rsidR="004D21A5">
            <w:rPr>
              <w:rFonts w:asciiTheme="minorHAnsi" w:hAnsiTheme="minorHAnsi" w:cs="Arial"/>
            </w:rPr>
            <w:fldChar w:fldCharType="separate"/>
          </w:r>
          <w:r w:rsidR="004D21A5" w:rsidRPr="004D21A5">
            <w:rPr>
              <w:rFonts w:asciiTheme="minorHAnsi" w:hAnsiTheme="minorHAnsi" w:cs="Arial"/>
              <w:noProof/>
            </w:rPr>
            <w:t>(ACEs Case Study, 2019)</w:t>
          </w:r>
          <w:r w:rsidR="004D21A5">
            <w:rPr>
              <w:rFonts w:asciiTheme="minorHAnsi" w:hAnsiTheme="minorHAnsi" w:cs="Arial"/>
            </w:rPr>
            <w:fldChar w:fldCharType="end"/>
          </w:r>
        </w:sdtContent>
      </w:sdt>
      <w:r w:rsidR="00C15B59">
        <w:rPr>
          <w:rFonts w:asciiTheme="minorHAnsi" w:hAnsiTheme="minorHAnsi" w:cs="Arial"/>
        </w:rPr>
        <w:t xml:space="preserve">. </w:t>
      </w:r>
    </w:p>
    <w:p w14:paraId="07039C13" w14:textId="1E63EBBF" w:rsidR="00930D43" w:rsidRDefault="005272D4" w:rsidP="001F421D">
      <w:pPr>
        <w:rPr>
          <w:rFonts w:asciiTheme="minorHAnsi" w:hAnsiTheme="minorHAnsi" w:cs="Arial"/>
        </w:rPr>
      </w:pPr>
      <w:r>
        <w:rPr>
          <w:rFonts w:asciiTheme="minorHAnsi" w:hAnsiTheme="minorHAnsi" w:cs="Arial"/>
        </w:rPr>
        <w:t>Effective p</w:t>
      </w:r>
      <w:r w:rsidR="0073197D">
        <w:rPr>
          <w:rFonts w:asciiTheme="minorHAnsi" w:hAnsiTheme="minorHAnsi" w:cs="Arial"/>
        </w:rPr>
        <w:t>revention is significant to reduce offending</w:t>
      </w:r>
      <w:r w:rsidR="00537E87">
        <w:rPr>
          <w:rFonts w:asciiTheme="minorHAnsi" w:hAnsiTheme="minorHAnsi" w:cs="Arial"/>
        </w:rPr>
        <w:t xml:space="preserve"> and reoffending</w:t>
      </w:r>
      <w:r w:rsidR="0073197D">
        <w:rPr>
          <w:rFonts w:asciiTheme="minorHAnsi" w:hAnsiTheme="minorHAnsi" w:cs="Arial"/>
        </w:rPr>
        <w:t xml:space="preserve"> in young people, </w:t>
      </w:r>
      <w:r>
        <w:rPr>
          <w:rFonts w:asciiTheme="minorHAnsi" w:hAnsiTheme="minorHAnsi" w:cs="Arial"/>
        </w:rPr>
        <w:t>the efficiency of this is outlined in a report highlighting what strategies can be used to do so. F</w:t>
      </w:r>
      <w:r w:rsidRPr="005272D4">
        <w:rPr>
          <w:rFonts w:asciiTheme="minorHAnsi" w:hAnsiTheme="minorHAnsi" w:cs="Arial"/>
        </w:rPr>
        <w:t>our groupings of crime prevention strategies</w:t>
      </w:r>
      <w:r>
        <w:rPr>
          <w:rFonts w:asciiTheme="minorHAnsi" w:hAnsiTheme="minorHAnsi" w:cs="Arial"/>
        </w:rPr>
        <w:t xml:space="preserve"> framework have been identified and described as law enforcement, developmental, community and situational approaches. </w:t>
      </w:r>
      <w:r w:rsidR="00B62387">
        <w:rPr>
          <w:rFonts w:asciiTheme="minorHAnsi" w:hAnsiTheme="minorHAnsi" w:cs="Arial"/>
        </w:rPr>
        <w:t xml:space="preserve">Consequently, the findings suggest that early intervention approaches are positive and provided that young offenders have the ability of treatment and rehabilitation this will have a significantly promising effect on young offenders. The report outlines how intensive and costly interventions will be most effective but with greater reward which will result in the most cost-effective outcome. In </w:t>
      </w:r>
      <w:r w:rsidR="00B62387">
        <w:rPr>
          <w:rFonts w:asciiTheme="minorHAnsi" w:hAnsiTheme="minorHAnsi" w:cs="Arial"/>
        </w:rPr>
        <w:lastRenderedPageBreak/>
        <w:t>addition, the approach taken will be required to be tailored to the individual as not one size fits all.</w:t>
      </w:r>
      <w:sdt>
        <w:sdtPr>
          <w:rPr>
            <w:rFonts w:asciiTheme="minorHAnsi" w:hAnsiTheme="minorHAnsi" w:cs="Arial"/>
          </w:rPr>
          <w:id w:val="751936368"/>
          <w:citation/>
        </w:sdtPr>
        <w:sdtEndPr/>
        <w:sdtContent>
          <w:r w:rsidR="00356000">
            <w:rPr>
              <w:rFonts w:asciiTheme="minorHAnsi" w:hAnsiTheme="minorHAnsi" w:cs="Arial"/>
            </w:rPr>
            <w:fldChar w:fldCharType="begin"/>
          </w:r>
          <w:r w:rsidR="00356000">
            <w:rPr>
              <w:rFonts w:asciiTheme="minorHAnsi" w:hAnsiTheme="minorHAnsi" w:cs="Arial"/>
            </w:rPr>
            <w:instrText xml:space="preserve">CITATION Cri95 \l 2057 </w:instrText>
          </w:r>
          <w:r w:rsidR="00356000">
            <w:rPr>
              <w:rFonts w:asciiTheme="minorHAnsi" w:hAnsiTheme="minorHAnsi" w:cs="Arial"/>
            </w:rPr>
            <w:fldChar w:fldCharType="separate"/>
          </w:r>
          <w:r w:rsidR="00356000">
            <w:rPr>
              <w:rFonts w:asciiTheme="minorHAnsi" w:hAnsiTheme="minorHAnsi" w:cs="Arial"/>
              <w:noProof/>
            </w:rPr>
            <w:t xml:space="preserve"> </w:t>
          </w:r>
          <w:r w:rsidR="00356000" w:rsidRPr="00356000">
            <w:rPr>
              <w:rFonts w:asciiTheme="minorHAnsi" w:hAnsiTheme="minorHAnsi" w:cs="Arial"/>
              <w:noProof/>
            </w:rPr>
            <w:t>(Justice, 1995)</w:t>
          </w:r>
          <w:r w:rsidR="00356000">
            <w:rPr>
              <w:rFonts w:asciiTheme="minorHAnsi" w:hAnsiTheme="minorHAnsi" w:cs="Arial"/>
            </w:rPr>
            <w:fldChar w:fldCharType="end"/>
          </w:r>
        </w:sdtContent>
      </w:sdt>
      <w:r w:rsidR="00CE495B">
        <w:rPr>
          <w:rFonts w:asciiTheme="minorHAnsi" w:hAnsiTheme="minorHAnsi" w:cs="Arial"/>
        </w:rPr>
        <w:t>.</w:t>
      </w:r>
    </w:p>
    <w:p w14:paraId="22F9E409" w14:textId="0BA9F181" w:rsidR="00345F22" w:rsidRDefault="00345F22" w:rsidP="001F421D">
      <w:pPr>
        <w:rPr>
          <w:rFonts w:asciiTheme="minorHAnsi" w:hAnsiTheme="minorHAnsi" w:cs="Arial"/>
        </w:rPr>
      </w:pPr>
      <w:r>
        <w:rPr>
          <w:rFonts w:asciiTheme="minorHAnsi" w:hAnsiTheme="minorHAnsi" w:cs="Arial"/>
        </w:rPr>
        <w:t xml:space="preserve">An article published by the University of </w:t>
      </w:r>
      <w:r w:rsidR="004D5CB8">
        <w:rPr>
          <w:rFonts w:asciiTheme="minorHAnsi" w:hAnsiTheme="minorHAnsi" w:cs="Arial"/>
        </w:rPr>
        <w:t>Toronto who</w:t>
      </w:r>
      <w:r>
        <w:rPr>
          <w:rFonts w:asciiTheme="minorHAnsi" w:hAnsiTheme="minorHAnsi" w:cs="Arial"/>
        </w:rPr>
        <w:t xml:space="preserve"> conducted systematic reviews concluded that the most effective interventions</w:t>
      </w:r>
      <w:r w:rsidR="004D5CB8">
        <w:rPr>
          <w:rFonts w:asciiTheme="minorHAnsi" w:hAnsiTheme="minorHAnsi" w:cs="Arial"/>
        </w:rPr>
        <w:t xml:space="preserve"> programmes for</w:t>
      </w:r>
      <w:r>
        <w:rPr>
          <w:rFonts w:asciiTheme="minorHAnsi" w:hAnsiTheme="minorHAnsi" w:cs="Arial"/>
        </w:rPr>
        <w:t xml:space="preserve"> young offenders include starting at home, </w:t>
      </w:r>
      <w:r w:rsidR="00A604B8">
        <w:rPr>
          <w:rFonts w:asciiTheme="minorHAnsi" w:hAnsiTheme="minorHAnsi" w:cs="Arial"/>
        </w:rPr>
        <w:t>collaborating</w:t>
      </w:r>
      <w:r>
        <w:rPr>
          <w:rFonts w:asciiTheme="minorHAnsi" w:hAnsiTheme="minorHAnsi" w:cs="Arial"/>
        </w:rPr>
        <w:t xml:space="preserve"> with parents and families providing an education and training. Working with families through therapy to identify any issues within the home that could be a contributing factor to criminal behaviour. </w:t>
      </w:r>
      <w:r w:rsidR="004D5CB8">
        <w:rPr>
          <w:rFonts w:asciiTheme="minorHAnsi" w:hAnsiTheme="minorHAnsi" w:cs="Arial"/>
        </w:rPr>
        <w:t>In addition, providing child skills training, getting the child interested in a passion of theirs can ensure enrolment in different youth clubs which can also encourage positive relationships with mentors and peers as well as teach vital skills that the child is passionate about resulting in reduced interest in committing crime and more interest in learning new skills and having a sense of purpose.</w:t>
      </w:r>
      <w:r w:rsidR="00EA4B72">
        <w:rPr>
          <w:rFonts w:asciiTheme="minorHAnsi" w:hAnsiTheme="minorHAnsi" w:cs="Arial"/>
        </w:rPr>
        <w:t xml:space="preserve"> </w:t>
      </w:r>
      <w:sdt>
        <w:sdtPr>
          <w:rPr>
            <w:rFonts w:asciiTheme="minorHAnsi" w:hAnsiTheme="minorHAnsi" w:cs="Arial"/>
          </w:rPr>
          <w:id w:val="2086031243"/>
          <w:citation/>
        </w:sdtPr>
        <w:sdtEndPr/>
        <w:sdtContent>
          <w:r w:rsidR="00EA4B72">
            <w:rPr>
              <w:rFonts w:asciiTheme="minorHAnsi" w:hAnsiTheme="minorHAnsi" w:cs="Arial"/>
            </w:rPr>
            <w:fldChar w:fldCharType="begin"/>
          </w:r>
          <w:r w:rsidR="00EA4B72">
            <w:rPr>
              <w:rFonts w:asciiTheme="minorHAnsi" w:hAnsiTheme="minorHAnsi" w:cs="Arial"/>
            </w:rPr>
            <w:instrText xml:space="preserve">CITATION Uni22 \l 2057 </w:instrText>
          </w:r>
          <w:r w:rsidR="00EA4B72">
            <w:rPr>
              <w:rFonts w:asciiTheme="minorHAnsi" w:hAnsiTheme="minorHAnsi" w:cs="Arial"/>
            </w:rPr>
            <w:fldChar w:fldCharType="separate"/>
          </w:r>
          <w:r w:rsidR="00EA4B72" w:rsidRPr="00EA4B72">
            <w:rPr>
              <w:rFonts w:asciiTheme="minorHAnsi" w:hAnsiTheme="minorHAnsi" w:cs="Arial"/>
              <w:noProof/>
            </w:rPr>
            <w:t>(Toronto, 2022)</w:t>
          </w:r>
          <w:r w:rsidR="00EA4B72">
            <w:rPr>
              <w:rFonts w:asciiTheme="minorHAnsi" w:hAnsiTheme="minorHAnsi" w:cs="Arial"/>
            </w:rPr>
            <w:fldChar w:fldCharType="end"/>
          </w:r>
        </w:sdtContent>
      </w:sdt>
      <w:r w:rsidR="00EA4B72">
        <w:rPr>
          <w:rFonts w:asciiTheme="minorHAnsi" w:hAnsiTheme="minorHAnsi" w:cs="Arial"/>
        </w:rPr>
        <w:t>.</w:t>
      </w:r>
    </w:p>
    <w:p w14:paraId="7C190214" w14:textId="6DF20AEF" w:rsidR="004D5CB8" w:rsidRDefault="00253737" w:rsidP="001F421D">
      <w:pPr>
        <w:rPr>
          <w:rFonts w:asciiTheme="minorHAnsi" w:hAnsiTheme="minorHAnsi" w:cs="Arial"/>
        </w:rPr>
      </w:pPr>
      <w:r>
        <w:rPr>
          <w:rFonts w:asciiTheme="minorHAnsi" w:hAnsiTheme="minorHAnsi" w:cs="Arial"/>
        </w:rPr>
        <w:t xml:space="preserve">Similarly, a school in Swansea </w:t>
      </w:r>
      <w:r w:rsidR="00AF3850">
        <w:rPr>
          <w:rFonts w:asciiTheme="minorHAnsi" w:hAnsiTheme="minorHAnsi" w:cs="Arial"/>
        </w:rPr>
        <w:t>introduced a Promoting Prevention Programme where it saw 11–15-year-olds invited to complete an interactive computer-based questionnaire proving feedback on the risk they identify when the topic of youth offending in their local area. As a result of this, a steering group was created reflecting on the feedback provided by the school children and as a results saw the reduction of crime by young people in their area.</w:t>
      </w:r>
      <w:r w:rsidR="00EA4B72">
        <w:rPr>
          <w:rFonts w:asciiTheme="minorHAnsi" w:hAnsiTheme="minorHAnsi" w:cs="Arial"/>
        </w:rPr>
        <w:t xml:space="preserve"> </w:t>
      </w:r>
      <w:sdt>
        <w:sdtPr>
          <w:rPr>
            <w:rFonts w:asciiTheme="minorHAnsi" w:hAnsiTheme="minorHAnsi" w:cs="Arial"/>
          </w:rPr>
          <w:id w:val="468097505"/>
          <w:citation/>
        </w:sdtPr>
        <w:sdtEndPr/>
        <w:sdtContent>
          <w:r w:rsidR="00EA4B72">
            <w:rPr>
              <w:rFonts w:asciiTheme="minorHAnsi" w:hAnsiTheme="minorHAnsi" w:cs="Arial"/>
            </w:rPr>
            <w:fldChar w:fldCharType="begin"/>
          </w:r>
          <w:r w:rsidR="00EA4B72">
            <w:rPr>
              <w:rFonts w:asciiTheme="minorHAnsi" w:hAnsiTheme="minorHAnsi" w:cs="Arial"/>
            </w:rPr>
            <w:instrText xml:space="preserve"> CITATION Sag04 \l 2057 </w:instrText>
          </w:r>
          <w:r w:rsidR="00EA4B72">
            <w:rPr>
              <w:rFonts w:asciiTheme="minorHAnsi" w:hAnsiTheme="minorHAnsi" w:cs="Arial"/>
            </w:rPr>
            <w:fldChar w:fldCharType="separate"/>
          </w:r>
          <w:r w:rsidR="00EA4B72" w:rsidRPr="00EA4B72">
            <w:rPr>
              <w:rFonts w:asciiTheme="minorHAnsi" w:hAnsiTheme="minorHAnsi" w:cs="Arial"/>
              <w:noProof/>
            </w:rPr>
            <w:t>(Sage Journals, 2004)</w:t>
          </w:r>
          <w:r w:rsidR="00EA4B72">
            <w:rPr>
              <w:rFonts w:asciiTheme="minorHAnsi" w:hAnsiTheme="minorHAnsi" w:cs="Arial"/>
            </w:rPr>
            <w:fldChar w:fldCharType="end"/>
          </w:r>
        </w:sdtContent>
      </w:sdt>
      <w:r w:rsidR="00AF3850">
        <w:rPr>
          <w:rFonts w:asciiTheme="minorHAnsi" w:hAnsiTheme="minorHAnsi" w:cs="Arial"/>
        </w:rPr>
        <w:t xml:space="preserve">. </w:t>
      </w:r>
    </w:p>
    <w:p w14:paraId="22926C2B" w14:textId="254935EA" w:rsidR="00AF3850" w:rsidRDefault="00AF3850" w:rsidP="001F421D">
      <w:pPr>
        <w:rPr>
          <w:rFonts w:asciiTheme="minorHAnsi" w:hAnsiTheme="minorHAnsi" w:cs="Arial"/>
        </w:rPr>
      </w:pPr>
      <w:r>
        <w:rPr>
          <w:rFonts w:asciiTheme="minorHAnsi" w:hAnsiTheme="minorHAnsi" w:cs="Arial"/>
        </w:rPr>
        <w:t xml:space="preserve">In conclusion, research shows several positive factors to early intervention and prevention. This ability to offer support with early intervention can have a detrimental outcome on a young offender who is willing to be rehabilitated provided the correct support is offered at an early age. This also means the difference between young offenders being rehabilitated or proceeding to the criminal justice system. By giving young </w:t>
      </w:r>
      <w:r w:rsidR="00021BDD">
        <w:rPr>
          <w:rFonts w:asciiTheme="minorHAnsi" w:hAnsiTheme="minorHAnsi" w:cs="Arial"/>
        </w:rPr>
        <w:t>offenders,</w:t>
      </w:r>
      <w:r>
        <w:rPr>
          <w:rFonts w:asciiTheme="minorHAnsi" w:hAnsiTheme="minorHAnsi" w:cs="Arial"/>
        </w:rPr>
        <w:t xml:space="preserve"> the opportunity to for early intervention it is clear from the research conducted that this outcome can be cost effective, and a chance at a better future. </w:t>
      </w:r>
      <w:r w:rsidR="00021BDD">
        <w:rPr>
          <w:rFonts w:asciiTheme="minorHAnsi" w:hAnsiTheme="minorHAnsi" w:cs="Arial"/>
        </w:rPr>
        <w:t xml:space="preserve">However, following a descriptive study to examine the perspectives of practitioners </w:t>
      </w:r>
      <w:r w:rsidR="00A604B8">
        <w:rPr>
          <w:rFonts w:asciiTheme="minorHAnsi" w:hAnsiTheme="minorHAnsi" w:cs="Arial"/>
        </w:rPr>
        <w:t>collaborating with</w:t>
      </w:r>
      <w:r w:rsidR="00021BDD">
        <w:rPr>
          <w:rFonts w:asciiTheme="minorHAnsi" w:hAnsiTheme="minorHAnsi" w:cs="Arial"/>
        </w:rPr>
        <w:t xml:space="preserve"> children in the youth justice system, it was highlighted that practitioners’ feedback provided an insight into the organisational pressures they face that may hinder their ability to offer comprehensive support to young offenders. They concluded that target and performance pressures as well as lack of organisational support </w:t>
      </w:r>
      <w:r w:rsidR="00F57248">
        <w:rPr>
          <w:rFonts w:asciiTheme="minorHAnsi" w:hAnsiTheme="minorHAnsi" w:cs="Arial"/>
        </w:rPr>
        <w:t>created a divide between management and practitioners resulting in obstruction with offering fully comprehensive support. It seems that funding and support for practitioners themselves is just as important in deciding the future of the young people in the youth justice system.</w:t>
      </w:r>
      <w:r w:rsidR="00EA4B72">
        <w:rPr>
          <w:rFonts w:asciiTheme="minorHAnsi" w:hAnsiTheme="minorHAnsi" w:cs="Arial"/>
        </w:rPr>
        <w:t xml:space="preserve"> </w:t>
      </w:r>
      <w:sdt>
        <w:sdtPr>
          <w:rPr>
            <w:rFonts w:asciiTheme="minorHAnsi" w:hAnsiTheme="minorHAnsi" w:cs="Arial"/>
          </w:rPr>
          <w:id w:val="-324752764"/>
          <w:citation/>
        </w:sdtPr>
        <w:sdtEndPr/>
        <w:sdtContent>
          <w:r w:rsidR="00B711DF">
            <w:rPr>
              <w:rFonts w:asciiTheme="minorHAnsi" w:hAnsiTheme="minorHAnsi" w:cs="Arial"/>
            </w:rPr>
            <w:fldChar w:fldCharType="begin"/>
          </w:r>
          <w:r w:rsidR="00B711DF">
            <w:rPr>
              <w:rFonts w:asciiTheme="minorHAnsi" w:hAnsiTheme="minorHAnsi" w:cs="Arial"/>
            </w:rPr>
            <w:instrText xml:space="preserve"> CITATION Uni131 \l 2057 </w:instrText>
          </w:r>
          <w:r w:rsidR="00B711DF">
            <w:rPr>
              <w:rFonts w:asciiTheme="minorHAnsi" w:hAnsiTheme="minorHAnsi" w:cs="Arial"/>
            </w:rPr>
            <w:fldChar w:fldCharType="separate"/>
          </w:r>
          <w:r w:rsidR="00B711DF" w:rsidRPr="00B711DF">
            <w:rPr>
              <w:rFonts w:asciiTheme="minorHAnsi" w:hAnsiTheme="minorHAnsi" w:cs="Arial"/>
              <w:noProof/>
            </w:rPr>
            <w:t>(University of Cambridge, 2013)</w:t>
          </w:r>
          <w:r w:rsidR="00B711DF">
            <w:rPr>
              <w:rFonts w:asciiTheme="minorHAnsi" w:hAnsiTheme="minorHAnsi" w:cs="Arial"/>
            </w:rPr>
            <w:fldChar w:fldCharType="end"/>
          </w:r>
        </w:sdtContent>
      </w:sdt>
      <w:r w:rsidR="00442FAD">
        <w:rPr>
          <w:rFonts w:asciiTheme="minorHAnsi" w:hAnsiTheme="minorHAnsi" w:cs="Arial"/>
        </w:rPr>
        <w:t>.</w:t>
      </w:r>
    </w:p>
    <w:p w14:paraId="6C8C7912" w14:textId="77777777" w:rsidR="00946B4A" w:rsidRDefault="00946B4A" w:rsidP="00101156">
      <w:pPr>
        <w:rPr>
          <w:rFonts w:asciiTheme="minorHAnsi" w:hAnsiTheme="minorHAnsi" w:cs="Arial"/>
        </w:rPr>
      </w:pPr>
    </w:p>
    <w:p w14:paraId="50DC80A8" w14:textId="7AD4BF34" w:rsidR="008A04FA" w:rsidRDefault="00A54871" w:rsidP="00101156">
      <w:pPr>
        <w:rPr>
          <w:rFonts w:asciiTheme="minorHAnsi" w:hAnsiTheme="minorHAnsi" w:cs="Arial"/>
        </w:rPr>
      </w:pPr>
      <w:r>
        <w:rPr>
          <w:rFonts w:asciiTheme="minorHAnsi" w:hAnsiTheme="minorHAnsi" w:cs="Arial"/>
        </w:rPr>
        <w:t>10</w:t>
      </w:r>
      <w:r w:rsidR="00B711DF">
        <w:rPr>
          <w:rFonts w:asciiTheme="minorHAnsi" w:hAnsiTheme="minorHAnsi" w:cs="Arial"/>
        </w:rPr>
        <w:t>21</w:t>
      </w:r>
      <w:r>
        <w:rPr>
          <w:rFonts w:asciiTheme="minorHAnsi" w:hAnsiTheme="minorHAnsi" w:cs="Arial"/>
        </w:rPr>
        <w:t xml:space="preserve"> words.</w:t>
      </w:r>
    </w:p>
    <w:p w14:paraId="20CF5AE5" w14:textId="77777777" w:rsidR="00A75B94" w:rsidRDefault="00A75B94" w:rsidP="00101156">
      <w:pPr>
        <w:rPr>
          <w:rFonts w:asciiTheme="minorHAnsi" w:hAnsiTheme="minorHAnsi" w:cs="Arial"/>
        </w:rPr>
      </w:pPr>
    </w:p>
    <w:p w14:paraId="77EF634D" w14:textId="77777777" w:rsidR="00A75B94" w:rsidRDefault="00A75B94" w:rsidP="00101156">
      <w:pPr>
        <w:rPr>
          <w:rFonts w:asciiTheme="minorHAnsi" w:hAnsiTheme="minorHAnsi" w:cs="Arial"/>
        </w:rPr>
      </w:pPr>
    </w:p>
    <w:p w14:paraId="5BB92AC4" w14:textId="77777777" w:rsidR="00A75B94" w:rsidRDefault="00A75B94" w:rsidP="00101156">
      <w:pPr>
        <w:rPr>
          <w:rFonts w:asciiTheme="minorHAnsi" w:hAnsiTheme="minorHAnsi" w:cs="Arial"/>
        </w:rPr>
      </w:pPr>
    </w:p>
    <w:p w14:paraId="4D9AF705" w14:textId="77777777" w:rsidR="00A75B94" w:rsidRDefault="00A75B94" w:rsidP="00101156">
      <w:pPr>
        <w:rPr>
          <w:rFonts w:asciiTheme="minorHAnsi" w:hAnsiTheme="minorHAnsi" w:cs="Arial"/>
        </w:rPr>
      </w:pPr>
    </w:p>
    <w:p w14:paraId="13C5235A" w14:textId="77777777" w:rsidR="00A75B94" w:rsidRDefault="00A75B94" w:rsidP="00101156">
      <w:pPr>
        <w:rPr>
          <w:rFonts w:asciiTheme="minorHAnsi" w:hAnsiTheme="minorHAnsi" w:cs="Arial"/>
        </w:rPr>
      </w:pPr>
    </w:p>
    <w:p w14:paraId="075B91DF" w14:textId="77777777" w:rsidR="00A75B94" w:rsidRDefault="00A75B94" w:rsidP="00101156">
      <w:pPr>
        <w:rPr>
          <w:rFonts w:asciiTheme="minorHAnsi" w:hAnsiTheme="minorHAnsi" w:cs="Arial"/>
        </w:rPr>
      </w:pPr>
    </w:p>
    <w:sdt>
      <w:sdtPr>
        <w:id w:val="1088123351"/>
        <w:docPartObj>
          <w:docPartGallery w:val="Bibliographies"/>
          <w:docPartUnique/>
        </w:docPartObj>
      </w:sdtPr>
      <w:sdtEndPr>
        <w:rPr>
          <w:rFonts w:ascii="Aptos" w:eastAsia="Aptos" w:hAnsi="Aptos" w:cs="Times New Roman"/>
          <w:color w:val="auto"/>
          <w:kern w:val="3"/>
          <w:sz w:val="22"/>
          <w:szCs w:val="22"/>
          <w14:ligatures w14:val="none"/>
        </w:rPr>
      </w:sdtEndPr>
      <w:sdtContent>
        <w:p w14:paraId="2EA01C5C" w14:textId="5614FFA7" w:rsidR="00A75B94" w:rsidRDefault="00A75B94">
          <w:pPr>
            <w:pStyle w:val="Heading1"/>
          </w:pPr>
          <w:r>
            <w:t>Bibliography</w:t>
          </w:r>
        </w:p>
        <w:sdt>
          <w:sdtPr>
            <w:id w:val="111145805"/>
            <w:bibliography/>
          </w:sdtPr>
          <w:sdtContent>
            <w:p w14:paraId="130313BA" w14:textId="77777777" w:rsidR="00A75B94" w:rsidRDefault="00A75B94" w:rsidP="00A75B94">
              <w:pPr>
                <w:pStyle w:val="Bibliography"/>
                <w:rPr>
                  <w:noProof/>
                  <w:kern w:val="0"/>
                  <w:sz w:val="24"/>
                  <w:szCs w:val="24"/>
                </w:rPr>
              </w:pPr>
              <w:r>
                <w:fldChar w:fldCharType="begin"/>
              </w:r>
              <w:r>
                <w:instrText xml:space="preserve"> BIBLIOGRAPHY </w:instrText>
              </w:r>
              <w:r>
                <w:fldChar w:fldCharType="separate"/>
              </w:r>
              <w:r>
                <w:rPr>
                  <w:noProof/>
                </w:rPr>
                <w:t xml:space="preserve">ACEs Case Study, 2019. [Online] </w:t>
              </w:r>
              <w:r>
                <w:rPr>
                  <w:noProof/>
                </w:rPr>
                <w:br/>
                <w:t xml:space="preserve">Available at: </w:t>
              </w:r>
              <w:r>
                <w:rPr>
                  <w:noProof/>
                  <w:u w:val="single"/>
                </w:rPr>
                <w:t>https://bradfordatrpartnership.co.uk/Resources/4%20Trauma%20Informed%20Practice/Guidance%20and%20Case%20Studies/ACEs%20Case%20Study%20-%20Primary%20School.pdf</w:t>
              </w:r>
              <w:r>
                <w:rPr>
                  <w:noProof/>
                </w:rPr>
                <w:br/>
                <w:t>[Accessed 25 November 2024].</w:t>
              </w:r>
            </w:p>
            <w:p w14:paraId="7818891B" w14:textId="77777777" w:rsidR="00A75B94" w:rsidRDefault="00A75B94" w:rsidP="00A75B94">
              <w:pPr>
                <w:pStyle w:val="Bibliography"/>
                <w:rPr>
                  <w:noProof/>
                </w:rPr>
              </w:pPr>
              <w:r>
                <w:rPr>
                  <w:noProof/>
                </w:rPr>
                <w:t xml:space="preserve">Birmingham, U. o., 2019. An Interview Study of the Experiences of Police Officers in Regard to Psychological Contract and Wellbeing. </w:t>
              </w:r>
              <w:r>
                <w:rPr>
                  <w:i/>
                  <w:iCs/>
                  <w:noProof/>
                </w:rPr>
                <w:t xml:space="preserve">Journal of Police and Criminal Psychology, </w:t>
              </w:r>
              <w:r>
                <w:rPr>
                  <w:noProof/>
                </w:rPr>
                <w:t>Volume 34, pp. 184-198.</w:t>
              </w:r>
            </w:p>
            <w:p w14:paraId="6050B609" w14:textId="77777777" w:rsidR="00A75B94" w:rsidRDefault="00A75B94" w:rsidP="00A75B94">
              <w:pPr>
                <w:pStyle w:val="Bibliography"/>
                <w:rPr>
                  <w:noProof/>
                </w:rPr>
              </w:pPr>
              <w:r>
                <w:rPr>
                  <w:noProof/>
                </w:rPr>
                <w:t xml:space="preserve">Blackstones Practical Policing, 2019. </w:t>
              </w:r>
              <w:r>
                <w:rPr>
                  <w:i/>
                  <w:iCs/>
                  <w:noProof/>
                </w:rPr>
                <w:t xml:space="preserve">PACE. </w:t>
              </w:r>
              <w:r>
                <w:rPr>
                  <w:noProof/>
                </w:rPr>
                <w:t xml:space="preserve">[Online] </w:t>
              </w:r>
              <w:r>
                <w:rPr>
                  <w:noProof/>
                </w:rPr>
                <w:br/>
                <w:t xml:space="preserve">Available at: </w:t>
              </w:r>
              <w:r>
                <w:rPr>
                  <w:noProof/>
                  <w:u w:val="single"/>
                </w:rPr>
                <w:t>https://books.google.co.uk/books?hl=en&amp;lr=&amp;id=WRiMDwAAQBAJ&amp;oi=fnd&amp;pg=PR17&amp;dq=PACE+1984&amp;ots=Eh2stxQiOJ&amp;sig=SjwzqxAmN0jRMk-6IqWbbakMsNg#v=onepage&amp;q=PACE%201984&amp;f=false</w:t>
              </w:r>
              <w:r>
                <w:rPr>
                  <w:noProof/>
                </w:rPr>
                <w:br/>
                <w:t>[Accessed 25 November 2024].</w:t>
              </w:r>
            </w:p>
            <w:p w14:paraId="13646066" w14:textId="77777777" w:rsidR="00A75B94" w:rsidRDefault="00A75B94" w:rsidP="00A75B94">
              <w:pPr>
                <w:pStyle w:val="Bibliography"/>
                <w:rPr>
                  <w:noProof/>
                </w:rPr>
              </w:pPr>
              <w:r>
                <w:rPr>
                  <w:noProof/>
                </w:rPr>
                <w:t>BMC Public Health, 2019. The relationship between organisational stressors and mental wellbeing within police officers: a systematic review. 19(1286), p. 21.</w:t>
              </w:r>
            </w:p>
            <w:p w14:paraId="0CD2D677" w14:textId="77777777" w:rsidR="00A75B94" w:rsidRDefault="00A75B94" w:rsidP="00A75B94">
              <w:pPr>
                <w:pStyle w:val="Bibliography"/>
                <w:rPr>
                  <w:noProof/>
                </w:rPr>
              </w:pPr>
              <w:r>
                <w:rPr>
                  <w:noProof/>
                </w:rPr>
                <w:t xml:space="preserve">Bryanna Hahn Fox, N. P. E. C. M. T. B. N. E., 2015. Trauma changes everything: Examining the relationship between adverse childhood experiences and serious, violent and chronic juvenile offenders. </w:t>
              </w:r>
              <w:r>
                <w:rPr>
                  <w:i/>
                  <w:iCs/>
                  <w:noProof/>
                </w:rPr>
                <w:t xml:space="preserve">The Internation Journal, </w:t>
              </w:r>
              <w:r>
                <w:rPr>
                  <w:noProof/>
                </w:rPr>
                <w:t>Volume 46, pp. 163-173.</w:t>
              </w:r>
            </w:p>
            <w:p w14:paraId="0F7A498F" w14:textId="77777777" w:rsidR="00A75B94" w:rsidRDefault="00A75B94" w:rsidP="00A75B94">
              <w:pPr>
                <w:pStyle w:val="Bibliography"/>
                <w:rPr>
                  <w:noProof/>
                </w:rPr>
              </w:pPr>
              <w:r>
                <w:rPr>
                  <w:noProof/>
                </w:rPr>
                <w:t xml:space="preserve">Cardiff University, 2022. </w:t>
              </w:r>
              <w:r>
                <w:rPr>
                  <w:i/>
                  <w:iCs/>
                  <w:noProof/>
                </w:rPr>
                <w:t xml:space="preserve">Serious and Organised Crime Early Intervention Service, </w:t>
              </w:r>
              <w:r>
                <w:rPr>
                  <w:noProof/>
                </w:rPr>
                <w:t>CARDIFF: CASCADE.</w:t>
              </w:r>
            </w:p>
            <w:p w14:paraId="61649A82" w14:textId="77777777" w:rsidR="00A75B94" w:rsidRDefault="00A75B94" w:rsidP="00A75B94">
              <w:pPr>
                <w:pStyle w:val="Bibliography"/>
                <w:rPr>
                  <w:noProof/>
                </w:rPr>
              </w:pPr>
              <w:r>
                <w:rPr>
                  <w:noProof/>
                </w:rPr>
                <w:t xml:space="preserve">Charlotte, U. o. N. C. a., 2020. Police Stress, Mental Health, and Resiliency during the COVID-19 Pandemic. </w:t>
              </w:r>
              <w:r>
                <w:rPr>
                  <w:i/>
                  <w:iCs/>
                  <w:noProof/>
                </w:rPr>
                <w:t xml:space="preserve">American Journal of Criminal Jusitce, </w:t>
              </w:r>
              <w:r>
                <w:rPr>
                  <w:noProof/>
                </w:rPr>
                <w:t>Volume 45, pp. 718-730.</w:t>
              </w:r>
            </w:p>
            <w:p w14:paraId="6B8869D4" w14:textId="77777777" w:rsidR="00A75B94" w:rsidRDefault="00A75B94" w:rsidP="00A75B94">
              <w:pPr>
                <w:pStyle w:val="Bibliography"/>
                <w:rPr>
                  <w:noProof/>
                </w:rPr>
              </w:pPr>
              <w:r>
                <w:rPr>
                  <w:noProof/>
                </w:rPr>
                <w:t xml:space="preserve">Emerald Insight, 2008. Proactive policing and the assessment of organised crime. </w:t>
              </w:r>
              <w:r>
                <w:rPr>
                  <w:i/>
                  <w:iCs/>
                  <w:noProof/>
                </w:rPr>
                <w:t xml:space="preserve">Policing: An International Journal, </w:t>
              </w:r>
              <w:r>
                <w:rPr>
                  <w:noProof/>
                </w:rPr>
                <w:t>31(4), pp. 534-552.</w:t>
              </w:r>
            </w:p>
            <w:p w14:paraId="6B50ECD7" w14:textId="77777777" w:rsidR="00A75B94" w:rsidRDefault="00A75B94" w:rsidP="00A75B94">
              <w:pPr>
                <w:pStyle w:val="Bibliography"/>
                <w:rPr>
                  <w:noProof/>
                </w:rPr>
              </w:pPr>
              <w:r>
                <w:rPr>
                  <w:noProof/>
                </w:rPr>
                <w:t xml:space="preserve">GOV.UK, 2024. </w:t>
              </w:r>
              <w:r>
                <w:rPr>
                  <w:i/>
                  <w:iCs/>
                  <w:noProof/>
                </w:rPr>
                <w:t xml:space="preserve">New strategy to tackle organised crime. </w:t>
              </w:r>
              <w:r>
                <w:rPr>
                  <w:noProof/>
                </w:rPr>
                <w:t xml:space="preserve">[Online] </w:t>
              </w:r>
              <w:r>
                <w:rPr>
                  <w:noProof/>
                </w:rPr>
                <w:br/>
                <w:t xml:space="preserve">Available at: </w:t>
              </w:r>
              <w:r>
                <w:rPr>
                  <w:noProof/>
                  <w:u w:val="single"/>
                </w:rPr>
                <w:t>https://www.gov.uk/government/news/new-strategy-to-tackle-organised-crime#:~:text=The%20National%20Crime%20Agency%20(NCA,affordable%20homes%20outside%20of%20London.</w:t>
              </w:r>
              <w:r>
                <w:rPr>
                  <w:noProof/>
                </w:rPr>
                <w:br/>
                <w:t>[Accessed 25 November 2024].</w:t>
              </w:r>
            </w:p>
            <w:p w14:paraId="1A9AD3A4" w14:textId="77777777" w:rsidR="00A75B94" w:rsidRDefault="00A75B94" w:rsidP="00A75B94">
              <w:pPr>
                <w:pStyle w:val="Bibliography"/>
                <w:rPr>
                  <w:noProof/>
                </w:rPr>
              </w:pPr>
              <w:r>
                <w:rPr>
                  <w:noProof/>
                </w:rPr>
                <w:t xml:space="preserve">GOV.UK, 2024. </w:t>
              </w:r>
              <w:r>
                <w:rPr>
                  <w:i/>
                  <w:iCs/>
                  <w:noProof/>
                </w:rPr>
                <w:t xml:space="preserve">Police Uplift Programme: entry routes of officer recruits. </w:t>
              </w:r>
              <w:r>
                <w:rPr>
                  <w:noProof/>
                </w:rPr>
                <w:t xml:space="preserve">[Online] </w:t>
              </w:r>
              <w:r>
                <w:rPr>
                  <w:noProof/>
                </w:rPr>
                <w:br/>
                <w:t xml:space="preserve">Available at: </w:t>
              </w:r>
              <w:r>
                <w:rPr>
                  <w:noProof/>
                  <w:u w:val="single"/>
                </w:rPr>
                <w:t>https://www.gov.uk/government/statistics/police-uplift-programme-entry-routes-of-officer-recruits/police-uplift-programme-entry-routes-of-officer-recruits</w:t>
              </w:r>
              <w:r>
                <w:rPr>
                  <w:noProof/>
                </w:rPr>
                <w:br/>
                <w:t>[Accessed 4 NOVEMBER 2024].</w:t>
              </w:r>
            </w:p>
            <w:p w14:paraId="40B604D5" w14:textId="77777777" w:rsidR="00A75B94" w:rsidRDefault="00A75B94" w:rsidP="00A75B94">
              <w:pPr>
                <w:pStyle w:val="Bibliography"/>
                <w:rPr>
                  <w:noProof/>
                </w:rPr>
              </w:pPr>
              <w:r>
                <w:rPr>
                  <w:noProof/>
                </w:rPr>
                <w:t xml:space="preserve">Group, R. T. &amp;. F., 2022. Police staff and mental health: barriers and recommendations for improving help-seeking. </w:t>
              </w:r>
              <w:r>
                <w:rPr>
                  <w:i/>
                  <w:iCs/>
                  <w:noProof/>
                </w:rPr>
                <w:t xml:space="preserve">Police Practice and Research, </w:t>
              </w:r>
              <w:r>
                <w:rPr>
                  <w:noProof/>
                </w:rPr>
                <w:t>23(1), pp. 111-124.</w:t>
              </w:r>
            </w:p>
            <w:p w14:paraId="21E43972" w14:textId="77777777" w:rsidR="00A75B94" w:rsidRDefault="00A75B94" w:rsidP="00A75B94">
              <w:pPr>
                <w:pStyle w:val="Bibliography"/>
                <w:rPr>
                  <w:noProof/>
                </w:rPr>
              </w:pPr>
              <w:r>
                <w:rPr>
                  <w:noProof/>
                </w:rPr>
                <w:t xml:space="preserve">Group, R. T. a. F., 2010. Shared leadership with minority ethnic communities: views from the police and the public in the UK. </w:t>
              </w:r>
              <w:r>
                <w:rPr>
                  <w:i/>
                  <w:iCs/>
                  <w:noProof/>
                </w:rPr>
                <w:t xml:space="preserve">Policing and Society, </w:t>
              </w:r>
              <w:r>
                <w:rPr>
                  <w:noProof/>
                </w:rPr>
                <w:t>20(3), p. 22.</w:t>
              </w:r>
            </w:p>
            <w:p w14:paraId="4B7C8AA1" w14:textId="77777777" w:rsidR="00A75B94" w:rsidRDefault="00A75B94" w:rsidP="00A75B94">
              <w:pPr>
                <w:pStyle w:val="Bibliography"/>
                <w:rPr>
                  <w:noProof/>
                </w:rPr>
              </w:pPr>
              <w:r>
                <w:rPr>
                  <w:noProof/>
                </w:rPr>
                <w:t xml:space="preserve">Home Office Research Study 294, 2005. </w:t>
              </w:r>
              <w:r>
                <w:rPr>
                  <w:i/>
                  <w:iCs/>
                  <w:noProof/>
                </w:rPr>
                <w:t xml:space="preserve">Assessing the impact of the Stephen Lawrence Inquiry. </w:t>
              </w:r>
              <w:r>
                <w:rPr>
                  <w:noProof/>
                </w:rPr>
                <w:t xml:space="preserve">[Online] </w:t>
              </w:r>
              <w:r>
                <w:rPr>
                  <w:noProof/>
                </w:rPr>
                <w:br/>
              </w:r>
              <w:r>
                <w:rPr>
                  <w:noProof/>
                </w:rPr>
                <w:lastRenderedPageBreak/>
                <w:t xml:space="preserve">Available at: </w:t>
              </w:r>
              <w:r>
                <w:rPr>
                  <w:noProof/>
                  <w:u w:val="single"/>
                </w:rPr>
                <w:t>https://citeseerx.ist.psu.edu/document?repid=rep1&amp;type=pdf&amp;doi=1d33b18f47baeb3ef37a884112fdd8ad446174f6</w:t>
              </w:r>
              <w:r>
                <w:rPr>
                  <w:noProof/>
                </w:rPr>
                <w:br/>
                <w:t>[Accessed 25 November 2024].</w:t>
              </w:r>
            </w:p>
            <w:p w14:paraId="03DF0F85" w14:textId="77777777" w:rsidR="00A75B94" w:rsidRDefault="00A75B94" w:rsidP="00A75B94">
              <w:pPr>
                <w:pStyle w:val="Bibliography"/>
                <w:rPr>
                  <w:noProof/>
                </w:rPr>
              </w:pPr>
              <w:r>
                <w:rPr>
                  <w:noProof/>
                </w:rPr>
                <w:t xml:space="preserve">Insight, E., 2006. Achieving race equality through training: a review of approaches in the UK. </w:t>
              </w:r>
              <w:r>
                <w:rPr>
                  <w:i/>
                  <w:iCs/>
                  <w:noProof/>
                </w:rPr>
                <w:t xml:space="preserve">The Journal of Mental Health, Training and Practice, </w:t>
              </w:r>
              <w:r>
                <w:rPr>
                  <w:noProof/>
                </w:rPr>
                <w:t>Vol 1(1), p. 510.</w:t>
              </w:r>
            </w:p>
            <w:p w14:paraId="1F630A4E" w14:textId="77777777" w:rsidR="00A75B94" w:rsidRDefault="00A75B94" w:rsidP="00A75B94">
              <w:pPr>
                <w:pStyle w:val="Bibliography"/>
                <w:rPr>
                  <w:noProof/>
                </w:rPr>
              </w:pPr>
              <w:r>
                <w:rPr>
                  <w:noProof/>
                </w:rPr>
                <w:t xml:space="preserve">Journals, S., 2021. Organisational and individual perspectives of police wellbeing in England and Wales. </w:t>
              </w:r>
              <w:r>
                <w:rPr>
                  <w:i/>
                  <w:iCs/>
                  <w:noProof/>
                </w:rPr>
                <w:t xml:space="preserve">The Police Journal, </w:t>
              </w:r>
              <w:r>
                <w:rPr>
                  <w:noProof/>
                </w:rPr>
                <w:t>96(1), pp. 3-178.</w:t>
              </w:r>
            </w:p>
            <w:p w14:paraId="358F1386" w14:textId="77777777" w:rsidR="00A75B94" w:rsidRDefault="00A75B94" w:rsidP="00A75B94">
              <w:pPr>
                <w:pStyle w:val="Bibliography"/>
                <w:rPr>
                  <w:noProof/>
                </w:rPr>
              </w:pPr>
              <w:r>
                <w:rPr>
                  <w:noProof/>
                </w:rPr>
                <w:t xml:space="preserve">Justice, C. a., 1995. Building a Safer Society: Strategic Approaches to Crime Prevention. </w:t>
              </w:r>
              <w:r>
                <w:rPr>
                  <w:i/>
                  <w:iCs/>
                  <w:noProof/>
                </w:rPr>
                <w:t xml:space="preserve">A review of research, </w:t>
              </w:r>
              <w:r>
                <w:rPr>
                  <w:noProof/>
                </w:rPr>
                <w:t>Volume 19.</w:t>
              </w:r>
            </w:p>
            <w:p w14:paraId="4CECD691" w14:textId="77777777" w:rsidR="00A75B94" w:rsidRDefault="00A75B94" w:rsidP="00A75B94">
              <w:pPr>
                <w:pStyle w:val="Bibliography"/>
                <w:rPr>
                  <w:noProof/>
                </w:rPr>
              </w:pPr>
              <w:r>
                <w:rPr>
                  <w:noProof/>
                </w:rPr>
                <w:t xml:space="preserve">Nottingham Trent University, 2021. County lines: the exploitation of vulnerable members of society. </w:t>
              </w:r>
              <w:r>
                <w:rPr>
                  <w:i/>
                  <w:iCs/>
                  <w:noProof/>
                </w:rPr>
                <w:t xml:space="preserve">Forensic Research &amp; Criminology International Journal, </w:t>
              </w:r>
              <w:r>
                <w:rPr>
                  <w:noProof/>
                </w:rPr>
                <w:t>9(2), pp. 47-57.</w:t>
              </w:r>
            </w:p>
            <w:p w14:paraId="34F05F2E" w14:textId="77777777" w:rsidR="00A75B94" w:rsidRDefault="00A75B94" w:rsidP="00A75B94">
              <w:pPr>
                <w:pStyle w:val="Bibliography"/>
                <w:rPr>
                  <w:noProof/>
                </w:rPr>
              </w:pPr>
              <w:r>
                <w:rPr>
                  <w:noProof/>
                </w:rPr>
                <w:t xml:space="preserve">Oxford Academic, 2012. Understanding Cooperation With Police in a Diverse Society. </w:t>
              </w:r>
              <w:r>
                <w:rPr>
                  <w:i/>
                  <w:iCs/>
                  <w:noProof/>
                </w:rPr>
                <w:t xml:space="preserve">The British Journal of Criminology, </w:t>
              </w:r>
              <w:r>
                <w:rPr>
                  <w:noProof/>
                </w:rPr>
                <w:t>52(1), pp. 181-201.</w:t>
              </w:r>
            </w:p>
            <w:p w14:paraId="04802DC6" w14:textId="77777777" w:rsidR="00A75B94" w:rsidRDefault="00A75B94" w:rsidP="00A75B94">
              <w:pPr>
                <w:pStyle w:val="Bibliography"/>
                <w:rPr>
                  <w:noProof/>
                </w:rPr>
              </w:pPr>
              <w:r>
                <w:rPr>
                  <w:noProof/>
                </w:rPr>
                <w:t xml:space="preserve">Oxford Academic, 2013. TRiM: an organizational response to traumatic events in Cumbria Constabulary. </w:t>
              </w:r>
              <w:r>
                <w:rPr>
                  <w:i/>
                  <w:iCs/>
                  <w:noProof/>
                </w:rPr>
                <w:t xml:space="preserve">Occupational Medicine, </w:t>
              </w:r>
              <w:r>
                <w:rPr>
                  <w:noProof/>
                </w:rPr>
                <w:t>63(8), pp. 549-555.</w:t>
              </w:r>
            </w:p>
            <w:p w14:paraId="4468B209" w14:textId="77777777" w:rsidR="00A75B94" w:rsidRDefault="00A75B94" w:rsidP="00A75B94">
              <w:pPr>
                <w:pStyle w:val="Bibliography"/>
                <w:rPr>
                  <w:noProof/>
                </w:rPr>
              </w:pPr>
              <w:r>
                <w:rPr>
                  <w:noProof/>
                </w:rPr>
                <w:t xml:space="preserve">PMAC, n.d. </w:t>
              </w:r>
              <w:r>
                <w:rPr>
                  <w:i/>
                  <w:iCs/>
                  <w:noProof/>
                </w:rPr>
                <w:t xml:space="preserve">Mental Health in the Police. </w:t>
              </w:r>
              <w:r>
                <w:rPr>
                  <w:noProof/>
                </w:rPr>
                <w:t xml:space="preserve">[Online] </w:t>
              </w:r>
              <w:r>
                <w:rPr>
                  <w:noProof/>
                </w:rPr>
                <w:br/>
                <w:t xml:space="preserve">Available at: </w:t>
              </w:r>
              <w:r>
                <w:rPr>
                  <w:noProof/>
                  <w:u w:val="single"/>
                </w:rPr>
                <w:t>https://pmac.uk/resources/mental-health/mental-health-in-the-police/</w:t>
              </w:r>
              <w:r>
                <w:rPr>
                  <w:noProof/>
                </w:rPr>
                <w:br/>
                <w:t>[Accessed 25 November 2024].</w:t>
              </w:r>
            </w:p>
            <w:p w14:paraId="7F82EA71" w14:textId="77777777" w:rsidR="00A75B94" w:rsidRDefault="00A75B94" w:rsidP="00A75B94">
              <w:pPr>
                <w:pStyle w:val="Bibliography"/>
                <w:rPr>
                  <w:noProof/>
                </w:rPr>
              </w:pPr>
              <w:r>
                <w:rPr>
                  <w:noProof/>
                </w:rPr>
                <w:t xml:space="preserve">Police, M., 2023. </w:t>
              </w:r>
              <w:r>
                <w:rPr>
                  <w:i/>
                  <w:iCs/>
                  <w:noProof/>
                </w:rPr>
                <w:t xml:space="preserve">Rates of Police Leavers. </w:t>
              </w:r>
              <w:r>
                <w:rPr>
                  <w:noProof/>
                </w:rPr>
                <w:t xml:space="preserve">[Online] </w:t>
              </w:r>
              <w:r>
                <w:rPr>
                  <w:noProof/>
                </w:rPr>
                <w:br/>
                <w:t xml:space="preserve">Available at: </w:t>
              </w:r>
              <w:r>
                <w:rPr>
                  <w:noProof/>
                  <w:u w:val="single"/>
                </w:rPr>
                <w:t>https://www.met.police.uk/foi-ai/metropolitan-police/disclosure-2023/december-2023/rates-of-police-leavers/</w:t>
              </w:r>
              <w:r>
                <w:rPr>
                  <w:noProof/>
                </w:rPr>
                <w:br/>
                <w:t>[Accessed 25 November 2024].</w:t>
              </w:r>
            </w:p>
            <w:p w14:paraId="5C68F5D3" w14:textId="77777777" w:rsidR="00A75B94" w:rsidRDefault="00A75B94" w:rsidP="00A75B94">
              <w:pPr>
                <w:pStyle w:val="Bibliography"/>
                <w:rPr>
                  <w:noProof/>
                </w:rPr>
              </w:pPr>
              <w:r>
                <w:rPr>
                  <w:noProof/>
                </w:rPr>
                <w:t xml:space="preserve">Policy, C. a. P., 2020. </w:t>
              </w:r>
              <w:r>
                <w:rPr>
                  <w:i/>
                  <w:iCs/>
                  <w:noProof/>
                </w:rPr>
                <w:t xml:space="preserve">Can police training reduce ethnic/racial disparities in stop and search? Evidence from a multisite UK trial. </w:t>
              </w:r>
              <w:r>
                <w:rPr>
                  <w:noProof/>
                </w:rPr>
                <w:t xml:space="preserve">[Online] </w:t>
              </w:r>
              <w:r>
                <w:rPr>
                  <w:noProof/>
                </w:rPr>
                <w:br/>
                <w:t xml:space="preserve">Available at: </w:t>
              </w:r>
              <w:r>
                <w:rPr>
                  <w:noProof/>
                  <w:u w:val="single"/>
                </w:rPr>
                <w:t>https://onlinelibrary.wiley.com/doi/abs/10.1111/1745-9133.12524</w:t>
              </w:r>
              <w:r>
                <w:rPr>
                  <w:noProof/>
                </w:rPr>
                <w:br/>
                <w:t>[Accessed 25 November 2024].</w:t>
              </w:r>
            </w:p>
            <w:p w14:paraId="41AB7465" w14:textId="77777777" w:rsidR="00A75B94" w:rsidRDefault="00A75B94" w:rsidP="00A75B94">
              <w:pPr>
                <w:pStyle w:val="Bibliography"/>
                <w:rPr>
                  <w:noProof/>
                </w:rPr>
              </w:pPr>
              <w:r>
                <w:rPr>
                  <w:noProof/>
                </w:rPr>
                <w:t>Sage Journals, 2004. Promoting Prevention: A Multi-agency Initiative to Prevent Youth Offending Through Consultation in Swansea Schools. 4(2), pp. 117-132.</w:t>
              </w:r>
            </w:p>
            <w:p w14:paraId="699D313D" w14:textId="77777777" w:rsidR="00A75B94" w:rsidRDefault="00A75B94" w:rsidP="00A75B94">
              <w:pPr>
                <w:pStyle w:val="Bibliography"/>
                <w:rPr>
                  <w:noProof/>
                </w:rPr>
              </w:pPr>
              <w:r>
                <w:rPr>
                  <w:noProof/>
                </w:rPr>
                <w:t xml:space="preserve">Sage Journals, 2014. Early Intervention for the Prevention of Offending in Northern Ireland. </w:t>
              </w:r>
              <w:r>
                <w:rPr>
                  <w:i/>
                  <w:iCs/>
                  <w:noProof/>
                </w:rPr>
                <w:t xml:space="preserve">Youth Justice, </w:t>
              </w:r>
              <w:r>
                <w:rPr>
                  <w:noProof/>
                </w:rPr>
                <w:t>14(3), pp. 226-240.</w:t>
              </w:r>
            </w:p>
            <w:p w14:paraId="4E76D63D" w14:textId="77777777" w:rsidR="00A75B94" w:rsidRDefault="00A75B94" w:rsidP="00A75B94">
              <w:pPr>
                <w:pStyle w:val="Bibliography"/>
                <w:rPr>
                  <w:noProof/>
                </w:rPr>
              </w:pPr>
              <w:r>
                <w:rPr>
                  <w:noProof/>
                </w:rPr>
                <w:t xml:space="preserve">Sage Journals, 2021. </w:t>
              </w:r>
              <w:r>
                <w:rPr>
                  <w:i/>
                  <w:iCs/>
                  <w:noProof/>
                </w:rPr>
                <w:t xml:space="preserve">Organisational and individual perspectives of police wellbeing in England and Wales. </w:t>
              </w:r>
              <w:r>
                <w:rPr>
                  <w:noProof/>
                </w:rPr>
                <w:t xml:space="preserve">[Online] </w:t>
              </w:r>
              <w:r>
                <w:rPr>
                  <w:noProof/>
                </w:rPr>
                <w:br/>
                <w:t xml:space="preserve">Available at: </w:t>
              </w:r>
              <w:r>
                <w:rPr>
                  <w:noProof/>
                  <w:u w:val="single"/>
                </w:rPr>
                <w:t>https://journals.sagepub.com/doi/full/10.1177/0032258X211052250#bibr8-0032258X211052250</w:t>
              </w:r>
              <w:r>
                <w:rPr>
                  <w:noProof/>
                </w:rPr>
                <w:br/>
                <w:t>[Accessed 4 november 2024].</w:t>
              </w:r>
            </w:p>
            <w:p w14:paraId="4005BD46" w14:textId="77777777" w:rsidR="00A75B94" w:rsidRDefault="00A75B94" w:rsidP="00A75B94">
              <w:pPr>
                <w:pStyle w:val="Bibliography"/>
                <w:rPr>
                  <w:noProof/>
                </w:rPr>
              </w:pPr>
              <w:r>
                <w:rPr>
                  <w:noProof/>
                </w:rPr>
                <w:t xml:space="preserve">Sage Journals, 2021. </w:t>
              </w:r>
              <w:r>
                <w:rPr>
                  <w:i/>
                  <w:iCs/>
                  <w:noProof/>
                </w:rPr>
                <w:t xml:space="preserve">Taking the strain? Police well-being in the COVID-19 era. </w:t>
              </w:r>
              <w:r>
                <w:rPr>
                  <w:noProof/>
                </w:rPr>
                <w:t xml:space="preserve">[Online] </w:t>
              </w:r>
              <w:r>
                <w:rPr>
                  <w:noProof/>
                </w:rPr>
                <w:br/>
                <w:t xml:space="preserve">Available at: </w:t>
              </w:r>
              <w:r>
                <w:rPr>
                  <w:noProof/>
                  <w:u w:val="single"/>
                </w:rPr>
                <w:t>https://journals.sagepub.com/doi/full/10.1177/0032258X211044702</w:t>
              </w:r>
              <w:r>
                <w:rPr>
                  <w:noProof/>
                </w:rPr>
                <w:br/>
                <w:t>[Accessed 4 november 2024].</w:t>
              </w:r>
            </w:p>
            <w:p w14:paraId="373AFB79" w14:textId="77777777" w:rsidR="00A75B94" w:rsidRDefault="00A75B94" w:rsidP="00A75B94">
              <w:pPr>
                <w:pStyle w:val="Bibliography"/>
                <w:rPr>
                  <w:noProof/>
                </w:rPr>
              </w:pPr>
              <w:r>
                <w:rPr>
                  <w:noProof/>
                </w:rPr>
                <w:t xml:space="preserve">Science Direct, 2018. Adverse childhood experiences. </w:t>
              </w:r>
              <w:r>
                <w:rPr>
                  <w:i/>
                  <w:iCs/>
                  <w:noProof/>
                </w:rPr>
                <w:t xml:space="preserve">Paediatrics and Child Health, </w:t>
              </w:r>
              <w:r>
                <w:rPr>
                  <w:noProof/>
                </w:rPr>
                <w:t>28(3), pp. 132-137.</w:t>
              </w:r>
            </w:p>
            <w:p w14:paraId="6CCE3103" w14:textId="77777777" w:rsidR="00A75B94" w:rsidRDefault="00A75B94" w:rsidP="00A75B94">
              <w:pPr>
                <w:pStyle w:val="Bibliography"/>
                <w:rPr>
                  <w:noProof/>
                </w:rPr>
              </w:pPr>
              <w:r>
                <w:rPr>
                  <w:noProof/>
                </w:rPr>
                <w:lastRenderedPageBreak/>
                <w:t xml:space="preserve">Taylor &amp; Francis Online, 2022. Problem-oriented policing in England and Wales: barriers and facilitators. </w:t>
              </w:r>
              <w:r>
                <w:rPr>
                  <w:i/>
                  <w:iCs/>
                  <w:noProof/>
                </w:rPr>
                <w:t xml:space="preserve">Policing and Society: An International Journal of Research and Policy, </w:t>
              </w:r>
              <w:r>
                <w:rPr>
                  <w:noProof/>
                </w:rPr>
                <w:t>32(9), pp. 1087-1102.</w:t>
              </w:r>
            </w:p>
            <w:p w14:paraId="3D3B3B0C" w14:textId="77777777" w:rsidR="00A75B94" w:rsidRDefault="00A75B94" w:rsidP="00A75B94">
              <w:pPr>
                <w:pStyle w:val="Bibliography"/>
                <w:rPr>
                  <w:noProof/>
                </w:rPr>
              </w:pPr>
              <w:r>
                <w:rPr>
                  <w:noProof/>
                </w:rPr>
                <w:t xml:space="preserve">Taylor and Francis Online, 2019. Understanding the public perception and satisfaction of a UK police constabulary. </w:t>
              </w:r>
              <w:r>
                <w:rPr>
                  <w:i/>
                  <w:iCs/>
                  <w:noProof/>
                </w:rPr>
                <w:t xml:space="preserve">Police Practice and Research, </w:t>
              </w:r>
              <w:r>
                <w:rPr>
                  <w:noProof/>
                </w:rPr>
                <w:t>20(2).</w:t>
              </w:r>
            </w:p>
            <w:p w14:paraId="2455180C" w14:textId="77777777" w:rsidR="00A75B94" w:rsidRDefault="00A75B94" w:rsidP="00A75B94">
              <w:pPr>
                <w:pStyle w:val="Bibliography"/>
                <w:rPr>
                  <w:noProof/>
                </w:rPr>
              </w:pPr>
              <w:r>
                <w:rPr>
                  <w:noProof/>
                </w:rPr>
                <w:t xml:space="preserve">The National Police Wellbeing Service, 2024. </w:t>
              </w:r>
              <w:r>
                <w:rPr>
                  <w:i/>
                  <w:iCs/>
                  <w:noProof/>
                </w:rPr>
                <w:t xml:space="preserve">Blue Light Wellbeing Framework (BLWF). </w:t>
              </w:r>
              <w:r>
                <w:rPr>
                  <w:noProof/>
                </w:rPr>
                <w:t xml:space="preserve">[Online] </w:t>
              </w:r>
              <w:r>
                <w:rPr>
                  <w:noProof/>
                </w:rPr>
                <w:br/>
                <w:t xml:space="preserve">Available at: </w:t>
              </w:r>
              <w:r>
                <w:rPr>
                  <w:noProof/>
                  <w:u w:val="single"/>
                </w:rPr>
                <w:t>https://www.oscarkilo.org.uk/blue-light-wellbeing-framework-blwf</w:t>
              </w:r>
              <w:r>
                <w:rPr>
                  <w:noProof/>
                </w:rPr>
                <w:br/>
                <w:t>[Accessed 25 November 2024].</w:t>
              </w:r>
            </w:p>
            <w:p w14:paraId="6F885248" w14:textId="77777777" w:rsidR="00A75B94" w:rsidRDefault="00A75B94" w:rsidP="00A75B94">
              <w:pPr>
                <w:pStyle w:val="Bibliography"/>
                <w:rPr>
                  <w:noProof/>
                </w:rPr>
              </w:pPr>
              <w:r>
                <w:rPr>
                  <w:noProof/>
                </w:rPr>
                <w:t xml:space="preserve">The Times, 2024. </w:t>
              </w:r>
              <w:r>
                <w:rPr>
                  <w:i/>
                  <w:iCs/>
                  <w:noProof/>
                </w:rPr>
                <w:t xml:space="preserve">Police officers take a week off every year for mental health issues. </w:t>
              </w:r>
              <w:r>
                <w:rPr>
                  <w:noProof/>
                </w:rPr>
                <w:t xml:space="preserve">[Online] </w:t>
              </w:r>
              <w:r>
                <w:rPr>
                  <w:noProof/>
                </w:rPr>
                <w:br/>
                <w:t xml:space="preserve">Available at: </w:t>
              </w:r>
              <w:r>
                <w:rPr>
                  <w:noProof/>
                  <w:u w:val="single"/>
                </w:rPr>
                <w:t>https://www.thetimes.com/uk/crime/article/police-officers-week-off-year-mental-health-crisis-crime-justice-commission-wwztpn8zb#:~:text=Police%20officers%20take%20a%20week%20off%20every%20year%20for%20mental%20health%20issues,-Officers%20tell%20of&amp;text=Po</w:t>
              </w:r>
              <w:r>
                <w:rPr>
                  <w:noProof/>
                </w:rPr>
                <w:br/>
                <w:t>[Accessed 25 November 2024].</w:t>
              </w:r>
            </w:p>
            <w:p w14:paraId="5BC990C3" w14:textId="77777777" w:rsidR="00A75B94" w:rsidRDefault="00A75B94" w:rsidP="00A75B94">
              <w:pPr>
                <w:pStyle w:val="Bibliography"/>
                <w:rPr>
                  <w:noProof/>
                </w:rPr>
              </w:pPr>
              <w:r>
                <w:rPr>
                  <w:noProof/>
                </w:rPr>
                <w:t xml:space="preserve">The University of Law, 2023. </w:t>
              </w:r>
              <w:r>
                <w:rPr>
                  <w:i/>
                  <w:iCs/>
                  <w:noProof/>
                </w:rPr>
                <w:t xml:space="preserve">Diversity in policing 2023: Do constabularies truly represent the communities they serve?. </w:t>
              </w:r>
              <w:r>
                <w:rPr>
                  <w:noProof/>
                </w:rPr>
                <w:t xml:space="preserve">[Online] </w:t>
              </w:r>
              <w:r>
                <w:rPr>
                  <w:noProof/>
                </w:rPr>
                <w:br/>
                <w:t xml:space="preserve">Available at: </w:t>
              </w:r>
              <w:r>
                <w:rPr>
                  <w:noProof/>
                  <w:u w:val="single"/>
                </w:rPr>
                <w:t>https://www.law.ac.uk/resources/blog/diversity-in-policing/</w:t>
              </w:r>
              <w:r>
                <w:rPr>
                  <w:noProof/>
                </w:rPr>
                <w:br/>
                <w:t>[Accessed 25 November 2024].</w:t>
              </w:r>
            </w:p>
            <w:p w14:paraId="5EC36560" w14:textId="77777777" w:rsidR="00A75B94" w:rsidRDefault="00A75B94" w:rsidP="00A75B94">
              <w:pPr>
                <w:pStyle w:val="Bibliography"/>
                <w:rPr>
                  <w:noProof/>
                </w:rPr>
              </w:pPr>
              <w:r>
                <w:rPr>
                  <w:noProof/>
                </w:rPr>
                <w:t xml:space="preserve">Toronto, U. o., 2022. Effectiveness of 12 Types of Interventions in Reducing Juvenile Offending and Antisocial Behaviour. </w:t>
              </w:r>
              <w:r>
                <w:rPr>
                  <w:i/>
                  <w:iCs/>
                  <w:noProof/>
                </w:rPr>
                <w:t xml:space="preserve">Canadian Journal of Criminology and Criminal Justice, </w:t>
              </w:r>
              <w:r>
                <w:rPr>
                  <w:noProof/>
                </w:rPr>
                <w:t>12 October.64(4).</w:t>
              </w:r>
            </w:p>
            <w:p w14:paraId="0914FA3B" w14:textId="77777777" w:rsidR="00A75B94" w:rsidRDefault="00A75B94" w:rsidP="00A75B94">
              <w:pPr>
                <w:pStyle w:val="Bibliography"/>
                <w:rPr>
                  <w:noProof/>
                </w:rPr>
              </w:pPr>
              <w:r>
                <w:rPr>
                  <w:noProof/>
                </w:rPr>
                <w:t xml:space="preserve">University of Cambridge, 2013. </w:t>
              </w:r>
              <w:r>
                <w:rPr>
                  <w:i/>
                  <w:iCs/>
                  <w:noProof/>
                </w:rPr>
                <w:t xml:space="preserve">Practitioners in the youth justice system: a case study of the youth offending service, </w:t>
              </w:r>
              <w:r>
                <w:rPr>
                  <w:noProof/>
                </w:rPr>
                <w:t>Cambridge: University of Cambridge.</w:t>
              </w:r>
            </w:p>
            <w:p w14:paraId="04D0618F" w14:textId="77777777" w:rsidR="00A75B94" w:rsidRDefault="00A75B94" w:rsidP="00A75B94">
              <w:pPr>
                <w:pStyle w:val="Bibliography"/>
                <w:rPr>
                  <w:noProof/>
                </w:rPr>
              </w:pPr>
              <w:r>
                <w:rPr>
                  <w:noProof/>
                </w:rPr>
                <w:t xml:space="preserve">University of Central Lancashire, 2019. </w:t>
              </w:r>
              <w:r>
                <w:rPr>
                  <w:i/>
                  <w:iCs/>
                  <w:noProof/>
                </w:rPr>
                <w:t xml:space="preserve">Diverting young men from gangs: a qualitative evaluation. </w:t>
              </w:r>
              <w:r>
                <w:rPr>
                  <w:noProof/>
                </w:rPr>
                <w:t xml:space="preserve">[Online] </w:t>
              </w:r>
              <w:r>
                <w:rPr>
                  <w:noProof/>
                </w:rPr>
                <w:br/>
                <w:t xml:space="preserve">Available at: </w:t>
              </w:r>
              <w:r>
                <w:rPr>
                  <w:noProof/>
                  <w:u w:val="single"/>
                </w:rPr>
                <w:t>https://clok.uclan.ac.uk/29433/1/29433%20Diverting%2520young%2520men%2520from%2520gangs%2520-%2520accepted%2520version.pdf</w:t>
              </w:r>
              <w:r>
                <w:rPr>
                  <w:noProof/>
                </w:rPr>
                <w:br/>
                <w:t>[Accessed 25 November 2024].</w:t>
              </w:r>
            </w:p>
            <w:p w14:paraId="493B604C" w14:textId="77777777" w:rsidR="00A75B94" w:rsidRDefault="00A75B94" w:rsidP="00A75B94">
              <w:pPr>
                <w:pStyle w:val="Bibliography"/>
                <w:rPr>
                  <w:noProof/>
                </w:rPr>
              </w:pPr>
              <w:r>
                <w:rPr>
                  <w:noProof/>
                </w:rPr>
                <w:t xml:space="preserve">University of Sterling, 2018. </w:t>
              </w:r>
              <w:r>
                <w:rPr>
                  <w:i/>
                  <w:iCs/>
                  <w:noProof/>
                </w:rPr>
                <w:t xml:space="preserve">Community Experiences of Serious Organised Crime in Scotland, </w:t>
              </w:r>
              <w:r>
                <w:rPr>
                  <w:noProof/>
                </w:rPr>
                <w:t>Edinburgh: STORRE: Stirling Online Research Repository.</w:t>
              </w:r>
            </w:p>
            <w:p w14:paraId="05EA2A0A" w14:textId="77777777" w:rsidR="00A75B94" w:rsidRDefault="00A75B94" w:rsidP="00A75B94">
              <w:pPr>
                <w:pStyle w:val="Bibliography"/>
                <w:rPr>
                  <w:noProof/>
                </w:rPr>
              </w:pPr>
              <w:r>
                <w:rPr>
                  <w:noProof/>
                </w:rPr>
                <w:t xml:space="preserve">University of Strathclyde, Glasgow, 2018. </w:t>
              </w:r>
              <w:r>
                <w:rPr>
                  <w:i/>
                  <w:iCs/>
                  <w:noProof/>
                </w:rPr>
                <w:t xml:space="preserve">Diverting Children and Young People from Serious and Organised Crime (SOC) : Guidance for Practice on Recognising and Preventing the Exploitation of Children by SOC.. </w:t>
              </w:r>
              <w:r>
                <w:rPr>
                  <w:noProof/>
                </w:rPr>
                <w:t xml:space="preserve">[Online] </w:t>
              </w:r>
              <w:r>
                <w:rPr>
                  <w:noProof/>
                </w:rPr>
                <w:br/>
                <w:t xml:space="preserve">Available at: </w:t>
              </w:r>
              <w:r>
                <w:rPr>
                  <w:noProof/>
                  <w:u w:val="single"/>
                </w:rPr>
                <w:t>https://strathprints.strath.ac.uk/68063/</w:t>
              </w:r>
              <w:r>
                <w:rPr>
                  <w:noProof/>
                </w:rPr>
                <w:br/>
                <w:t>[Accessed 25 November 2024].</w:t>
              </w:r>
            </w:p>
            <w:p w14:paraId="035B80BA" w14:textId="77777777" w:rsidR="00A75B94" w:rsidRDefault="00A75B94" w:rsidP="00A75B94">
              <w:pPr>
                <w:pStyle w:val="Bibliography"/>
                <w:rPr>
                  <w:noProof/>
                </w:rPr>
              </w:pPr>
              <w:r>
                <w:rPr>
                  <w:noProof/>
                </w:rPr>
                <w:t xml:space="preserve">University of Ulster, 2010. </w:t>
              </w:r>
              <w:r>
                <w:rPr>
                  <w:i/>
                  <w:iCs/>
                  <w:noProof/>
                </w:rPr>
                <w:t xml:space="preserve">Shared leadership with minority ethnic communities: views from the police and the public in the UK. </w:t>
              </w:r>
              <w:r>
                <w:rPr>
                  <w:noProof/>
                </w:rPr>
                <w:t xml:space="preserve">[Online] </w:t>
              </w:r>
              <w:r>
                <w:rPr>
                  <w:noProof/>
                </w:rPr>
                <w:br/>
                <w:t xml:space="preserve">Available at: </w:t>
              </w:r>
              <w:r>
                <w:rPr>
                  <w:noProof/>
                  <w:u w:val="single"/>
                </w:rPr>
                <w:t>https://www-tandfonline-com.ezproxy.uwtsd.ac.uk/doi/epdf/10.1080/10439463.2010.495777?needAccess=true</w:t>
              </w:r>
              <w:r>
                <w:rPr>
                  <w:noProof/>
                </w:rPr>
                <w:br/>
                <w:t>[Accessed 25 November 2024].</w:t>
              </w:r>
            </w:p>
            <w:p w14:paraId="686610CC" w14:textId="77777777" w:rsidR="00A75B94" w:rsidRDefault="00A75B94" w:rsidP="00A75B94">
              <w:pPr>
                <w:pStyle w:val="Bibliography"/>
                <w:rPr>
                  <w:noProof/>
                </w:rPr>
              </w:pPr>
              <w:r>
                <w:rPr>
                  <w:noProof/>
                </w:rPr>
                <w:lastRenderedPageBreak/>
                <w:t xml:space="preserve">Uterecht University, Oxford Journals, 2011. Diversity within Police Forces in Europe: A Case for the Comprehensive View. </w:t>
              </w:r>
              <w:r>
                <w:rPr>
                  <w:i/>
                  <w:iCs/>
                  <w:noProof/>
                </w:rPr>
                <w:t xml:space="preserve">Policing, </w:t>
              </w:r>
              <w:r>
                <w:rPr>
                  <w:noProof/>
                </w:rPr>
                <w:t>6(1), pp. 76-92.</w:t>
              </w:r>
            </w:p>
            <w:p w14:paraId="2E9F48EA" w14:textId="77777777" w:rsidR="00A75B94" w:rsidRDefault="00A75B94" w:rsidP="00A75B94">
              <w:pPr>
                <w:pStyle w:val="Bibliography"/>
                <w:rPr>
                  <w:noProof/>
                </w:rPr>
              </w:pPr>
              <w:r>
                <w:rPr>
                  <w:noProof/>
                </w:rPr>
                <w:t xml:space="preserve">Wiley Library Online, 2022. Organized crime groups: A systematic review of individual-level risk factors related to recruitment. </w:t>
              </w:r>
              <w:r>
                <w:rPr>
                  <w:i/>
                  <w:iCs/>
                  <w:noProof/>
                </w:rPr>
                <w:t xml:space="preserve">Campbell Systematic Review, </w:t>
              </w:r>
              <w:r>
                <w:rPr>
                  <w:noProof/>
                </w:rPr>
                <w:t>18(1), pp. 1-87.</w:t>
              </w:r>
            </w:p>
            <w:p w14:paraId="2FBCF494" w14:textId="77777777" w:rsidR="00A75B94" w:rsidRDefault="00A75B94" w:rsidP="00A75B94">
              <w:pPr>
                <w:pStyle w:val="Bibliography"/>
                <w:rPr>
                  <w:noProof/>
                </w:rPr>
              </w:pPr>
              <w:r>
                <w:rPr>
                  <w:noProof/>
                </w:rPr>
                <w:t xml:space="preserve">Wiley Online Library, 2006. The Howard Journal of Criminal Justice. </w:t>
              </w:r>
              <w:r>
                <w:rPr>
                  <w:i/>
                  <w:iCs/>
                  <w:noProof/>
                </w:rPr>
                <w:t xml:space="preserve">Diversifying Police Recruitment? The Deployment of Police Community Support Officers in London, </w:t>
              </w:r>
              <w:r>
                <w:rPr>
                  <w:noProof/>
                </w:rPr>
                <w:t>45(4), pp. 388-402.</w:t>
              </w:r>
            </w:p>
            <w:p w14:paraId="4F6CC4D8" w14:textId="7C048FFE" w:rsidR="00A75B94" w:rsidRDefault="00A75B94" w:rsidP="00A75B94">
              <w:r>
                <w:rPr>
                  <w:b/>
                  <w:bCs/>
                  <w:noProof/>
                </w:rPr>
                <w:fldChar w:fldCharType="end"/>
              </w:r>
            </w:p>
          </w:sdtContent>
        </w:sdt>
      </w:sdtContent>
    </w:sdt>
    <w:p w14:paraId="3FE8DC6C" w14:textId="77777777" w:rsidR="009D5AEA" w:rsidRDefault="009D5AEA"/>
    <w:sectPr w:rsidR="009D5A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D81FC1" w14:textId="77777777" w:rsidR="005D1649" w:rsidRDefault="005D1649" w:rsidP="005D1649">
      <w:pPr>
        <w:spacing w:after="0" w:line="240" w:lineRule="auto"/>
      </w:pPr>
      <w:r>
        <w:separator/>
      </w:r>
    </w:p>
  </w:endnote>
  <w:endnote w:type="continuationSeparator" w:id="0">
    <w:p w14:paraId="7009411A" w14:textId="77777777" w:rsidR="005D1649" w:rsidRDefault="005D1649" w:rsidP="005D1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3855208"/>
      <w:docPartObj>
        <w:docPartGallery w:val="Page Numbers (Bottom of Page)"/>
        <w:docPartUnique/>
      </w:docPartObj>
    </w:sdtPr>
    <w:sdtEndPr>
      <w:rPr>
        <w:noProof/>
      </w:rPr>
    </w:sdtEndPr>
    <w:sdtContent>
      <w:p w14:paraId="3ABB86FE" w14:textId="1200DE88" w:rsidR="005D1649" w:rsidRDefault="005D1649">
        <w:pPr>
          <w:pStyle w:val="Footer"/>
        </w:pPr>
        <w:r>
          <w:fldChar w:fldCharType="begin"/>
        </w:r>
        <w:r>
          <w:instrText xml:space="preserve"> PAGE   \* MERGEFORMAT </w:instrText>
        </w:r>
        <w:r>
          <w:fldChar w:fldCharType="separate"/>
        </w:r>
        <w:r>
          <w:rPr>
            <w:noProof/>
          </w:rPr>
          <w:t>2</w:t>
        </w:r>
        <w:r>
          <w:rPr>
            <w:noProof/>
          </w:rPr>
          <w:fldChar w:fldCharType="end"/>
        </w:r>
      </w:p>
    </w:sdtContent>
  </w:sdt>
  <w:p w14:paraId="032DFB7B" w14:textId="77777777" w:rsidR="005D1649" w:rsidRDefault="005D1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0F98E8" w14:textId="77777777" w:rsidR="005D1649" w:rsidRDefault="005D1649" w:rsidP="005D1649">
      <w:pPr>
        <w:spacing w:after="0" w:line="240" w:lineRule="auto"/>
      </w:pPr>
      <w:r>
        <w:separator/>
      </w:r>
    </w:p>
  </w:footnote>
  <w:footnote w:type="continuationSeparator" w:id="0">
    <w:p w14:paraId="5CDED3F0" w14:textId="77777777" w:rsidR="005D1649" w:rsidRDefault="005D1649" w:rsidP="005D16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CEF"/>
    <w:rsid w:val="00021BDD"/>
    <w:rsid w:val="00023915"/>
    <w:rsid w:val="00097972"/>
    <w:rsid w:val="000A102D"/>
    <w:rsid w:val="000B0905"/>
    <w:rsid w:val="000C7DA1"/>
    <w:rsid w:val="000D1462"/>
    <w:rsid w:val="000E6A78"/>
    <w:rsid w:val="000F458F"/>
    <w:rsid w:val="00101156"/>
    <w:rsid w:val="0014198D"/>
    <w:rsid w:val="001A0551"/>
    <w:rsid w:val="001E14A7"/>
    <w:rsid w:val="001F421D"/>
    <w:rsid w:val="00210EF3"/>
    <w:rsid w:val="002343DD"/>
    <w:rsid w:val="00253737"/>
    <w:rsid w:val="00286C02"/>
    <w:rsid w:val="002A3E0A"/>
    <w:rsid w:val="002A6B7E"/>
    <w:rsid w:val="002F2FE3"/>
    <w:rsid w:val="00307B59"/>
    <w:rsid w:val="00321D2C"/>
    <w:rsid w:val="00340A4F"/>
    <w:rsid w:val="00345F22"/>
    <w:rsid w:val="00356000"/>
    <w:rsid w:val="003718F4"/>
    <w:rsid w:val="003B44F2"/>
    <w:rsid w:val="003D60B5"/>
    <w:rsid w:val="003F786D"/>
    <w:rsid w:val="00417B27"/>
    <w:rsid w:val="00442FAD"/>
    <w:rsid w:val="00451DD8"/>
    <w:rsid w:val="00460BEA"/>
    <w:rsid w:val="00486299"/>
    <w:rsid w:val="004A27ED"/>
    <w:rsid w:val="004A7109"/>
    <w:rsid w:val="004D21A5"/>
    <w:rsid w:val="004D33FA"/>
    <w:rsid w:val="004D5CB8"/>
    <w:rsid w:val="005053DC"/>
    <w:rsid w:val="00506A73"/>
    <w:rsid w:val="00515165"/>
    <w:rsid w:val="00525F39"/>
    <w:rsid w:val="005272D4"/>
    <w:rsid w:val="0053721A"/>
    <w:rsid w:val="00537E87"/>
    <w:rsid w:val="00574C88"/>
    <w:rsid w:val="005B447A"/>
    <w:rsid w:val="005D1649"/>
    <w:rsid w:val="005E328A"/>
    <w:rsid w:val="005F6366"/>
    <w:rsid w:val="00635FD5"/>
    <w:rsid w:val="006379AC"/>
    <w:rsid w:val="00644635"/>
    <w:rsid w:val="00676426"/>
    <w:rsid w:val="00681598"/>
    <w:rsid w:val="006A0E3E"/>
    <w:rsid w:val="006C11B7"/>
    <w:rsid w:val="006C3451"/>
    <w:rsid w:val="006E273D"/>
    <w:rsid w:val="006E4DD5"/>
    <w:rsid w:val="00701C5E"/>
    <w:rsid w:val="0071234A"/>
    <w:rsid w:val="0071346F"/>
    <w:rsid w:val="0073197D"/>
    <w:rsid w:val="00750801"/>
    <w:rsid w:val="00775E22"/>
    <w:rsid w:val="007D569A"/>
    <w:rsid w:val="008A04FA"/>
    <w:rsid w:val="008C075F"/>
    <w:rsid w:val="008E0B79"/>
    <w:rsid w:val="00930D43"/>
    <w:rsid w:val="0094597E"/>
    <w:rsid w:val="00946B4A"/>
    <w:rsid w:val="00975A50"/>
    <w:rsid w:val="009A2B01"/>
    <w:rsid w:val="009C504E"/>
    <w:rsid w:val="009D28CC"/>
    <w:rsid w:val="009D5AEA"/>
    <w:rsid w:val="009F0B84"/>
    <w:rsid w:val="00A11BD8"/>
    <w:rsid w:val="00A43672"/>
    <w:rsid w:val="00A54871"/>
    <w:rsid w:val="00A604B8"/>
    <w:rsid w:val="00A71136"/>
    <w:rsid w:val="00A75B94"/>
    <w:rsid w:val="00AC0074"/>
    <w:rsid w:val="00AD0B9A"/>
    <w:rsid w:val="00AD2176"/>
    <w:rsid w:val="00AD5C4D"/>
    <w:rsid w:val="00AE3576"/>
    <w:rsid w:val="00AE47E5"/>
    <w:rsid w:val="00AF3850"/>
    <w:rsid w:val="00AF3B8B"/>
    <w:rsid w:val="00B312DA"/>
    <w:rsid w:val="00B6213E"/>
    <w:rsid w:val="00B62387"/>
    <w:rsid w:val="00B711DF"/>
    <w:rsid w:val="00B76A1F"/>
    <w:rsid w:val="00B85C8E"/>
    <w:rsid w:val="00B93206"/>
    <w:rsid w:val="00B95B23"/>
    <w:rsid w:val="00BA2EFA"/>
    <w:rsid w:val="00BA677E"/>
    <w:rsid w:val="00BC2A3A"/>
    <w:rsid w:val="00BF097D"/>
    <w:rsid w:val="00BF4E6A"/>
    <w:rsid w:val="00C0382C"/>
    <w:rsid w:val="00C065D1"/>
    <w:rsid w:val="00C15B59"/>
    <w:rsid w:val="00C475DF"/>
    <w:rsid w:val="00CB75E8"/>
    <w:rsid w:val="00CC2092"/>
    <w:rsid w:val="00CD39E0"/>
    <w:rsid w:val="00CE1341"/>
    <w:rsid w:val="00CE2916"/>
    <w:rsid w:val="00CE495B"/>
    <w:rsid w:val="00D246A3"/>
    <w:rsid w:val="00D400B0"/>
    <w:rsid w:val="00D50E57"/>
    <w:rsid w:val="00D57918"/>
    <w:rsid w:val="00D609CF"/>
    <w:rsid w:val="00D60CEA"/>
    <w:rsid w:val="00D65756"/>
    <w:rsid w:val="00D67D43"/>
    <w:rsid w:val="00D80FEF"/>
    <w:rsid w:val="00DB0344"/>
    <w:rsid w:val="00DB29CB"/>
    <w:rsid w:val="00DB7707"/>
    <w:rsid w:val="00DD1B3F"/>
    <w:rsid w:val="00DF3B49"/>
    <w:rsid w:val="00E14C7C"/>
    <w:rsid w:val="00E45BCC"/>
    <w:rsid w:val="00E71CEF"/>
    <w:rsid w:val="00E76FF4"/>
    <w:rsid w:val="00E94324"/>
    <w:rsid w:val="00EA4B72"/>
    <w:rsid w:val="00EE2092"/>
    <w:rsid w:val="00F430A0"/>
    <w:rsid w:val="00F46961"/>
    <w:rsid w:val="00F57248"/>
    <w:rsid w:val="00F65F24"/>
    <w:rsid w:val="00F8225D"/>
    <w:rsid w:val="00F93D52"/>
    <w:rsid w:val="00FA4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9414D"/>
  <w15:chartTrackingRefBased/>
  <w15:docId w15:val="{E2CA42C8-7AD7-4F0B-80C5-C115FB0E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C8E"/>
    <w:pPr>
      <w:suppressAutoHyphens/>
      <w:autoSpaceDN w:val="0"/>
      <w:spacing w:line="254"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E71CEF"/>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71CEF"/>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71CEF"/>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71CEF"/>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71CEF"/>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71CEF"/>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71CEF"/>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71CEF"/>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71CEF"/>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C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C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C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C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C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C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C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C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CEF"/>
    <w:rPr>
      <w:rFonts w:eastAsiaTheme="majorEastAsia" w:cstheme="majorBidi"/>
      <w:color w:val="272727" w:themeColor="text1" w:themeTint="D8"/>
    </w:rPr>
  </w:style>
  <w:style w:type="paragraph" w:styleId="Title">
    <w:name w:val="Title"/>
    <w:basedOn w:val="Normal"/>
    <w:next w:val="Normal"/>
    <w:link w:val="TitleChar"/>
    <w:uiPriority w:val="10"/>
    <w:qFormat/>
    <w:rsid w:val="00E71CEF"/>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71C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CEF"/>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71C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CEF"/>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E71CEF"/>
    <w:rPr>
      <w:i/>
      <w:iCs/>
      <w:color w:val="404040" w:themeColor="text1" w:themeTint="BF"/>
    </w:rPr>
  </w:style>
  <w:style w:type="paragraph" w:styleId="ListParagraph">
    <w:name w:val="List Paragraph"/>
    <w:basedOn w:val="Normal"/>
    <w:uiPriority w:val="34"/>
    <w:qFormat/>
    <w:rsid w:val="00E71CEF"/>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E71CEF"/>
    <w:rPr>
      <w:i/>
      <w:iCs/>
      <w:color w:val="0F4761" w:themeColor="accent1" w:themeShade="BF"/>
    </w:rPr>
  </w:style>
  <w:style w:type="paragraph" w:styleId="IntenseQuote">
    <w:name w:val="Intense Quote"/>
    <w:basedOn w:val="Normal"/>
    <w:next w:val="Normal"/>
    <w:link w:val="IntenseQuoteChar"/>
    <w:uiPriority w:val="30"/>
    <w:qFormat/>
    <w:rsid w:val="00E71CEF"/>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71CEF"/>
    <w:rPr>
      <w:i/>
      <w:iCs/>
      <w:color w:val="0F4761" w:themeColor="accent1" w:themeShade="BF"/>
    </w:rPr>
  </w:style>
  <w:style w:type="character" w:styleId="IntenseReference">
    <w:name w:val="Intense Reference"/>
    <w:basedOn w:val="DefaultParagraphFont"/>
    <w:uiPriority w:val="32"/>
    <w:qFormat/>
    <w:rsid w:val="00E71CEF"/>
    <w:rPr>
      <w:b/>
      <w:bCs/>
      <w:smallCaps/>
      <w:color w:val="0F4761" w:themeColor="accent1" w:themeShade="BF"/>
      <w:spacing w:val="5"/>
    </w:rPr>
  </w:style>
  <w:style w:type="paragraph" w:styleId="Header">
    <w:name w:val="header"/>
    <w:basedOn w:val="Normal"/>
    <w:link w:val="HeaderChar"/>
    <w:uiPriority w:val="99"/>
    <w:unhideWhenUsed/>
    <w:rsid w:val="005D1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649"/>
    <w:rPr>
      <w:rFonts w:ascii="Aptos" w:eastAsia="Aptos" w:hAnsi="Aptos" w:cs="Times New Roman"/>
      <w:kern w:val="3"/>
      <w14:ligatures w14:val="none"/>
    </w:rPr>
  </w:style>
  <w:style w:type="paragraph" w:styleId="Footer">
    <w:name w:val="footer"/>
    <w:basedOn w:val="Normal"/>
    <w:link w:val="FooterChar"/>
    <w:uiPriority w:val="99"/>
    <w:unhideWhenUsed/>
    <w:rsid w:val="005D1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649"/>
    <w:rPr>
      <w:rFonts w:ascii="Aptos" w:eastAsia="Aptos" w:hAnsi="Aptos" w:cs="Times New Roman"/>
      <w:kern w:val="3"/>
      <w14:ligatures w14:val="none"/>
    </w:rPr>
  </w:style>
  <w:style w:type="character" w:styleId="Hyperlink">
    <w:name w:val="Hyperlink"/>
    <w:basedOn w:val="DefaultParagraphFont"/>
    <w:uiPriority w:val="99"/>
    <w:unhideWhenUsed/>
    <w:rsid w:val="00023915"/>
    <w:rPr>
      <w:color w:val="467886" w:themeColor="hyperlink"/>
      <w:u w:val="single"/>
    </w:rPr>
  </w:style>
  <w:style w:type="character" w:styleId="UnresolvedMention">
    <w:name w:val="Unresolved Mention"/>
    <w:basedOn w:val="DefaultParagraphFont"/>
    <w:uiPriority w:val="99"/>
    <w:semiHidden/>
    <w:unhideWhenUsed/>
    <w:rsid w:val="00023915"/>
    <w:rPr>
      <w:color w:val="605E5C"/>
      <w:shd w:val="clear" w:color="auto" w:fill="E1DFDD"/>
    </w:rPr>
  </w:style>
  <w:style w:type="paragraph" w:styleId="Bibliography">
    <w:name w:val="Bibliography"/>
    <w:basedOn w:val="Normal"/>
    <w:next w:val="Normal"/>
    <w:uiPriority w:val="37"/>
    <w:unhideWhenUsed/>
    <w:rsid w:val="00A75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501595">
      <w:bodyDiv w:val="1"/>
      <w:marLeft w:val="0"/>
      <w:marRight w:val="0"/>
      <w:marTop w:val="0"/>
      <w:marBottom w:val="0"/>
      <w:divBdr>
        <w:top w:val="none" w:sz="0" w:space="0" w:color="auto"/>
        <w:left w:val="none" w:sz="0" w:space="0" w:color="auto"/>
        <w:bottom w:val="none" w:sz="0" w:space="0" w:color="auto"/>
        <w:right w:val="none" w:sz="0" w:space="0" w:color="auto"/>
      </w:divBdr>
    </w:div>
    <w:div w:id="145978033">
      <w:bodyDiv w:val="1"/>
      <w:marLeft w:val="0"/>
      <w:marRight w:val="0"/>
      <w:marTop w:val="0"/>
      <w:marBottom w:val="0"/>
      <w:divBdr>
        <w:top w:val="none" w:sz="0" w:space="0" w:color="auto"/>
        <w:left w:val="none" w:sz="0" w:space="0" w:color="auto"/>
        <w:bottom w:val="none" w:sz="0" w:space="0" w:color="auto"/>
        <w:right w:val="none" w:sz="0" w:space="0" w:color="auto"/>
      </w:divBdr>
    </w:div>
    <w:div w:id="168328310">
      <w:bodyDiv w:val="1"/>
      <w:marLeft w:val="0"/>
      <w:marRight w:val="0"/>
      <w:marTop w:val="0"/>
      <w:marBottom w:val="0"/>
      <w:divBdr>
        <w:top w:val="none" w:sz="0" w:space="0" w:color="auto"/>
        <w:left w:val="none" w:sz="0" w:space="0" w:color="auto"/>
        <w:bottom w:val="none" w:sz="0" w:space="0" w:color="auto"/>
        <w:right w:val="none" w:sz="0" w:space="0" w:color="auto"/>
      </w:divBdr>
    </w:div>
    <w:div w:id="261382662">
      <w:bodyDiv w:val="1"/>
      <w:marLeft w:val="0"/>
      <w:marRight w:val="0"/>
      <w:marTop w:val="0"/>
      <w:marBottom w:val="0"/>
      <w:divBdr>
        <w:top w:val="none" w:sz="0" w:space="0" w:color="auto"/>
        <w:left w:val="none" w:sz="0" w:space="0" w:color="auto"/>
        <w:bottom w:val="none" w:sz="0" w:space="0" w:color="auto"/>
        <w:right w:val="none" w:sz="0" w:space="0" w:color="auto"/>
      </w:divBdr>
    </w:div>
    <w:div w:id="264656279">
      <w:bodyDiv w:val="1"/>
      <w:marLeft w:val="0"/>
      <w:marRight w:val="0"/>
      <w:marTop w:val="0"/>
      <w:marBottom w:val="0"/>
      <w:divBdr>
        <w:top w:val="none" w:sz="0" w:space="0" w:color="auto"/>
        <w:left w:val="none" w:sz="0" w:space="0" w:color="auto"/>
        <w:bottom w:val="none" w:sz="0" w:space="0" w:color="auto"/>
        <w:right w:val="none" w:sz="0" w:space="0" w:color="auto"/>
      </w:divBdr>
    </w:div>
    <w:div w:id="280917057">
      <w:bodyDiv w:val="1"/>
      <w:marLeft w:val="0"/>
      <w:marRight w:val="0"/>
      <w:marTop w:val="0"/>
      <w:marBottom w:val="0"/>
      <w:divBdr>
        <w:top w:val="none" w:sz="0" w:space="0" w:color="auto"/>
        <w:left w:val="none" w:sz="0" w:space="0" w:color="auto"/>
        <w:bottom w:val="none" w:sz="0" w:space="0" w:color="auto"/>
        <w:right w:val="none" w:sz="0" w:space="0" w:color="auto"/>
      </w:divBdr>
    </w:div>
    <w:div w:id="330840216">
      <w:bodyDiv w:val="1"/>
      <w:marLeft w:val="0"/>
      <w:marRight w:val="0"/>
      <w:marTop w:val="0"/>
      <w:marBottom w:val="0"/>
      <w:divBdr>
        <w:top w:val="none" w:sz="0" w:space="0" w:color="auto"/>
        <w:left w:val="none" w:sz="0" w:space="0" w:color="auto"/>
        <w:bottom w:val="none" w:sz="0" w:space="0" w:color="auto"/>
        <w:right w:val="none" w:sz="0" w:space="0" w:color="auto"/>
      </w:divBdr>
    </w:div>
    <w:div w:id="351155017">
      <w:bodyDiv w:val="1"/>
      <w:marLeft w:val="0"/>
      <w:marRight w:val="0"/>
      <w:marTop w:val="0"/>
      <w:marBottom w:val="0"/>
      <w:divBdr>
        <w:top w:val="none" w:sz="0" w:space="0" w:color="auto"/>
        <w:left w:val="none" w:sz="0" w:space="0" w:color="auto"/>
        <w:bottom w:val="none" w:sz="0" w:space="0" w:color="auto"/>
        <w:right w:val="none" w:sz="0" w:space="0" w:color="auto"/>
      </w:divBdr>
    </w:div>
    <w:div w:id="417213883">
      <w:bodyDiv w:val="1"/>
      <w:marLeft w:val="0"/>
      <w:marRight w:val="0"/>
      <w:marTop w:val="0"/>
      <w:marBottom w:val="0"/>
      <w:divBdr>
        <w:top w:val="none" w:sz="0" w:space="0" w:color="auto"/>
        <w:left w:val="none" w:sz="0" w:space="0" w:color="auto"/>
        <w:bottom w:val="none" w:sz="0" w:space="0" w:color="auto"/>
        <w:right w:val="none" w:sz="0" w:space="0" w:color="auto"/>
      </w:divBdr>
    </w:div>
    <w:div w:id="431050743">
      <w:bodyDiv w:val="1"/>
      <w:marLeft w:val="0"/>
      <w:marRight w:val="0"/>
      <w:marTop w:val="0"/>
      <w:marBottom w:val="0"/>
      <w:divBdr>
        <w:top w:val="none" w:sz="0" w:space="0" w:color="auto"/>
        <w:left w:val="none" w:sz="0" w:space="0" w:color="auto"/>
        <w:bottom w:val="none" w:sz="0" w:space="0" w:color="auto"/>
        <w:right w:val="none" w:sz="0" w:space="0" w:color="auto"/>
      </w:divBdr>
    </w:div>
    <w:div w:id="449321226">
      <w:bodyDiv w:val="1"/>
      <w:marLeft w:val="0"/>
      <w:marRight w:val="0"/>
      <w:marTop w:val="0"/>
      <w:marBottom w:val="0"/>
      <w:divBdr>
        <w:top w:val="none" w:sz="0" w:space="0" w:color="auto"/>
        <w:left w:val="none" w:sz="0" w:space="0" w:color="auto"/>
        <w:bottom w:val="none" w:sz="0" w:space="0" w:color="auto"/>
        <w:right w:val="none" w:sz="0" w:space="0" w:color="auto"/>
      </w:divBdr>
    </w:div>
    <w:div w:id="516502663">
      <w:bodyDiv w:val="1"/>
      <w:marLeft w:val="0"/>
      <w:marRight w:val="0"/>
      <w:marTop w:val="0"/>
      <w:marBottom w:val="0"/>
      <w:divBdr>
        <w:top w:val="none" w:sz="0" w:space="0" w:color="auto"/>
        <w:left w:val="none" w:sz="0" w:space="0" w:color="auto"/>
        <w:bottom w:val="none" w:sz="0" w:space="0" w:color="auto"/>
        <w:right w:val="none" w:sz="0" w:space="0" w:color="auto"/>
      </w:divBdr>
    </w:div>
    <w:div w:id="522524113">
      <w:bodyDiv w:val="1"/>
      <w:marLeft w:val="0"/>
      <w:marRight w:val="0"/>
      <w:marTop w:val="0"/>
      <w:marBottom w:val="0"/>
      <w:divBdr>
        <w:top w:val="none" w:sz="0" w:space="0" w:color="auto"/>
        <w:left w:val="none" w:sz="0" w:space="0" w:color="auto"/>
        <w:bottom w:val="none" w:sz="0" w:space="0" w:color="auto"/>
        <w:right w:val="none" w:sz="0" w:space="0" w:color="auto"/>
      </w:divBdr>
    </w:div>
    <w:div w:id="523249093">
      <w:bodyDiv w:val="1"/>
      <w:marLeft w:val="0"/>
      <w:marRight w:val="0"/>
      <w:marTop w:val="0"/>
      <w:marBottom w:val="0"/>
      <w:divBdr>
        <w:top w:val="none" w:sz="0" w:space="0" w:color="auto"/>
        <w:left w:val="none" w:sz="0" w:space="0" w:color="auto"/>
        <w:bottom w:val="none" w:sz="0" w:space="0" w:color="auto"/>
        <w:right w:val="none" w:sz="0" w:space="0" w:color="auto"/>
      </w:divBdr>
    </w:div>
    <w:div w:id="559023454">
      <w:bodyDiv w:val="1"/>
      <w:marLeft w:val="0"/>
      <w:marRight w:val="0"/>
      <w:marTop w:val="0"/>
      <w:marBottom w:val="0"/>
      <w:divBdr>
        <w:top w:val="none" w:sz="0" w:space="0" w:color="auto"/>
        <w:left w:val="none" w:sz="0" w:space="0" w:color="auto"/>
        <w:bottom w:val="none" w:sz="0" w:space="0" w:color="auto"/>
        <w:right w:val="none" w:sz="0" w:space="0" w:color="auto"/>
      </w:divBdr>
    </w:div>
    <w:div w:id="602297915">
      <w:bodyDiv w:val="1"/>
      <w:marLeft w:val="0"/>
      <w:marRight w:val="0"/>
      <w:marTop w:val="0"/>
      <w:marBottom w:val="0"/>
      <w:divBdr>
        <w:top w:val="none" w:sz="0" w:space="0" w:color="auto"/>
        <w:left w:val="none" w:sz="0" w:space="0" w:color="auto"/>
        <w:bottom w:val="none" w:sz="0" w:space="0" w:color="auto"/>
        <w:right w:val="none" w:sz="0" w:space="0" w:color="auto"/>
      </w:divBdr>
    </w:div>
    <w:div w:id="615674905">
      <w:bodyDiv w:val="1"/>
      <w:marLeft w:val="0"/>
      <w:marRight w:val="0"/>
      <w:marTop w:val="0"/>
      <w:marBottom w:val="0"/>
      <w:divBdr>
        <w:top w:val="none" w:sz="0" w:space="0" w:color="auto"/>
        <w:left w:val="none" w:sz="0" w:space="0" w:color="auto"/>
        <w:bottom w:val="none" w:sz="0" w:space="0" w:color="auto"/>
        <w:right w:val="none" w:sz="0" w:space="0" w:color="auto"/>
      </w:divBdr>
    </w:div>
    <w:div w:id="616763305">
      <w:bodyDiv w:val="1"/>
      <w:marLeft w:val="0"/>
      <w:marRight w:val="0"/>
      <w:marTop w:val="0"/>
      <w:marBottom w:val="0"/>
      <w:divBdr>
        <w:top w:val="none" w:sz="0" w:space="0" w:color="auto"/>
        <w:left w:val="none" w:sz="0" w:space="0" w:color="auto"/>
        <w:bottom w:val="none" w:sz="0" w:space="0" w:color="auto"/>
        <w:right w:val="none" w:sz="0" w:space="0" w:color="auto"/>
      </w:divBdr>
    </w:div>
    <w:div w:id="619454660">
      <w:bodyDiv w:val="1"/>
      <w:marLeft w:val="0"/>
      <w:marRight w:val="0"/>
      <w:marTop w:val="0"/>
      <w:marBottom w:val="0"/>
      <w:divBdr>
        <w:top w:val="none" w:sz="0" w:space="0" w:color="auto"/>
        <w:left w:val="none" w:sz="0" w:space="0" w:color="auto"/>
        <w:bottom w:val="none" w:sz="0" w:space="0" w:color="auto"/>
        <w:right w:val="none" w:sz="0" w:space="0" w:color="auto"/>
      </w:divBdr>
    </w:div>
    <w:div w:id="714694751">
      <w:bodyDiv w:val="1"/>
      <w:marLeft w:val="0"/>
      <w:marRight w:val="0"/>
      <w:marTop w:val="0"/>
      <w:marBottom w:val="0"/>
      <w:divBdr>
        <w:top w:val="none" w:sz="0" w:space="0" w:color="auto"/>
        <w:left w:val="none" w:sz="0" w:space="0" w:color="auto"/>
        <w:bottom w:val="none" w:sz="0" w:space="0" w:color="auto"/>
        <w:right w:val="none" w:sz="0" w:space="0" w:color="auto"/>
      </w:divBdr>
    </w:div>
    <w:div w:id="749742635">
      <w:bodyDiv w:val="1"/>
      <w:marLeft w:val="0"/>
      <w:marRight w:val="0"/>
      <w:marTop w:val="0"/>
      <w:marBottom w:val="0"/>
      <w:divBdr>
        <w:top w:val="none" w:sz="0" w:space="0" w:color="auto"/>
        <w:left w:val="none" w:sz="0" w:space="0" w:color="auto"/>
        <w:bottom w:val="none" w:sz="0" w:space="0" w:color="auto"/>
        <w:right w:val="none" w:sz="0" w:space="0" w:color="auto"/>
      </w:divBdr>
    </w:div>
    <w:div w:id="849560111">
      <w:bodyDiv w:val="1"/>
      <w:marLeft w:val="0"/>
      <w:marRight w:val="0"/>
      <w:marTop w:val="0"/>
      <w:marBottom w:val="0"/>
      <w:divBdr>
        <w:top w:val="none" w:sz="0" w:space="0" w:color="auto"/>
        <w:left w:val="none" w:sz="0" w:space="0" w:color="auto"/>
        <w:bottom w:val="none" w:sz="0" w:space="0" w:color="auto"/>
        <w:right w:val="none" w:sz="0" w:space="0" w:color="auto"/>
      </w:divBdr>
    </w:div>
    <w:div w:id="853763655">
      <w:bodyDiv w:val="1"/>
      <w:marLeft w:val="0"/>
      <w:marRight w:val="0"/>
      <w:marTop w:val="0"/>
      <w:marBottom w:val="0"/>
      <w:divBdr>
        <w:top w:val="none" w:sz="0" w:space="0" w:color="auto"/>
        <w:left w:val="none" w:sz="0" w:space="0" w:color="auto"/>
        <w:bottom w:val="none" w:sz="0" w:space="0" w:color="auto"/>
        <w:right w:val="none" w:sz="0" w:space="0" w:color="auto"/>
      </w:divBdr>
    </w:div>
    <w:div w:id="880019933">
      <w:bodyDiv w:val="1"/>
      <w:marLeft w:val="0"/>
      <w:marRight w:val="0"/>
      <w:marTop w:val="0"/>
      <w:marBottom w:val="0"/>
      <w:divBdr>
        <w:top w:val="none" w:sz="0" w:space="0" w:color="auto"/>
        <w:left w:val="none" w:sz="0" w:space="0" w:color="auto"/>
        <w:bottom w:val="none" w:sz="0" w:space="0" w:color="auto"/>
        <w:right w:val="none" w:sz="0" w:space="0" w:color="auto"/>
      </w:divBdr>
    </w:div>
    <w:div w:id="915285574">
      <w:bodyDiv w:val="1"/>
      <w:marLeft w:val="0"/>
      <w:marRight w:val="0"/>
      <w:marTop w:val="0"/>
      <w:marBottom w:val="0"/>
      <w:divBdr>
        <w:top w:val="none" w:sz="0" w:space="0" w:color="auto"/>
        <w:left w:val="none" w:sz="0" w:space="0" w:color="auto"/>
        <w:bottom w:val="none" w:sz="0" w:space="0" w:color="auto"/>
        <w:right w:val="none" w:sz="0" w:space="0" w:color="auto"/>
      </w:divBdr>
    </w:div>
    <w:div w:id="1028529692">
      <w:bodyDiv w:val="1"/>
      <w:marLeft w:val="0"/>
      <w:marRight w:val="0"/>
      <w:marTop w:val="0"/>
      <w:marBottom w:val="0"/>
      <w:divBdr>
        <w:top w:val="none" w:sz="0" w:space="0" w:color="auto"/>
        <w:left w:val="none" w:sz="0" w:space="0" w:color="auto"/>
        <w:bottom w:val="none" w:sz="0" w:space="0" w:color="auto"/>
        <w:right w:val="none" w:sz="0" w:space="0" w:color="auto"/>
      </w:divBdr>
    </w:div>
    <w:div w:id="1067651395">
      <w:bodyDiv w:val="1"/>
      <w:marLeft w:val="0"/>
      <w:marRight w:val="0"/>
      <w:marTop w:val="0"/>
      <w:marBottom w:val="0"/>
      <w:divBdr>
        <w:top w:val="none" w:sz="0" w:space="0" w:color="auto"/>
        <w:left w:val="none" w:sz="0" w:space="0" w:color="auto"/>
        <w:bottom w:val="none" w:sz="0" w:space="0" w:color="auto"/>
        <w:right w:val="none" w:sz="0" w:space="0" w:color="auto"/>
      </w:divBdr>
    </w:div>
    <w:div w:id="1135097034">
      <w:bodyDiv w:val="1"/>
      <w:marLeft w:val="0"/>
      <w:marRight w:val="0"/>
      <w:marTop w:val="0"/>
      <w:marBottom w:val="0"/>
      <w:divBdr>
        <w:top w:val="none" w:sz="0" w:space="0" w:color="auto"/>
        <w:left w:val="none" w:sz="0" w:space="0" w:color="auto"/>
        <w:bottom w:val="none" w:sz="0" w:space="0" w:color="auto"/>
        <w:right w:val="none" w:sz="0" w:space="0" w:color="auto"/>
      </w:divBdr>
    </w:div>
    <w:div w:id="1187409340">
      <w:bodyDiv w:val="1"/>
      <w:marLeft w:val="0"/>
      <w:marRight w:val="0"/>
      <w:marTop w:val="0"/>
      <w:marBottom w:val="0"/>
      <w:divBdr>
        <w:top w:val="none" w:sz="0" w:space="0" w:color="auto"/>
        <w:left w:val="none" w:sz="0" w:space="0" w:color="auto"/>
        <w:bottom w:val="none" w:sz="0" w:space="0" w:color="auto"/>
        <w:right w:val="none" w:sz="0" w:space="0" w:color="auto"/>
      </w:divBdr>
    </w:div>
    <w:div w:id="1193301278">
      <w:bodyDiv w:val="1"/>
      <w:marLeft w:val="0"/>
      <w:marRight w:val="0"/>
      <w:marTop w:val="0"/>
      <w:marBottom w:val="0"/>
      <w:divBdr>
        <w:top w:val="none" w:sz="0" w:space="0" w:color="auto"/>
        <w:left w:val="none" w:sz="0" w:space="0" w:color="auto"/>
        <w:bottom w:val="none" w:sz="0" w:space="0" w:color="auto"/>
        <w:right w:val="none" w:sz="0" w:space="0" w:color="auto"/>
      </w:divBdr>
    </w:div>
    <w:div w:id="1198396309">
      <w:bodyDiv w:val="1"/>
      <w:marLeft w:val="0"/>
      <w:marRight w:val="0"/>
      <w:marTop w:val="0"/>
      <w:marBottom w:val="0"/>
      <w:divBdr>
        <w:top w:val="none" w:sz="0" w:space="0" w:color="auto"/>
        <w:left w:val="none" w:sz="0" w:space="0" w:color="auto"/>
        <w:bottom w:val="none" w:sz="0" w:space="0" w:color="auto"/>
        <w:right w:val="none" w:sz="0" w:space="0" w:color="auto"/>
      </w:divBdr>
    </w:div>
    <w:div w:id="1205798709">
      <w:bodyDiv w:val="1"/>
      <w:marLeft w:val="0"/>
      <w:marRight w:val="0"/>
      <w:marTop w:val="0"/>
      <w:marBottom w:val="0"/>
      <w:divBdr>
        <w:top w:val="none" w:sz="0" w:space="0" w:color="auto"/>
        <w:left w:val="none" w:sz="0" w:space="0" w:color="auto"/>
        <w:bottom w:val="none" w:sz="0" w:space="0" w:color="auto"/>
        <w:right w:val="none" w:sz="0" w:space="0" w:color="auto"/>
      </w:divBdr>
    </w:div>
    <w:div w:id="1252665368">
      <w:bodyDiv w:val="1"/>
      <w:marLeft w:val="0"/>
      <w:marRight w:val="0"/>
      <w:marTop w:val="0"/>
      <w:marBottom w:val="0"/>
      <w:divBdr>
        <w:top w:val="none" w:sz="0" w:space="0" w:color="auto"/>
        <w:left w:val="none" w:sz="0" w:space="0" w:color="auto"/>
        <w:bottom w:val="none" w:sz="0" w:space="0" w:color="auto"/>
        <w:right w:val="none" w:sz="0" w:space="0" w:color="auto"/>
      </w:divBdr>
    </w:div>
    <w:div w:id="1394891290">
      <w:bodyDiv w:val="1"/>
      <w:marLeft w:val="0"/>
      <w:marRight w:val="0"/>
      <w:marTop w:val="0"/>
      <w:marBottom w:val="0"/>
      <w:divBdr>
        <w:top w:val="none" w:sz="0" w:space="0" w:color="auto"/>
        <w:left w:val="none" w:sz="0" w:space="0" w:color="auto"/>
        <w:bottom w:val="none" w:sz="0" w:space="0" w:color="auto"/>
        <w:right w:val="none" w:sz="0" w:space="0" w:color="auto"/>
      </w:divBdr>
    </w:div>
    <w:div w:id="1491284698">
      <w:bodyDiv w:val="1"/>
      <w:marLeft w:val="0"/>
      <w:marRight w:val="0"/>
      <w:marTop w:val="0"/>
      <w:marBottom w:val="0"/>
      <w:divBdr>
        <w:top w:val="none" w:sz="0" w:space="0" w:color="auto"/>
        <w:left w:val="none" w:sz="0" w:space="0" w:color="auto"/>
        <w:bottom w:val="none" w:sz="0" w:space="0" w:color="auto"/>
        <w:right w:val="none" w:sz="0" w:space="0" w:color="auto"/>
      </w:divBdr>
    </w:div>
    <w:div w:id="1539272950">
      <w:bodyDiv w:val="1"/>
      <w:marLeft w:val="0"/>
      <w:marRight w:val="0"/>
      <w:marTop w:val="0"/>
      <w:marBottom w:val="0"/>
      <w:divBdr>
        <w:top w:val="none" w:sz="0" w:space="0" w:color="auto"/>
        <w:left w:val="none" w:sz="0" w:space="0" w:color="auto"/>
        <w:bottom w:val="none" w:sz="0" w:space="0" w:color="auto"/>
        <w:right w:val="none" w:sz="0" w:space="0" w:color="auto"/>
      </w:divBdr>
    </w:div>
    <w:div w:id="1573546568">
      <w:bodyDiv w:val="1"/>
      <w:marLeft w:val="0"/>
      <w:marRight w:val="0"/>
      <w:marTop w:val="0"/>
      <w:marBottom w:val="0"/>
      <w:divBdr>
        <w:top w:val="none" w:sz="0" w:space="0" w:color="auto"/>
        <w:left w:val="none" w:sz="0" w:space="0" w:color="auto"/>
        <w:bottom w:val="none" w:sz="0" w:space="0" w:color="auto"/>
        <w:right w:val="none" w:sz="0" w:space="0" w:color="auto"/>
      </w:divBdr>
    </w:div>
    <w:div w:id="1610892934">
      <w:bodyDiv w:val="1"/>
      <w:marLeft w:val="0"/>
      <w:marRight w:val="0"/>
      <w:marTop w:val="0"/>
      <w:marBottom w:val="0"/>
      <w:divBdr>
        <w:top w:val="none" w:sz="0" w:space="0" w:color="auto"/>
        <w:left w:val="none" w:sz="0" w:space="0" w:color="auto"/>
        <w:bottom w:val="none" w:sz="0" w:space="0" w:color="auto"/>
        <w:right w:val="none" w:sz="0" w:space="0" w:color="auto"/>
      </w:divBdr>
    </w:div>
    <w:div w:id="1658804712">
      <w:bodyDiv w:val="1"/>
      <w:marLeft w:val="0"/>
      <w:marRight w:val="0"/>
      <w:marTop w:val="0"/>
      <w:marBottom w:val="0"/>
      <w:divBdr>
        <w:top w:val="none" w:sz="0" w:space="0" w:color="auto"/>
        <w:left w:val="none" w:sz="0" w:space="0" w:color="auto"/>
        <w:bottom w:val="none" w:sz="0" w:space="0" w:color="auto"/>
        <w:right w:val="none" w:sz="0" w:space="0" w:color="auto"/>
      </w:divBdr>
    </w:div>
    <w:div w:id="1666207436">
      <w:bodyDiv w:val="1"/>
      <w:marLeft w:val="0"/>
      <w:marRight w:val="0"/>
      <w:marTop w:val="0"/>
      <w:marBottom w:val="0"/>
      <w:divBdr>
        <w:top w:val="none" w:sz="0" w:space="0" w:color="auto"/>
        <w:left w:val="none" w:sz="0" w:space="0" w:color="auto"/>
        <w:bottom w:val="none" w:sz="0" w:space="0" w:color="auto"/>
        <w:right w:val="none" w:sz="0" w:space="0" w:color="auto"/>
      </w:divBdr>
    </w:div>
    <w:div w:id="1699970695">
      <w:bodyDiv w:val="1"/>
      <w:marLeft w:val="0"/>
      <w:marRight w:val="0"/>
      <w:marTop w:val="0"/>
      <w:marBottom w:val="0"/>
      <w:divBdr>
        <w:top w:val="none" w:sz="0" w:space="0" w:color="auto"/>
        <w:left w:val="none" w:sz="0" w:space="0" w:color="auto"/>
        <w:bottom w:val="none" w:sz="0" w:space="0" w:color="auto"/>
        <w:right w:val="none" w:sz="0" w:space="0" w:color="auto"/>
      </w:divBdr>
    </w:div>
    <w:div w:id="1744253457">
      <w:bodyDiv w:val="1"/>
      <w:marLeft w:val="0"/>
      <w:marRight w:val="0"/>
      <w:marTop w:val="0"/>
      <w:marBottom w:val="0"/>
      <w:divBdr>
        <w:top w:val="none" w:sz="0" w:space="0" w:color="auto"/>
        <w:left w:val="none" w:sz="0" w:space="0" w:color="auto"/>
        <w:bottom w:val="none" w:sz="0" w:space="0" w:color="auto"/>
        <w:right w:val="none" w:sz="0" w:space="0" w:color="auto"/>
      </w:divBdr>
    </w:div>
    <w:div w:id="1745253278">
      <w:bodyDiv w:val="1"/>
      <w:marLeft w:val="0"/>
      <w:marRight w:val="0"/>
      <w:marTop w:val="0"/>
      <w:marBottom w:val="0"/>
      <w:divBdr>
        <w:top w:val="none" w:sz="0" w:space="0" w:color="auto"/>
        <w:left w:val="none" w:sz="0" w:space="0" w:color="auto"/>
        <w:bottom w:val="none" w:sz="0" w:space="0" w:color="auto"/>
        <w:right w:val="none" w:sz="0" w:space="0" w:color="auto"/>
      </w:divBdr>
    </w:div>
    <w:div w:id="1759987051">
      <w:bodyDiv w:val="1"/>
      <w:marLeft w:val="0"/>
      <w:marRight w:val="0"/>
      <w:marTop w:val="0"/>
      <w:marBottom w:val="0"/>
      <w:divBdr>
        <w:top w:val="none" w:sz="0" w:space="0" w:color="auto"/>
        <w:left w:val="none" w:sz="0" w:space="0" w:color="auto"/>
        <w:bottom w:val="none" w:sz="0" w:space="0" w:color="auto"/>
        <w:right w:val="none" w:sz="0" w:space="0" w:color="auto"/>
      </w:divBdr>
    </w:div>
    <w:div w:id="1784961162">
      <w:bodyDiv w:val="1"/>
      <w:marLeft w:val="0"/>
      <w:marRight w:val="0"/>
      <w:marTop w:val="0"/>
      <w:marBottom w:val="0"/>
      <w:divBdr>
        <w:top w:val="none" w:sz="0" w:space="0" w:color="auto"/>
        <w:left w:val="none" w:sz="0" w:space="0" w:color="auto"/>
        <w:bottom w:val="none" w:sz="0" w:space="0" w:color="auto"/>
        <w:right w:val="none" w:sz="0" w:space="0" w:color="auto"/>
      </w:divBdr>
    </w:div>
    <w:div w:id="1830437323">
      <w:bodyDiv w:val="1"/>
      <w:marLeft w:val="0"/>
      <w:marRight w:val="0"/>
      <w:marTop w:val="0"/>
      <w:marBottom w:val="0"/>
      <w:divBdr>
        <w:top w:val="none" w:sz="0" w:space="0" w:color="auto"/>
        <w:left w:val="none" w:sz="0" w:space="0" w:color="auto"/>
        <w:bottom w:val="none" w:sz="0" w:space="0" w:color="auto"/>
        <w:right w:val="none" w:sz="0" w:space="0" w:color="auto"/>
      </w:divBdr>
    </w:div>
    <w:div w:id="1833794546">
      <w:bodyDiv w:val="1"/>
      <w:marLeft w:val="0"/>
      <w:marRight w:val="0"/>
      <w:marTop w:val="0"/>
      <w:marBottom w:val="0"/>
      <w:divBdr>
        <w:top w:val="none" w:sz="0" w:space="0" w:color="auto"/>
        <w:left w:val="none" w:sz="0" w:space="0" w:color="auto"/>
        <w:bottom w:val="none" w:sz="0" w:space="0" w:color="auto"/>
        <w:right w:val="none" w:sz="0" w:space="0" w:color="auto"/>
      </w:divBdr>
    </w:div>
    <w:div w:id="1888223996">
      <w:bodyDiv w:val="1"/>
      <w:marLeft w:val="0"/>
      <w:marRight w:val="0"/>
      <w:marTop w:val="0"/>
      <w:marBottom w:val="0"/>
      <w:divBdr>
        <w:top w:val="none" w:sz="0" w:space="0" w:color="auto"/>
        <w:left w:val="none" w:sz="0" w:space="0" w:color="auto"/>
        <w:bottom w:val="none" w:sz="0" w:space="0" w:color="auto"/>
        <w:right w:val="none" w:sz="0" w:space="0" w:color="auto"/>
      </w:divBdr>
    </w:div>
    <w:div w:id="1903976510">
      <w:bodyDiv w:val="1"/>
      <w:marLeft w:val="0"/>
      <w:marRight w:val="0"/>
      <w:marTop w:val="0"/>
      <w:marBottom w:val="0"/>
      <w:divBdr>
        <w:top w:val="none" w:sz="0" w:space="0" w:color="auto"/>
        <w:left w:val="none" w:sz="0" w:space="0" w:color="auto"/>
        <w:bottom w:val="none" w:sz="0" w:space="0" w:color="auto"/>
        <w:right w:val="none" w:sz="0" w:space="0" w:color="auto"/>
      </w:divBdr>
    </w:div>
    <w:div w:id="2088457939">
      <w:bodyDiv w:val="1"/>
      <w:marLeft w:val="0"/>
      <w:marRight w:val="0"/>
      <w:marTop w:val="0"/>
      <w:marBottom w:val="0"/>
      <w:divBdr>
        <w:top w:val="none" w:sz="0" w:space="0" w:color="auto"/>
        <w:left w:val="none" w:sz="0" w:space="0" w:color="auto"/>
        <w:bottom w:val="none" w:sz="0" w:space="0" w:color="auto"/>
        <w:right w:val="none" w:sz="0" w:space="0" w:color="auto"/>
      </w:divBdr>
    </w:div>
    <w:div w:id="2101632283">
      <w:bodyDiv w:val="1"/>
      <w:marLeft w:val="0"/>
      <w:marRight w:val="0"/>
      <w:marTop w:val="0"/>
      <w:marBottom w:val="0"/>
      <w:divBdr>
        <w:top w:val="none" w:sz="0" w:space="0" w:color="auto"/>
        <w:left w:val="none" w:sz="0" w:space="0" w:color="auto"/>
        <w:bottom w:val="none" w:sz="0" w:space="0" w:color="auto"/>
        <w:right w:val="none" w:sz="0" w:space="0" w:color="auto"/>
      </w:divBdr>
    </w:div>
    <w:div w:id="211304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b:Tag>
    <b:SourceType>InternetSite</b:SourceType>
    <b:Guid>{2D2E6709-751D-40F6-A249-DEC8776E8535}</b:Guid>
    <b:Author>
      <b:Author>
        <b:Corporate>GOV.UK</b:Corporate>
      </b:Author>
    </b:Author>
    <b:Title>Police Uplift Programme: entry routes of officer recruits</b:Title>
    <b:Year>2024</b:Year>
    <b:YearAccessed>2024</b:YearAccessed>
    <b:MonthAccessed>NOVEMBER</b:MonthAccessed>
    <b:DayAccessed>4</b:DayAccessed>
    <b:URL>https://www.gov.uk/government/statistics/police-uplift-programme-entry-routes-of-officer-recruits/police-uplift-programme-entry-routes-of-officer-recruits</b:URL>
    <b:RefOrder>39</b:RefOrder>
  </b:Source>
  <b:Source>
    <b:Tag>Sag21</b:Tag>
    <b:SourceType>InternetSite</b:SourceType>
    <b:Guid>{E40E7F57-71BA-4586-8ADB-BEEE1517FBCF}</b:Guid>
    <b:Author>
      <b:Author>
        <b:Corporate>Sage Journals</b:Corporate>
      </b:Author>
    </b:Author>
    <b:Title>Organisational and individual perspectives of police wellbeing in England and Wales</b:Title>
    <b:Year>2021</b:Year>
    <b:YearAccessed>2024</b:YearAccessed>
    <b:MonthAccessed>november</b:MonthAccessed>
    <b:DayAccessed>4</b:DayAccessed>
    <b:URL>https://journals.sagepub.com/doi/full/10.1177/0032258X211052250#bibr8-0032258X211052250</b:URL>
    <b:RefOrder>40</b:RefOrder>
  </b:Source>
  <b:Source>
    <b:Tag>Sag211</b:Tag>
    <b:SourceType>InternetSite</b:SourceType>
    <b:Guid>{2BD10E0D-33D4-4078-92BB-C8B32DB85CCD}</b:Guid>
    <b:Author>
      <b:Author>
        <b:Corporate>Sage Journals</b:Corporate>
      </b:Author>
    </b:Author>
    <b:Title>Taking the strain? Police well-being in the COVID-19 era</b:Title>
    <b:Year>2021</b:Year>
    <b:YearAccessed>2024</b:YearAccessed>
    <b:MonthAccessed>november</b:MonthAccessed>
    <b:DayAccessed>4</b:DayAccessed>
    <b:URL>https://journals.sagepub.com/doi/full/10.1177/0032258X211044702</b:URL>
    <b:RefOrder>41</b:RefOrder>
  </b:Source>
  <b:Source>
    <b:Tag>Hom051</b:Tag>
    <b:SourceType>InternetSite</b:SourceType>
    <b:Guid>{5E282155-86C8-4472-BCCF-39FE3CE60A95}</b:Guid>
    <b:Author>
      <b:Author>
        <b:Corporate>Home Office Research Study 294</b:Corporate>
      </b:Author>
    </b:Author>
    <b:Title>Assessing the impact of the Stephen Lawrence Inquiry</b:Title>
    <b:Year>2005</b:Year>
    <b:YearAccessed>2024</b:YearAccessed>
    <b:MonthAccessed>November</b:MonthAccessed>
    <b:DayAccessed>25</b:DayAccessed>
    <b:URL>https://citeseerx.ist.psu.edu/document?repid=rep1&amp;type=pdf&amp;doi=1d33b18f47baeb3ef37a884112fdd8ad446174f6</b:URL>
    <b:RefOrder>4</b:RefOrder>
  </b:Source>
  <b:Source>
    <b:Tag>Uni10</b:Tag>
    <b:SourceType>InternetSite</b:SourceType>
    <b:Guid>{C40DC212-C825-4C26-8900-F66E640EEDA3}</b:Guid>
    <b:Author>
      <b:Author>
        <b:Corporate>University of Ulster</b:Corporate>
      </b:Author>
    </b:Author>
    <b:Title>Shared leadership with minority ethnic communities: views from the police and the public in the UK</b:Title>
    <b:Year>2010</b:Year>
    <b:YearAccessed>2024</b:YearAccessed>
    <b:MonthAccessed>November</b:MonthAccessed>
    <b:DayAccessed>25</b:DayAccessed>
    <b:URL>https://www-tandfonline-com.ezproxy.uwtsd.ac.uk/doi/epdf/10.1080/10439463.2010.495777?needAccess=true</b:URL>
    <b:RefOrder>5</b:RefOrder>
  </b:Source>
  <b:Source>
    <b:Tag>Cri20</b:Tag>
    <b:SourceType>InternetSite</b:SourceType>
    <b:Guid>{177941E1-4845-495D-8735-10399726CD9A}</b:Guid>
    <b:Author>
      <b:Author>
        <b:NameList>
          <b:Person>
            <b:Last>Policy</b:Last>
            <b:First>Criminology</b:First>
            <b:Middle>and Public</b:Middle>
          </b:Person>
        </b:NameList>
      </b:Author>
    </b:Author>
    <b:Title>Can police training reduce ethnic/racial disparities in stop and search? Evidence from a multisite UK trial</b:Title>
    <b:Year>2020</b:Year>
    <b:YearAccessed>2024</b:YearAccessed>
    <b:MonthAccessed>November</b:MonthAccessed>
    <b:DayAccessed>25</b:DayAccessed>
    <b:URL>https://onlinelibrary.wiley.com/doi/abs/10.1111/1745-9133.12524</b:URL>
    <b:RefOrder>6</b:RefOrder>
  </b:Source>
  <b:Source>
    <b:Tag>Bla19</b:Tag>
    <b:SourceType>InternetSite</b:SourceType>
    <b:Guid>{D5EAEBA2-7A7C-41C3-AD46-FE41BF974291}</b:Guid>
    <b:Title>PACE</b:Title>
    <b:Year>2019</b:Year>
    <b:YearAccessed>2024</b:YearAccessed>
    <b:MonthAccessed>November</b:MonthAccessed>
    <b:DayAccessed>25</b:DayAccessed>
    <b:URL>https://books.google.co.uk/books?hl=en&amp;lr=&amp;id=WRiMDwAAQBAJ&amp;oi=fnd&amp;pg=PR17&amp;dq=PACE+1984&amp;ots=Eh2stxQiOJ&amp;sig=SjwzqxAmN0jRMk-6IqWbbakMsNg#v=onepage&amp;q=PACE%201984&amp;f=false</b:URL>
    <b:Author>
      <b:Author>
        <b:Corporate>Blackstones Practical Policing</b:Corporate>
      </b:Author>
      <b:Editor>
        <b:NameList>
          <b:Person>
            <b:Last>Norton</b:Last>
            <b:First>HHJ</b:First>
            <b:Middle>Heather</b:Middle>
          </b:Person>
        </b:NameList>
      </b:Editor>
    </b:Author>
    <b:BookTitle>A practical guide to the police and criminal evidence act 1984</b:BookTitle>
    <b:Pages>705</b:Pages>
    <b:City>OXFORD</b:City>
    <b:Publisher>Paul Ozin</b:Publisher>
    <b:RefOrder>7</b:RefOrder>
  </b:Source>
  <b:Source>
    <b:Tag>Eme06</b:Tag>
    <b:SourceType>JournalArticle</b:SourceType>
    <b:Guid>{73D958BE-88CB-4F8A-8B9C-649209D43FAF}</b:Guid>
    <b:Title>Achieving race equality through training: a review of approaches in the UK</b:Title>
    <b:Year>2006</b:Year>
    <b:Author>
      <b:Author>
        <b:NameList>
          <b:Person>
            <b:Last>Insight</b:Last>
            <b:First>Emerald</b:First>
          </b:Person>
        </b:NameList>
      </b:Author>
    </b:Author>
    <b:JournalName>The Journal of Mental Health, Training and Practice</b:JournalName>
    <b:Pages>510</b:Pages>
    <b:Volume>Vol 1</b:Volume>
    <b:Issue>1</b:Issue>
    <b:RefOrder>8</b:RefOrder>
  </b:Source>
  <b:Source>
    <b:Tag>Rou10</b:Tag>
    <b:SourceType>JournalArticle</b:SourceType>
    <b:Guid>{EA29B833-7A08-4DF2-AB64-8B47BB3D0747}</b:Guid>
    <b:Author>
      <b:Author>
        <b:NameList>
          <b:Person>
            <b:Last>Group</b:Last>
            <b:First>Routlege</b:First>
            <b:Middle>Taylor and Francis</b:Middle>
          </b:Person>
        </b:NameList>
      </b:Author>
    </b:Author>
    <b:Title>Shared leadership with minority ethnic communities: views from the police and the public in the UK</b:Title>
    <b:JournalName>Policing and Society</b:JournalName>
    <b:Year>2010</b:Year>
    <b:Pages>22</b:Pages>
    <b:Volume>20</b:Volume>
    <b:Issue>3</b:Issue>
    <b:RefOrder>9</b:RefOrder>
  </b:Source>
  <b:Source>
    <b:Tag>Tay19</b:Tag>
    <b:SourceType>JournalArticle</b:SourceType>
    <b:Guid>{A1F4791F-73D8-4D4B-879F-97772D35D3E1}</b:Guid>
    <b:Title>Understanding the public perception and satisfaction of a UK police constabulary</b:Title>
    <b:JournalName>Police Practice and Research</b:JournalName>
    <b:Year>2019</b:Year>
    <b:Volume>20</b:Volume>
    <b:Issue>2</b:Issue>
    <b:Author>
      <b:Author>
        <b:Corporate>Taylor and Francis Online</b:Corporate>
      </b:Author>
    </b:Author>
    <b:URL>https://www.tandfonline.com/doi/abs/10.1080/15614263.2018.1428098</b:URL>
    <b:RefOrder>10</b:RefOrder>
  </b:Source>
  <b:Source>
    <b:Tag>Wil06</b:Tag>
    <b:SourceType>JournalArticle</b:SourceType>
    <b:Guid>{B7F19EB1-3E8D-4573-B16D-91F1237A85BD}</b:Guid>
    <b:Author>
      <b:Author>
        <b:Corporate>Wiley Online Library</b:Corporate>
      </b:Author>
    </b:Author>
    <b:Title>The Howard Journal of Criminal Justice</b:Title>
    <b:JournalName>Diversifying Police Recruitment? The Deployment of Police Community Support Officers in London</b:JournalName>
    <b:Year>2006</b:Year>
    <b:Pages>388-402</b:Pages>
    <b:Volume>45</b:Volume>
    <b:Issue>4</b:Issue>
    <b:URL>https://onlinelibrary.wiley.com/doi/abs/10.1111/j.1468-2311.2006.00430.x</b:URL>
    <b:RefOrder>11</b:RefOrder>
  </b:Source>
  <b:Source>
    <b:Tag>The23</b:Tag>
    <b:SourceType>InternetSite</b:SourceType>
    <b:Guid>{BACF3868-DE86-4069-A465-A62E742404F9}</b:Guid>
    <b:Author>
      <b:Author>
        <b:Corporate>The University of Law</b:Corporate>
      </b:Author>
    </b:Author>
    <b:Title>Diversity in policing 2023: Do constabularies truly represent the communities they serve?</b:Title>
    <b:Year>2023</b:Year>
    <b:YearAccessed>2024</b:YearAccessed>
    <b:MonthAccessed>November</b:MonthAccessed>
    <b:DayAccessed>25</b:DayAccessed>
    <b:URL>https://www.law.ac.uk/resources/blog/diversity-in-policing/</b:URL>
    <b:RefOrder>1</b:RefOrder>
  </b:Source>
  <b:Source>
    <b:Tag>Ute23</b:Tag>
    <b:SourceType>JournalArticle</b:SourceType>
    <b:Guid>{DFC4FC5A-344C-4AE4-9D2B-641008413F95}</b:Guid>
    <b:Author>
      <b:Author>
        <b:Corporate>Uterecht University, Oxford Journals</b:Corporate>
      </b:Author>
    </b:Author>
    <b:Title>Diversity within Police Forces in Europe: A Case for the Comprehensive View</b:Title>
    <b:Year>2011</b:Year>
    <b:YearAccessed>2024</b:YearAccessed>
    <b:MonthAccessed>November</b:MonthAccessed>
    <b:DayAccessed>25</b:DayAccessed>
    <b:URL>https://www.researchgate.net/profile/Anne-Van-Ewijk/publication/265069829_Diversity_within_Police_Forces_in_Europe_A_Case_for_the_Comprehensive_View/links/5ce6839592851c4eabb7c2ac/Diversity-within-Police-Forces-in-Europe-A-Case-for-the-Comprehensive-View.</b:URL>
    <b:JournalName>Policing</b:JournalName>
    <b:Pages>76-92</b:Pages>
    <b:Volume>6</b:Volume>
    <b:Issue>1</b:Issue>
    <b:RefOrder>2</b:RefOrder>
  </b:Source>
  <b:Source>
    <b:Tag>The12</b:Tag>
    <b:SourceType>JournalArticle</b:SourceType>
    <b:Guid>{39301FA6-7434-492C-B221-2C2F6BF56D18}</b:Guid>
    <b:Author>
      <b:Author>
        <b:Corporate>Oxford Academic</b:Corporate>
      </b:Author>
    </b:Author>
    <b:Title>Understanding Cooperation With Police in a Diverse Society</b:Title>
    <b:Year>2012</b:Year>
    <b:YearAccessed>2025</b:YearAccessed>
    <b:MonthAccessed>November</b:MonthAccessed>
    <b:DayAccessed>25</b:DayAccessed>
    <b:URL>https://academic.oup.com/bjc/article-abstract/52/1/181/373099</b:URL>
    <b:JournalName>The British Journal of Criminology</b:JournalName>
    <b:Pages>181-201</b:Pages>
    <b:Volume>52</b:Volume>
    <b:Issue>1</b:Issue>
    <b:RefOrder>3</b:RefOrder>
  </b:Source>
  <b:Source>
    <b:Tag>The24</b:Tag>
    <b:SourceType>InternetSite</b:SourceType>
    <b:Guid>{AECA24B3-8BE3-4F63-8817-96F5BE6126FC}</b:Guid>
    <b:Title>Police officers take a week off every year for mental health issues</b:Title>
    <b:Year>2024</b:Year>
    <b:Author>
      <b:Author>
        <b:Corporate>The Times</b:Corporate>
      </b:Author>
    </b:Author>
    <b:YearAccessed>2024</b:YearAccessed>
    <b:MonthAccessed>November</b:MonthAccessed>
    <b:DayAccessed>25</b:DayAccessed>
    <b:URL>https://www.thetimes.com/uk/crime/article/police-officers-week-off-year-mental-health-crisis-crime-justice-commission-wwztpn8zb#:~:text=Police%20officers%20take%20a%20week%20off%20every%20year%20for%20mental%20health%20issues,-Officers%20tell%20of&amp;text=Po</b:URL>
    <b:RefOrder>12</b:RefOrder>
  </b:Source>
  <b:Source>
    <b:Tag>BMC19</b:Tag>
    <b:SourceType>JournalArticle</b:SourceType>
    <b:Guid>{217B7E7A-A868-4B01-9CCF-27FC7DF06F47}</b:Guid>
    <b:Title>The relationship between organisational stressors and mental wellbeing within police officers: a systematic review</b:Title>
    <b:Year>2019</b:Year>
    <b:YearAccessed>2024</b:YearAccessed>
    <b:MonthAccessed>November</b:MonthAccessed>
    <b:DayAccessed>25</b:DayAccessed>
    <b:URL>https://link.springer.com/article/10.1186/s12889-019-7609-0</b:URL>
    <b:Pages>21</b:Pages>
    <b:Volume>19</b:Volume>
    <b:Issue>1286</b:Issue>
    <b:Author>
      <b:Author>
        <b:Corporate>BMC Public Health</b:Corporate>
      </b:Author>
    </b:Author>
    <b:RefOrder>13</b:RefOrder>
  </b:Source>
  <b:Source>
    <b:Tag>Jou21</b:Tag>
    <b:SourceType>JournalArticle</b:SourceType>
    <b:Guid>{5715FB3E-5674-4C2D-BA2A-C5F24123BB8C}</b:Guid>
    <b:Title>Organisational and individual perspectives of police wellbeing in England and Wales</b:Title>
    <b:JournalName>The Police Journal</b:JournalName>
    <b:Year>2021</b:Year>
    <b:Pages>3-178</b:Pages>
    <b:Volume>96</b:Volume>
    <b:Issue>1</b:Issue>
    <b:Author>
      <b:Author>
        <b:NameList>
          <b:Person>
            <b:Last>Journals</b:Last>
            <b:First>Sage</b:First>
          </b:Person>
        </b:NameList>
      </b:Author>
    </b:Author>
    <b:YearAccessed>2024</b:YearAccessed>
    <b:MonthAccessed>November</b:MonthAccessed>
    <b:DayAccessed>25</b:DayAccessed>
    <b:URL>https://journals.sagepub.com/doi/epub/10.1177/0032258X211052250</b:URL>
    <b:RefOrder>14</b:RefOrder>
  </b:Source>
  <b:Source>
    <b:Tag>Uni19</b:Tag>
    <b:SourceType>JournalArticle</b:SourceType>
    <b:Guid>{6FD65843-8D37-4F4C-A5A9-CB3DB30B1368}</b:Guid>
    <b:Title>An Interview Study of the Experiences of Police Officers in Regard to Psychological Contract and Wellbeing</b:Title>
    <b:JournalName>Journal of Police and Criminal Psychology</b:JournalName>
    <b:Year>2019</b:Year>
    <b:Pages>184-198</b:Pages>
    <b:Volume>34</b:Volume>
    <b:Author>
      <b:Author>
        <b:NameList>
          <b:Person>
            <b:Last>Birmingham</b:Last>
            <b:First>University</b:First>
            <b:Middle>of</b:Middle>
          </b:Person>
        </b:NameList>
      </b:Author>
    </b:Author>
    <b:YearAccessed>2024</b:YearAccessed>
    <b:MonthAccessed>November</b:MonthAccessed>
    <b:DayAccessed>25</b:DayAccessed>
    <b:URL>https://link.springer.com/article/10.1007/s11896-018-9275-z</b:URL>
    <b:RefOrder>15</b:RefOrder>
  </b:Source>
  <b:Source>
    <b:Tag>Rou22</b:Tag>
    <b:SourceType>JournalArticle</b:SourceType>
    <b:Guid>{BD2426B3-3049-4FD3-AF5B-878D0675B503}</b:Guid>
    <b:JournalName>Police Practice and Research</b:JournalName>
    <b:Year>2022</b:Year>
    <b:Pages>111-124</b:Pages>
    <b:Volume>23</b:Volume>
    <b:Issue>1</b:Issue>
    <b:Author>
      <b:Author>
        <b:NameList>
          <b:Person>
            <b:Last>Group</b:Last>
            <b:First>Routledge</b:First>
            <b:Middle>Taylor &amp; Francis</b:Middle>
          </b:Person>
        </b:NameList>
      </b:Author>
    </b:Author>
    <b:YearAccessed>2024</b:YearAccessed>
    <b:MonthAccessed>November</b:MonthAccessed>
    <b:DayAccessed>25</b:DayAccessed>
    <b:Title>Police staff and mental health: barriers and recommendations for improving help-seeking</b:Title>
    <b:URL>https://www.tandfonline.com/doi/pdf/10.1080/15614263.2021.1979398?needAccess=true</b:URL>
    <b:RefOrder>16</b:RefOrder>
  </b:Source>
  <b:Source>
    <b:Tag>Uni20</b:Tag>
    <b:SourceType>JournalArticle</b:SourceType>
    <b:Guid>{D9D1FE6E-C2C9-428E-8BCE-C19EB8AAE146}</b:Guid>
    <b:Title>Police Stress, Mental Health, and Resiliency during the COVID-19 Pandemic</b:Title>
    <b:JournalName>American Journal of Criminal Jusitce</b:JournalName>
    <b:Year>2020</b:Year>
    <b:Pages>718-730</b:Pages>
    <b:Volume>45</b:Volume>
    <b:Author>
      <b:Author>
        <b:NameList>
          <b:Person>
            <b:Last>Charlotte</b:Last>
            <b:First>University</b:First>
            <b:Middle>of North Carolina at</b:Middle>
          </b:Person>
        </b:NameList>
      </b:Author>
    </b:Author>
    <b:URL>https://link.springer.com/article/10.1007/s12103-020-09548-y</b:URL>
    <b:RefOrder>17</b:RefOrder>
  </b:Source>
  <b:Source>
    <b:Tag>PMA24</b:Tag>
    <b:SourceType>InternetSite</b:SourceType>
    <b:Guid>{A4C17607-FAA1-4A3D-A2C3-F556676E0D1C}</b:Guid>
    <b:Title>Mental Health in the Police</b:Title>
    <b:Author>
      <b:Author>
        <b:Corporate>PMAC</b:Corporate>
      </b:Author>
    </b:Author>
    <b:YearAccessed>2024</b:YearAccessed>
    <b:MonthAccessed>November</b:MonthAccessed>
    <b:DayAccessed>25</b:DayAccessed>
    <b:URL>https://pmac.uk/resources/mental-health/mental-health-in-the-police/</b:URL>
    <b:RefOrder>18</b:RefOrder>
  </b:Source>
  <b:Source>
    <b:Tag>Met23</b:Tag>
    <b:SourceType>InternetSite</b:SourceType>
    <b:Guid>{A836E3A7-E13E-4C23-A321-2D1F30F94615}</b:Guid>
    <b:Author>
      <b:Author>
        <b:NameList>
          <b:Person>
            <b:Last>Police</b:Last>
            <b:First>Metropolitan</b:First>
          </b:Person>
        </b:NameList>
      </b:Author>
    </b:Author>
    <b:Title>Rates of Police Leavers</b:Title>
    <b:Year>2023</b:Year>
    <b:YearAccessed>2024</b:YearAccessed>
    <b:MonthAccessed>November</b:MonthAccessed>
    <b:DayAccessed>25</b:DayAccessed>
    <b:URL>https://www.met.police.uk/foi-ai/metropolitan-police/disclosure-2023/december-2023/rates-of-police-leavers/</b:URL>
    <b:RefOrder>19</b:RefOrder>
  </b:Source>
  <b:Source>
    <b:Tag>Oxf13</b:Tag>
    <b:SourceType>JournalArticle</b:SourceType>
    <b:Guid>{78969C66-70CA-42D0-AF82-03E820504C6D}</b:Guid>
    <b:Title>TRiM: an organizational response to traumatic events in Cumbria Constabulary</b:Title>
    <b:Year>2013</b:Year>
    <b:URL>https://academic.oup.com/occmed/article-abstract/63/8/549/1464222?redirectedFrom=fulltext</b:URL>
    <b:JournalName>Occupational Medicine</b:JournalName>
    <b:Pages>549-555</b:Pages>
    <b:Volume>63</b:Volume>
    <b:Issue>8</b:Issue>
    <b:Author>
      <b:Author>
        <b:Corporate>Oxford Academic</b:Corporate>
      </b:Author>
    </b:Author>
    <b:RefOrder>20</b:RefOrder>
  </b:Source>
  <b:Source>
    <b:Tag>The241</b:Tag>
    <b:SourceType>InternetSite</b:SourceType>
    <b:Guid>{876CF3E9-56E7-4391-9687-8C5388E303F0}</b:Guid>
    <b:Title>Blue Light Wellbeing Framework (BLWF)</b:Title>
    <b:Year>2024</b:Year>
    <b:Author>
      <b:Author>
        <b:Corporate>The National Police Wellbeing Service</b:Corporate>
      </b:Author>
    </b:Author>
    <b:YearAccessed>2024</b:YearAccessed>
    <b:MonthAccessed>November</b:MonthAccessed>
    <b:DayAccessed>25</b:DayAccessed>
    <b:URL>https://www.oscarkilo.org.uk/blue-light-wellbeing-framework-blwf</b:URL>
    <b:RefOrder>21</b:RefOrder>
  </b:Source>
  <b:Source>
    <b:Tag>GOV241</b:Tag>
    <b:SourceType>InternetSite</b:SourceType>
    <b:Guid>{E4997058-8A32-468E-A015-11F61DCCB5A6}</b:Guid>
    <b:Author>
      <b:Author>
        <b:Corporate>GOV.UK</b:Corporate>
      </b:Author>
    </b:Author>
    <b:Title>New strategy to tackle organised crime</b:Title>
    <b:Year>2024</b:Year>
    <b:YearAccessed>2024</b:YearAccessed>
    <b:MonthAccessed>November</b:MonthAccessed>
    <b:DayAccessed>25</b:DayAccessed>
    <b:URL>https://www.gov.uk/government/news/new-strategy-to-tackle-organised-crime#:~:text=The%20National%20Crime%20Agency%20(NCA,affordable%20homes%20outside%20of%20London.</b:URL>
    <b:RefOrder>22</b:RefOrder>
  </b:Source>
  <b:Source>
    <b:Tag>Eme08</b:Tag>
    <b:SourceType>JournalArticle</b:SourceType>
    <b:Guid>{D79C2935-6A77-4060-AF89-4B80EFEF67B5}</b:Guid>
    <b:Title>Proactive policing and the assessment of organised crime</b:Title>
    <b:Year>2008</b:Year>
    <b:YearAccessed>2024</b:YearAccessed>
    <b:MonthAccessed>November</b:MonthAccessed>
    <b:DayAccessed>25</b:DayAccessed>
    <b:URL>https://www.emerald.com/insight/content/doi/10.1108/13639510810910553/full/html</b:URL>
    <b:Author>
      <b:Author>
        <b:Corporate>Emerald Insight</b:Corporate>
      </b:Author>
    </b:Author>
    <b:JournalName>Policing: An International Journal</b:JournalName>
    <b:Pages>534-552</b:Pages>
    <b:Volume>31</b:Volume>
    <b:Issue>4</b:Issue>
    <b:Publisher>Emerald Group Publishing Limited</b:Publisher>
    <b:RefOrder>23</b:RefOrder>
  </b:Source>
  <b:Source>
    <b:Tag>Tay22</b:Tag>
    <b:SourceType>JournalArticle</b:SourceType>
    <b:Guid>{B9D87F32-8C53-4896-A863-BB90A0F6F90A}</b:Guid>
    <b:Author>
      <b:Author>
        <b:Corporate>Taylor &amp; Francis Online</b:Corporate>
      </b:Author>
    </b:Author>
    <b:Title>Problem-oriented policing in England and Wales: barriers and facilitators</b:Title>
    <b:JournalName>Policing and Society: An International Journal of Research and Policy</b:JournalName>
    <b:Year>2022</b:Year>
    <b:Pages>1087-1102</b:Pages>
    <b:Volume>32</b:Volume>
    <b:Issue>9</b:Issue>
    <b:YearAccessed>2024</b:YearAccessed>
    <b:MonthAccessed>November</b:MonthAccessed>
    <b:DayAccessed>25</b:DayAccessed>
    <b:URL>https://www.tandfonline.com/doi/full/10.1080/10439463.2021.2003361#abstract</b:URL>
    <b:RefOrder>24</b:RefOrder>
  </b:Source>
  <b:Source>
    <b:Tag>Not21</b:Tag>
    <b:SourceType>JournalArticle</b:SourceType>
    <b:Guid>{15B796FF-D479-44BE-85D8-360E414D6522}</b:Guid>
    <b:Author>
      <b:Author>
        <b:Corporate>Nottingham Trent University</b:Corporate>
      </b:Author>
    </b:Author>
    <b:Title>County lines: the exploitation of vulnerable members of society</b:Title>
    <b:JournalName>Forensic Research &amp; Criminology International Journal</b:JournalName>
    <b:Year>2021</b:Year>
    <b:Pages>47-57</b:Pages>
    <b:Volume>9</b:Volume>
    <b:Issue>2</b:Issue>
    <b:YearAccessed>2024</b:YearAccessed>
    <b:MonthAccessed>November</b:MonthAccessed>
    <b:DayAccessed>25</b:DayAccessed>
    <b:URL>https://irep.ntu.ac.uk/id/eprint/44335/</b:URL>
    <b:RefOrder>25</b:RefOrder>
  </b:Source>
  <b:Source>
    <b:Tag>Uni18</b:Tag>
    <b:SourceType>Report</b:SourceType>
    <b:Guid>{44BE9CBD-685F-4390-8927-72C195E45BFE}</b:Guid>
    <b:Title>Community Experiences of Serious Organised Crime in Scotland</b:Title>
    <b:Year>2018</b:Year>
    <b:Author>
      <b:Author>
        <b:Corporate>University of Sterling</b:Corporate>
      </b:Author>
    </b:Author>
    <b:Publisher>STORRE: Stirling Online Research Repository</b:Publisher>
    <b:City>Edinburgh</b:City>
    <b:YearAccessed>2024</b:YearAccessed>
    <b:MonthAccessed>November</b:MonthAccessed>
    <b:DayAccessed>25</b:DayAccessed>
    <b:URL>https://dspace.stir.ac.uk/handle/1893/29613</b:URL>
    <b:RefOrder>26</b:RefOrder>
  </b:Source>
  <b:Source>
    <b:Tag>Uni191</b:Tag>
    <b:SourceType>DocumentFromInternetSite</b:SourceType>
    <b:Guid>{6083E10A-2E5B-497B-B45F-F082E46EFEF2}</b:Guid>
    <b:Title>Diverting young men from gangs: a qualitative evaluation</b:Title>
    <b:Year>2019</b:Year>
    <b:Author>
      <b:Author>
        <b:Corporate>University of Central Lancashire</b:Corporate>
      </b:Author>
    </b:Author>
    <b:YearAccessed>2024</b:YearAccessed>
    <b:MonthAccessed>November</b:MonthAccessed>
    <b:DayAccessed>25</b:DayAccessed>
    <b:URL>https://clok.uclan.ac.uk/29433/1/29433%20Diverting%2520young%2520men%2520from%2520gangs%2520-%2520accepted%2520version.pdf</b:URL>
    <b:RefOrder>27</b:RefOrder>
  </b:Source>
  <b:Source>
    <b:Tag>Wil22</b:Tag>
    <b:SourceType>JournalArticle</b:SourceType>
    <b:Guid>{544B6984-C448-48FC-82EA-9D01ACF714EC}</b:Guid>
    <b:Title>Organized crime groups: A systematic review of individual-level risk factors related to recruitment</b:Title>
    <b:Year>2022</b:Year>
    <b:YearAccessed>2024</b:YearAccessed>
    <b:MonthAccessed>November</b:MonthAccessed>
    <b:DayAccessed>25</b:DayAccessed>
    <b:URL>https://onlinelibrary.wiley.com/doi/full/10.1002/cl2.1218</b:URL>
    <b:JournalName>Campbell Systematic Review</b:JournalName>
    <b:Pages>1-87</b:Pages>
    <b:Volume>18</b:Volume>
    <b:Issue>1</b:Issue>
    <b:Author>
      <b:Author>
        <b:Corporate>Wiley Library Online</b:Corporate>
      </b:Author>
    </b:Author>
    <b:RefOrder>28</b:RefOrder>
  </b:Source>
  <b:Source>
    <b:Tag>Uni181</b:Tag>
    <b:SourceType>DocumentFromInternetSite</b:SourceType>
    <b:Guid>{05A798CB-057B-4617-BEFF-EE008E1F93A3}</b:Guid>
    <b:Title>Diverting Children and Young People from Serious and Organised Crime (SOC) : Guidance for Practice on Recognising and Preventing the Exploitation of Children by SOC.</b:Title>
    <b:JournalName>Centre of Youth and Criminal Justice</b:JournalName>
    <b:Year>2018</b:Year>
    <b:Pages>1-12</b:Pages>
    <b:Author>
      <b:Author>
        <b:Corporate>University of Strathclyde, Glasgow</b:Corporate>
      </b:Author>
    </b:Author>
    <b:Month>March</b:Month>
    <b:YearAccessed>2024</b:YearAccessed>
    <b:MonthAccessed>November</b:MonthAccessed>
    <b:DayAccessed>25</b:DayAccessed>
    <b:URL>https://strathprints.strath.ac.uk/68063/</b:URL>
    <b:RefOrder>29</b:RefOrder>
  </b:Source>
  <b:Source>
    <b:Tag>Car22</b:Tag>
    <b:SourceType>Report</b:SourceType>
    <b:Guid>{4EACE7A0-8105-451E-B93F-FDBD787365AB}</b:Guid>
    <b:Title>Serious and Organised Crime Early Intervention Service</b:Title>
    <b:Year>2022</b:Year>
    <b:URL>https://orca.cardiff.ac.uk/id/eprint/161316/</b:URL>
    <b:Publisher>CASCADE</b:Publisher>
    <b:City>CARDIFF</b:City>
    <b:Author>
      <b:Author>
        <b:Corporate>Cardiff University</b:Corporate>
      </b:Author>
    </b:Author>
    <b:RefOrder>30</b:RefOrder>
  </b:Source>
  <b:Source>
    <b:Tag>Sag14</b:Tag>
    <b:SourceType>JournalArticle</b:SourceType>
    <b:Guid>{A9E6BE6E-D575-4F57-A07D-015FF96855C0}</b:Guid>
    <b:Title>Early Intervention for the Prevention of Offending in Northern Ireland</b:Title>
    <b:Year>2014</b:Year>
    <b:Author>
      <b:Author>
        <b:Corporate>Sage Journals</b:Corporate>
      </b:Author>
    </b:Author>
    <b:JournalName>Youth Justice</b:JournalName>
    <b:Pages>226-240</b:Pages>
    <b:Volume>14</b:Volume>
    <b:Issue>3</b:Issue>
    <b:YearAccessed>2024</b:YearAccessed>
    <b:MonthAccessed>November</b:MonthAccessed>
    <b:DayAccessed>25</b:DayAccessed>
    <b:URL>https://journals.sagepub.com/doi/abs/10.1177/1473225414549693</b:URL>
    <b:RefOrder>31</b:RefOrder>
  </b:Source>
  <b:Source>
    <b:Tag>Sci18</b:Tag>
    <b:SourceType>JournalArticle</b:SourceType>
    <b:Guid>{3395B51A-86E7-4A49-9997-B84D1071DD62}</b:Guid>
    <b:Author>
      <b:Author>
        <b:Corporate>Science Direct</b:Corporate>
      </b:Author>
    </b:Author>
    <b:Title>Adverse childhood experiences</b:Title>
    <b:JournalName>Paediatrics and Child Health</b:JournalName>
    <b:Year>2018</b:Year>
    <b:Pages>132-137</b:Pages>
    <b:Volume>28</b:Volume>
    <b:Issue>3</b:Issue>
    <b:YearAccessed>2024</b:YearAccessed>
    <b:MonthAccessed>November</b:MonthAccessed>
    <b:DayAccessed>25</b:DayAccessed>
    <b:URL>https://www.sciencedirect.com/science/article/abs/pii/S1751722217302913</b:URL>
    <b:RefOrder>32</b:RefOrder>
  </b:Source>
  <b:Source>
    <b:Tag>Bry15</b:Tag>
    <b:SourceType>JournalArticle</b:SourceType>
    <b:Guid>{E2B369D2-BAAE-4DFF-9D83-9FAD497DE315}</b:Guid>
    <b:Title>Trauma changes everything: Examining the relationship between adverse childhood experiences and serious, violent and chronic juvenile offenders</b:Title>
    <b:JournalName>The Internation Journal</b:JournalName>
    <b:Year>2015</b:Year>
    <b:Pages>163-173</b:Pages>
    <b:Volume>46</b:Volume>
    <b:Author>
      <b:Author>
        <b:NameList>
          <b:Person>
            <b:Last>Bryanna Hahn Fox</b:Last>
            <b:First>Nicholas</b:First>
            <b:Middle>Perez, Elizabeth Cass, Michael T. Baglivio, Nathan Epps</b:Middle>
          </b:Person>
        </b:NameList>
      </b:Author>
    </b:Author>
    <b:BookTitle>Child Abuse &amp; Neglect</b:BookTitle>
    <b:YearAccessed>2024</b:YearAccessed>
    <b:MonthAccessed>November</b:MonthAccessed>
    <b:DayAccessed>25</b:DayAccessed>
    <b:URL>https://www.sciencedirect.com/science/article/abs/pii/S0145213415000356</b:URL>
    <b:RefOrder>33</b:RefOrder>
  </b:Source>
  <b:Source>
    <b:Tag>ACE19</b:Tag>
    <b:SourceType>DocumentFromInternetSite</b:SourceType>
    <b:Guid>{25318240-B2A9-4F22-8732-B30DC26D3353}</b:Guid>
    <b:Year>2019</b:Year>
    <b:Month>January</b:Month>
    <b:Day>25</b:Day>
    <b:YearAccessed>2024</b:YearAccessed>
    <b:MonthAccessed>November</b:MonthAccessed>
    <b:DayAccessed>25</b:DayAccessed>
    <b:URL>https://bradfordatrpartnership.co.uk/Resources/4%20Trauma%20Informed%20Practice/Guidance%20and%20Case%20Studies/ACEs%20Case%20Study%20-%20Primary%20School.pdf</b:URL>
    <b:Author>
      <b:Author>
        <b:Corporate>ACEs Case Study</b:Corporate>
      </b:Author>
    </b:Author>
    <b:RefOrder>34</b:RefOrder>
  </b:Source>
  <b:Source>
    <b:Tag>Cri95</b:Tag>
    <b:SourceType>JournalArticle</b:SourceType>
    <b:Guid>{6E0743AE-CF73-4084-BD69-16AFCC3D40F0}</b:Guid>
    <b:Title>Building a Safer Society: Strategic Approaches to Crime Prevention</b:Title>
    <b:Year>1995</b:Year>
    <b:YearAccessed>2024</b:YearAccessed>
    <b:MonthAccessed>November</b:MonthAccessed>
    <b:DayAccessed>25</b:DayAccessed>
    <b:URL>https://d1wqtxts1xzle7.cloudfront.net/44754743/The_Efficacy_of_Strategies_to_Reduce_Juv20160415-13227-8idqrs-libre.pdf?1460710789=&amp;response-content-disposition=inline%3B+filename%3DThe_efficacy_of_strategies_to_reduce_juv.pdf&amp;Expires=1732429986&amp;Signature=</b:URL>
    <b:Author>
      <b:Author>
        <b:NameList>
          <b:Person>
            <b:Last>Justice</b:Last>
            <b:First>Crime</b:First>
            <b:Middle>and</b:Middle>
          </b:Person>
        </b:NameList>
      </b:Author>
    </b:Author>
    <b:JournalName>A review of research</b:JournalName>
    <b:Volume>19</b:Volume>
    <b:RefOrder>35</b:RefOrder>
  </b:Source>
  <b:Source>
    <b:Tag>Uni22</b:Tag>
    <b:SourceType>JournalArticle</b:SourceType>
    <b:Guid>{541E2CC6-92E8-4B63-A460-27D2895ACBAB}</b:Guid>
    <b:Author>
      <b:Author>
        <b:NameList>
          <b:Person>
            <b:Last>Toronto</b:Last>
            <b:First>University</b:First>
            <b:Middle>of</b:Middle>
          </b:Person>
        </b:NameList>
      </b:Author>
    </b:Author>
    <b:Title>Effectiveness of 12 Types of Interventions in Reducing Juvenile Offending and Antisocial Behaviour</b:Title>
    <b:JournalName>Canadian Journal of Criminology and Criminal Justice</b:JournalName>
    <b:Year>2022</b:Year>
    <b:Volume>64</b:Volume>
    <b:Issue>4</b:Issue>
    <b:Month>October</b:Month>
    <b:Day>12</b:Day>
    <b:YearAccessed>2025</b:YearAccessed>
    <b:MonthAccessed>November</b:MonthAccessed>
    <b:DayAccessed>25</b:DayAccessed>
    <b:URL>https://utppublishing.com/doi/abs/10.3138/cjccj.2022-0022</b:URL>
    <b:RefOrder>36</b:RefOrder>
  </b:Source>
  <b:Source>
    <b:Tag>Sag04</b:Tag>
    <b:SourceType>JournalArticle</b:SourceType>
    <b:Guid>{0924C1E0-3A35-4128-A315-94B8CF629C11}</b:Guid>
    <b:Author>
      <b:Author>
        <b:Corporate>Sage Journals</b:Corporate>
      </b:Author>
    </b:Author>
    <b:Title>Promoting Prevention: A Multi-agency Initiative to Prevent Youth Offending Through Consultation in Swansea Schools</b:Title>
    <b:Year>2004</b:Year>
    <b:Pages>117-132</b:Pages>
    <b:Volume>4</b:Volume>
    <b:Issue>2</b:Issue>
    <b:YearAccessed>2024</b:YearAccessed>
    <b:MonthAccessed>November</b:MonthAccessed>
    <b:DayAccessed>25</b:DayAccessed>
    <b:URL>https://journals.sagepub.com/doi/abs/10.1177/147322540400400204</b:URL>
    <b:RefOrder>37</b:RefOrder>
  </b:Source>
  <b:Source>
    <b:Tag>Uni131</b:Tag>
    <b:SourceType>Report</b:SourceType>
    <b:Guid>{48388EC9-4700-46C4-A7CE-3F6F69CEF3ED}</b:Guid>
    <b:Title>Practitioners in the youth justice system: a case study of the youth offending service</b:Title>
    <b:Year>2013</b:Year>
    <b:Publisher>University of Cambridge</b:Publisher>
    <b:City>Cambridge</b:City>
    <b:Author>
      <b:Author>
        <b:Corporate>University of Cambridge</b:Corporate>
      </b:Author>
    </b:Author>
    <b:YearAccessed>2024</b:YearAccessed>
    <b:MonthAccessed>November</b:MonthAccessed>
    <b:DayAccessed>25</b:DayAccessed>
    <b:URL>https://www.repository.cam.ac.uk/items/d6f59f69-c1c6-4fc2-9900-3538036ca9cd</b:URL>
    <b:RefOrder>38</b:RefOrder>
  </b:Source>
</b:Sources>
</file>

<file path=customXml/itemProps1.xml><?xml version="1.0" encoding="utf-8"?>
<ds:datastoreItem xmlns:ds="http://schemas.openxmlformats.org/officeDocument/2006/customXml" ds:itemID="{F68DD74D-8CA6-40A4-8FE6-AE83A187A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12</Pages>
  <Words>5446</Words>
  <Characters>31048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Thomas,Laura swp8702</dc:creator>
  <cp:keywords/>
  <dc:description/>
  <cp:lastModifiedBy>Thomas,Laura swp8702</cp:lastModifiedBy>
  <cp:revision>57</cp:revision>
  <dcterms:created xsi:type="dcterms:W3CDTF">2024-11-22T12:57:00Z</dcterms:created>
  <dcterms:modified xsi:type="dcterms:W3CDTF">2024-11-25T17:42:00Z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2024-11-22T12:58:01Z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09f09719-6e6d-44d9-a20a-cdd3bb158532</vt:lpwstr>
  </property>
  <property fmtid="{D5CDD505-2E9C-101B-9397-08002B2CF9AE}" pid="8" name="MSIP_Label_66cf8fe5-b7b7-4df7-b38d-1c61ac2f6639_ContentBits">
    <vt:lpwstr>0</vt:lpwstr>
  </property>
</Properties>
</file>