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921F9" w14:textId="1E42BD84" w:rsidR="00D40559" w:rsidRDefault="00D40559" w:rsidP="00481C8B">
      <w:pPr>
        <w:jc w:val="left"/>
      </w:pPr>
    </w:p>
    <w:p w14:paraId="6A992E30" w14:textId="77777777" w:rsidR="00553108" w:rsidRDefault="00553108" w:rsidP="00481C8B">
      <w:pPr>
        <w:jc w:val="left"/>
      </w:pPr>
    </w:p>
    <w:p w14:paraId="118DD463" w14:textId="77777777" w:rsidR="00553108" w:rsidRDefault="00553108" w:rsidP="00481C8B">
      <w:pPr>
        <w:jc w:val="left"/>
      </w:pPr>
    </w:p>
    <w:p w14:paraId="0919917E" w14:textId="77777777" w:rsidR="00553108" w:rsidRDefault="00553108" w:rsidP="00481C8B">
      <w:pPr>
        <w:jc w:val="left"/>
      </w:pPr>
    </w:p>
    <w:p w14:paraId="34EF32BD" w14:textId="77777777" w:rsidR="00553108" w:rsidRDefault="00553108" w:rsidP="00481C8B">
      <w:pPr>
        <w:jc w:val="left"/>
      </w:pPr>
    </w:p>
    <w:p w14:paraId="577A5DB1" w14:textId="77777777" w:rsidR="00553108" w:rsidRDefault="00553108" w:rsidP="00481C8B">
      <w:pPr>
        <w:jc w:val="left"/>
      </w:pPr>
    </w:p>
    <w:p w14:paraId="0C6931C3" w14:textId="77777777" w:rsidR="00553108" w:rsidRDefault="00553108" w:rsidP="00481C8B">
      <w:pPr>
        <w:jc w:val="left"/>
      </w:pPr>
    </w:p>
    <w:p w14:paraId="3AA6ACE1" w14:textId="77777777" w:rsidR="00553108" w:rsidRDefault="00553108" w:rsidP="00481C8B">
      <w:pPr>
        <w:jc w:val="left"/>
      </w:pPr>
    </w:p>
    <w:p w14:paraId="2742FF91" w14:textId="77777777" w:rsidR="00553108" w:rsidRDefault="00553108" w:rsidP="00481C8B">
      <w:pPr>
        <w:jc w:val="center"/>
        <w:rPr>
          <w:b/>
          <w:sz w:val="40"/>
        </w:rPr>
      </w:pPr>
    </w:p>
    <w:p w14:paraId="5053309F" w14:textId="77777777" w:rsidR="00553108" w:rsidRPr="00DB2B71" w:rsidRDefault="00553108" w:rsidP="00481C8B">
      <w:pPr>
        <w:jc w:val="center"/>
        <w:rPr>
          <w:b/>
          <w:sz w:val="40"/>
        </w:rPr>
      </w:pPr>
      <w:r w:rsidRPr="00DB2B71">
        <w:rPr>
          <w:b/>
          <w:sz w:val="40"/>
        </w:rPr>
        <w:t>BMIH6007</w:t>
      </w:r>
    </w:p>
    <w:p w14:paraId="227D2086" w14:textId="77777777" w:rsidR="00553108" w:rsidRDefault="00553108" w:rsidP="00481C8B">
      <w:pPr>
        <w:jc w:val="center"/>
        <w:rPr>
          <w:b/>
          <w:sz w:val="40"/>
        </w:rPr>
      </w:pPr>
      <w:r w:rsidRPr="00DB2B71">
        <w:rPr>
          <w:b/>
          <w:sz w:val="40"/>
        </w:rPr>
        <w:t>International Meetings Management for the Hotel Industry</w:t>
      </w:r>
    </w:p>
    <w:p w14:paraId="12D752FC" w14:textId="77777777" w:rsidR="003648DC" w:rsidRPr="001C457B" w:rsidRDefault="003648DC" w:rsidP="003648DC">
      <w:pPr>
        <w:spacing w:line="259" w:lineRule="auto"/>
        <w:jc w:val="center"/>
        <w:rPr>
          <w:b/>
          <w:bCs/>
          <w:sz w:val="40"/>
          <w:szCs w:val="40"/>
        </w:rPr>
      </w:pPr>
      <w:r w:rsidRPr="001C457B">
        <w:rPr>
          <w:b/>
          <w:bCs/>
          <w:sz w:val="40"/>
          <w:szCs w:val="40"/>
        </w:rPr>
        <w:t xml:space="preserve">Technology and Innovation </w:t>
      </w:r>
    </w:p>
    <w:p w14:paraId="69973748" w14:textId="77777777" w:rsidR="003648DC" w:rsidRDefault="003648DC" w:rsidP="003648DC">
      <w:pPr>
        <w:spacing w:line="259" w:lineRule="auto"/>
        <w:jc w:val="center"/>
        <w:rPr>
          <w:b/>
          <w:bCs/>
          <w:sz w:val="28"/>
        </w:rPr>
      </w:pPr>
    </w:p>
    <w:p w14:paraId="03E27502" w14:textId="77777777" w:rsidR="003648DC" w:rsidRPr="00DB2B71" w:rsidRDefault="003648DC" w:rsidP="00481C8B">
      <w:pPr>
        <w:jc w:val="center"/>
        <w:rPr>
          <w:b/>
          <w:sz w:val="40"/>
        </w:rPr>
      </w:pPr>
    </w:p>
    <w:p w14:paraId="0B435250" w14:textId="30F0F5F4" w:rsidR="00553108" w:rsidRPr="00DB2B71" w:rsidRDefault="00553108" w:rsidP="003648DC">
      <w:pPr>
        <w:rPr>
          <w:b/>
          <w:sz w:val="40"/>
        </w:rPr>
      </w:pPr>
    </w:p>
    <w:p w14:paraId="6C92D9DD" w14:textId="77777777" w:rsidR="00E710EB" w:rsidRPr="00DB2B71" w:rsidRDefault="00E710EB" w:rsidP="00481C8B">
      <w:pPr>
        <w:jc w:val="center"/>
        <w:rPr>
          <w:b/>
          <w:sz w:val="40"/>
        </w:rPr>
      </w:pPr>
    </w:p>
    <w:p w14:paraId="63E4336F" w14:textId="77777777" w:rsidR="00E710EB" w:rsidRPr="00DB2B71" w:rsidRDefault="00E710EB" w:rsidP="00481C8B">
      <w:pPr>
        <w:jc w:val="center"/>
        <w:rPr>
          <w:b/>
          <w:sz w:val="40"/>
        </w:rPr>
      </w:pPr>
    </w:p>
    <w:p w14:paraId="57E45DE3" w14:textId="77777777" w:rsidR="003648DC" w:rsidRPr="0046341B" w:rsidRDefault="003648DC" w:rsidP="003648DC">
      <w:pPr>
        <w:rPr>
          <w:b/>
          <w:bCs/>
          <w:sz w:val="28"/>
          <w:szCs w:val="28"/>
        </w:rPr>
      </w:pPr>
    </w:p>
    <w:p w14:paraId="6EF2A0C8" w14:textId="77777777" w:rsidR="003648DC" w:rsidRPr="0046341B" w:rsidRDefault="003648DC" w:rsidP="003648DC">
      <w:pPr>
        <w:rPr>
          <w:b/>
          <w:bCs/>
          <w:sz w:val="28"/>
          <w:szCs w:val="28"/>
        </w:rPr>
      </w:pPr>
      <w:r w:rsidRPr="0046341B">
        <w:rPr>
          <w:b/>
          <w:bCs/>
          <w:sz w:val="28"/>
          <w:szCs w:val="28"/>
        </w:rPr>
        <w:t xml:space="preserve">Name: </w:t>
      </w:r>
      <w:r>
        <w:rPr>
          <w:b/>
          <w:bCs/>
          <w:sz w:val="28"/>
          <w:szCs w:val="28"/>
        </w:rPr>
        <w:t>Ionut Alexandru Andruta</w:t>
      </w:r>
    </w:p>
    <w:p w14:paraId="6D0F1842" w14:textId="77777777" w:rsidR="003648DC" w:rsidRPr="0046341B" w:rsidRDefault="003648DC" w:rsidP="003648DC">
      <w:pPr>
        <w:rPr>
          <w:b/>
          <w:bCs/>
          <w:sz w:val="28"/>
          <w:szCs w:val="28"/>
        </w:rPr>
      </w:pPr>
      <w:r w:rsidRPr="0046341B">
        <w:rPr>
          <w:b/>
          <w:bCs/>
          <w:sz w:val="28"/>
          <w:szCs w:val="28"/>
        </w:rPr>
        <w:t>Student ID number: 213301</w:t>
      </w:r>
      <w:r>
        <w:rPr>
          <w:b/>
          <w:bCs/>
          <w:sz w:val="28"/>
          <w:szCs w:val="28"/>
        </w:rPr>
        <w:t>5</w:t>
      </w:r>
    </w:p>
    <w:p w14:paraId="08635F6A" w14:textId="01FD0E6F" w:rsidR="00553108" w:rsidRPr="00DB2B71" w:rsidRDefault="003648DC" w:rsidP="003648DC">
      <w:pPr>
        <w:spacing w:after="160"/>
        <w:jc w:val="left"/>
        <w:rPr>
          <w:b/>
          <w:sz w:val="40"/>
        </w:rPr>
      </w:pPr>
      <w:r w:rsidRPr="0046341B">
        <w:rPr>
          <w:b/>
          <w:bCs/>
          <w:sz w:val="28"/>
          <w:szCs w:val="28"/>
        </w:rPr>
        <w:t>Lecturer: Jemma Smith</w:t>
      </w:r>
      <w:r w:rsidRPr="00DB2B71">
        <w:rPr>
          <w:b/>
          <w:sz w:val="40"/>
        </w:rPr>
        <w:t xml:space="preserve"> </w:t>
      </w:r>
      <w:r w:rsidR="00553108" w:rsidRPr="00DB2B71">
        <w:rPr>
          <w:b/>
          <w:sz w:val="40"/>
        </w:rPr>
        <w:br w:type="page"/>
      </w:r>
    </w:p>
    <w:sdt>
      <w:sdtPr>
        <w:rPr>
          <w:rFonts w:ascii="Times New Roman" w:eastAsia="Times New Roman" w:hAnsi="Times New Roman" w:cs="Times New Roman"/>
          <w:color w:val="auto"/>
          <w:sz w:val="24"/>
          <w:szCs w:val="24"/>
        </w:rPr>
        <w:id w:val="36479189"/>
        <w:docPartObj>
          <w:docPartGallery w:val="Table of Contents"/>
          <w:docPartUnique/>
        </w:docPartObj>
      </w:sdtPr>
      <w:sdtEndPr>
        <w:rPr>
          <w:b/>
          <w:bCs/>
          <w:noProof/>
        </w:rPr>
      </w:sdtEndPr>
      <w:sdtContent>
        <w:p w14:paraId="67502C3D" w14:textId="77777777" w:rsidR="00553108" w:rsidRPr="00DB2B71" w:rsidRDefault="00553108" w:rsidP="00481C8B">
          <w:pPr>
            <w:pStyle w:val="TOCHeading"/>
            <w:spacing w:line="360" w:lineRule="auto"/>
            <w:rPr>
              <w:rFonts w:ascii="Times New Roman" w:hAnsi="Times New Roman" w:cs="Times New Roman"/>
              <w:sz w:val="24"/>
              <w:szCs w:val="24"/>
            </w:rPr>
          </w:pPr>
          <w:r w:rsidRPr="00DB2B71">
            <w:rPr>
              <w:rFonts w:ascii="Times New Roman" w:hAnsi="Times New Roman" w:cs="Times New Roman"/>
              <w:sz w:val="24"/>
              <w:szCs w:val="24"/>
            </w:rPr>
            <w:t>Contents</w:t>
          </w:r>
        </w:p>
        <w:p w14:paraId="7266B2B1" w14:textId="7BAFC764" w:rsidR="00E710EB" w:rsidRPr="00DB2B71" w:rsidRDefault="00553108" w:rsidP="00481C8B">
          <w:pPr>
            <w:pStyle w:val="TOC1"/>
            <w:tabs>
              <w:tab w:val="right" w:leader="dot" w:pos="9017"/>
            </w:tabs>
            <w:rPr>
              <w:rFonts w:eastAsiaTheme="minorEastAsia"/>
              <w:noProof/>
              <w:kern w:val="2"/>
              <w:sz w:val="22"/>
              <w:szCs w:val="22"/>
              <w:lang w:val="en-GB" w:eastAsia="en-GB"/>
              <w14:ligatures w14:val="standardContextual"/>
            </w:rPr>
          </w:pPr>
          <w:r w:rsidRPr="00DB2B71">
            <w:fldChar w:fldCharType="begin"/>
          </w:r>
          <w:r w:rsidRPr="00DB2B71">
            <w:instrText xml:space="preserve"> TOC \o "1-3" \h \z \u </w:instrText>
          </w:r>
          <w:r w:rsidRPr="00DB2B71">
            <w:fldChar w:fldCharType="separate"/>
          </w:r>
          <w:hyperlink w:anchor="_Toc165849317" w:history="1">
            <w:r w:rsidR="00E710EB" w:rsidRPr="00DB2B71">
              <w:rPr>
                <w:rStyle w:val="Hyperlink"/>
                <w:noProof/>
              </w:rPr>
              <w:t>1.0 Introduction</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_Toc165849317 \h </w:instrText>
            </w:r>
            <w:r w:rsidR="00E710EB" w:rsidRPr="00DB2B71">
              <w:rPr>
                <w:noProof/>
                <w:webHidden/>
              </w:rPr>
            </w:r>
            <w:r w:rsidR="00E710EB" w:rsidRPr="00DB2B71">
              <w:rPr>
                <w:noProof/>
                <w:webHidden/>
              </w:rPr>
              <w:fldChar w:fldCharType="separate"/>
            </w:r>
            <w:r w:rsidR="00E710EB" w:rsidRPr="00DB2B71">
              <w:rPr>
                <w:noProof/>
                <w:webHidden/>
              </w:rPr>
              <w:t>3</w:t>
            </w:r>
            <w:r w:rsidR="00E710EB" w:rsidRPr="00DB2B71">
              <w:rPr>
                <w:noProof/>
                <w:webHidden/>
              </w:rPr>
              <w:fldChar w:fldCharType="end"/>
            </w:r>
          </w:hyperlink>
        </w:p>
        <w:p w14:paraId="68E21587" w14:textId="6144FB73" w:rsidR="00E710EB" w:rsidRPr="00DB2B71" w:rsidRDefault="00000000" w:rsidP="00481C8B">
          <w:pPr>
            <w:pStyle w:val="TOC1"/>
            <w:tabs>
              <w:tab w:val="right" w:leader="dot" w:pos="9017"/>
            </w:tabs>
            <w:rPr>
              <w:rFonts w:eastAsiaTheme="minorEastAsia"/>
              <w:noProof/>
              <w:kern w:val="2"/>
              <w:sz w:val="22"/>
              <w:szCs w:val="22"/>
              <w:lang w:val="en-GB" w:eastAsia="en-GB"/>
              <w14:ligatures w14:val="standardContextual"/>
            </w:rPr>
          </w:pPr>
          <w:hyperlink w:anchor="_Toc165849318" w:history="1">
            <w:r w:rsidR="00E710EB" w:rsidRPr="00DB2B71">
              <w:rPr>
                <w:rStyle w:val="Hyperlink"/>
                <w:noProof/>
              </w:rPr>
              <w:t>2.0 Market Factors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_Toc165849318 \h </w:instrText>
            </w:r>
            <w:r w:rsidR="00E710EB" w:rsidRPr="00DB2B71">
              <w:rPr>
                <w:noProof/>
                <w:webHidden/>
              </w:rPr>
            </w:r>
            <w:r w:rsidR="00E710EB" w:rsidRPr="00DB2B71">
              <w:rPr>
                <w:noProof/>
                <w:webHidden/>
              </w:rPr>
              <w:fldChar w:fldCharType="separate"/>
            </w:r>
            <w:r w:rsidR="00E710EB" w:rsidRPr="00DB2B71">
              <w:rPr>
                <w:noProof/>
                <w:webHidden/>
              </w:rPr>
              <w:t>4</w:t>
            </w:r>
            <w:r w:rsidR="00E710EB" w:rsidRPr="00DB2B71">
              <w:rPr>
                <w:noProof/>
                <w:webHidden/>
              </w:rPr>
              <w:fldChar w:fldCharType="end"/>
            </w:r>
          </w:hyperlink>
        </w:p>
        <w:p w14:paraId="4460C52B" w14:textId="38BC12EE"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19" w:history="1">
            <w:r w:rsidR="00E710EB" w:rsidRPr="00DB2B71">
              <w:rPr>
                <w:rStyle w:val="Hyperlink"/>
                <w:noProof/>
              </w:rPr>
              <w:t>2.1 Target Market Analysis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_Toc165849319 \h </w:instrText>
            </w:r>
            <w:r w:rsidR="00E710EB" w:rsidRPr="00DB2B71">
              <w:rPr>
                <w:noProof/>
                <w:webHidden/>
              </w:rPr>
            </w:r>
            <w:r w:rsidR="00E710EB" w:rsidRPr="00DB2B71">
              <w:rPr>
                <w:noProof/>
                <w:webHidden/>
              </w:rPr>
              <w:fldChar w:fldCharType="separate"/>
            </w:r>
            <w:r w:rsidR="00E710EB" w:rsidRPr="00DB2B71">
              <w:rPr>
                <w:noProof/>
                <w:webHidden/>
              </w:rPr>
              <w:t>4</w:t>
            </w:r>
            <w:r w:rsidR="00E710EB" w:rsidRPr="00DB2B71">
              <w:rPr>
                <w:noProof/>
                <w:webHidden/>
              </w:rPr>
              <w:fldChar w:fldCharType="end"/>
            </w:r>
          </w:hyperlink>
        </w:p>
        <w:p w14:paraId="4F78D664" w14:textId="406CED2B"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0" w:history="1">
            <w:r w:rsidR="00E710EB" w:rsidRPr="00DB2B71">
              <w:rPr>
                <w:rStyle w:val="Hyperlink"/>
                <w:noProof/>
              </w:rPr>
              <w:t>2.2 Demand Analysis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_Toc165849320 \h </w:instrText>
            </w:r>
            <w:r w:rsidR="00E710EB" w:rsidRPr="00DB2B71">
              <w:rPr>
                <w:noProof/>
                <w:webHidden/>
              </w:rPr>
            </w:r>
            <w:r w:rsidR="00E710EB" w:rsidRPr="00DB2B71">
              <w:rPr>
                <w:noProof/>
                <w:webHidden/>
              </w:rPr>
              <w:fldChar w:fldCharType="separate"/>
            </w:r>
            <w:r w:rsidR="00E710EB" w:rsidRPr="00DB2B71">
              <w:rPr>
                <w:noProof/>
                <w:webHidden/>
              </w:rPr>
              <w:t>5</w:t>
            </w:r>
            <w:r w:rsidR="00E710EB" w:rsidRPr="00DB2B71">
              <w:rPr>
                <w:noProof/>
                <w:webHidden/>
              </w:rPr>
              <w:fldChar w:fldCharType="end"/>
            </w:r>
          </w:hyperlink>
        </w:p>
        <w:p w14:paraId="69C59703" w14:textId="4AF64AE9"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1" w:history="1">
            <w:r w:rsidR="00E710EB" w:rsidRPr="00DB2B71">
              <w:rPr>
                <w:rStyle w:val="Hyperlink"/>
                <w:noProof/>
              </w:rPr>
              <w:t>2.3 Supply Analysis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_Toc165849321 \h </w:instrText>
            </w:r>
            <w:r w:rsidR="00E710EB" w:rsidRPr="00DB2B71">
              <w:rPr>
                <w:noProof/>
                <w:webHidden/>
              </w:rPr>
            </w:r>
            <w:r w:rsidR="00E710EB" w:rsidRPr="00DB2B71">
              <w:rPr>
                <w:noProof/>
                <w:webHidden/>
              </w:rPr>
              <w:fldChar w:fldCharType="separate"/>
            </w:r>
            <w:r w:rsidR="00E710EB" w:rsidRPr="00DB2B71">
              <w:rPr>
                <w:noProof/>
                <w:webHidden/>
              </w:rPr>
              <w:t>5</w:t>
            </w:r>
            <w:r w:rsidR="00E710EB" w:rsidRPr="00DB2B71">
              <w:rPr>
                <w:noProof/>
                <w:webHidden/>
              </w:rPr>
              <w:fldChar w:fldCharType="end"/>
            </w:r>
          </w:hyperlink>
        </w:p>
        <w:p w14:paraId="5C3F4261" w14:textId="3BB73571"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2" w:history="1">
            <w:r w:rsidR="00E710EB" w:rsidRPr="00DB2B71">
              <w:rPr>
                <w:rStyle w:val="Hyperlink"/>
                <w:noProof/>
              </w:rPr>
              <w:t>2.4 Competition Analysis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_Toc165849322 \h </w:instrText>
            </w:r>
            <w:r w:rsidR="00E710EB" w:rsidRPr="00DB2B71">
              <w:rPr>
                <w:noProof/>
                <w:webHidden/>
              </w:rPr>
            </w:r>
            <w:r w:rsidR="00E710EB" w:rsidRPr="00DB2B71">
              <w:rPr>
                <w:noProof/>
                <w:webHidden/>
              </w:rPr>
              <w:fldChar w:fldCharType="separate"/>
            </w:r>
            <w:r w:rsidR="00E710EB" w:rsidRPr="00DB2B71">
              <w:rPr>
                <w:noProof/>
                <w:webHidden/>
              </w:rPr>
              <w:t>5</w:t>
            </w:r>
            <w:r w:rsidR="00E710EB" w:rsidRPr="00DB2B71">
              <w:rPr>
                <w:noProof/>
                <w:webHidden/>
              </w:rPr>
              <w:fldChar w:fldCharType="end"/>
            </w:r>
          </w:hyperlink>
        </w:p>
        <w:p w14:paraId="01E2597C" w14:textId="789E8DC8" w:rsidR="00E710EB" w:rsidRPr="00DB2B71" w:rsidRDefault="00000000" w:rsidP="00481C8B">
          <w:pPr>
            <w:pStyle w:val="TOC1"/>
            <w:tabs>
              <w:tab w:val="right" w:leader="dot" w:pos="9017"/>
            </w:tabs>
            <w:rPr>
              <w:rFonts w:eastAsiaTheme="minorEastAsia"/>
              <w:noProof/>
              <w:kern w:val="2"/>
              <w:sz w:val="22"/>
              <w:szCs w:val="22"/>
              <w:lang w:val="en-GB" w:eastAsia="en-GB"/>
              <w14:ligatures w14:val="standardContextual"/>
            </w:rPr>
          </w:pPr>
          <w:hyperlink w:anchor="_Toc165849323" w:history="1">
            <w:r w:rsidR="00E710EB" w:rsidRPr="00DB2B71">
              <w:rPr>
                <w:rStyle w:val="Hyperlink"/>
                <w:noProof/>
              </w:rPr>
              <w:t>3.0 Operational Factors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_Toc165849323 \h </w:instrText>
            </w:r>
            <w:r w:rsidR="00E710EB" w:rsidRPr="00DB2B71">
              <w:rPr>
                <w:noProof/>
                <w:webHidden/>
              </w:rPr>
            </w:r>
            <w:r w:rsidR="00E710EB" w:rsidRPr="00DB2B71">
              <w:rPr>
                <w:noProof/>
                <w:webHidden/>
              </w:rPr>
              <w:fldChar w:fldCharType="separate"/>
            </w:r>
            <w:r w:rsidR="00E710EB" w:rsidRPr="00DB2B71">
              <w:rPr>
                <w:noProof/>
                <w:webHidden/>
              </w:rPr>
              <w:t>6</w:t>
            </w:r>
            <w:r w:rsidR="00E710EB" w:rsidRPr="00DB2B71">
              <w:rPr>
                <w:noProof/>
                <w:webHidden/>
              </w:rPr>
              <w:fldChar w:fldCharType="end"/>
            </w:r>
          </w:hyperlink>
        </w:p>
        <w:p w14:paraId="638FA025" w14:textId="660C04CA"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4" w:history="1">
            <w:r w:rsidR="00E710EB" w:rsidRPr="00DB2B71">
              <w:rPr>
                <w:rStyle w:val="Hyperlink"/>
                <w:noProof/>
              </w:rPr>
              <w:t>3.1 Venue Selection</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_Toc165849324 \h </w:instrText>
            </w:r>
            <w:r w:rsidR="00E710EB" w:rsidRPr="00DB2B71">
              <w:rPr>
                <w:noProof/>
                <w:webHidden/>
              </w:rPr>
            </w:r>
            <w:r w:rsidR="00E710EB" w:rsidRPr="00DB2B71">
              <w:rPr>
                <w:noProof/>
                <w:webHidden/>
              </w:rPr>
              <w:fldChar w:fldCharType="separate"/>
            </w:r>
            <w:r w:rsidR="00E710EB" w:rsidRPr="00DB2B71">
              <w:rPr>
                <w:noProof/>
                <w:webHidden/>
              </w:rPr>
              <w:t>6</w:t>
            </w:r>
            <w:r w:rsidR="00E710EB" w:rsidRPr="00DB2B71">
              <w:rPr>
                <w:noProof/>
                <w:webHidden/>
              </w:rPr>
              <w:fldChar w:fldCharType="end"/>
            </w:r>
          </w:hyperlink>
        </w:p>
        <w:p w14:paraId="17FF8AD5" w14:textId="71270C4F"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5" w:history="1">
            <w:r w:rsidR="00E710EB" w:rsidRPr="00DB2B71">
              <w:rPr>
                <w:rStyle w:val="Hyperlink"/>
                <w:noProof/>
              </w:rPr>
              <w:t>3.2 Logistics and Infrastructure</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_Toc165849325 \h </w:instrText>
            </w:r>
            <w:r w:rsidR="00E710EB" w:rsidRPr="00DB2B71">
              <w:rPr>
                <w:noProof/>
                <w:webHidden/>
              </w:rPr>
            </w:r>
            <w:r w:rsidR="00E710EB" w:rsidRPr="00DB2B71">
              <w:rPr>
                <w:noProof/>
                <w:webHidden/>
              </w:rPr>
              <w:fldChar w:fldCharType="separate"/>
            </w:r>
            <w:r w:rsidR="00E710EB" w:rsidRPr="00DB2B71">
              <w:rPr>
                <w:noProof/>
                <w:webHidden/>
              </w:rPr>
              <w:t>6</w:t>
            </w:r>
            <w:r w:rsidR="00E710EB" w:rsidRPr="00DB2B71">
              <w:rPr>
                <w:noProof/>
                <w:webHidden/>
              </w:rPr>
              <w:fldChar w:fldCharType="end"/>
            </w:r>
          </w:hyperlink>
        </w:p>
        <w:p w14:paraId="417DBA43" w14:textId="770E8713"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6" w:history="1">
            <w:r w:rsidR="00E710EB" w:rsidRPr="00DB2B71">
              <w:rPr>
                <w:rStyle w:val="Hyperlink"/>
                <w:noProof/>
              </w:rPr>
              <w:t>3.3 Staffing and Personnel</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_Toc165849326 \h </w:instrText>
            </w:r>
            <w:r w:rsidR="00E710EB" w:rsidRPr="00DB2B71">
              <w:rPr>
                <w:noProof/>
                <w:webHidden/>
              </w:rPr>
            </w:r>
            <w:r w:rsidR="00E710EB" w:rsidRPr="00DB2B71">
              <w:rPr>
                <w:noProof/>
                <w:webHidden/>
              </w:rPr>
              <w:fldChar w:fldCharType="separate"/>
            </w:r>
            <w:r w:rsidR="00E710EB" w:rsidRPr="00DB2B71">
              <w:rPr>
                <w:noProof/>
                <w:webHidden/>
              </w:rPr>
              <w:t>7</w:t>
            </w:r>
            <w:r w:rsidR="00E710EB" w:rsidRPr="00DB2B71">
              <w:rPr>
                <w:noProof/>
                <w:webHidden/>
              </w:rPr>
              <w:fldChar w:fldCharType="end"/>
            </w:r>
          </w:hyperlink>
        </w:p>
        <w:p w14:paraId="0F5F6E9D" w14:textId="77560397" w:rsidR="00E710EB" w:rsidRPr="00DB2B71" w:rsidRDefault="00000000" w:rsidP="00481C8B">
          <w:pPr>
            <w:pStyle w:val="TOC1"/>
            <w:tabs>
              <w:tab w:val="right" w:leader="dot" w:pos="9017"/>
            </w:tabs>
            <w:rPr>
              <w:rFonts w:eastAsiaTheme="minorEastAsia"/>
              <w:noProof/>
              <w:kern w:val="2"/>
              <w:sz w:val="22"/>
              <w:szCs w:val="22"/>
              <w:lang w:val="en-GB" w:eastAsia="en-GB"/>
              <w14:ligatures w14:val="standardContextual"/>
            </w:rPr>
          </w:pPr>
          <w:hyperlink w:anchor="_Toc165849327" w:history="1">
            <w:r w:rsidR="00E710EB" w:rsidRPr="00DB2B71">
              <w:rPr>
                <w:rStyle w:val="Hyperlink"/>
                <w:noProof/>
              </w:rPr>
              <w:t>4.0 Financial Factors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_Toc165849327 \h </w:instrText>
            </w:r>
            <w:r w:rsidR="00E710EB" w:rsidRPr="00DB2B71">
              <w:rPr>
                <w:noProof/>
                <w:webHidden/>
              </w:rPr>
            </w:r>
            <w:r w:rsidR="00E710EB" w:rsidRPr="00DB2B71">
              <w:rPr>
                <w:noProof/>
                <w:webHidden/>
              </w:rPr>
              <w:fldChar w:fldCharType="separate"/>
            </w:r>
            <w:r w:rsidR="00E710EB" w:rsidRPr="00DB2B71">
              <w:rPr>
                <w:noProof/>
                <w:webHidden/>
              </w:rPr>
              <w:t>7</w:t>
            </w:r>
            <w:r w:rsidR="00E710EB" w:rsidRPr="00DB2B71">
              <w:rPr>
                <w:noProof/>
                <w:webHidden/>
              </w:rPr>
              <w:fldChar w:fldCharType="end"/>
            </w:r>
          </w:hyperlink>
        </w:p>
        <w:p w14:paraId="5B234171" w14:textId="3CE1470C"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8" w:history="1">
            <w:r w:rsidR="00E710EB" w:rsidRPr="00DB2B71">
              <w:rPr>
                <w:rStyle w:val="Hyperlink"/>
                <w:noProof/>
              </w:rPr>
              <w:t>4.1 Costs Analysis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_Toc165849328 \h </w:instrText>
            </w:r>
            <w:r w:rsidR="00E710EB" w:rsidRPr="00DB2B71">
              <w:rPr>
                <w:noProof/>
                <w:webHidden/>
              </w:rPr>
            </w:r>
            <w:r w:rsidR="00E710EB" w:rsidRPr="00DB2B71">
              <w:rPr>
                <w:noProof/>
                <w:webHidden/>
              </w:rPr>
              <w:fldChar w:fldCharType="separate"/>
            </w:r>
            <w:r w:rsidR="00E710EB" w:rsidRPr="00DB2B71">
              <w:rPr>
                <w:noProof/>
                <w:webHidden/>
              </w:rPr>
              <w:t>8</w:t>
            </w:r>
            <w:r w:rsidR="00E710EB" w:rsidRPr="00DB2B71">
              <w:rPr>
                <w:noProof/>
                <w:webHidden/>
              </w:rPr>
              <w:fldChar w:fldCharType="end"/>
            </w:r>
          </w:hyperlink>
        </w:p>
        <w:p w14:paraId="72928608" w14:textId="658F198B"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29" w:history="1">
            <w:r w:rsidR="00E710EB" w:rsidRPr="00DB2B71">
              <w:rPr>
                <w:rStyle w:val="Hyperlink"/>
                <w:noProof/>
              </w:rPr>
              <w:t>4.2 Predicted Revenues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_Toc165849329 \h </w:instrText>
            </w:r>
            <w:r w:rsidR="00E710EB" w:rsidRPr="00DB2B71">
              <w:rPr>
                <w:noProof/>
                <w:webHidden/>
              </w:rPr>
            </w:r>
            <w:r w:rsidR="00E710EB" w:rsidRPr="00DB2B71">
              <w:rPr>
                <w:noProof/>
                <w:webHidden/>
              </w:rPr>
              <w:fldChar w:fldCharType="separate"/>
            </w:r>
            <w:r w:rsidR="00E710EB" w:rsidRPr="00DB2B71">
              <w:rPr>
                <w:noProof/>
                <w:webHidden/>
              </w:rPr>
              <w:t>9</w:t>
            </w:r>
            <w:r w:rsidR="00E710EB" w:rsidRPr="00DB2B71">
              <w:rPr>
                <w:noProof/>
                <w:webHidden/>
              </w:rPr>
              <w:fldChar w:fldCharType="end"/>
            </w:r>
          </w:hyperlink>
        </w:p>
        <w:p w14:paraId="7A2CD604" w14:textId="5DDE637D" w:rsidR="00E710EB" w:rsidRPr="00DB2B71" w:rsidRDefault="00000000" w:rsidP="00481C8B">
          <w:pPr>
            <w:pStyle w:val="TOC2"/>
            <w:tabs>
              <w:tab w:val="right" w:leader="dot" w:pos="9017"/>
            </w:tabs>
            <w:rPr>
              <w:rFonts w:eastAsiaTheme="minorEastAsia"/>
              <w:noProof/>
              <w:kern w:val="2"/>
              <w:sz w:val="22"/>
              <w:szCs w:val="22"/>
              <w:lang w:val="en-GB" w:eastAsia="en-GB"/>
              <w14:ligatures w14:val="standardContextual"/>
            </w:rPr>
          </w:pPr>
          <w:hyperlink w:anchor="_Toc165849330" w:history="1">
            <w:r w:rsidR="00E710EB" w:rsidRPr="00DB2B71">
              <w:rPr>
                <w:rStyle w:val="Hyperlink"/>
                <w:noProof/>
              </w:rPr>
              <w:t>4.3 Funding Sources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_Toc165849330 \h </w:instrText>
            </w:r>
            <w:r w:rsidR="00E710EB" w:rsidRPr="00DB2B71">
              <w:rPr>
                <w:noProof/>
                <w:webHidden/>
              </w:rPr>
            </w:r>
            <w:r w:rsidR="00E710EB" w:rsidRPr="00DB2B71">
              <w:rPr>
                <w:noProof/>
                <w:webHidden/>
              </w:rPr>
              <w:fldChar w:fldCharType="separate"/>
            </w:r>
            <w:r w:rsidR="00E710EB" w:rsidRPr="00DB2B71">
              <w:rPr>
                <w:noProof/>
                <w:webHidden/>
              </w:rPr>
              <w:t>10</w:t>
            </w:r>
            <w:r w:rsidR="00E710EB" w:rsidRPr="00DB2B71">
              <w:rPr>
                <w:noProof/>
                <w:webHidden/>
              </w:rPr>
              <w:fldChar w:fldCharType="end"/>
            </w:r>
          </w:hyperlink>
        </w:p>
        <w:p w14:paraId="251B5410" w14:textId="721C5878" w:rsidR="00E710EB" w:rsidRPr="00DB2B71" w:rsidRDefault="00000000" w:rsidP="00481C8B">
          <w:pPr>
            <w:pStyle w:val="TOC1"/>
            <w:tabs>
              <w:tab w:val="right" w:leader="dot" w:pos="9017"/>
            </w:tabs>
            <w:rPr>
              <w:rFonts w:eastAsiaTheme="minorEastAsia"/>
              <w:noProof/>
              <w:kern w:val="2"/>
              <w:sz w:val="22"/>
              <w:szCs w:val="22"/>
              <w:lang w:val="en-GB" w:eastAsia="en-GB"/>
              <w14:ligatures w14:val="standardContextual"/>
            </w:rPr>
          </w:pPr>
          <w:hyperlink w:anchor="_Toc165849331" w:history="1">
            <w:r w:rsidR="00E710EB" w:rsidRPr="00DB2B71">
              <w:rPr>
                <w:rStyle w:val="Hyperlink"/>
                <w:noProof/>
              </w:rPr>
              <w:t>5.0 Conclusion</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_Toc165849331 \h </w:instrText>
            </w:r>
            <w:r w:rsidR="00E710EB" w:rsidRPr="00DB2B71">
              <w:rPr>
                <w:noProof/>
                <w:webHidden/>
              </w:rPr>
            </w:r>
            <w:r w:rsidR="00E710EB" w:rsidRPr="00DB2B71">
              <w:rPr>
                <w:noProof/>
                <w:webHidden/>
              </w:rPr>
              <w:fldChar w:fldCharType="separate"/>
            </w:r>
            <w:r w:rsidR="00E710EB" w:rsidRPr="00DB2B71">
              <w:rPr>
                <w:noProof/>
                <w:webHidden/>
              </w:rPr>
              <w:t>11</w:t>
            </w:r>
            <w:r w:rsidR="00E710EB" w:rsidRPr="00DB2B71">
              <w:rPr>
                <w:noProof/>
                <w:webHidden/>
              </w:rPr>
              <w:fldChar w:fldCharType="end"/>
            </w:r>
          </w:hyperlink>
        </w:p>
        <w:p w14:paraId="24749FFD" w14:textId="0C689176" w:rsidR="00E710EB" w:rsidRPr="00DB2B71" w:rsidRDefault="00000000" w:rsidP="00481C8B">
          <w:pPr>
            <w:pStyle w:val="TOC1"/>
            <w:tabs>
              <w:tab w:val="right" w:leader="dot" w:pos="9017"/>
            </w:tabs>
            <w:rPr>
              <w:rFonts w:eastAsiaTheme="minorEastAsia"/>
              <w:noProof/>
              <w:kern w:val="2"/>
              <w:sz w:val="22"/>
              <w:szCs w:val="22"/>
              <w:lang w:val="en-GB" w:eastAsia="en-GB"/>
              <w14:ligatures w14:val="standardContextual"/>
            </w:rPr>
          </w:pPr>
          <w:hyperlink w:anchor="_Toc165849332" w:history="1">
            <w:r w:rsidR="00E710EB" w:rsidRPr="00DB2B71">
              <w:rPr>
                <w:rStyle w:val="Hyperlink"/>
                <w:noProof/>
              </w:rPr>
              <w:t>6.0 References</w:t>
            </w:r>
            <w:r w:rsidR="00E710EB" w:rsidRPr="00DB2B71">
              <w:rPr>
                <w:noProof/>
                <w:webHidden/>
              </w:rPr>
              <w:tab/>
            </w:r>
            <w:r w:rsidR="00E710EB" w:rsidRPr="00DB2B71">
              <w:rPr>
                <w:noProof/>
                <w:webHidden/>
              </w:rPr>
              <w:fldChar w:fldCharType="begin"/>
            </w:r>
            <w:r w:rsidR="00E710EB" w:rsidRPr="00DB2B71">
              <w:rPr>
                <w:noProof/>
                <w:webHidden/>
              </w:rPr>
              <w:instrText xml:space="preserve"> PAGEREF _Toc165849332 \h </w:instrText>
            </w:r>
            <w:r w:rsidR="00E710EB" w:rsidRPr="00DB2B71">
              <w:rPr>
                <w:noProof/>
                <w:webHidden/>
              </w:rPr>
            </w:r>
            <w:r w:rsidR="00E710EB" w:rsidRPr="00DB2B71">
              <w:rPr>
                <w:noProof/>
                <w:webHidden/>
              </w:rPr>
              <w:fldChar w:fldCharType="separate"/>
            </w:r>
            <w:r w:rsidR="00E710EB" w:rsidRPr="00DB2B71">
              <w:rPr>
                <w:noProof/>
                <w:webHidden/>
              </w:rPr>
              <w:t>12</w:t>
            </w:r>
            <w:r w:rsidR="00E710EB" w:rsidRPr="00DB2B71">
              <w:rPr>
                <w:noProof/>
                <w:webHidden/>
              </w:rPr>
              <w:fldChar w:fldCharType="end"/>
            </w:r>
          </w:hyperlink>
        </w:p>
        <w:p w14:paraId="7C4812D7" w14:textId="292A6CE7" w:rsidR="00553108" w:rsidRPr="00DB2B71" w:rsidRDefault="00553108" w:rsidP="00481C8B">
          <w:r w:rsidRPr="00DB2B71">
            <w:rPr>
              <w:b/>
              <w:bCs/>
              <w:noProof/>
            </w:rPr>
            <w:fldChar w:fldCharType="end"/>
          </w:r>
        </w:p>
      </w:sdtContent>
    </w:sdt>
    <w:p w14:paraId="7407B352" w14:textId="77777777" w:rsidR="00553108" w:rsidRPr="00DB2B71" w:rsidRDefault="00553108" w:rsidP="00481C8B">
      <w:pPr>
        <w:spacing w:after="160"/>
        <w:jc w:val="left"/>
        <w:rPr>
          <w:b/>
          <w:sz w:val="40"/>
        </w:rPr>
      </w:pPr>
      <w:r w:rsidRPr="00DB2B71">
        <w:rPr>
          <w:b/>
          <w:sz w:val="40"/>
        </w:rPr>
        <w:br w:type="page"/>
      </w:r>
    </w:p>
    <w:p w14:paraId="075195B8" w14:textId="7EBE76ED" w:rsidR="00553108" w:rsidRPr="00DB2B71" w:rsidRDefault="00B95D5A" w:rsidP="00481C8B">
      <w:r w:rsidRPr="00DB2B71">
        <w:rPr>
          <w:noProof/>
        </w:rPr>
        <w:lastRenderedPageBreak/>
        <w:drawing>
          <wp:inline distT="0" distB="0" distL="0" distR="0" wp14:anchorId="61CA4A7D" wp14:editId="289882F1">
            <wp:extent cx="5702060" cy="32069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4765" cy="3208495"/>
                    </a:xfrm>
                    <a:prstGeom prst="rect">
                      <a:avLst/>
                    </a:prstGeom>
                  </pic:spPr>
                </pic:pic>
              </a:graphicData>
            </a:graphic>
          </wp:inline>
        </w:drawing>
      </w:r>
      <w:r w:rsidR="00F548CB" w:rsidRPr="00F548CB">
        <w:rPr>
          <w:b/>
          <w:bCs/>
          <w:sz w:val="40"/>
          <w:szCs w:val="40"/>
        </w:rPr>
        <w:t>Introduction</w:t>
      </w:r>
    </w:p>
    <w:p w14:paraId="5FE96059" w14:textId="77777777" w:rsidR="002D6757" w:rsidRPr="00DB2B71" w:rsidRDefault="00B95D5A" w:rsidP="00481C8B">
      <w:r w:rsidRPr="00DB2B71">
        <w:rPr>
          <w:noProof/>
        </w:rPr>
        <w:drawing>
          <wp:inline distT="0" distB="0" distL="0" distR="0" wp14:anchorId="7DE40FBE" wp14:editId="313CF512">
            <wp:extent cx="5689139" cy="320040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3328" cy="3208382"/>
                    </a:xfrm>
                    <a:prstGeom prst="rect">
                      <a:avLst/>
                    </a:prstGeom>
                    <a:noFill/>
                  </pic:spPr>
                </pic:pic>
              </a:graphicData>
            </a:graphic>
          </wp:inline>
        </w:drawing>
      </w:r>
    </w:p>
    <w:p w14:paraId="063F3D3A" w14:textId="2FCEAF79" w:rsidR="00CC6D0B" w:rsidRPr="00DB2B71" w:rsidRDefault="001E730E" w:rsidP="00481C8B">
      <w:r w:rsidRPr="00DB2B71">
        <w:rPr>
          <w:color w:val="202122"/>
          <w:sz w:val="21"/>
          <w:szCs w:val="21"/>
          <w:shd w:val="clear" w:color="auto" w:fill="FFFFFF"/>
        </w:rPr>
        <w:t>The </w:t>
      </w:r>
      <w:r w:rsidRPr="00DB2B71">
        <w:rPr>
          <w:b/>
          <w:bCs/>
          <w:color w:val="202122"/>
          <w:sz w:val="21"/>
          <w:szCs w:val="21"/>
          <w:shd w:val="clear" w:color="auto" w:fill="FFFFFF"/>
        </w:rPr>
        <w:t>2026 FIFA World Cup</w:t>
      </w:r>
      <w:r w:rsidRPr="00DB2B71">
        <w:rPr>
          <w:color w:val="202122"/>
          <w:sz w:val="21"/>
          <w:szCs w:val="21"/>
          <w:shd w:val="clear" w:color="auto" w:fill="FFFFFF"/>
        </w:rPr>
        <w:t>, marketed as </w:t>
      </w:r>
      <w:r w:rsidRPr="00DB2B71">
        <w:rPr>
          <w:b/>
          <w:bCs/>
          <w:color w:val="202122"/>
          <w:sz w:val="21"/>
          <w:szCs w:val="21"/>
          <w:shd w:val="clear" w:color="auto" w:fill="FFFFFF"/>
        </w:rPr>
        <w:t>FIFA World Cup 26</w:t>
      </w:r>
      <w:r w:rsidRPr="00DB2B71">
        <w:rPr>
          <w:color w:val="202122"/>
          <w:sz w:val="21"/>
          <w:szCs w:val="21"/>
          <w:shd w:val="clear" w:color="auto" w:fill="FFFFFF"/>
        </w:rPr>
        <w:t>, will be the 23rd </w:t>
      </w:r>
      <w:proofErr w:type="spellStart"/>
      <w:r w:rsidR="002744C2" w:rsidRPr="00DB2B71">
        <w:t>Fifa</w:t>
      </w:r>
      <w:proofErr w:type="spellEnd"/>
      <w:r w:rsidR="002744C2" w:rsidRPr="00DB2B71">
        <w:t xml:space="preserve"> World Cup</w:t>
      </w:r>
      <w:r w:rsidRPr="00DB2B71">
        <w:rPr>
          <w:color w:val="202122"/>
          <w:sz w:val="21"/>
          <w:szCs w:val="21"/>
          <w:shd w:val="clear" w:color="auto" w:fill="FFFFFF"/>
        </w:rPr>
        <w:t>, the </w:t>
      </w:r>
      <w:r w:rsidR="002744C2" w:rsidRPr="00DB2B71">
        <w:rPr>
          <w:rFonts w:eastAsiaTheme="majorEastAsia"/>
          <w:sz w:val="21"/>
          <w:szCs w:val="21"/>
          <w:shd w:val="clear" w:color="auto" w:fill="FFFFFF"/>
        </w:rPr>
        <w:t>quadrennial</w:t>
      </w:r>
      <w:r w:rsidRPr="00DB2B71">
        <w:rPr>
          <w:color w:val="202122"/>
          <w:sz w:val="21"/>
          <w:szCs w:val="21"/>
          <w:shd w:val="clear" w:color="auto" w:fill="FFFFFF"/>
        </w:rPr>
        <w:t> international men's </w:t>
      </w:r>
      <w:r w:rsidR="002744C2" w:rsidRPr="00DB2B71">
        <w:t>football</w:t>
      </w:r>
      <w:r w:rsidRPr="00DB2B71">
        <w:rPr>
          <w:color w:val="202122"/>
          <w:sz w:val="21"/>
          <w:szCs w:val="21"/>
          <w:shd w:val="clear" w:color="auto" w:fill="FFFFFF"/>
        </w:rPr>
        <w:t> championship contested by the </w:t>
      </w:r>
      <w:r w:rsidR="002744C2" w:rsidRPr="00DB2B71">
        <w:t>national teams</w:t>
      </w:r>
      <w:r w:rsidRPr="00DB2B71">
        <w:rPr>
          <w:color w:val="202122"/>
          <w:sz w:val="21"/>
          <w:szCs w:val="21"/>
          <w:shd w:val="clear" w:color="auto" w:fill="FFFFFF"/>
        </w:rPr>
        <w:t> of the member associations of </w:t>
      </w:r>
      <w:proofErr w:type="spellStart"/>
      <w:r w:rsidRPr="00DB2B71">
        <w:t>Fifa</w:t>
      </w:r>
      <w:proofErr w:type="spellEnd"/>
      <w:r w:rsidRPr="00DB2B71">
        <w:rPr>
          <w:color w:val="202122"/>
          <w:sz w:val="21"/>
          <w:szCs w:val="21"/>
          <w:shd w:val="clear" w:color="auto" w:fill="FFFFFF"/>
        </w:rPr>
        <w:t>. The tournament will take place from June 11 to July 19, 2026. It will be jointly hosted by 16 cities in three North American countries: </w:t>
      </w:r>
      <w:r w:rsidR="002744C2" w:rsidRPr="00DB2B71">
        <w:t>Canada</w:t>
      </w:r>
      <w:r w:rsidRPr="00DB2B71">
        <w:rPr>
          <w:color w:val="202122"/>
          <w:sz w:val="21"/>
          <w:szCs w:val="21"/>
          <w:shd w:val="clear" w:color="auto" w:fill="FFFFFF"/>
        </w:rPr>
        <w:t>, </w:t>
      </w:r>
      <w:r w:rsidR="002744C2" w:rsidRPr="00DB2B71">
        <w:t>Mexico</w:t>
      </w:r>
      <w:r w:rsidRPr="00DB2B71">
        <w:rPr>
          <w:color w:val="202122"/>
          <w:sz w:val="21"/>
          <w:szCs w:val="21"/>
          <w:shd w:val="clear" w:color="auto" w:fill="FFFFFF"/>
        </w:rPr>
        <w:t>, and the </w:t>
      </w:r>
      <w:r w:rsidR="002744C2" w:rsidRPr="00DB2B71">
        <w:t>United States</w:t>
      </w:r>
      <w:r w:rsidRPr="00DB2B71">
        <w:rPr>
          <w:color w:val="202122"/>
          <w:sz w:val="21"/>
          <w:szCs w:val="21"/>
          <w:shd w:val="clear" w:color="auto" w:fill="FFFFFF"/>
        </w:rPr>
        <w:t>. The tournament will be the first hosted by three nations</w:t>
      </w:r>
      <w:r w:rsidR="002744C2" w:rsidRPr="00DB2B71">
        <w:rPr>
          <w:color w:val="202122"/>
          <w:sz w:val="21"/>
          <w:szCs w:val="21"/>
          <w:shd w:val="clear" w:color="auto" w:fill="FFFFFF"/>
        </w:rPr>
        <w:t>.</w:t>
      </w:r>
      <w:r w:rsidR="006C2E65" w:rsidRPr="00DB2B71">
        <w:t xml:space="preserve"> FIFA World Cup remains a watershed moment in international sports</w:t>
      </w:r>
      <w:r w:rsidR="00366453" w:rsidRPr="00DB2B71">
        <w:t xml:space="preserve"> (Emerald Insight, 2019)</w:t>
      </w:r>
      <w:r w:rsidR="006C2E65" w:rsidRPr="00DB2B71">
        <w:t xml:space="preserve">. The World Cup has a spectacle of epic grandeur. It has also captured the world's football imagination. It serves as a platform for showing the </w:t>
      </w:r>
      <w:r w:rsidR="006C2E65" w:rsidRPr="00DB2B71">
        <w:lastRenderedPageBreak/>
        <w:t>prevailing sentiment of friendship in society. This scenario reflects the strategic thinking necessary to ensure the event's success. Hosting the FIFA World Cup presents a logistical difficulty</w:t>
      </w:r>
      <w:r w:rsidR="00366453" w:rsidRPr="00DB2B71">
        <w:t xml:space="preserve"> (Emerald Insight, 2014)</w:t>
      </w:r>
      <w:r w:rsidR="006C2E65" w:rsidRPr="00DB2B71">
        <w:t>. At the same time, it is a complex undertaking. This encompasses everything from finding an appropriate site to obtaining money. A successful World Cup organization involves strategic planning.</w:t>
      </w:r>
      <w:r w:rsidR="00AE343E" w:rsidRPr="00DB2B71">
        <w:t xml:space="preserve"> </w:t>
      </w:r>
      <w:r w:rsidR="006C2E65" w:rsidRPr="00DB2B71">
        <w:t>Central to this effort is the critical examination of probability factors</w:t>
      </w:r>
      <w:r w:rsidR="00366453" w:rsidRPr="00DB2B71">
        <w:t xml:space="preserve"> (Journal of Convention &amp; Event Tourism, 2023)</w:t>
      </w:r>
      <w:r w:rsidR="006C2E65" w:rsidRPr="00DB2B71">
        <w:t xml:space="preserve">. These aspects will be explored with a discerning eye. This assignment will explore the intricacies of </w:t>
      </w:r>
      <w:r w:rsidR="00C0480F" w:rsidRPr="00DB2B71">
        <w:t>organizing</w:t>
      </w:r>
      <w:r w:rsidR="006C2E65" w:rsidRPr="00DB2B71">
        <w:t xml:space="preserve"> the FIFA World Cup. The event's target audience, demand, supply, etc. will be </w:t>
      </w:r>
      <w:r w:rsidR="00C0480F" w:rsidRPr="00DB2B71">
        <w:t>analyzed</w:t>
      </w:r>
      <w:r w:rsidR="006C2E65" w:rsidRPr="00DB2B71">
        <w:t xml:space="preserve"> in this report. Market elements influencing the competitive landscape will be investigated. Operational issues include allocating resources and managing the skills necessary to orchestrate a smooth tournament experience. Assessing these components will shed light on the strategic pre-planning research necessary to host the FIFA World Cup</w:t>
      </w:r>
      <w:r w:rsidR="00366453" w:rsidRPr="00DB2B71">
        <w:t xml:space="preserve"> (Getz, 2008)</w:t>
      </w:r>
      <w:r w:rsidR="006C2E65" w:rsidRPr="00DB2B71">
        <w:t>.</w:t>
      </w:r>
    </w:p>
    <w:p w14:paraId="6D94C6A1" w14:textId="77777777" w:rsidR="00F548CB" w:rsidRPr="00F548CB" w:rsidRDefault="00F548CB" w:rsidP="00481C8B">
      <w:pPr>
        <w:rPr>
          <w:b/>
          <w:bCs/>
          <w:sz w:val="40"/>
          <w:szCs w:val="40"/>
        </w:rPr>
      </w:pPr>
    </w:p>
    <w:p w14:paraId="2B9105D6" w14:textId="6B9927B2" w:rsidR="00CC6D0B" w:rsidRPr="00F548CB" w:rsidRDefault="00CC6D0B" w:rsidP="00481C8B">
      <w:pPr>
        <w:rPr>
          <w:b/>
          <w:bCs/>
          <w:sz w:val="40"/>
          <w:szCs w:val="40"/>
        </w:rPr>
      </w:pPr>
      <w:r w:rsidRPr="00F548CB">
        <w:rPr>
          <w:b/>
          <w:bCs/>
          <w:sz w:val="40"/>
          <w:szCs w:val="40"/>
        </w:rPr>
        <w:t>Format and expansion.</w:t>
      </w:r>
    </w:p>
    <w:p w14:paraId="3F92607E" w14:textId="3A79694B" w:rsidR="00CC6D0B" w:rsidRPr="00F548CB" w:rsidRDefault="00CC6D0B" w:rsidP="00481C8B">
      <w:pPr>
        <w:pStyle w:val="NormalWeb"/>
        <w:shd w:val="clear" w:color="auto" w:fill="FFFFFF"/>
        <w:spacing w:before="120" w:beforeAutospacing="0" w:after="0" w:afterAutospacing="0" w:line="360" w:lineRule="auto"/>
        <w:rPr>
          <w:color w:val="202122"/>
        </w:rPr>
      </w:pPr>
      <w:r w:rsidRPr="00F548CB">
        <w:rPr>
          <w:color w:val="202122"/>
        </w:rPr>
        <w:t>Starting with this edition, the FIFA World Cup expanded to 48 teams, an increase of 16 from the previous tournaments. The teams will be split into 12 groups of 4 teams, with the top 2 of each group and the eight best third-placed teams progressing to a new round of 32, as approved by the FIFA. This is set to be the first expansion and format change since 1998.</w:t>
      </w:r>
    </w:p>
    <w:p w14:paraId="15F7BE6E" w14:textId="0AEEBA99" w:rsidR="002D6757" w:rsidRDefault="00CC6D0B" w:rsidP="00481C8B">
      <w:pPr>
        <w:pStyle w:val="NormalWeb"/>
        <w:shd w:val="clear" w:color="auto" w:fill="FFFFFF"/>
        <w:spacing w:before="120" w:beforeAutospacing="0" w:after="0" w:afterAutospacing="0" w:line="360" w:lineRule="auto"/>
        <w:rPr>
          <w:color w:val="202122"/>
        </w:rPr>
      </w:pPr>
      <w:r w:rsidRPr="00F548CB">
        <w:rPr>
          <w:color w:val="202122"/>
        </w:rPr>
        <w:t>The total number of games played will increase from 64 to 104, and the number of games played by teams reaching the final four will increase from seven to eight. The tournament will last 39 days, an increase from 32 days of the 2014 and 2018 editions.</w:t>
      </w:r>
    </w:p>
    <w:p w14:paraId="5C512D58" w14:textId="7AD08C11" w:rsidR="002D6757" w:rsidRPr="00F548CB" w:rsidRDefault="00F548CB" w:rsidP="00481C8B">
      <w:pPr>
        <w:pStyle w:val="NormalWeb"/>
        <w:shd w:val="clear" w:color="auto" w:fill="FFFFFF"/>
        <w:spacing w:before="120" w:beforeAutospacing="0" w:after="0" w:afterAutospacing="0" w:line="360" w:lineRule="auto"/>
        <w:rPr>
          <w:b/>
          <w:bCs/>
          <w:color w:val="202122"/>
          <w:sz w:val="40"/>
          <w:szCs w:val="40"/>
        </w:rPr>
      </w:pPr>
      <w:r w:rsidRPr="00F548CB">
        <w:rPr>
          <w:b/>
          <w:bCs/>
          <w:color w:val="202122"/>
          <w:sz w:val="40"/>
          <w:szCs w:val="40"/>
        </w:rPr>
        <w:lastRenderedPageBreak/>
        <w:t>Market Factors</w:t>
      </w:r>
      <w:r w:rsidR="00B95D5A" w:rsidRPr="00DB2B71">
        <w:rPr>
          <w:noProof/>
        </w:rPr>
        <w:drawing>
          <wp:inline distT="0" distB="0" distL="0" distR="0" wp14:anchorId="0A926F8F" wp14:editId="2ECE8762">
            <wp:extent cx="5704475" cy="32090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7736" cy="3216487"/>
                    </a:xfrm>
                    <a:prstGeom prst="rect">
                      <a:avLst/>
                    </a:prstGeom>
                    <a:noFill/>
                  </pic:spPr>
                </pic:pic>
              </a:graphicData>
            </a:graphic>
          </wp:inline>
        </w:drawing>
      </w:r>
    </w:p>
    <w:p w14:paraId="31456954" w14:textId="77777777" w:rsidR="008F4C0E" w:rsidRPr="00DB2B71" w:rsidRDefault="008F4C0E" w:rsidP="00481C8B">
      <w:r w:rsidRPr="00DB2B71">
        <w:t>The FIFA World Cup is one of the most significant sporting events globally</w:t>
      </w:r>
      <w:r w:rsidR="00366453" w:rsidRPr="00DB2B71">
        <w:t xml:space="preserve"> (Ahmad and Daud, 2016)</w:t>
      </w:r>
      <w:r w:rsidRPr="00DB2B71">
        <w:t>. It needs analysis to understand market dynamics. Market factors encompass various elements. It includes the target market, demand, supply, and competition. All of which play pivotal roles in shaping the strategic planning of the tournament.</w:t>
      </w:r>
    </w:p>
    <w:p w14:paraId="22E9F9EB" w14:textId="77777777" w:rsidR="00F548CB" w:rsidRPr="00F548CB" w:rsidRDefault="00F548CB" w:rsidP="00481C8B">
      <w:pPr>
        <w:rPr>
          <w:b/>
          <w:bCs/>
          <w:sz w:val="40"/>
          <w:szCs w:val="40"/>
        </w:rPr>
      </w:pPr>
      <w:r w:rsidRPr="00F548CB">
        <w:rPr>
          <w:b/>
          <w:bCs/>
          <w:sz w:val="40"/>
          <w:szCs w:val="40"/>
        </w:rPr>
        <w:t>Target Analysis</w:t>
      </w:r>
    </w:p>
    <w:p w14:paraId="7CA0F0E3" w14:textId="01368070" w:rsidR="008D20AE" w:rsidRPr="00DB2B71" w:rsidRDefault="008D20AE" w:rsidP="00481C8B">
      <w:r w:rsidRPr="00DB2B71">
        <w:t>The FIFA World Cup has a very broad target market</w:t>
      </w:r>
      <w:r w:rsidR="00366453" w:rsidRPr="00DB2B71">
        <w:t xml:space="preserve"> (Emerald Insight, 2024)</w:t>
      </w:r>
      <w:r w:rsidRPr="00DB2B71">
        <w:t>. It comprises people of various ages, genders, socio-economic backgrounds, etc. Other athletic events target certain groups. The World Cup draws a genuinely global audience. It transcends national bounds. Its target market is football fans. These range from ardent national team supporters to casual viewers who tune in to enjoy the spectacle of the competition. These supporters comprise the core of the World Cup audience. They provide a substantial contribution to economic success, as the target demographic has grown beyond conventional football supporters. It encompasses a large portion of the people who are drawn to cultural importance. People who aren't very interested in sports may be drawn to the World Cup because of the celebratory mood</w:t>
      </w:r>
      <w:r w:rsidR="00684F03" w:rsidRPr="00DB2B71">
        <w:t xml:space="preserve"> (Chuah and Latip, 2018)</w:t>
      </w:r>
      <w:r w:rsidRPr="00DB2B71">
        <w:t>.</w:t>
      </w:r>
    </w:p>
    <w:p w14:paraId="50B49F2E" w14:textId="77777777" w:rsidR="00F548CB" w:rsidRPr="00F548CB" w:rsidRDefault="00F548CB" w:rsidP="00481C8B">
      <w:pPr>
        <w:rPr>
          <w:b/>
          <w:bCs/>
          <w:sz w:val="40"/>
          <w:szCs w:val="40"/>
        </w:rPr>
      </w:pPr>
      <w:r w:rsidRPr="00F548CB">
        <w:rPr>
          <w:b/>
          <w:bCs/>
          <w:sz w:val="40"/>
          <w:szCs w:val="40"/>
        </w:rPr>
        <w:t>Demand Analysis</w:t>
      </w:r>
    </w:p>
    <w:p w14:paraId="2EC473DF" w14:textId="4F537B79" w:rsidR="008D20AE" w:rsidRPr="00DB2B71" w:rsidRDefault="008D20AE" w:rsidP="00481C8B">
      <w:r w:rsidRPr="00DB2B71">
        <w:t xml:space="preserve">The demand for the FIFA World Cup is understandably great. This led to its reputation as a big international athletic event. Football is commonly referred to as "the world's game." It is widely </w:t>
      </w:r>
      <w:r w:rsidRPr="00DB2B71">
        <w:lastRenderedPageBreak/>
        <w:t>popular across the continent. This makes the World Cup a highly anticipated event for people throughout the world</w:t>
      </w:r>
      <w:r w:rsidR="00684F03" w:rsidRPr="00DB2B71">
        <w:t xml:space="preserve"> (Jamal and Robinson, 2009)</w:t>
      </w:r>
      <w:r w:rsidRPr="00DB2B71">
        <w:t xml:space="preserve">. The competition has typically drawn significant TV viewers. Billions of people </w:t>
      </w:r>
      <w:r w:rsidR="00C0480F" w:rsidRPr="00DB2B71">
        <w:t>utilize</w:t>
      </w:r>
      <w:r w:rsidRPr="00DB2B71">
        <w:t xml:space="preserve"> various media outlets to watch the game live. Fans anxiously anticipate the crowning of a new champion. A variety of reasons contribute to the FIFA World Cup's popularity. The World Cup provides a great chance for sponsors.</w:t>
      </w:r>
    </w:p>
    <w:p w14:paraId="1C2662FA" w14:textId="77777777" w:rsidR="00F548CB" w:rsidRPr="00F548CB" w:rsidRDefault="00F548CB" w:rsidP="00481C8B">
      <w:pPr>
        <w:rPr>
          <w:b/>
          <w:bCs/>
          <w:sz w:val="40"/>
          <w:szCs w:val="40"/>
        </w:rPr>
      </w:pPr>
      <w:r w:rsidRPr="00F548CB">
        <w:rPr>
          <w:b/>
          <w:bCs/>
          <w:sz w:val="40"/>
          <w:szCs w:val="40"/>
        </w:rPr>
        <w:t>Supply Analysis</w:t>
      </w:r>
    </w:p>
    <w:p w14:paraId="67C095C9" w14:textId="3A4FA2D4" w:rsidR="008D20AE" w:rsidRPr="00DB2B71" w:rsidRDefault="008D20AE" w:rsidP="00481C8B">
      <w:r w:rsidRPr="00DB2B71">
        <w:t>The supply side of the FIFA World Cup encompasses some factors</w:t>
      </w:r>
      <w:r w:rsidR="00CB4B4C" w:rsidRPr="00DB2B71">
        <w:t xml:space="preserve"> (Smith, 2012)</w:t>
      </w:r>
      <w:r w:rsidRPr="00DB2B71">
        <w:t>. It includes the availability of infrastructure. The provision of necessary services is important to ensure the smooth functioning of the tournament. Stadiums serve as focal points for the World Cup. They serve as prominent monuments that represent the host country's culture. The availability of appropriate stadiums with cutting-edge facilities is critical to providing the finest watching experience for the audience</w:t>
      </w:r>
      <w:r w:rsidR="00684F03" w:rsidRPr="00DB2B71">
        <w:t xml:space="preserve"> (Bouchon et al., 2015)</w:t>
      </w:r>
      <w:r w:rsidRPr="00DB2B71">
        <w:t>. Apart from the stadium, housing choices are critical to satisfying the demands of supporters throughout the event. The provision of permanent accommodations is critical to assuring tourist arrivals. Transportation infrastructure contributes to greater general accessibility. The availability of qualified workers, notably hospitality personnel, is critical to the success of the World Cup.</w:t>
      </w:r>
    </w:p>
    <w:p w14:paraId="4472DD3D" w14:textId="77777777" w:rsidR="00F548CB" w:rsidRPr="00F548CB" w:rsidRDefault="00F548CB" w:rsidP="00481C8B">
      <w:pPr>
        <w:rPr>
          <w:b/>
          <w:bCs/>
          <w:sz w:val="40"/>
          <w:szCs w:val="40"/>
        </w:rPr>
      </w:pPr>
      <w:r w:rsidRPr="00F548CB">
        <w:rPr>
          <w:b/>
          <w:bCs/>
          <w:sz w:val="40"/>
          <w:szCs w:val="40"/>
        </w:rPr>
        <w:t>Competition Analysis</w:t>
      </w:r>
    </w:p>
    <w:p w14:paraId="35C903A1" w14:textId="77777777" w:rsidR="00F548CB" w:rsidRDefault="002B239B" w:rsidP="00481C8B">
      <w:r w:rsidRPr="00DB2B71">
        <w:t>Understanding the competitive landscape is essential to effectively distinguishing the World Cup from rival events. It faces competition from other major sporting events. It competes for disposable income from consumers</w:t>
      </w:r>
      <w:r w:rsidR="00684F03" w:rsidRPr="00DB2B71">
        <w:t xml:space="preserve"> (Crowther et al., 2015)</w:t>
      </w:r>
      <w:r w:rsidRPr="00DB2B71">
        <w:t>. The World Cup competes with other international tournaments such as the UEFA European Championship, Copa America, etc. These events attract similar sponsors</w:t>
      </w:r>
      <w:r w:rsidR="00684F03" w:rsidRPr="00DB2B71">
        <w:t xml:space="preserve"> (</w:t>
      </w:r>
      <w:proofErr w:type="spellStart"/>
      <w:r w:rsidR="00684F03" w:rsidRPr="00DB2B71">
        <w:t>Contextuali</w:t>
      </w:r>
      <w:r w:rsidR="00AE343E" w:rsidRPr="00DB2B71">
        <w:t>s</w:t>
      </w:r>
      <w:r w:rsidR="00684F03" w:rsidRPr="00DB2B71">
        <w:t>ing</w:t>
      </w:r>
      <w:proofErr w:type="spellEnd"/>
      <w:r w:rsidR="00684F03" w:rsidRPr="00DB2B71">
        <w:t xml:space="preserve"> phenomenology in event management research: Deciphering the meaning of event experiences | Emerald Insight, 2014)</w:t>
      </w:r>
      <w:r w:rsidRPr="00DB2B71">
        <w:t>. They create competition for media coverage. Despite these challenges, the FIFA World Cup maintains a unique position in the world sporting calendar.</w:t>
      </w:r>
    </w:p>
    <w:p w14:paraId="4F75C5D0" w14:textId="77777777" w:rsidR="00F548CB" w:rsidRPr="00F548CB" w:rsidRDefault="00F548CB" w:rsidP="00481C8B">
      <w:pPr>
        <w:rPr>
          <w:b/>
          <w:bCs/>
          <w:sz w:val="40"/>
          <w:szCs w:val="40"/>
        </w:rPr>
      </w:pPr>
    </w:p>
    <w:p w14:paraId="7202CB18" w14:textId="77777777" w:rsidR="00F548CB" w:rsidRPr="00F548CB" w:rsidRDefault="00F548CB" w:rsidP="00481C8B">
      <w:pPr>
        <w:rPr>
          <w:b/>
          <w:bCs/>
          <w:sz w:val="40"/>
          <w:szCs w:val="40"/>
        </w:rPr>
      </w:pPr>
      <w:r w:rsidRPr="00F548CB">
        <w:rPr>
          <w:b/>
          <w:bCs/>
          <w:sz w:val="40"/>
          <w:szCs w:val="40"/>
        </w:rPr>
        <w:t xml:space="preserve">Operational Factors </w:t>
      </w:r>
    </w:p>
    <w:p w14:paraId="76F497CB" w14:textId="1258C178" w:rsidR="002D6757" w:rsidRPr="00DB2B71" w:rsidRDefault="00B95D5A" w:rsidP="00481C8B">
      <w:r w:rsidRPr="00DB2B71">
        <w:rPr>
          <w:noProof/>
        </w:rPr>
        <w:lastRenderedPageBreak/>
        <w:drawing>
          <wp:inline distT="0" distB="0" distL="0" distR="0" wp14:anchorId="442C8A8D" wp14:editId="7BCC15CA">
            <wp:extent cx="5719806" cy="321765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2474" cy="3230404"/>
                    </a:xfrm>
                    <a:prstGeom prst="rect">
                      <a:avLst/>
                    </a:prstGeom>
                    <a:noFill/>
                  </pic:spPr>
                </pic:pic>
              </a:graphicData>
            </a:graphic>
          </wp:inline>
        </w:drawing>
      </w:r>
    </w:p>
    <w:p w14:paraId="20702BAD" w14:textId="77777777" w:rsidR="002B239B" w:rsidRPr="00DB2B71" w:rsidRDefault="00C51102" w:rsidP="00481C8B">
      <w:r w:rsidRPr="00DB2B71">
        <w:t>The FIFA World Cup's success depends on operational aspects</w:t>
      </w:r>
      <w:r w:rsidR="00684F03" w:rsidRPr="00DB2B71">
        <w:t xml:space="preserve"> (Smith et al., 1994)</w:t>
      </w:r>
      <w:r w:rsidRPr="00DB2B71">
        <w:t>. It includes a wide variety of managerial factors. From site selection to personnel requirements, competent operational administration is critical to the tournament's success.</w:t>
      </w:r>
    </w:p>
    <w:p w14:paraId="3829420C" w14:textId="77777777" w:rsidR="00F548CB" w:rsidRPr="00F548CB" w:rsidRDefault="00F548CB" w:rsidP="00481C8B">
      <w:pPr>
        <w:rPr>
          <w:b/>
          <w:bCs/>
          <w:sz w:val="40"/>
          <w:szCs w:val="40"/>
        </w:rPr>
      </w:pPr>
      <w:r w:rsidRPr="00F548CB">
        <w:rPr>
          <w:b/>
          <w:bCs/>
          <w:sz w:val="40"/>
          <w:szCs w:val="40"/>
        </w:rPr>
        <w:t>Venue Selections</w:t>
      </w:r>
    </w:p>
    <w:p w14:paraId="148EF857" w14:textId="38A1F463" w:rsidR="00C51102" w:rsidRPr="00DB2B71" w:rsidRDefault="00B45FCA" w:rsidP="00481C8B">
      <w:r w:rsidRPr="00DB2B71">
        <w:t>The most important component of hosting the FIFA World Cup is choosing the right venue</w:t>
      </w:r>
      <w:r w:rsidR="00AE343E" w:rsidRPr="00DB2B71">
        <w:t xml:space="preserve"> (Reid and Ritchie, 2011)</w:t>
      </w:r>
      <w:r w:rsidRPr="00DB2B71">
        <w:t xml:space="preserve">. The stadiums serve as the tournament's hub. When deciding on a site, </w:t>
      </w:r>
      <w:proofErr w:type="spellStart"/>
      <w:r w:rsidRPr="00DB2B71">
        <w:t>organi</w:t>
      </w:r>
      <w:r w:rsidR="00AE343E" w:rsidRPr="00DB2B71">
        <w:t>s</w:t>
      </w:r>
      <w:r w:rsidRPr="00DB2B71">
        <w:t>ers</w:t>
      </w:r>
      <w:proofErr w:type="spellEnd"/>
      <w:r w:rsidRPr="00DB2B71">
        <w:t xml:space="preserve"> must consider a number of things. Stadium improves the whole visiting experience. Its distinctive architectural elements reflect the city's cultural legacy.</w:t>
      </w:r>
      <w:r w:rsidR="002744C2" w:rsidRPr="00DB2B71">
        <w:t xml:space="preserve"> </w:t>
      </w:r>
      <w:r w:rsidR="00CA4C8B" w:rsidRPr="00DB2B71">
        <w:rPr>
          <w:color w:val="202122"/>
          <w:sz w:val="21"/>
          <w:szCs w:val="21"/>
          <w:shd w:val="clear" w:color="auto" w:fill="FFFFFF"/>
        </w:rPr>
        <w:t xml:space="preserve">There will be sixteen host cities </w:t>
      </w:r>
      <w:r w:rsidR="002744C2" w:rsidRPr="00DB2B71">
        <w:rPr>
          <w:color w:val="202122"/>
          <w:sz w:val="21"/>
          <w:szCs w:val="21"/>
          <w:shd w:val="clear" w:color="auto" w:fill="FFFFFF"/>
        </w:rPr>
        <w:t>Vancouver, Seattle, San Francisco, Los Angeles, Guadalajara, Kansas City, Dallas, Houston, Atlanta, Monterrey, Mexico City, Toronto, Boston, New York City, Philadelphia, and Miami. Eight of the sixteen chosen stadiums have permanent </w:t>
      </w:r>
      <w:r w:rsidR="00CA4C8B" w:rsidRPr="00DB2B71">
        <w:t>artificial turf</w:t>
      </w:r>
      <w:r w:rsidR="002744C2" w:rsidRPr="00DB2B71">
        <w:rPr>
          <w:color w:val="202122"/>
          <w:sz w:val="21"/>
          <w:szCs w:val="21"/>
          <w:shd w:val="clear" w:color="auto" w:fill="FFFFFF"/>
        </w:rPr>
        <w:t> surfaces that are planned to be replaced with grass under the direction of FIFA</w:t>
      </w:r>
      <w:r w:rsidR="00CA4C8B" w:rsidRPr="00DB2B71">
        <w:rPr>
          <w:color w:val="202122"/>
          <w:sz w:val="21"/>
          <w:szCs w:val="21"/>
          <w:shd w:val="clear" w:color="auto" w:fill="FFFFFF"/>
        </w:rPr>
        <w:t>.</w:t>
      </w:r>
      <w:r w:rsidR="002744C2" w:rsidRPr="00DB2B71">
        <w:rPr>
          <w:color w:val="202122"/>
          <w:sz w:val="21"/>
          <w:szCs w:val="21"/>
          <w:shd w:val="clear" w:color="auto" w:fill="FFFFFF"/>
        </w:rPr>
        <w:t xml:space="preserve"> Four venues (Dallas, Houston, Atlanta, and Vancouver) are indoor stadiums that use retractable roof systems, all equipped with climate control while a fifth, Los Angeles, is open-air but has a translucent roof and no climate control. The host of the </w:t>
      </w:r>
      <w:r w:rsidR="00CA4C8B" w:rsidRPr="00DB2B71">
        <w:t xml:space="preserve">final match is </w:t>
      </w:r>
      <w:r w:rsidR="002744C2" w:rsidRPr="00DB2B71">
        <w:rPr>
          <w:color w:val="202122"/>
          <w:sz w:val="21"/>
          <w:szCs w:val="21"/>
          <w:shd w:val="clear" w:color="auto" w:fill="FFFFFF"/>
        </w:rPr>
        <w:t>MetLife Stadium</w:t>
      </w:r>
      <w:r w:rsidR="00CA4C8B" w:rsidRPr="00DB2B71">
        <w:rPr>
          <w:color w:val="202122"/>
          <w:sz w:val="21"/>
          <w:szCs w:val="21"/>
          <w:shd w:val="clear" w:color="auto" w:fill="FFFFFF"/>
        </w:rPr>
        <w:t xml:space="preserve">, in New </w:t>
      </w:r>
      <w:r w:rsidR="00C425A1" w:rsidRPr="00DB2B71">
        <w:rPr>
          <w:color w:val="202122"/>
          <w:sz w:val="21"/>
          <w:szCs w:val="21"/>
          <w:shd w:val="clear" w:color="auto" w:fill="FFFFFF"/>
        </w:rPr>
        <w:t>York with</w:t>
      </w:r>
      <w:r w:rsidR="00CA4C8B" w:rsidRPr="00DB2B71">
        <w:rPr>
          <w:color w:val="202122"/>
          <w:sz w:val="21"/>
          <w:szCs w:val="21"/>
          <w:shd w:val="clear" w:color="auto" w:fill="FFFFFF"/>
        </w:rPr>
        <w:t xml:space="preserve"> a capacity of 82,500 seats. </w:t>
      </w:r>
    </w:p>
    <w:p w14:paraId="77B6FD9F" w14:textId="49E13B79" w:rsidR="00F548CB" w:rsidRPr="00F548CB" w:rsidRDefault="00F548CB" w:rsidP="00481C8B">
      <w:pPr>
        <w:rPr>
          <w:b/>
          <w:bCs/>
          <w:sz w:val="40"/>
          <w:szCs w:val="40"/>
        </w:rPr>
      </w:pPr>
      <w:r w:rsidRPr="00F548CB">
        <w:rPr>
          <w:b/>
          <w:bCs/>
          <w:sz w:val="40"/>
          <w:szCs w:val="40"/>
        </w:rPr>
        <w:t>Logistics and Infrastructure</w:t>
      </w:r>
    </w:p>
    <w:p w14:paraId="7F0415F8" w14:textId="1BF095FE" w:rsidR="00B45FCA" w:rsidRPr="00DB2B71" w:rsidRDefault="00B45FCA" w:rsidP="00481C8B">
      <w:r w:rsidRPr="00DB2B71">
        <w:t>Logistics plays several important roles in ensuring the smooth running of the FIFA World Cup</w:t>
      </w:r>
      <w:r w:rsidR="00CB4B4C" w:rsidRPr="00DB2B71">
        <w:t xml:space="preserve"> (Meredith, 2022)</w:t>
      </w:r>
      <w:r w:rsidRPr="00DB2B71">
        <w:t xml:space="preserve">. Security protocols facilitate the seamless flow of visitors from accommodation options. A strong infrastructure is essential for this. Efforts are underway to upgrade the existing infrastructure to meet the demands of hosting World Cup matches. </w:t>
      </w:r>
      <w:r w:rsidRPr="00DB2B71">
        <w:lastRenderedPageBreak/>
        <w:t xml:space="preserve">Transport networks are strengthened through improved connectivity. </w:t>
      </w:r>
      <w:r w:rsidR="006D3D30" w:rsidRPr="00DB2B71">
        <w:t>Specialized</w:t>
      </w:r>
      <w:r w:rsidRPr="00DB2B71">
        <w:t xml:space="preserve"> shuttle services are also implemented to transport fans. Vigilance by law enforcement personnel is intensified to ensure the safety of visitors. Medical facilities will be provided to deal with any emergency during the tournament.</w:t>
      </w:r>
    </w:p>
    <w:p w14:paraId="263905AB" w14:textId="77777777" w:rsidR="00F548CB" w:rsidRPr="00F548CB" w:rsidRDefault="00F548CB" w:rsidP="00481C8B">
      <w:pPr>
        <w:rPr>
          <w:b/>
          <w:bCs/>
          <w:sz w:val="40"/>
          <w:szCs w:val="40"/>
        </w:rPr>
      </w:pPr>
      <w:r w:rsidRPr="00F548CB">
        <w:rPr>
          <w:b/>
          <w:bCs/>
          <w:sz w:val="40"/>
          <w:szCs w:val="40"/>
        </w:rPr>
        <w:t>Staffing and Personnel</w:t>
      </w:r>
    </w:p>
    <w:p w14:paraId="579370BC" w14:textId="3D920790" w:rsidR="00556352" w:rsidRPr="00DB2B71" w:rsidRDefault="00556352" w:rsidP="00481C8B">
      <w:r w:rsidRPr="00DB2B71">
        <w:t>The success of the FIFA World Cup largely depends on the skills of the personnel involved</w:t>
      </w:r>
      <w:r w:rsidR="00CB4B4C" w:rsidRPr="00DB2B71">
        <w:t xml:space="preserve"> (Fox et al., 2014)</w:t>
      </w:r>
      <w:r w:rsidRPr="00DB2B71">
        <w:t xml:space="preserve">. </w:t>
      </w:r>
      <w:proofErr w:type="spellStart"/>
      <w:r w:rsidR="00CA4C8B" w:rsidRPr="00DB2B71">
        <w:t>Fifa</w:t>
      </w:r>
      <w:proofErr w:type="spellEnd"/>
      <w:r w:rsidRPr="00DB2B71">
        <w:t xml:space="preserve"> is looking for personnel that can handle a variety of customer service tasks. The hospitality staff works to ensure the smooth running of the tournament. Training programs are implemented to equip employees with knowledge. Volunteers play a vital role in facilitating the flow of support for the smooth running of the World Cup. </w:t>
      </w:r>
      <w:r w:rsidR="00CA4C8B" w:rsidRPr="00DB2B71">
        <w:t xml:space="preserve">The hosts of the </w:t>
      </w:r>
      <w:proofErr w:type="spellStart"/>
      <w:r w:rsidR="00CA4C8B" w:rsidRPr="00DB2B71">
        <w:t>Fifa</w:t>
      </w:r>
      <w:proofErr w:type="spellEnd"/>
      <w:r w:rsidR="00CA4C8B" w:rsidRPr="00DB2B71">
        <w:t xml:space="preserve"> World Cup </w:t>
      </w:r>
      <w:r w:rsidR="00F548CB" w:rsidRPr="00DB2B71">
        <w:t>can provide</w:t>
      </w:r>
      <w:r w:rsidRPr="00DB2B71">
        <w:t xml:space="preserve"> a world-class experience for players during the </w:t>
      </w:r>
      <w:r w:rsidR="00CA4C8B" w:rsidRPr="00DB2B71">
        <w:t>competition</w:t>
      </w:r>
      <w:r w:rsidRPr="00DB2B71">
        <w:t>. These can enhance the overall experience for participants.</w:t>
      </w:r>
    </w:p>
    <w:p w14:paraId="65C0F73B" w14:textId="77777777" w:rsidR="00CA4C8B" w:rsidRPr="00DB2B71" w:rsidRDefault="00CA4C8B" w:rsidP="00481C8B"/>
    <w:p w14:paraId="0FA3B9D6" w14:textId="7F863B91" w:rsidR="00C425A1" w:rsidRPr="00F548CB" w:rsidRDefault="00C425A1" w:rsidP="00481C8B">
      <w:pPr>
        <w:rPr>
          <w:b/>
          <w:bCs/>
          <w:sz w:val="40"/>
          <w:szCs w:val="40"/>
        </w:rPr>
      </w:pPr>
      <w:bookmarkStart w:id="0" w:name="_Hlk166063955"/>
      <w:r w:rsidRPr="00F548CB">
        <w:rPr>
          <w:b/>
          <w:bCs/>
          <w:sz w:val="40"/>
          <w:szCs w:val="40"/>
        </w:rPr>
        <w:t>Football Technologies &amp; Innovations at the FIFA World Cup</w:t>
      </w:r>
      <w:r w:rsidR="00CC6D0B" w:rsidRPr="00F548CB">
        <w:rPr>
          <w:b/>
          <w:bCs/>
          <w:sz w:val="40"/>
          <w:szCs w:val="40"/>
        </w:rPr>
        <w:t xml:space="preserve"> 2026</w:t>
      </w:r>
      <w:r w:rsidR="00F548CB">
        <w:rPr>
          <w:b/>
          <w:bCs/>
          <w:sz w:val="40"/>
          <w:szCs w:val="40"/>
        </w:rPr>
        <w:t xml:space="preserve"> </w:t>
      </w:r>
    </w:p>
    <w:p w14:paraId="5B70DB26" w14:textId="3A997D02" w:rsidR="00C425A1" w:rsidRPr="00F548CB" w:rsidRDefault="00C425A1" w:rsidP="00481C8B">
      <w:pPr>
        <w:pStyle w:val="ListParagraph"/>
        <w:numPr>
          <w:ilvl w:val="1"/>
          <w:numId w:val="1"/>
        </w:numPr>
        <w:rPr>
          <w:color w:val="505B73"/>
          <w:shd w:val="clear" w:color="auto" w:fill="FFFFFF"/>
        </w:rPr>
      </w:pPr>
      <w:r w:rsidRPr="00F548CB">
        <w:rPr>
          <w:b/>
          <w:bCs/>
          <w:sz w:val="32"/>
          <w:szCs w:val="32"/>
        </w:rPr>
        <w:t>VAR</w:t>
      </w:r>
      <w:r w:rsidRPr="00F548CB">
        <w:t xml:space="preserve"> (Video Assistant Referee) - </w:t>
      </w:r>
      <w:r w:rsidRPr="00F548CB">
        <w:rPr>
          <w:color w:val="505B73"/>
          <w:shd w:val="clear" w:color="auto" w:fill="FFFFFF"/>
        </w:rPr>
        <w:t xml:space="preserve">Throughout a match, the video assistant referee team constantly checks for clear and obvious errors related to these four match-changing situations. The VAR team communicates with the referee only for clear and obvious mistakes or serious </w:t>
      </w:r>
      <w:r w:rsidR="00F548CB" w:rsidRPr="00F548CB">
        <w:rPr>
          <w:color w:val="505B73"/>
          <w:shd w:val="clear" w:color="auto" w:fill="FFFFFF"/>
        </w:rPr>
        <w:t>missed</w:t>
      </w:r>
      <w:r w:rsidR="00F548CB">
        <w:rPr>
          <w:color w:val="505B73"/>
          <w:shd w:val="clear" w:color="auto" w:fill="FFFFFF"/>
        </w:rPr>
        <w:t xml:space="preserve"> </w:t>
      </w:r>
      <w:r w:rsidRPr="00F548CB">
        <w:rPr>
          <w:color w:val="505B73"/>
          <w:shd w:val="clear" w:color="auto" w:fill="FFFFFF"/>
        </w:rPr>
        <w:t>incidents.</w:t>
      </w:r>
    </w:p>
    <w:p w14:paraId="7A4C3CA8" w14:textId="4295DD50" w:rsidR="00CC6D0B" w:rsidRPr="00F548CB" w:rsidRDefault="00F548CB" w:rsidP="00481C8B">
      <w:pPr>
        <w:pStyle w:val="ListParagraph"/>
        <w:numPr>
          <w:ilvl w:val="1"/>
          <w:numId w:val="1"/>
        </w:numPr>
        <w:rPr>
          <w:color w:val="505B73"/>
          <w:shd w:val="clear" w:color="auto" w:fill="FFFFFF"/>
        </w:rPr>
      </w:pPr>
      <w:r w:rsidRPr="00F548CB">
        <w:rPr>
          <w:b/>
          <w:bCs/>
          <w:sz w:val="32"/>
          <w:szCs w:val="32"/>
        </w:rPr>
        <w:t>Goal-line Technology</w:t>
      </w:r>
      <w:r w:rsidRPr="00F548CB">
        <w:rPr>
          <w:color w:val="505B73"/>
          <w:shd w:val="clear" w:color="auto" w:fill="FFFFFF"/>
        </w:rPr>
        <w:t xml:space="preserve"> </w:t>
      </w:r>
      <w:r w:rsidR="00C425A1" w:rsidRPr="00F548CB">
        <w:rPr>
          <w:color w:val="505B73"/>
          <w:shd w:val="clear" w:color="auto" w:fill="FFFFFF"/>
        </w:rPr>
        <w:t xml:space="preserve">- Goal-line </w:t>
      </w:r>
      <w:r w:rsidR="00AD0159" w:rsidRPr="00F548CB">
        <w:rPr>
          <w:color w:val="505B73"/>
          <w:shd w:val="clear" w:color="auto" w:fill="FFFFFF"/>
        </w:rPr>
        <w:t>technology</w:t>
      </w:r>
      <w:r w:rsidR="00C425A1" w:rsidRPr="00F548CB">
        <w:rPr>
          <w:color w:val="505B73"/>
          <w:shd w:val="clear" w:color="auto" w:fill="FFFFFF"/>
        </w:rPr>
        <w:t xml:space="preserve"> was first implemented in 2014. The technology must provide a clearly indicate whether the ball has fully crossed the line. This information will serve to assist the referee in taking their final decision. The information is transmitted within one second which ensures an immediate response from the referee. Only the match officials receive the signal on their watches.</w:t>
      </w:r>
      <w:bookmarkEnd w:id="0"/>
      <w:r>
        <w:rPr>
          <w:color w:val="505B73"/>
          <w:shd w:val="clear" w:color="auto" w:fill="FFFFFF"/>
        </w:rPr>
        <w:t xml:space="preserve"> </w:t>
      </w:r>
    </w:p>
    <w:p w14:paraId="3308D8B8" w14:textId="77777777" w:rsidR="00CC6D0B" w:rsidRPr="00DB2B71" w:rsidRDefault="00CC6D0B" w:rsidP="00481C8B"/>
    <w:p w14:paraId="305A80BE" w14:textId="77777777" w:rsidR="00F548CB" w:rsidRDefault="00F548CB" w:rsidP="00481C8B">
      <w:pPr>
        <w:rPr>
          <w:b/>
          <w:bCs/>
          <w:sz w:val="40"/>
          <w:szCs w:val="40"/>
        </w:rPr>
      </w:pPr>
      <w:r w:rsidRPr="00F548CB">
        <w:rPr>
          <w:b/>
          <w:bCs/>
          <w:sz w:val="40"/>
          <w:szCs w:val="40"/>
        </w:rPr>
        <w:t>Financial Factors</w:t>
      </w:r>
    </w:p>
    <w:p w14:paraId="3D3EC3A7" w14:textId="78069A4D" w:rsidR="002D6757" w:rsidRPr="00DB2B71" w:rsidRDefault="00B95D5A" w:rsidP="00481C8B">
      <w:r w:rsidRPr="00DB2B71">
        <w:rPr>
          <w:noProof/>
        </w:rPr>
        <w:lastRenderedPageBreak/>
        <w:drawing>
          <wp:inline distT="0" distB="0" distL="0" distR="0" wp14:anchorId="5F6CED07" wp14:editId="70CE0F1D">
            <wp:extent cx="5781148" cy="3252159"/>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753" cy="3258125"/>
                    </a:xfrm>
                    <a:prstGeom prst="rect">
                      <a:avLst/>
                    </a:prstGeom>
                    <a:noFill/>
                  </pic:spPr>
                </pic:pic>
              </a:graphicData>
            </a:graphic>
          </wp:inline>
        </w:drawing>
      </w:r>
    </w:p>
    <w:p w14:paraId="2BE4BA48" w14:textId="77777777" w:rsidR="00556352" w:rsidRPr="00DB2B71" w:rsidRDefault="00556352" w:rsidP="00481C8B">
      <w:r w:rsidRPr="00DB2B71">
        <w:t>Successful hosting of the FIFA World Cup requires a comprehensive understanding of financial factors. As well as identifying appropriate funding sources to support the event. Here, the financial aspects of exploring potential funding sources will be discussed to ensure the financial viability of the event.</w:t>
      </w:r>
    </w:p>
    <w:p w14:paraId="3459B27E" w14:textId="77777777" w:rsidR="00F548CB" w:rsidRDefault="00F548CB" w:rsidP="00481C8B">
      <w:pPr>
        <w:rPr>
          <w:noProof/>
        </w:rPr>
      </w:pPr>
      <w:r w:rsidRPr="00F548CB">
        <w:rPr>
          <w:b/>
          <w:bCs/>
          <w:sz w:val="40"/>
          <w:szCs w:val="40"/>
        </w:rPr>
        <w:t>Costs Analysis</w:t>
      </w:r>
    </w:p>
    <w:p w14:paraId="0C0EE9E7" w14:textId="0976F9CC" w:rsidR="00B95D5A" w:rsidRPr="00DB2B71" w:rsidRDefault="00B95D5A" w:rsidP="00481C8B">
      <w:r w:rsidRPr="00DB2B71">
        <w:rPr>
          <w:noProof/>
        </w:rPr>
        <w:drawing>
          <wp:inline distT="0" distB="0" distL="0" distR="0" wp14:anchorId="2C26C91E" wp14:editId="66FE47DB">
            <wp:extent cx="5735144" cy="32262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8377" cy="3233724"/>
                    </a:xfrm>
                    <a:prstGeom prst="rect">
                      <a:avLst/>
                    </a:prstGeom>
                    <a:noFill/>
                  </pic:spPr>
                </pic:pic>
              </a:graphicData>
            </a:graphic>
          </wp:inline>
        </w:drawing>
      </w:r>
    </w:p>
    <w:p w14:paraId="332FF8A5" w14:textId="77777777" w:rsidR="009A2A79" w:rsidRPr="00DB2B71" w:rsidRDefault="00366453" w:rsidP="00481C8B">
      <w:r w:rsidRPr="00DB2B71">
        <w:t>Cost analysis is very important for every event</w:t>
      </w:r>
      <w:r w:rsidR="00CB4B4C" w:rsidRPr="00DB2B71">
        <w:t xml:space="preserve"> (O’Toole, 2011)</w:t>
      </w:r>
      <w:r w:rsidRPr="00DB2B71">
        <w:t xml:space="preserve">. </w:t>
      </w:r>
      <w:r w:rsidR="00556352" w:rsidRPr="00DB2B71">
        <w:t>Hosting the FIFA World Cup incurs a wide range of expenses. It includes infrastructure development, venue management, marketing and promotion, operational logistics, etc.</w:t>
      </w:r>
    </w:p>
    <w:tbl>
      <w:tblPr>
        <w:tblStyle w:val="TableGrid"/>
        <w:tblW w:w="9297" w:type="dxa"/>
        <w:tblLook w:val="04A0" w:firstRow="1" w:lastRow="0" w:firstColumn="1" w:lastColumn="0" w:noHBand="0" w:noVBand="1"/>
      </w:tblPr>
      <w:tblGrid>
        <w:gridCol w:w="4648"/>
        <w:gridCol w:w="4649"/>
      </w:tblGrid>
      <w:tr w:rsidR="00556352" w:rsidRPr="00DB2B71" w14:paraId="2204D7EA" w14:textId="77777777" w:rsidTr="00CA4C8B">
        <w:trPr>
          <w:trHeight w:val="471"/>
        </w:trPr>
        <w:tc>
          <w:tcPr>
            <w:tcW w:w="4648" w:type="dxa"/>
          </w:tcPr>
          <w:p w14:paraId="526299FC" w14:textId="77777777" w:rsidR="00556352" w:rsidRPr="00DB2B71" w:rsidRDefault="00556352" w:rsidP="00481C8B">
            <w:pPr>
              <w:jc w:val="center"/>
              <w:rPr>
                <w:b/>
              </w:rPr>
            </w:pPr>
            <w:r w:rsidRPr="00DB2B71">
              <w:rPr>
                <w:b/>
              </w:rPr>
              <w:lastRenderedPageBreak/>
              <w:t>Expenditure Category</w:t>
            </w:r>
          </w:p>
        </w:tc>
        <w:tc>
          <w:tcPr>
            <w:tcW w:w="4649" w:type="dxa"/>
          </w:tcPr>
          <w:p w14:paraId="2BBA380B" w14:textId="77777777" w:rsidR="00556352" w:rsidRPr="00DB2B71" w:rsidRDefault="00556352" w:rsidP="00481C8B">
            <w:pPr>
              <w:jc w:val="center"/>
              <w:rPr>
                <w:b/>
              </w:rPr>
            </w:pPr>
            <w:r w:rsidRPr="00DB2B71">
              <w:rPr>
                <w:b/>
              </w:rPr>
              <w:t xml:space="preserve">Cost </w:t>
            </w:r>
            <w:r w:rsidR="00330A66" w:rsidRPr="00DB2B71">
              <w:rPr>
                <w:b/>
              </w:rPr>
              <w:t>(in millions)</w:t>
            </w:r>
          </w:p>
        </w:tc>
      </w:tr>
      <w:tr w:rsidR="00556352" w:rsidRPr="00DB2B71" w14:paraId="3992F2FC" w14:textId="77777777" w:rsidTr="00CA4C8B">
        <w:trPr>
          <w:trHeight w:val="483"/>
        </w:trPr>
        <w:tc>
          <w:tcPr>
            <w:tcW w:w="4648" w:type="dxa"/>
          </w:tcPr>
          <w:p w14:paraId="2EDBDE49" w14:textId="77777777" w:rsidR="00556352" w:rsidRPr="00DB2B71" w:rsidRDefault="00556352" w:rsidP="00481C8B">
            <w:pPr>
              <w:jc w:val="center"/>
            </w:pPr>
            <w:r w:rsidRPr="00DB2B71">
              <w:t>Venue Rentals</w:t>
            </w:r>
          </w:p>
        </w:tc>
        <w:tc>
          <w:tcPr>
            <w:tcW w:w="4649" w:type="dxa"/>
          </w:tcPr>
          <w:p w14:paraId="43EB6BCA" w14:textId="77777777" w:rsidR="00556352" w:rsidRPr="00DB2B71" w:rsidRDefault="00330A66" w:rsidP="00481C8B">
            <w:pPr>
              <w:jc w:val="center"/>
            </w:pPr>
            <w:r w:rsidRPr="00DB2B71">
              <w:t>200</w:t>
            </w:r>
          </w:p>
        </w:tc>
      </w:tr>
      <w:tr w:rsidR="00556352" w:rsidRPr="00DB2B71" w14:paraId="12ECBC4D" w14:textId="77777777" w:rsidTr="00CA4C8B">
        <w:trPr>
          <w:trHeight w:val="471"/>
        </w:trPr>
        <w:tc>
          <w:tcPr>
            <w:tcW w:w="4648" w:type="dxa"/>
          </w:tcPr>
          <w:p w14:paraId="558075C7" w14:textId="77777777" w:rsidR="00556352" w:rsidRPr="00DB2B71" w:rsidRDefault="00556352" w:rsidP="00481C8B">
            <w:pPr>
              <w:jc w:val="center"/>
            </w:pPr>
            <w:r w:rsidRPr="00DB2B71">
              <w:t>Infrastructure Development</w:t>
            </w:r>
          </w:p>
        </w:tc>
        <w:tc>
          <w:tcPr>
            <w:tcW w:w="4649" w:type="dxa"/>
          </w:tcPr>
          <w:p w14:paraId="3C333107" w14:textId="77777777" w:rsidR="00556352" w:rsidRPr="00DB2B71" w:rsidRDefault="00330A66" w:rsidP="00481C8B">
            <w:pPr>
              <w:jc w:val="center"/>
            </w:pPr>
            <w:r w:rsidRPr="00DB2B71">
              <w:t>500</w:t>
            </w:r>
          </w:p>
        </w:tc>
      </w:tr>
      <w:tr w:rsidR="00556352" w:rsidRPr="00DB2B71" w14:paraId="1B3094A5" w14:textId="77777777" w:rsidTr="00CA4C8B">
        <w:trPr>
          <w:trHeight w:val="483"/>
        </w:trPr>
        <w:tc>
          <w:tcPr>
            <w:tcW w:w="4648" w:type="dxa"/>
          </w:tcPr>
          <w:p w14:paraId="1F0098E3" w14:textId="77777777" w:rsidR="00556352" w:rsidRPr="00DB2B71" w:rsidRDefault="00330A66" w:rsidP="00481C8B">
            <w:pPr>
              <w:jc w:val="center"/>
            </w:pPr>
            <w:r w:rsidRPr="00DB2B71">
              <w:t>Marketing Expenditures</w:t>
            </w:r>
          </w:p>
        </w:tc>
        <w:tc>
          <w:tcPr>
            <w:tcW w:w="4649" w:type="dxa"/>
          </w:tcPr>
          <w:p w14:paraId="74F5F7CE" w14:textId="77777777" w:rsidR="00556352" w:rsidRPr="00DB2B71" w:rsidRDefault="00330A66" w:rsidP="00481C8B">
            <w:pPr>
              <w:jc w:val="center"/>
            </w:pPr>
            <w:r w:rsidRPr="00DB2B71">
              <w:t>150</w:t>
            </w:r>
          </w:p>
        </w:tc>
      </w:tr>
      <w:tr w:rsidR="00556352" w:rsidRPr="00DB2B71" w14:paraId="4585E916" w14:textId="77777777" w:rsidTr="00CA4C8B">
        <w:trPr>
          <w:trHeight w:val="471"/>
        </w:trPr>
        <w:tc>
          <w:tcPr>
            <w:tcW w:w="4648" w:type="dxa"/>
          </w:tcPr>
          <w:p w14:paraId="31C34CB1" w14:textId="77777777" w:rsidR="00556352" w:rsidRPr="00DB2B71" w:rsidRDefault="00330A66" w:rsidP="00481C8B">
            <w:pPr>
              <w:jc w:val="center"/>
            </w:pPr>
            <w:r w:rsidRPr="00DB2B71">
              <w:t>Personnel Salaries</w:t>
            </w:r>
          </w:p>
        </w:tc>
        <w:tc>
          <w:tcPr>
            <w:tcW w:w="4649" w:type="dxa"/>
          </w:tcPr>
          <w:p w14:paraId="2C61F878" w14:textId="77777777" w:rsidR="00556352" w:rsidRPr="00DB2B71" w:rsidRDefault="00330A66" w:rsidP="00481C8B">
            <w:pPr>
              <w:jc w:val="center"/>
            </w:pPr>
            <w:r w:rsidRPr="00DB2B71">
              <w:t>100</w:t>
            </w:r>
          </w:p>
        </w:tc>
      </w:tr>
      <w:tr w:rsidR="00556352" w:rsidRPr="00DB2B71" w14:paraId="7A7C6B01" w14:textId="77777777" w:rsidTr="00CA4C8B">
        <w:trPr>
          <w:trHeight w:val="471"/>
        </w:trPr>
        <w:tc>
          <w:tcPr>
            <w:tcW w:w="4648" w:type="dxa"/>
          </w:tcPr>
          <w:p w14:paraId="3D4BD47F" w14:textId="77777777" w:rsidR="00556352" w:rsidRPr="00DB2B71" w:rsidRDefault="00330A66" w:rsidP="00481C8B">
            <w:pPr>
              <w:jc w:val="center"/>
            </w:pPr>
            <w:r w:rsidRPr="00DB2B71">
              <w:t>Operational Costs</w:t>
            </w:r>
          </w:p>
        </w:tc>
        <w:tc>
          <w:tcPr>
            <w:tcW w:w="4649" w:type="dxa"/>
          </w:tcPr>
          <w:p w14:paraId="2123EE5F" w14:textId="77777777" w:rsidR="00556352" w:rsidRPr="00DB2B71" w:rsidRDefault="00330A66" w:rsidP="00481C8B">
            <w:pPr>
              <w:jc w:val="center"/>
            </w:pPr>
            <w:r w:rsidRPr="00DB2B71">
              <w:t>150</w:t>
            </w:r>
          </w:p>
        </w:tc>
      </w:tr>
      <w:tr w:rsidR="00556352" w:rsidRPr="00DB2B71" w14:paraId="32CBBF00" w14:textId="77777777" w:rsidTr="00CA4C8B">
        <w:trPr>
          <w:trHeight w:val="483"/>
        </w:trPr>
        <w:tc>
          <w:tcPr>
            <w:tcW w:w="4648" w:type="dxa"/>
          </w:tcPr>
          <w:p w14:paraId="122203EC" w14:textId="77777777" w:rsidR="00556352" w:rsidRPr="00DB2B71" w:rsidRDefault="00330A66" w:rsidP="00481C8B">
            <w:pPr>
              <w:jc w:val="center"/>
            </w:pPr>
            <w:r w:rsidRPr="00DB2B71">
              <w:t>Contingency Fund</w:t>
            </w:r>
          </w:p>
        </w:tc>
        <w:tc>
          <w:tcPr>
            <w:tcW w:w="4649" w:type="dxa"/>
          </w:tcPr>
          <w:p w14:paraId="3DFD2045" w14:textId="77777777" w:rsidR="00556352" w:rsidRPr="00DB2B71" w:rsidRDefault="00330A66" w:rsidP="00481C8B">
            <w:pPr>
              <w:jc w:val="center"/>
            </w:pPr>
            <w:r w:rsidRPr="00DB2B71">
              <w:t>50</w:t>
            </w:r>
          </w:p>
        </w:tc>
      </w:tr>
      <w:tr w:rsidR="00556352" w:rsidRPr="00DB2B71" w14:paraId="0A56AFAC" w14:textId="77777777" w:rsidTr="00CA4C8B">
        <w:trPr>
          <w:trHeight w:val="471"/>
        </w:trPr>
        <w:tc>
          <w:tcPr>
            <w:tcW w:w="4648" w:type="dxa"/>
          </w:tcPr>
          <w:p w14:paraId="4D6B24DD" w14:textId="77777777" w:rsidR="00556352" w:rsidRPr="00DB2B71" w:rsidRDefault="00330A66" w:rsidP="00481C8B">
            <w:pPr>
              <w:jc w:val="center"/>
            </w:pPr>
            <w:r w:rsidRPr="00DB2B71">
              <w:t>Total Estimated Costs</w:t>
            </w:r>
          </w:p>
        </w:tc>
        <w:tc>
          <w:tcPr>
            <w:tcW w:w="4649" w:type="dxa"/>
          </w:tcPr>
          <w:p w14:paraId="2271FF2A" w14:textId="77777777" w:rsidR="00556352" w:rsidRPr="00DB2B71" w:rsidRDefault="00330A66" w:rsidP="00481C8B">
            <w:pPr>
              <w:jc w:val="center"/>
            </w:pPr>
            <w:r w:rsidRPr="00DB2B71">
              <w:t>1150</w:t>
            </w:r>
          </w:p>
        </w:tc>
      </w:tr>
    </w:tbl>
    <w:p w14:paraId="24A6129C" w14:textId="77777777" w:rsidR="00481C8B" w:rsidRDefault="00F548CB" w:rsidP="00481C8B">
      <w:pPr>
        <w:rPr>
          <w:noProof/>
        </w:rPr>
      </w:pPr>
      <w:r w:rsidRPr="00481C8B">
        <w:rPr>
          <w:b/>
          <w:bCs/>
          <w:sz w:val="40"/>
          <w:szCs w:val="40"/>
        </w:rPr>
        <w:t xml:space="preserve">Predicted Revenues </w:t>
      </w:r>
    </w:p>
    <w:p w14:paraId="5FAE4525" w14:textId="6B0E74DC" w:rsidR="00B95D5A" w:rsidRPr="00DB2B71" w:rsidRDefault="00B95D5A" w:rsidP="00481C8B">
      <w:r w:rsidRPr="00DB2B71">
        <w:rPr>
          <w:noProof/>
        </w:rPr>
        <w:drawing>
          <wp:inline distT="0" distB="0" distL="0" distR="0" wp14:anchorId="44179318" wp14:editId="5772E732">
            <wp:extent cx="5719809" cy="3217653"/>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4272" cy="3231414"/>
                    </a:xfrm>
                    <a:prstGeom prst="rect">
                      <a:avLst/>
                    </a:prstGeom>
                    <a:noFill/>
                  </pic:spPr>
                </pic:pic>
              </a:graphicData>
            </a:graphic>
          </wp:inline>
        </w:drawing>
      </w:r>
    </w:p>
    <w:p w14:paraId="3B9F89FD" w14:textId="77777777" w:rsidR="00330A66" w:rsidRPr="00DB2B71" w:rsidRDefault="00330A66" w:rsidP="00481C8B">
      <w:r w:rsidRPr="00DB2B71">
        <w:t>Hosting the FIFA World Cup involves significant expenditure</w:t>
      </w:r>
      <w:r w:rsidR="00CB4B4C" w:rsidRPr="00DB2B71">
        <w:t xml:space="preserve"> (Getz and Page, 2019)</w:t>
      </w:r>
      <w:r w:rsidRPr="00DB2B71">
        <w:t xml:space="preserve">. It also presents opportunities to generate income through various channels. Revenue forecasting helps </w:t>
      </w:r>
      <w:proofErr w:type="spellStart"/>
      <w:r w:rsidRPr="00DB2B71">
        <w:t>organi</w:t>
      </w:r>
      <w:r w:rsidR="00AE343E" w:rsidRPr="00DB2B71">
        <w:t>s</w:t>
      </w:r>
      <w:r w:rsidRPr="00DB2B71">
        <w:t>ers</w:t>
      </w:r>
      <w:proofErr w:type="spellEnd"/>
      <w:r w:rsidRPr="00DB2B71">
        <w:t xml:space="preserve"> assess the financial viability of tournaments.</w:t>
      </w:r>
    </w:p>
    <w:tbl>
      <w:tblPr>
        <w:tblStyle w:val="TableGrid"/>
        <w:tblW w:w="0" w:type="auto"/>
        <w:tblLook w:val="04A0" w:firstRow="1" w:lastRow="0" w:firstColumn="1" w:lastColumn="0" w:noHBand="0" w:noVBand="1"/>
      </w:tblPr>
      <w:tblGrid>
        <w:gridCol w:w="4508"/>
        <w:gridCol w:w="4509"/>
      </w:tblGrid>
      <w:tr w:rsidR="00330A66" w:rsidRPr="00DB2B71" w14:paraId="55713055" w14:textId="77777777" w:rsidTr="00330A66">
        <w:tc>
          <w:tcPr>
            <w:tcW w:w="4508" w:type="dxa"/>
          </w:tcPr>
          <w:p w14:paraId="727D77D0" w14:textId="77777777" w:rsidR="00330A66" w:rsidRPr="00DB2B71" w:rsidRDefault="00330A66" w:rsidP="00481C8B">
            <w:pPr>
              <w:jc w:val="center"/>
              <w:rPr>
                <w:b/>
                <w:sz w:val="28"/>
              </w:rPr>
            </w:pPr>
            <w:r w:rsidRPr="00DB2B71">
              <w:rPr>
                <w:b/>
                <w:sz w:val="28"/>
              </w:rPr>
              <w:t>Revenue Source</w:t>
            </w:r>
          </w:p>
        </w:tc>
        <w:tc>
          <w:tcPr>
            <w:tcW w:w="4509" w:type="dxa"/>
          </w:tcPr>
          <w:p w14:paraId="526A5CA6" w14:textId="77777777" w:rsidR="00330A66" w:rsidRPr="00DB2B71" w:rsidRDefault="00330A66" w:rsidP="00481C8B">
            <w:pPr>
              <w:jc w:val="center"/>
              <w:rPr>
                <w:b/>
                <w:sz w:val="28"/>
              </w:rPr>
            </w:pPr>
            <w:r w:rsidRPr="00DB2B71">
              <w:rPr>
                <w:b/>
                <w:sz w:val="28"/>
              </w:rPr>
              <w:t>Amount (in millions)</w:t>
            </w:r>
          </w:p>
        </w:tc>
      </w:tr>
      <w:tr w:rsidR="00330A66" w:rsidRPr="00DB2B71" w14:paraId="54397DF9" w14:textId="77777777" w:rsidTr="00330A66">
        <w:tc>
          <w:tcPr>
            <w:tcW w:w="4508" w:type="dxa"/>
          </w:tcPr>
          <w:p w14:paraId="72581986" w14:textId="77777777" w:rsidR="00330A66" w:rsidRPr="00DB2B71" w:rsidRDefault="00330A66" w:rsidP="00481C8B">
            <w:pPr>
              <w:jc w:val="center"/>
            </w:pPr>
            <w:r w:rsidRPr="00DB2B71">
              <w:t>Ticket Sales</w:t>
            </w:r>
          </w:p>
        </w:tc>
        <w:tc>
          <w:tcPr>
            <w:tcW w:w="4509" w:type="dxa"/>
          </w:tcPr>
          <w:p w14:paraId="38D8120E" w14:textId="77777777" w:rsidR="00330A66" w:rsidRPr="00DB2B71" w:rsidRDefault="00330A66" w:rsidP="00481C8B">
            <w:pPr>
              <w:jc w:val="center"/>
            </w:pPr>
            <w:r w:rsidRPr="00DB2B71">
              <w:t>600</w:t>
            </w:r>
          </w:p>
        </w:tc>
      </w:tr>
      <w:tr w:rsidR="00330A66" w:rsidRPr="00DB2B71" w14:paraId="26693712" w14:textId="77777777" w:rsidTr="00330A66">
        <w:tc>
          <w:tcPr>
            <w:tcW w:w="4508" w:type="dxa"/>
          </w:tcPr>
          <w:p w14:paraId="3CA29FF6" w14:textId="77777777" w:rsidR="00330A66" w:rsidRPr="00DB2B71" w:rsidRDefault="00330A66" w:rsidP="00481C8B">
            <w:pPr>
              <w:jc w:val="center"/>
            </w:pPr>
            <w:r w:rsidRPr="00DB2B71">
              <w:t>Broadcasting Rights</w:t>
            </w:r>
          </w:p>
        </w:tc>
        <w:tc>
          <w:tcPr>
            <w:tcW w:w="4509" w:type="dxa"/>
          </w:tcPr>
          <w:p w14:paraId="45DF666D" w14:textId="77777777" w:rsidR="00330A66" w:rsidRPr="00DB2B71" w:rsidRDefault="00330A66" w:rsidP="00481C8B">
            <w:pPr>
              <w:jc w:val="center"/>
            </w:pPr>
            <w:r w:rsidRPr="00DB2B71">
              <w:t>800</w:t>
            </w:r>
          </w:p>
        </w:tc>
      </w:tr>
      <w:tr w:rsidR="00330A66" w:rsidRPr="00DB2B71" w14:paraId="19344D8E" w14:textId="77777777" w:rsidTr="00330A66">
        <w:tc>
          <w:tcPr>
            <w:tcW w:w="4508" w:type="dxa"/>
          </w:tcPr>
          <w:p w14:paraId="2D726E5A" w14:textId="77777777" w:rsidR="00330A66" w:rsidRPr="00DB2B71" w:rsidRDefault="00330A66" w:rsidP="00481C8B">
            <w:pPr>
              <w:jc w:val="center"/>
            </w:pPr>
            <w:r w:rsidRPr="00DB2B71">
              <w:t>Sponsorships</w:t>
            </w:r>
          </w:p>
        </w:tc>
        <w:tc>
          <w:tcPr>
            <w:tcW w:w="4509" w:type="dxa"/>
          </w:tcPr>
          <w:p w14:paraId="1A00511C" w14:textId="77777777" w:rsidR="00330A66" w:rsidRPr="00DB2B71" w:rsidRDefault="00330A66" w:rsidP="00481C8B">
            <w:pPr>
              <w:jc w:val="center"/>
            </w:pPr>
            <w:r w:rsidRPr="00DB2B71">
              <w:t>300</w:t>
            </w:r>
          </w:p>
        </w:tc>
      </w:tr>
      <w:tr w:rsidR="00330A66" w:rsidRPr="00DB2B71" w14:paraId="3B513B0E" w14:textId="77777777" w:rsidTr="00330A66">
        <w:tc>
          <w:tcPr>
            <w:tcW w:w="4508" w:type="dxa"/>
          </w:tcPr>
          <w:p w14:paraId="069004C6" w14:textId="77777777" w:rsidR="00330A66" w:rsidRPr="00DB2B71" w:rsidRDefault="00330A66" w:rsidP="00481C8B">
            <w:pPr>
              <w:jc w:val="center"/>
            </w:pPr>
            <w:r w:rsidRPr="00DB2B71">
              <w:t>Merchandise Sales</w:t>
            </w:r>
          </w:p>
        </w:tc>
        <w:tc>
          <w:tcPr>
            <w:tcW w:w="4509" w:type="dxa"/>
          </w:tcPr>
          <w:p w14:paraId="5E13DEA5" w14:textId="77777777" w:rsidR="00330A66" w:rsidRPr="00DB2B71" w:rsidRDefault="00330A66" w:rsidP="00481C8B">
            <w:pPr>
              <w:jc w:val="center"/>
            </w:pPr>
            <w:r w:rsidRPr="00DB2B71">
              <w:t>200</w:t>
            </w:r>
          </w:p>
        </w:tc>
      </w:tr>
      <w:tr w:rsidR="00330A66" w:rsidRPr="00DB2B71" w14:paraId="2BD0EFF4" w14:textId="77777777" w:rsidTr="00330A66">
        <w:tc>
          <w:tcPr>
            <w:tcW w:w="4508" w:type="dxa"/>
          </w:tcPr>
          <w:p w14:paraId="36535D21" w14:textId="77777777" w:rsidR="00330A66" w:rsidRPr="00DB2B71" w:rsidRDefault="00330A66" w:rsidP="00481C8B">
            <w:pPr>
              <w:jc w:val="center"/>
            </w:pPr>
            <w:r w:rsidRPr="00DB2B71">
              <w:t>Licensing Agreements</w:t>
            </w:r>
          </w:p>
        </w:tc>
        <w:tc>
          <w:tcPr>
            <w:tcW w:w="4509" w:type="dxa"/>
          </w:tcPr>
          <w:p w14:paraId="37289B0C" w14:textId="77777777" w:rsidR="00330A66" w:rsidRPr="00DB2B71" w:rsidRDefault="00330A66" w:rsidP="00481C8B">
            <w:pPr>
              <w:jc w:val="center"/>
            </w:pPr>
            <w:r w:rsidRPr="00DB2B71">
              <w:t>100</w:t>
            </w:r>
          </w:p>
        </w:tc>
      </w:tr>
      <w:tr w:rsidR="00330A66" w:rsidRPr="00DB2B71" w14:paraId="06FCEF68" w14:textId="77777777" w:rsidTr="00330A66">
        <w:tc>
          <w:tcPr>
            <w:tcW w:w="4508" w:type="dxa"/>
          </w:tcPr>
          <w:p w14:paraId="09924041" w14:textId="77777777" w:rsidR="00330A66" w:rsidRPr="00DB2B71" w:rsidRDefault="00330A66" w:rsidP="00481C8B">
            <w:pPr>
              <w:jc w:val="center"/>
            </w:pPr>
            <w:r w:rsidRPr="00DB2B71">
              <w:lastRenderedPageBreak/>
              <w:t>Total Predicted Revenues</w:t>
            </w:r>
          </w:p>
        </w:tc>
        <w:tc>
          <w:tcPr>
            <w:tcW w:w="4509" w:type="dxa"/>
          </w:tcPr>
          <w:p w14:paraId="4AB7C492" w14:textId="77777777" w:rsidR="00330A66" w:rsidRPr="00DB2B71" w:rsidRDefault="00330A66" w:rsidP="00481C8B">
            <w:pPr>
              <w:jc w:val="center"/>
            </w:pPr>
            <w:r w:rsidRPr="00DB2B71">
              <w:t>2,000</w:t>
            </w:r>
          </w:p>
        </w:tc>
      </w:tr>
    </w:tbl>
    <w:p w14:paraId="30791E82" w14:textId="77777777" w:rsidR="00B95D5A" w:rsidRPr="00DB2B71" w:rsidRDefault="00B95D5A" w:rsidP="00481C8B">
      <w:pPr>
        <w:pStyle w:val="Heading2"/>
        <w:rPr>
          <w:rFonts w:eastAsia="Times New Roman" w:cs="Times New Roman"/>
          <w:b w:val="0"/>
          <w:color w:val="auto"/>
          <w:sz w:val="24"/>
          <w:szCs w:val="24"/>
        </w:rPr>
      </w:pPr>
    </w:p>
    <w:p w14:paraId="31941DC5" w14:textId="77777777" w:rsidR="00B95D5A" w:rsidRPr="00DB2B71" w:rsidRDefault="00B95D5A" w:rsidP="00481C8B">
      <w:pPr>
        <w:pStyle w:val="Heading2"/>
        <w:rPr>
          <w:rFonts w:eastAsia="Times New Roman" w:cs="Times New Roman"/>
          <w:b w:val="0"/>
          <w:color w:val="auto"/>
          <w:sz w:val="24"/>
          <w:szCs w:val="24"/>
        </w:rPr>
      </w:pPr>
    </w:p>
    <w:p w14:paraId="1A46DF6B" w14:textId="77777777" w:rsidR="00B95D5A" w:rsidRPr="00DB2B71" w:rsidRDefault="00B95D5A" w:rsidP="00481C8B">
      <w:pPr>
        <w:pStyle w:val="Heading2"/>
        <w:rPr>
          <w:rFonts w:eastAsia="Times New Roman" w:cs="Times New Roman"/>
          <w:b w:val="0"/>
          <w:color w:val="auto"/>
          <w:sz w:val="24"/>
          <w:szCs w:val="24"/>
        </w:rPr>
      </w:pPr>
    </w:p>
    <w:p w14:paraId="2BF5BEF9" w14:textId="77777777" w:rsidR="00B95D5A" w:rsidRPr="00DB2B71" w:rsidRDefault="00B95D5A" w:rsidP="00481C8B">
      <w:pPr>
        <w:pStyle w:val="Heading2"/>
        <w:rPr>
          <w:rFonts w:eastAsia="Times New Roman" w:cs="Times New Roman"/>
          <w:b w:val="0"/>
          <w:color w:val="auto"/>
          <w:sz w:val="24"/>
          <w:szCs w:val="24"/>
        </w:rPr>
      </w:pPr>
    </w:p>
    <w:p w14:paraId="0DAC2BA7" w14:textId="77777777" w:rsidR="00B95D5A" w:rsidRPr="00DB2B71" w:rsidRDefault="00B95D5A" w:rsidP="00481C8B">
      <w:pPr>
        <w:pStyle w:val="Heading2"/>
        <w:rPr>
          <w:rFonts w:eastAsia="Times New Roman" w:cs="Times New Roman"/>
          <w:b w:val="0"/>
          <w:color w:val="auto"/>
          <w:sz w:val="24"/>
          <w:szCs w:val="24"/>
        </w:rPr>
      </w:pPr>
    </w:p>
    <w:p w14:paraId="21136D4D" w14:textId="77777777" w:rsidR="00B95D5A" w:rsidRPr="00DB2B71" w:rsidRDefault="00B95D5A" w:rsidP="00481C8B"/>
    <w:p w14:paraId="7193555C" w14:textId="77777777" w:rsidR="00481C8B" w:rsidRPr="00481C8B" w:rsidRDefault="00481C8B" w:rsidP="00481C8B">
      <w:pPr>
        <w:rPr>
          <w:b/>
          <w:bCs/>
          <w:sz w:val="40"/>
          <w:szCs w:val="40"/>
        </w:rPr>
      </w:pPr>
      <w:r w:rsidRPr="00481C8B">
        <w:rPr>
          <w:b/>
          <w:bCs/>
          <w:sz w:val="40"/>
          <w:szCs w:val="40"/>
        </w:rPr>
        <w:t xml:space="preserve">Funding Sources </w:t>
      </w:r>
    </w:p>
    <w:p w14:paraId="326E2084" w14:textId="0FFCD566" w:rsidR="00B95D5A" w:rsidRPr="00DB2B71" w:rsidRDefault="00B95D5A" w:rsidP="00481C8B">
      <w:r w:rsidRPr="00DB2B71">
        <w:rPr>
          <w:noProof/>
        </w:rPr>
        <w:drawing>
          <wp:inline distT="0" distB="0" distL="0" distR="0" wp14:anchorId="6E1C3D15" wp14:editId="4C603940">
            <wp:extent cx="5658470" cy="318314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6661" cy="3187755"/>
                    </a:xfrm>
                    <a:prstGeom prst="rect">
                      <a:avLst/>
                    </a:prstGeom>
                    <a:noFill/>
                  </pic:spPr>
                </pic:pic>
              </a:graphicData>
            </a:graphic>
          </wp:inline>
        </w:drawing>
      </w:r>
    </w:p>
    <w:p w14:paraId="45E227DE" w14:textId="77777777" w:rsidR="00330A66" w:rsidRPr="00DB2B71" w:rsidRDefault="00330A66" w:rsidP="00481C8B">
      <w:r w:rsidRPr="00DB2B71">
        <w:t>Securing funding is essential for hosting the FIFA World Cup</w:t>
      </w:r>
      <w:r w:rsidR="00CB4B4C" w:rsidRPr="00DB2B71">
        <w:t xml:space="preserve"> (Rogers and Wynn, 2022)</w:t>
      </w:r>
      <w:r w:rsidRPr="00DB2B71">
        <w:t>. It can comes from various sources such as government subsidies, sponsorships, ticket sales, broadcasting rights, and public-private partnerships.</w:t>
      </w:r>
    </w:p>
    <w:tbl>
      <w:tblPr>
        <w:tblStyle w:val="TableGrid"/>
        <w:tblW w:w="0" w:type="auto"/>
        <w:tblLook w:val="04A0" w:firstRow="1" w:lastRow="0" w:firstColumn="1" w:lastColumn="0" w:noHBand="0" w:noVBand="1"/>
      </w:tblPr>
      <w:tblGrid>
        <w:gridCol w:w="4508"/>
        <w:gridCol w:w="4509"/>
      </w:tblGrid>
      <w:tr w:rsidR="00330A66" w:rsidRPr="00DB2B71" w14:paraId="5F62C4B0" w14:textId="77777777" w:rsidTr="00330A66">
        <w:tc>
          <w:tcPr>
            <w:tcW w:w="4508" w:type="dxa"/>
          </w:tcPr>
          <w:p w14:paraId="102052AB" w14:textId="77777777" w:rsidR="00330A66" w:rsidRPr="00DB2B71" w:rsidRDefault="00330A66" w:rsidP="00481C8B">
            <w:pPr>
              <w:jc w:val="center"/>
              <w:rPr>
                <w:b/>
                <w:sz w:val="28"/>
              </w:rPr>
            </w:pPr>
            <w:r w:rsidRPr="00DB2B71">
              <w:rPr>
                <w:b/>
                <w:sz w:val="28"/>
              </w:rPr>
              <w:t>Funding Source</w:t>
            </w:r>
          </w:p>
        </w:tc>
        <w:tc>
          <w:tcPr>
            <w:tcW w:w="4509" w:type="dxa"/>
          </w:tcPr>
          <w:p w14:paraId="43103234" w14:textId="77777777" w:rsidR="00330A66" w:rsidRPr="00DB2B71" w:rsidRDefault="00330A66" w:rsidP="00481C8B">
            <w:pPr>
              <w:jc w:val="center"/>
              <w:rPr>
                <w:b/>
                <w:sz w:val="28"/>
              </w:rPr>
            </w:pPr>
            <w:r w:rsidRPr="00DB2B71">
              <w:rPr>
                <w:b/>
                <w:sz w:val="28"/>
              </w:rPr>
              <w:t>Amount (in millions)</w:t>
            </w:r>
          </w:p>
        </w:tc>
      </w:tr>
      <w:tr w:rsidR="00330A66" w:rsidRPr="00DB2B71" w14:paraId="52CC6228" w14:textId="77777777" w:rsidTr="00330A66">
        <w:tc>
          <w:tcPr>
            <w:tcW w:w="4508" w:type="dxa"/>
          </w:tcPr>
          <w:p w14:paraId="6B207EEF" w14:textId="77777777" w:rsidR="00330A66" w:rsidRPr="00DB2B71" w:rsidRDefault="00330A66" w:rsidP="00481C8B">
            <w:pPr>
              <w:jc w:val="center"/>
            </w:pPr>
            <w:r w:rsidRPr="00DB2B71">
              <w:t>Government Subsidies</w:t>
            </w:r>
          </w:p>
        </w:tc>
        <w:tc>
          <w:tcPr>
            <w:tcW w:w="4509" w:type="dxa"/>
          </w:tcPr>
          <w:p w14:paraId="58B27F59" w14:textId="77777777" w:rsidR="00330A66" w:rsidRPr="00DB2B71" w:rsidRDefault="00330A66" w:rsidP="00481C8B">
            <w:pPr>
              <w:jc w:val="center"/>
            </w:pPr>
            <w:r w:rsidRPr="00DB2B71">
              <w:t>300</w:t>
            </w:r>
          </w:p>
        </w:tc>
      </w:tr>
      <w:tr w:rsidR="00330A66" w:rsidRPr="00DB2B71" w14:paraId="4607E403" w14:textId="77777777" w:rsidTr="00330A66">
        <w:tc>
          <w:tcPr>
            <w:tcW w:w="4508" w:type="dxa"/>
          </w:tcPr>
          <w:p w14:paraId="05DE76CB" w14:textId="77777777" w:rsidR="00330A66" w:rsidRPr="00DB2B71" w:rsidRDefault="00330A66" w:rsidP="00481C8B">
            <w:pPr>
              <w:jc w:val="center"/>
            </w:pPr>
            <w:r w:rsidRPr="00DB2B71">
              <w:t>Sponsorships</w:t>
            </w:r>
          </w:p>
        </w:tc>
        <w:tc>
          <w:tcPr>
            <w:tcW w:w="4509" w:type="dxa"/>
          </w:tcPr>
          <w:p w14:paraId="4280108E" w14:textId="77777777" w:rsidR="00330A66" w:rsidRPr="00DB2B71" w:rsidRDefault="00330A66" w:rsidP="00481C8B">
            <w:pPr>
              <w:jc w:val="center"/>
            </w:pPr>
            <w:r w:rsidRPr="00DB2B71">
              <w:t>500</w:t>
            </w:r>
          </w:p>
        </w:tc>
      </w:tr>
      <w:tr w:rsidR="00330A66" w:rsidRPr="00DB2B71" w14:paraId="336D066F" w14:textId="77777777" w:rsidTr="00330A66">
        <w:tc>
          <w:tcPr>
            <w:tcW w:w="4508" w:type="dxa"/>
          </w:tcPr>
          <w:p w14:paraId="37C32B6B" w14:textId="77777777" w:rsidR="00330A66" w:rsidRPr="00DB2B71" w:rsidRDefault="00330A66" w:rsidP="00481C8B">
            <w:pPr>
              <w:jc w:val="center"/>
            </w:pPr>
            <w:r w:rsidRPr="00DB2B71">
              <w:t>Ticket Sales</w:t>
            </w:r>
          </w:p>
        </w:tc>
        <w:tc>
          <w:tcPr>
            <w:tcW w:w="4509" w:type="dxa"/>
          </w:tcPr>
          <w:p w14:paraId="55658A07" w14:textId="77777777" w:rsidR="00330A66" w:rsidRPr="00DB2B71" w:rsidRDefault="00330A66" w:rsidP="00481C8B">
            <w:pPr>
              <w:jc w:val="center"/>
            </w:pPr>
            <w:r w:rsidRPr="00DB2B71">
              <w:t>600</w:t>
            </w:r>
          </w:p>
        </w:tc>
      </w:tr>
      <w:tr w:rsidR="00330A66" w:rsidRPr="00DB2B71" w14:paraId="30E0D052" w14:textId="77777777" w:rsidTr="00330A66">
        <w:tc>
          <w:tcPr>
            <w:tcW w:w="4508" w:type="dxa"/>
          </w:tcPr>
          <w:p w14:paraId="789CACA2" w14:textId="77777777" w:rsidR="00330A66" w:rsidRPr="00DB2B71" w:rsidRDefault="00330A66" w:rsidP="00481C8B">
            <w:pPr>
              <w:jc w:val="center"/>
            </w:pPr>
            <w:r w:rsidRPr="00DB2B71">
              <w:t>Broadcasting Rights</w:t>
            </w:r>
          </w:p>
        </w:tc>
        <w:tc>
          <w:tcPr>
            <w:tcW w:w="4509" w:type="dxa"/>
          </w:tcPr>
          <w:p w14:paraId="2D97BAAA" w14:textId="77777777" w:rsidR="00330A66" w:rsidRPr="00DB2B71" w:rsidRDefault="00330A66" w:rsidP="00481C8B">
            <w:pPr>
              <w:jc w:val="center"/>
            </w:pPr>
            <w:r w:rsidRPr="00DB2B71">
              <w:t>800</w:t>
            </w:r>
          </w:p>
        </w:tc>
      </w:tr>
      <w:tr w:rsidR="00330A66" w:rsidRPr="00DB2B71" w14:paraId="3E634601" w14:textId="77777777" w:rsidTr="00330A66">
        <w:tc>
          <w:tcPr>
            <w:tcW w:w="4508" w:type="dxa"/>
          </w:tcPr>
          <w:p w14:paraId="3BA494FC" w14:textId="77777777" w:rsidR="00330A66" w:rsidRPr="00DB2B71" w:rsidRDefault="00330A66" w:rsidP="00481C8B">
            <w:pPr>
              <w:jc w:val="center"/>
            </w:pPr>
            <w:r w:rsidRPr="00DB2B71">
              <w:t>Public-Private Partnerships</w:t>
            </w:r>
          </w:p>
        </w:tc>
        <w:tc>
          <w:tcPr>
            <w:tcW w:w="4509" w:type="dxa"/>
          </w:tcPr>
          <w:p w14:paraId="33F44E0E" w14:textId="77777777" w:rsidR="00330A66" w:rsidRPr="00DB2B71" w:rsidRDefault="00330A66" w:rsidP="00481C8B">
            <w:pPr>
              <w:jc w:val="center"/>
            </w:pPr>
            <w:r w:rsidRPr="00DB2B71">
              <w:t>200</w:t>
            </w:r>
          </w:p>
        </w:tc>
      </w:tr>
      <w:tr w:rsidR="00330A66" w:rsidRPr="00DB2B71" w14:paraId="55CD9852" w14:textId="77777777" w:rsidTr="00330A66">
        <w:tc>
          <w:tcPr>
            <w:tcW w:w="4508" w:type="dxa"/>
          </w:tcPr>
          <w:p w14:paraId="018162D1" w14:textId="77777777" w:rsidR="00330A66" w:rsidRPr="00DB2B71" w:rsidRDefault="00330A66" w:rsidP="00481C8B">
            <w:pPr>
              <w:jc w:val="center"/>
            </w:pPr>
            <w:r w:rsidRPr="00DB2B71">
              <w:t>Total Funding</w:t>
            </w:r>
          </w:p>
        </w:tc>
        <w:tc>
          <w:tcPr>
            <w:tcW w:w="4509" w:type="dxa"/>
          </w:tcPr>
          <w:p w14:paraId="5BB8A638" w14:textId="77777777" w:rsidR="00330A66" w:rsidRPr="00DB2B71" w:rsidRDefault="00330A66" w:rsidP="00481C8B">
            <w:pPr>
              <w:jc w:val="center"/>
            </w:pPr>
            <w:r w:rsidRPr="00DB2B71">
              <w:t>2400</w:t>
            </w:r>
          </w:p>
        </w:tc>
      </w:tr>
    </w:tbl>
    <w:p w14:paraId="4B596F42" w14:textId="77777777" w:rsidR="00330A66" w:rsidRPr="00DB2B71" w:rsidRDefault="00330A66" w:rsidP="00481C8B"/>
    <w:p w14:paraId="55D2BAA3" w14:textId="46831B44" w:rsidR="002D6757" w:rsidRPr="00DB2B71" w:rsidRDefault="00481C8B" w:rsidP="00481C8B">
      <w:r w:rsidRPr="00481C8B">
        <w:rPr>
          <w:b/>
          <w:bCs/>
          <w:sz w:val="40"/>
          <w:szCs w:val="40"/>
        </w:rPr>
        <w:lastRenderedPageBreak/>
        <w:t>Conclusion</w:t>
      </w:r>
      <w:r w:rsidR="00B95D5A" w:rsidRPr="00DB2B71">
        <w:rPr>
          <w:noProof/>
        </w:rPr>
        <w:drawing>
          <wp:inline distT="0" distB="0" distL="0" distR="0" wp14:anchorId="22813860" wp14:editId="525C7279">
            <wp:extent cx="5673805" cy="3191774"/>
            <wp:effectExtent l="0" t="0" r="317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8473" cy="3205651"/>
                    </a:xfrm>
                    <a:prstGeom prst="rect">
                      <a:avLst/>
                    </a:prstGeom>
                    <a:noFill/>
                  </pic:spPr>
                </pic:pic>
              </a:graphicData>
            </a:graphic>
          </wp:inline>
        </w:drawing>
      </w:r>
    </w:p>
    <w:p w14:paraId="104EE2DF" w14:textId="77777777" w:rsidR="00366453" w:rsidRPr="00DB2B71" w:rsidRDefault="00330A66" w:rsidP="00481C8B">
      <w:r w:rsidRPr="00DB2B71">
        <w:t xml:space="preserve">Hosting the FIFA World Cup is an important undertaking. This requires meticulous planning. Pre-planning to host a prestigious event is discussed here. Here is an examination of market factors affecting the FIFA World Cup, including competition. The FIFA World Cup aims to include football lovers from all over the world. Soccer's worldwide appeal places the World Cup well. Finally, the operational requirements for hosting the FIFA World Cup are addressed. The correct venue is critical to providing the best experience for the audience. Staff management is crucial to providing excellent service during the event. Hosting the FIFA World Cup represents a unique opportunity for cities to showcase their capabilities on the world stage. Providing an unforgettable experience for stakeholders alike. </w:t>
      </w:r>
      <w:proofErr w:type="spellStart"/>
      <w:r w:rsidRPr="00DB2B71">
        <w:t>Organi</w:t>
      </w:r>
      <w:r w:rsidR="00AE343E" w:rsidRPr="00DB2B71">
        <w:t>s</w:t>
      </w:r>
      <w:r w:rsidRPr="00DB2B71">
        <w:t>ers</w:t>
      </w:r>
      <w:proofErr w:type="spellEnd"/>
      <w:r w:rsidRPr="00DB2B71">
        <w:t xml:space="preserve"> can ensure long-term sustainability by managing finances. A celebration of football's universal appeal. It brings people from all walks of life together to share in the excitement.</w:t>
      </w:r>
    </w:p>
    <w:p w14:paraId="3D624ED1" w14:textId="77777777" w:rsidR="00366453" w:rsidRPr="00DB2B71" w:rsidRDefault="00366453" w:rsidP="00481C8B">
      <w:pPr>
        <w:spacing w:after="160"/>
        <w:jc w:val="left"/>
      </w:pPr>
      <w:r w:rsidRPr="00DB2B71">
        <w:br w:type="page"/>
      </w:r>
    </w:p>
    <w:p w14:paraId="7FE1736F" w14:textId="6B428AB0" w:rsidR="00637F03" w:rsidRPr="00DB2B71" w:rsidRDefault="00481C8B" w:rsidP="00481C8B">
      <w:r w:rsidRPr="00481C8B">
        <w:rPr>
          <w:b/>
          <w:bCs/>
          <w:sz w:val="40"/>
          <w:szCs w:val="40"/>
        </w:rPr>
        <w:lastRenderedPageBreak/>
        <w:t xml:space="preserve">References </w:t>
      </w:r>
      <w:r w:rsidR="00B95D5A" w:rsidRPr="00DB2B71">
        <w:rPr>
          <w:noProof/>
        </w:rPr>
        <w:drawing>
          <wp:inline distT="0" distB="0" distL="0" distR="0" wp14:anchorId="3FA05D41" wp14:editId="06266387">
            <wp:extent cx="5779698" cy="3251343"/>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3515" cy="3259116"/>
                    </a:xfrm>
                    <a:prstGeom prst="rect">
                      <a:avLst/>
                    </a:prstGeom>
                    <a:noFill/>
                  </pic:spPr>
                </pic:pic>
              </a:graphicData>
            </a:graphic>
          </wp:inline>
        </w:drawing>
      </w:r>
    </w:p>
    <w:p w14:paraId="07165A8B" w14:textId="77777777" w:rsidR="00366453" w:rsidRPr="00DB2B71" w:rsidRDefault="00366453" w:rsidP="00481C8B">
      <w:pPr>
        <w:ind w:left="720" w:hanging="720"/>
      </w:pPr>
      <w:r w:rsidRPr="00DB2B71">
        <w:t>Ahmad, J. and Daud, N. (2016). Determining Innovative Tourism Event Professional Competency for Conventions and Exhibitions Industry: A Preliminary Study. </w:t>
      </w:r>
      <w:r w:rsidRPr="00DB2B71">
        <w:rPr>
          <w:i/>
          <w:iCs/>
        </w:rPr>
        <w:t>Procedia: social &amp; behavioral sciences</w:t>
      </w:r>
      <w:r w:rsidRPr="00DB2B71">
        <w:t xml:space="preserve">, [online] 219, pp.69–75. </w:t>
      </w:r>
      <w:proofErr w:type="spellStart"/>
      <w:r w:rsidRPr="00DB2B71">
        <w:t>doi:https</w:t>
      </w:r>
      <w:proofErr w:type="spellEnd"/>
      <w:r w:rsidRPr="00DB2B71">
        <w:t>://doi.org/10.1016/j.sbspro.2016.04.041.</w:t>
      </w:r>
    </w:p>
    <w:p w14:paraId="7F9C4BA7" w14:textId="77777777" w:rsidR="00366453" w:rsidRPr="00DB2B71" w:rsidRDefault="00366453" w:rsidP="00481C8B">
      <w:pPr>
        <w:ind w:left="720" w:hanging="720"/>
      </w:pPr>
      <w:r w:rsidRPr="00DB2B71">
        <w:t>A sustainable festival management model: the case of International Troia festival | Emerald Insight. (2014). </w:t>
      </w:r>
      <w:r w:rsidRPr="00DB2B71">
        <w:rPr>
          <w:i/>
          <w:iCs/>
        </w:rPr>
        <w:t>International Journal of Culture, Tourism and Hospitality Research</w:t>
      </w:r>
      <w:r w:rsidRPr="00DB2B71">
        <w:t xml:space="preserve">, [online] 8(2), pp.173–193. </w:t>
      </w:r>
      <w:proofErr w:type="spellStart"/>
      <w:r w:rsidRPr="00DB2B71">
        <w:t>doi:https</w:t>
      </w:r>
      <w:proofErr w:type="spellEnd"/>
      <w:r w:rsidRPr="00DB2B71">
        <w:t>://doi.org/10.1108//IJCTHR.</w:t>
      </w:r>
    </w:p>
    <w:p w14:paraId="2A0F389C" w14:textId="77777777" w:rsidR="00684F03" w:rsidRPr="00DB2B71" w:rsidRDefault="00684F03" w:rsidP="00481C8B">
      <w:pPr>
        <w:ind w:left="720" w:hanging="720"/>
      </w:pPr>
      <w:r w:rsidRPr="00DB2B71">
        <w:t>Bouchon, F., Hussain, K. and Konar, R. (2015). EVENT MANAGEMENT EDUCATION AND EVENT INDUSTRY: A CASE OF MALAYSIA. </w:t>
      </w:r>
      <w:r w:rsidRPr="00DB2B71">
        <w:rPr>
          <w:i/>
          <w:iCs/>
        </w:rPr>
        <w:t>MOJEM: Malaysian Online Journal of Educational Management</w:t>
      </w:r>
      <w:r w:rsidRPr="00DB2B71">
        <w:t>, [online] 3(1), pp.1–17. Available at: https://adum.um.edu.my/index.php/MOJEM/article/view/6091 [Accessed 5 May 2024].</w:t>
      </w:r>
    </w:p>
    <w:p w14:paraId="24FB84BA" w14:textId="77777777" w:rsidR="00684F03" w:rsidRPr="00DB2B71" w:rsidRDefault="00684F03" w:rsidP="00481C8B">
      <w:pPr>
        <w:ind w:left="720" w:hanging="720"/>
      </w:pPr>
      <w:r w:rsidRPr="00DB2B71">
        <w:t>Chuah, H. and Latip, H.A. (2018). Factors Affecting Attendees’ Decision-Making in Convention Tourism Industry. </w:t>
      </w:r>
      <w:r w:rsidRPr="00DB2B71">
        <w:rPr>
          <w:i/>
          <w:iCs/>
        </w:rPr>
        <w:t>Advanced science letters</w:t>
      </w:r>
      <w:r w:rsidRPr="00DB2B71">
        <w:t xml:space="preserve">, [online] 24(6), pp.4414–4420. </w:t>
      </w:r>
      <w:proofErr w:type="spellStart"/>
      <w:r w:rsidRPr="00DB2B71">
        <w:t>doi:https</w:t>
      </w:r>
      <w:proofErr w:type="spellEnd"/>
      <w:r w:rsidRPr="00DB2B71">
        <w:t>://doi.org/10.1166/asl.2018.11616.</w:t>
      </w:r>
    </w:p>
    <w:p w14:paraId="601F950E" w14:textId="77777777" w:rsidR="00684F03" w:rsidRPr="00DB2B71" w:rsidRDefault="00684F03" w:rsidP="00481C8B">
      <w:pPr>
        <w:ind w:left="720" w:hanging="720"/>
      </w:pPr>
      <w:r w:rsidRPr="00DB2B71">
        <w:t>Contextualizing phenomenology in event management research: Deciphering the meaning of event experiences | Emerald Insight. (2014). </w:t>
      </w:r>
      <w:r w:rsidRPr="00DB2B71">
        <w:rPr>
          <w:i/>
          <w:iCs/>
        </w:rPr>
        <w:t>International Journal of Event and Festival Management</w:t>
      </w:r>
      <w:r w:rsidRPr="00DB2B71">
        <w:t xml:space="preserve">, [online] 5(1), pp.56–73. </w:t>
      </w:r>
      <w:proofErr w:type="spellStart"/>
      <w:r w:rsidRPr="00DB2B71">
        <w:t>doi:https</w:t>
      </w:r>
      <w:proofErr w:type="spellEnd"/>
      <w:r w:rsidRPr="00DB2B71">
        <w:t>://doi.org/10.1108//IJEFM.</w:t>
      </w:r>
    </w:p>
    <w:p w14:paraId="36A630D9" w14:textId="77777777" w:rsidR="00684F03" w:rsidRPr="00DB2B71" w:rsidRDefault="00684F03" w:rsidP="00481C8B">
      <w:pPr>
        <w:ind w:left="720" w:hanging="720"/>
      </w:pPr>
      <w:r w:rsidRPr="00DB2B71">
        <w:lastRenderedPageBreak/>
        <w:t>Crowther, P., Bostock, J. and Perry, J. (2015). Review of Established Methods in Event Research. </w:t>
      </w:r>
      <w:r w:rsidRPr="00DB2B71">
        <w:rPr>
          <w:i/>
          <w:iCs/>
        </w:rPr>
        <w:t>Event management</w:t>
      </w:r>
      <w:r w:rsidRPr="00DB2B71">
        <w:t xml:space="preserve">, [online] 19(1), pp.93–107. </w:t>
      </w:r>
      <w:proofErr w:type="spellStart"/>
      <w:r w:rsidRPr="00DB2B71">
        <w:t>doi:https</w:t>
      </w:r>
      <w:proofErr w:type="spellEnd"/>
      <w:r w:rsidRPr="00DB2B71">
        <w:t>://doi.org/10.3727/152599515x14229071393061.</w:t>
      </w:r>
    </w:p>
    <w:p w14:paraId="20ACCADA" w14:textId="77777777" w:rsidR="00366453" w:rsidRPr="00DB2B71" w:rsidRDefault="00366453" w:rsidP="00481C8B">
      <w:pPr>
        <w:ind w:left="720" w:hanging="720"/>
      </w:pPr>
      <w:r w:rsidRPr="00DB2B71">
        <w:t>Event and festival research: a review and research directions | Emerald Insight. (2019). </w:t>
      </w:r>
      <w:r w:rsidRPr="00DB2B71">
        <w:rPr>
          <w:i/>
          <w:iCs/>
        </w:rPr>
        <w:t>International Journal of Event and Festival Management</w:t>
      </w:r>
      <w:r w:rsidRPr="00DB2B71">
        <w:t xml:space="preserve">, [online] 10(3), pp.209–216. </w:t>
      </w:r>
      <w:proofErr w:type="spellStart"/>
      <w:r w:rsidRPr="00DB2B71">
        <w:t>doi:https</w:t>
      </w:r>
      <w:proofErr w:type="spellEnd"/>
      <w:r w:rsidRPr="00DB2B71">
        <w:t>://doi.org/10.1108//IJEFM.</w:t>
      </w:r>
    </w:p>
    <w:p w14:paraId="1FEED4C1" w14:textId="77777777" w:rsidR="00CB4B4C" w:rsidRPr="00DB2B71" w:rsidRDefault="00CB4B4C" w:rsidP="00481C8B">
      <w:pPr>
        <w:ind w:left="720" w:hanging="720"/>
      </w:pPr>
      <w:r w:rsidRPr="00DB2B71">
        <w:t>Fox, D. et al. (2014) Doing events research: from theory to practice. Routledge: Oxford</w:t>
      </w:r>
    </w:p>
    <w:p w14:paraId="2864B580" w14:textId="77777777" w:rsidR="00366453" w:rsidRPr="00DB2B71" w:rsidRDefault="00366453" w:rsidP="00481C8B">
      <w:pPr>
        <w:ind w:left="720" w:hanging="720"/>
      </w:pPr>
      <w:r w:rsidRPr="00DB2B71">
        <w:t>Getz, D. (2008). Event tourism: Definition, evolution, and research. </w:t>
      </w:r>
      <w:r w:rsidRPr="00DB2B71">
        <w:rPr>
          <w:i/>
          <w:iCs/>
        </w:rPr>
        <w:t>Tourism management</w:t>
      </w:r>
      <w:r w:rsidRPr="00DB2B71">
        <w:t xml:space="preserve">, [online] 29(3), pp.403–428. </w:t>
      </w:r>
      <w:proofErr w:type="spellStart"/>
      <w:r w:rsidRPr="00DB2B71">
        <w:t>doi:https</w:t>
      </w:r>
      <w:proofErr w:type="spellEnd"/>
      <w:r w:rsidRPr="00DB2B71">
        <w:t>://doi.org/10.1016/j.tourman.2007.07.017.</w:t>
      </w:r>
    </w:p>
    <w:p w14:paraId="3A93AA9E" w14:textId="77777777" w:rsidR="00CB4B4C" w:rsidRPr="00DB2B71" w:rsidRDefault="00CB4B4C" w:rsidP="00481C8B">
      <w:pPr>
        <w:ind w:left="720" w:hanging="720"/>
      </w:pPr>
      <w:r w:rsidRPr="00DB2B71">
        <w:t>Getz, D. and Page, S. (2019) Event studies: theory, research and policy for planned events. 3rd              Edition. Routledge: Oxford</w:t>
      </w:r>
    </w:p>
    <w:p w14:paraId="4E05554D" w14:textId="77777777" w:rsidR="00684F03" w:rsidRPr="00DB2B71" w:rsidRDefault="00684F03" w:rsidP="00481C8B">
      <w:pPr>
        <w:ind w:left="720" w:hanging="720"/>
      </w:pPr>
      <w:r w:rsidRPr="00DB2B71">
        <w:t>Jamal, T. and Robinson, M. (2009). </w:t>
      </w:r>
      <w:r w:rsidRPr="00DB2B71">
        <w:rPr>
          <w:i/>
          <w:iCs/>
        </w:rPr>
        <w:t>The SAGE Handbook of Tourism Studies</w:t>
      </w:r>
      <w:r w:rsidRPr="00DB2B71">
        <w:t>. [online] SAGE. Available at: https://www.torrossa.com/en/resources/an/4913746#page=504 [Accessed 5 May 2024].</w:t>
      </w:r>
    </w:p>
    <w:p w14:paraId="3DA64603" w14:textId="77777777" w:rsidR="00366453" w:rsidRPr="00DB2B71" w:rsidRDefault="00366453" w:rsidP="00481C8B">
      <w:pPr>
        <w:ind w:left="720" w:hanging="720"/>
      </w:pPr>
      <w:r w:rsidRPr="00DB2B71">
        <w:t>Journal of Convention &amp; Event Tourism. (2023). </w:t>
      </w:r>
      <w:r w:rsidRPr="00DB2B71">
        <w:rPr>
          <w:i/>
          <w:iCs/>
        </w:rPr>
        <w:t>The Journal of Convention and Event Tourism: A retrospective analysis using bibliometrics</w:t>
      </w:r>
      <w:r w:rsidRPr="00DB2B71">
        <w:t>. [online] Available at: https://www.tandfonline.com/doi/abs/10.1080/15470148.2022.2150731 [Accessed 5 May 2024].</w:t>
      </w:r>
    </w:p>
    <w:p w14:paraId="2ED8AF2B" w14:textId="77777777" w:rsidR="00CB4B4C" w:rsidRPr="00DB2B71" w:rsidRDefault="00CB4B4C" w:rsidP="00481C8B">
      <w:pPr>
        <w:ind w:left="720" w:hanging="720"/>
      </w:pPr>
      <w:r w:rsidRPr="00DB2B71">
        <w:t>Meredith, J. (2022) Project management: a managerial approach</w:t>
      </w:r>
    </w:p>
    <w:p w14:paraId="49C4C270" w14:textId="77777777" w:rsidR="00CB4B4C" w:rsidRPr="00DB2B71" w:rsidRDefault="00CB4B4C" w:rsidP="00481C8B">
      <w:pPr>
        <w:ind w:left="720" w:hanging="720"/>
      </w:pPr>
      <w:r w:rsidRPr="00DB2B71">
        <w:t>O’Toole, W. (2011) Events feasibility and development: from strategy to operations. Elsevier: Oxford</w:t>
      </w:r>
    </w:p>
    <w:p w14:paraId="1C6416E9" w14:textId="77777777" w:rsidR="00684F03" w:rsidRPr="00DB2B71" w:rsidRDefault="00684F03" w:rsidP="00481C8B">
      <w:pPr>
        <w:ind w:left="720" w:hanging="720"/>
      </w:pPr>
      <w:r w:rsidRPr="00DB2B71">
        <w:t>Reid, S. and Ritchie, B. (2011). Risk Management: Event Managers’ Attitudes, Beliefs, and Perceived Constraints. </w:t>
      </w:r>
      <w:r w:rsidRPr="00DB2B71">
        <w:rPr>
          <w:i/>
          <w:iCs/>
        </w:rPr>
        <w:t>Event management</w:t>
      </w:r>
      <w:r w:rsidRPr="00DB2B71">
        <w:t xml:space="preserve">, [online] 15(4), pp.329–341. </w:t>
      </w:r>
      <w:proofErr w:type="spellStart"/>
      <w:r w:rsidRPr="00DB2B71">
        <w:t>doi:https</w:t>
      </w:r>
      <w:proofErr w:type="spellEnd"/>
      <w:r w:rsidRPr="00DB2B71">
        <w:t>://doi.org/10.3727/152599511x13175676722528.</w:t>
      </w:r>
    </w:p>
    <w:p w14:paraId="46CFA26A" w14:textId="77777777" w:rsidR="00CB4B4C" w:rsidRPr="00DB2B71" w:rsidRDefault="00CB4B4C" w:rsidP="00481C8B">
      <w:pPr>
        <w:ind w:left="720" w:hanging="720"/>
      </w:pPr>
      <w:r w:rsidRPr="00DB2B71">
        <w:t>Rogers, T. Wynn-Moylan, P (2022) Conferences and conventions: a global industry. 4th Edition. Routledge: Oxford</w:t>
      </w:r>
    </w:p>
    <w:p w14:paraId="26969812" w14:textId="77777777" w:rsidR="00366453" w:rsidRPr="00DB2B71" w:rsidRDefault="00366453" w:rsidP="00481C8B">
      <w:pPr>
        <w:ind w:left="720" w:hanging="720"/>
      </w:pPr>
      <w:r w:rsidRPr="00DB2B71">
        <w:t>Special issue on Event and Festival Research Methods and Trends | Emerald Insight. (2024). </w:t>
      </w:r>
      <w:r w:rsidRPr="00DB2B71">
        <w:rPr>
          <w:i/>
          <w:iCs/>
        </w:rPr>
        <w:t>International Journal of Event and Festival Management</w:t>
      </w:r>
      <w:r w:rsidRPr="00DB2B71">
        <w:t xml:space="preserve">, [online] 4(1), p.-. </w:t>
      </w:r>
      <w:proofErr w:type="spellStart"/>
      <w:r w:rsidRPr="00DB2B71">
        <w:t>doi:https</w:t>
      </w:r>
      <w:proofErr w:type="spellEnd"/>
      <w:r w:rsidRPr="00DB2B71">
        <w:t>://doi.org/10.1108//</w:t>
      </w:r>
      <w:proofErr w:type="spellStart"/>
      <w:r w:rsidRPr="00DB2B71">
        <w:t>ijefm</w:t>
      </w:r>
      <w:proofErr w:type="spellEnd"/>
      <w:r w:rsidRPr="00DB2B71">
        <w:t>.</w:t>
      </w:r>
    </w:p>
    <w:p w14:paraId="7A54C307" w14:textId="77777777" w:rsidR="00684F03" w:rsidRPr="00DB2B71" w:rsidRDefault="00684F03" w:rsidP="00481C8B">
      <w:pPr>
        <w:ind w:left="720" w:hanging="720"/>
      </w:pPr>
      <w:r w:rsidRPr="00DB2B71">
        <w:t xml:space="preserve">Smith, P.B., Peterson, M.F. and </w:t>
      </w:r>
      <w:proofErr w:type="spellStart"/>
      <w:r w:rsidRPr="00DB2B71">
        <w:t>Jyuji</w:t>
      </w:r>
      <w:proofErr w:type="spellEnd"/>
      <w:r w:rsidRPr="00DB2B71">
        <w:t xml:space="preserve"> Misumi (1994). Event management and work team effectiveness in Japan, Britain and USA. </w:t>
      </w:r>
      <w:r w:rsidRPr="00DB2B71">
        <w:rPr>
          <w:i/>
          <w:iCs/>
        </w:rPr>
        <w:t>Journal of occupational and organizational psychology</w:t>
      </w:r>
      <w:r w:rsidRPr="00DB2B71">
        <w:t xml:space="preserve">, [online] 67(1), pp.33–43. </w:t>
      </w:r>
      <w:proofErr w:type="spellStart"/>
      <w:r w:rsidRPr="00DB2B71">
        <w:t>doi:https</w:t>
      </w:r>
      <w:proofErr w:type="spellEnd"/>
      <w:r w:rsidRPr="00DB2B71">
        <w:t>://doi.org/10.1111/j.2044-8325.1994.tb00547.x.</w:t>
      </w:r>
    </w:p>
    <w:p w14:paraId="20CAD13D" w14:textId="77777777" w:rsidR="00CB4B4C" w:rsidRPr="00DB2B71" w:rsidRDefault="00CB4B4C" w:rsidP="00CB4B4C">
      <w:pPr>
        <w:ind w:left="720" w:hanging="720"/>
      </w:pPr>
      <w:r w:rsidRPr="00DB2B71">
        <w:lastRenderedPageBreak/>
        <w:t xml:space="preserve">Smith, A. (2012) Events and urban regeneration: </w:t>
      </w:r>
      <w:proofErr w:type="spellStart"/>
      <w:r w:rsidRPr="00DB2B71">
        <w:t>thestrategic</w:t>
      </w:r>
      <w:proofErr w:type="spellEnd"/>
      <w:r w:rsidRPr="00DB2B71">
        <w:t xml:space="preserve"> use of events to </w:t>
      </w:r>
      <w:proofErr w:type="spellStart"/>
      <w:r w:rsidRPr="00DB2B71">
        <w:t>revitalise</w:t>
      </w:r>
      <w:proofErr w:type="spellEnd"/>
      <w:r w:rsidRPr="00DB2B71">
        <w:t xml:space="preserve"> cities. Routledge: Oxford</w:t>
      </w:r>
    </w:p>
    <w:p w14:paraId="1FC9E801" w14:textId="77777777" w:rsidR="00366453" w:rsidRPr="00366453" w:rsidRDefault="00B95D5A" w:rsidP="00366453">
      <w:pPr>
        <w:ind w:left="720" w:hanging="720"/>
      </w:pPr>
      <w:r>
        <w:rPr>
          <w:noProof/>
        </w:rPr>
        <w:drawing>
          <wp:inline distT="0" distB="0" distL="0" distR="0" wp14:anchorId="09C4EE84" wp14:editId="62FEE178">
            <wp:extent cx="6096635" cy="34296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sectPr w:rsidR="00366453" w:rsidRPr="00366453" w:rsidSect="00D952C3">
      <w:footerReference w:type="default" r:id="rId1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D0533" w14:textId="77777777" w:rsidR="00D952C3" w:rsidRDefault="00D952C3" w:rsidP="00AE343E">
      <w:pPr>
        <w:spacing w:line="240" w:lineRule="auto"/>
      </w:pPr>
      <w:r>
        <w:separator/>
      </w:r>
    </w:p>
  </w:endnote>
  <w:endnote w:type="continuationSeparator" w:id="0">
    <w:p w14:paraId="26341216" w14:textId="77777777" w:rsidR="00D952C3" w:rsidRDefault="00D952C3" w:rsidP="00AE34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4077542"/>
      <w:docPartObj>
        <w:docPartGallery w:val="Page Numbers (Bottom of Page)"/>
        <w:docPartUnique/>
      </w:docPartObj>
    </w:sdtPr>
    <w:sdtEndPr>
      <w:rPr>
        <w:noProof/>
      </w:rPr>
    </w:sdtEndPr>
    <w:sdtContent>
      <w:p w14:paraId="53F6ACA5" w14:textId="77777777" w:rsidR="00AE343E" w:rsidRDefault="00AE343E">
        <w:pPr>
          <w:pStyle w:val="Footer"/>
          <w:jc w:val="right"/>
        </w:pPr>
        <w:r>
          <w:fldChar w:fldCharType="begin"/>
        </w:r>
        <w:r>
          <w:instrText xml:space="preserve"> PAGE   \* MERGEFORMAT </w:instrText>
        </w:r>
        <w:r>
          <w:fldChar w:fldCharType="separate"/>
        </w:r>
        <w:r w:rsidR="0074428F">
          <w:rPr>
            <w:noProof/>
          </w:rPr>
          <w:t>11</w:t>
        </w:r>
        <w:r>
          <w:rPr>
            <w:noProof/>
          </w:rPr>
          <w:fldChar w:fldCharType="end"/>
        </w:r>
      </w:p>
    </w:sdtContent>
  </w:sdt>
  <w:p w14:paraId="394A19AC" w14:textId="77777777" w:rsidR="00AE343E" w:rsidRDefault="00AE3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6ABCA" w14:textId="77777777" w:rsidR="00D952C3" w:rsidRDefault="00D952C3" w:rsidP="00AE343E">
      <w:pPr>
        <w:spacing w:line="240" w:lineRule="auto"/>
      </w:pPr>
      <w:r>
        <w:separator/>
      </w:r>
    </w:p>
  </w:footnote>
  <w:footnote w:type="continuationSeparator" w:id="0">
    <w:p w14:paraId="24511A4E" w14:textId="77777777" w:rsidR="00D952C3" w:rsidRDefault="00D952C3" w:rsidP="00AE34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068E4"/>
    <w:multiLevelType w:val="hybridMultilevel"/>
    <w:tmpl w:val="96001616"/>
    <w:lvl w:ilvl="0" w:tplc="08090001">
      <w:start w:val="1"/>
      <w:numFmt w:val="bullet"/>
      <w:lvlText w:val=""/>
      <w:lvlJc w:val="left"/>
      <w:pPr>
        <w:ind w:left="720" w:hanging="360"/>
      </w:pPr>
      <w:rPr>
        <w:rFonts w:ascii="Symbol" w:hAnsi="Symbol" w:hint="default"/>
      </w:rPr>
    </w:lvl>
    <w:lvl w:ilvl="1" w:tplc="BC00F1DC">
      <w:numFmt w:val="bullet"/>
      <w:lvlText w:val="-"/>
      <w:lvlJc w:val="left"/>
      <w:pPr>
        <w:ind w:left="1440" w:hanging="360"/>
      </w:pPr>
      <w:rPr>
        <w:rFonts w:ascii="Times New Roman" w:eastAsia="Times New Roman" w:hAnsi="Times New Roman" w:cs="Times New Roman"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5396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41"/>
    <w:rsid w:val="001E730E"/>
    <w:rsid w:val="0020698A"/>
    <w:rsid w:val="002744C2"/>
    <w:rsid w:val="002851AE"/>
    <w:rsid w:val="002A7689"/>
    <w:rsid w:val="002B239B"/>
    <w:rsid w:val="002D6757"/>
    <w:rsid w:val="00330A66"/>
    <w:rsid w:val="003648DC"/>
    <w:rsid w:val="00366453"/>
    <w:rsid w:val="00381827"/>
    <w:rsid w:val="00394385"/>
    <w:rsid w:val="00481C8B"/>
    <w:rsid w:val="004B173E"/>
    <w:rsid w:val="004F7C75"/>
    <w:rsid w:val="00553108"/>
    <w:rsid w:val="00556352"/>
    <w:rsid w:val="00637F03"/>
    <w:rsid w:val="00684F03"/>
    <w:rsid w:val="006C2E65"/>
    <w:rsid w:val="006D3D30"/>
    <w:rsid w:val="0074428F"/>
    <w:rsid w:val="008266BA"/>
    <w:rsid w:val="00867EA2"/>
    <w:rsid w:val="008D20AE"/>
    <w:rsid w:val="008F4C0E"/>
    <w:rsid w:val="00952B5F"/>
    <w:rsid w:val="009A2A79"/>
    <w:rsid w:val="00AD0159"/>
    <w:rsid w:val="00AE343E"/>
    <w:rsid w:val="00B45FCA"/>
    <w:rsid w:val="00B95D5A"/>
    <w:rsid w:val="00C0480F"/>
    <w:rsid w:val="00C425A1"/>
    <w:rsid w:val="00C51102"/>
    <w:rsid w:val="00CA4C8B"/>
    <w:rsid w:val="00CB2528"/>
    <w:rsid w:val="00CB4B4C"/>
    <w:rsid w:val="00CB53C4"/>
    <w:rsid w:val="00CB66A1"/>
    <w:rsid w:val="00CC6D0B"/>
    <w:rsid w:val="00CE5BDA"/>
    <w:rsid w:val="00D40559"/>
    <w:rsid w:val="00D952C3"/>
    <w:rsid w:val="00DB2B71"/>
    <w:rsid w:val="00DD205C"/>
    <w:rsid w:val="00E0377F"/>
    <w:rsid w:val="00E03DA1"/>
    <w:rsid w:val="00E710EB"/>
    <w:rsid w:val="00F548CB"/>
    <w:rsid w:val="00F92175"/>
    <w:rsid w:val="00FB0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1695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05C"/>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B173E"/>
    <w:pPr>
      <w:keepNext/>
      <w:keepLines/>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A7689"/>
    <w:pPr>
      <w:keepNext/>
      <w:keepLines/>
      <w:spacing w:before="4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73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2A7689"/>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553108"/>
    <w:pPr>
      <w:spacing w:before="24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F4C0E"/>
    <w:pPr>
      <w:spacing w:after="100"/>
    </w:pPr>
  </w:style>
  <w:style w:type="paragraph" w:styleId="TOC2">
    <w:name w:val="toc 2"/>
    <w:basedOn w:val="Normal"/>
    <w:next w:val="Normal"/>
    <w:autoRedefine/>
    <w:uiPriority w:val="39"/>
    <w:unhideWhenUsed/>
    <w:rsid w:val="008F4C0E"/>
    <w:pPr>
      <w:spacing w:after="100"/>
      <w:ind w:left="240"/>
    </w:pPr>
  </w:style>
  <w:style w:type="character" w:styleId="Hyperlink">
    <w:name w:val="Hyperlink"/>
    <w:basedOn w:val="DefaultParagraphFont"/>
    <w:uiPriority w:val="99"/>
    <w:unhideWhenUsed/>
    <w:rsid w:val="008F4C0E"/>
    <w:rPr>
      <w:color w:val="0563C1" w:themeColor="hyperlink"/>
      <w:u w:val="single"/>
    </w:rPr>
  </w:style>
  <w:style w:type="table" w:styleId="TableGrid">
    <w:name w:val="Table Grid"/>
    <w:basedOn w:val="TableNormal"/>
    <w:uiPriority w:val="39"/>
    <w:rsid w:val="00556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343E"/>
    <w:pPr>
      <w:tabs>
        <w:tab w:val="center" w:pos="4680"/>
        <w:tab w:val="right" w:pos="9360"/>
      </w:tabs>
      <w:spacing w:line="240" w:lineRule="auto"/>
    </w:pPr>
  </w:style>
  <w:style w:type="character" w:customStyle="1" w:styleId="HeaderChar">
    <w:name w:val="Header Char"/>
    <w:basedOn w:val="DefaultParagraphFont"/>
    <w:link w:val="Header"/>
    <w:uiPriority w:val="99"/>
    <w:rsid w:val="00AE343E"/>
    <w:rPr>
      <w:rFonts w:ascii="Times New Roman" w:hAnsi="Times New Roman" w:cs="Times New Roman"/>
      <w:sz w:val="24"/>
      <w:szCs w:val="24"/>
    </w:rPr>
  </w:style>
  <w:style w:type="paragraph" w:styleId="Footer">
    <w:name w:val="footer"/>
    <w:basedOn w:val="Normal"/>
    <w:link w:val="FooterChar"/>
    <w:uiPriority w:val="99"/>
    <w:unhideWhenUsed/>
    <w:rsid w:val="00AE343E"/>
    <w:pPr>
      <w:tabs>
        <w:tab w:val="center" w:pos="4680"/>
        <w:tab w:val="right" w:pos="9360"/>
      </w:tabs>
      <w:spacing w:line="240" w:lineRule="auto"/>
    </w:pPr>
  </w:style>
  <w:style w:type="character" w:customStyle="1" w:styleId="FooterChar">
    <w:name w:val="Footer Char"/>
    <w:basedOn w:val="DefaultParagraphFont"/>
    <w:link w:val="Footer"/>
    <w:uiPriority w:val="99"/>
    <w:rsid w:val="00AE343E"/>
    <w:rPr>
      <w:rFonts w:ascii="Times New Roman" w:hAnsi="Times New Roman" w:cs="Times New Roman"/>
      <w:sz w:val="24"/>
      <w:szCs w:val="24"/>
    </w:rPr>
  </w:style>
  <w:style w:type="character" w:customStyle="1" w:styleId="mw-headline">
    <w:name w:val="mw-headline"/>
    <w:basedOn w:val="DefaultParagraphFont"/>
    <w:rsid w:val="00CC6D0B"/>
  </w:style>
  <w:style w:type="paragraph" w:styleId="NormalWeb">
    <w:name w:val="Normal (Web)"/>
    <w:basedOn w:val="Normal"/>
    <w:uiPriority w:val="99"/>
    <w:unhideWhenUsed/>
    <w:rsid w:val="00CC6D0B"/>
    <w:pPr>
      <w:spacing w:before="100" w:beforeAutospacing="1" w:after="100" w:afterAutospacing="1" w:line="240" w:lineRule="auto"/>
      <w:jc w:val="left"/>
    </w:pPr>
    <w:rPr>
      <w:lang w:val="en-GB" w:eastAsia="en-GB"/>
    </w:rPr>
  </w:style>
  <w:style w:type="paragraph" w:styleId="ListParagraph">
    <w:name w:val="List Paragraph"/>
    <w:basedOn w:val="Normal"/>
    <w:uiPriority w:val="34"/>
    <w:qFormat/>
    <w:rsid w:val="00CB6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79061">
      <w:bodyDiv w:val="1"/>
      <w:marLeft w:val="0"/>
      <w:marRight w:val="0"/>
      <w:marTop w:val="0"/>
      <w:marBottom w:val="0"/>
      <w:divBdr>
        <w:top w:val="none" w:sz="0" w:space="0" w:color="auto"/>
        <w:left w:val="none" w:sz="0" w:space="0" w:color="auto"/>
        <w:bottom w:val="none" w:sz="0" w:space="0" w:color="auto"/>
        <w:right w:val="none" w:sz="0" w:space="0" w:color="auto"/>
      </w:divBdr>
    </w:div>
    <w:div w:id="55054017">
      <w:bodyDiv w:val="1"/>
      <w:marLeft w:val="0"/>
      <w:marRight w:val="0"/>
      <w:marTop w:val="0"/>
      <w:marBottom w:val="0"/>
      <w:divBdr>
        <w:top w:val="none" w:sz="0" w:space="0" w:color="auto"/>
        <w:left w:val="none" w:sz="0" w:space="0" w:color="auto"/>
        <w:bottom w:val="none" w:sz="0" w:space="0" w:color="auto"/>
        <w:right w:val="none" w:sz="0" w:space="0" w:color="auto"/>
      </w:divBdr>
    </w:div>
    <w:div w:id="66656705">
      <w:bodyDiv w:val="1"/>
      <w:marLeft w:val="0"/>
      <w:marRight w:val="0"/>
      <w:marTop w:val="0"/>
      <w:marBottom w:val="0"/>
      <w:divBdr>
        <w:top w:val="none" w:sz="0" w:space="0" w:color="auto"/>
        <w:left w:val="none" w:sz="0" w:space="0" w:color="auto"/>
        <w:bottom w:val="none" w:sz="0" w:space="0" w:color="auto"/>
        <w:right w:val="none" w:sz="0" w:space="0" w:color="auto"/>
      </w:divBdr>
    </w:div>
    <w:div w:id="181171324">
      <w:bodyDiv w:val="1"/>
      <w:marLeft w:val="0"/>
      <w:marRight w:val="0"/>
      <w:marTop w:val="0"/>
      <w:marBottom w:val="0"/>
      <w:divBdr>
        <w:top w:val="none" w:sz="0" w:space="0" w:color="auto"/>
        <w:left w:val="none" w:sz="0" w:space="0" w:color="auto"/>
        <w:bottom w:val="none" w:sz="0" w:space="0" w:color="auto"/>
        <w:right w:val="none" w:sz="0" w:space="0" w:color="auto"/>
      </w:divBdr>
    </w:div>
    <w:div w:id="246350905">
      <w:bodyDiv w:val="1"/>
      <w:marLeft w:val="0"/>
      <w:marRight w:val="0"/>
      <w:marTop w:val="0"/>
      <w:marBottom w:val="0"/>
      <w:divBdr>
        <w:top w:val="none" w:sz="0" w:space="0" w:color="auto"/>
        <w:left w:val="none" w:sz="0" w:space="0" w:color="auto"/>
        <w:bottom w:val="none" w:sz="0" w:space="0" w:color="auto"/>
        <w:right w:val="none" w:sz="0" w:space="0" w:color="auto"/>
      </w:divBdr>
    </w:div>
    <w:div w:id="666325991">
      <w:bodyDiv w:val="1"/>
      <w:marLeft w:val="0"/>
      <w:marRight w:val="0"/>
      <w:marTop w:val="0"/>
      <w:marBottom w:val="0"/>
      <w:divBdr>
        <w:top w:val="none" w:sz="0" w:space="0" w:color="auto"/>
        <w:left w:val="none" w:sz="0" w:space="0" w:color="auto"/>
        <w:bottom w:val="none" w:sz="0" w:space="0" w:color="auto"/>
        <w:right w:val="none" w:sz="0" w:space="0" w:color="auto"/>
      </w:divBdr>
    </w:div>
    <w:div w:id="909847460">
      <w:bodyDiv w:val="1"/>
      <w:marLeft w:val="0"/>
      <w:marRight w:val="0"/>
      <w:marTop w:val="0"/>
      <w:marBottom w:val="0"/>
      <w:divBdr>
        <w:top w:val="none" w:sz="0" w:space="0" w:color="auto"/>
        <w:left w:val="none" w:sz="0" w:space="0" w:color="auto"/>
        <w:bottom w:val="none" w:sz="0" w:space="0" w:color="auto"/>
        <w:right w:val="none" w:sz="0" w:space="0" w:color="auto"/>
      </w:divBdr>
    </w:div>
    <w:div w:id="1043795693">
      <w:bodyDiv w:val="1"/>
      <w:marLeft w:val="0"/>
      <w:marRight w:val="0"/>
      <w:marTop w:val="0"/>
      <w:marBottom w:val="0"/>
      <w:divBdr>
        <w:top w:val="none" w:sz="0" w:space="0" w:color="auto"/>
        <w:left w:val="none" w:sz="0" w:space="0" w:color="auto"/>
        <w:bottom w:val="none" w:sz="0" w:space="0" w:color="auto"/>
        <w:right w:val="none" w:sz="0" w:space="0" w:color="auto"/>
      </w:divBdr>
    </w:div>
    <w:div w:id="1083600870">
      <w:bodyDiv w:val="1"/>
      <w:marLeft w:val="0"/>
      <w:marRight w:val="0"/>
      <w:marTop w:val="0"/>
      <w:marBottom w:val="0"/>
      <w:divBdr>
        <w:top w:val="none" w:sz="0" w:space="0" w:color="auto"/>
        <w:left w:val="none" w:sz="0" w:space="0" w:color="auto"/>
        <w:bottom w:val="none" w:sz="0" w:space="0" w:color="auto"/>
        <w:right w:val="none" w:sz="0" w:space="0" w:color="auto"/>
      </w:divBdr>
    </w:div>
    <w:div w:id="1196386277">
      <w:bodyDiv w:val="1"/>
      <w:marLeft w:val="0"/>
      <w:marRight w:val="0"/>
      <w:marTop w:val="0"/>
      <w:marBottom w:val="0"/>
      <w:divBdr>
        <w:top w:val="none" w:sz="0" w:space="0" w:color="auto"/>
        <w:left w:val="none" w:sz="0" w:space="0" w:color="auto"/>
        <w:bottom w:val="none" w:sz="0" w:space="0" w:color="auto"/>
        <w:right w:val="none" w:sz="0" w:space="0" w:color="auto"/>
      </w:divBdr>
    </w:div>
    <w:div w:id="1296177356">
      <w:bodyDiv w:val="1"/>
      <w:marLeft w:val="0"/>
      <w:marRight w:val="0"/>
      <w:marTop w:val="0"/>
      <w:marBottom w:val="0"/>
      <w:divBdr>
        <w:top w:val="none" w:sz="0" w:space="0" w:color="auto"/>
        <w:left w:val="none" w:sz="0" w:space="0" w:color="auto"/>
        <w:bottom w:val="none" w:sz="0" w:space="0" w:color="auto"/>
        <w:right w:val="none" w:sz="0" w:space="0" w:color="auto"/>
      </w:divBdr>
    </w:div>
    <w:div w:id="1374496922">
      <w:bodyDiv w:val="1"/>
      <w:marLeft w:val="0"/>
      <w:marRight w:val="0"/>
      <w:marTop w:val="0"/>
      <w:marBottom w:val="0"/>
      <w:divBdr>
        <w:top w:val="none" w:sz="0" w:space="0" w:color="auto"/>
        <w:left w:val="none" w:sz="0" w:space="0" w:color="auto"/>
        <w:bottom w:val="none" w:sz="0" w:space="0" w:color="auto"/>
        <w:right w:val="none" w:sz="0" w:space="0" w:color="auto"/>
      </w:divBdr>
    </w:div>
    <w:div w:id="1632638290">
      <w:bodyDiv w:val="1"/>
      <w:marLeft w:val="0"/>
      <w:marRight w:val="0"/>
      <w:marTop w:val="0"/>
      <w:marBottom w:val="0"/>
      <w:divBdr>
        <w:top w:val="none" w:sz="0" w:space="0" w:color="auto"/>
        <w:left w:val="none" w:sz="0" w:space="0" w:color="auto"/>
        <w:bottom w:val="none" w:sz="0" w:space="0" w:color="auto"/>
        <w:right w:val="none" w:sz="0" w:space="0" w:color="auto"/>
      </w:divBdr>
    </w:div>
    <w:div w:id="1660695096">
      <w:bodyDiv w:val="1"/>
      <w:marLeft w:val="0"/>
      <w:marRight w:val="0"/>
      <w:marTop w:val="0"/>
      <w:marBottom w:val="0"/>
      <w:divBdr>
        <w:top w:val="none" w:sz="0" w:space="0" w:color="auto"/>
        <w:left w:val="none" w:sz="0" w:space="0" w:color="auto"/>
        <w:bottom w:val="none" w:sz="0" w:space="0" w:color="auto"/>
        <w:right w:val="none" w:sz="0" w:space="0" w:color="auto"/>
      </w:divBdr>
    </w:div>
    <w:div w:id="1698039696">
      <w:bodyDiv w:val="1"/>
      <w:marLeft w:val="0"/>
      <w:marRight w:val="0"/>
      <w:marTop w:val="0"/>
      <w:marBottom w:val="0"/>
      <w:divBdr>
        <w:top w:val="none" w:sz="0" w:space="0" w:color="auto"/>
        <w:left w:val="none" w:sz="0" w:space="0" w:color="auto"/>
        <w:bottom w:val="none" w:sz="0" w:space="0" w:color="auto"/>
        <w:right w:val="none" w:sz="0" w:space="0" w:color="auto"/>
      </w:divBdr>
    </w:div>
    <w:div w:id="1754013496">
      <w:bodyDiv w:val="1"/>
      <w:marLeft w:val="0"/>
      <w:marRight w:val="0"/>
      <w:marTop w:val="0"/>
      <w:marBottom w:val="0"/>
      <w:divBdr>
        <w:top w:val="none" w:sz="0" w:space="0" w:color="auto"/>
        <w:left w:val="none" w:sz="0" w:space="0" w:color="auto"/>
        <w:bottom w:val="none" w:sz="0" w:space="0" w:color="auto"/>
        <w:right w:val="none" w:sz="0" w:space="0" w:color="auto"/>
      </w:divBdr>
    </w:div>
    <w:div w:id="182743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4D2FD-BB11-460C-BB33-2EB8E8D5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2024-05-05T18:55:00Z</dcterms:created>
  <dcterms:modified xsi:type="dcterms:W3CDTF">2024-05-09T09:00:00Z</dcterms:modified>
</cp:coreProperties>
</file>