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EE28C" w14:textId="63FDC35F" w:rsidR="00A045F0" w:rsidRDefault="00A43CF4" w:rsidP="00A045F0">
      <w:r>
        <w:rPr>
          <w:noProof/>
        </w:rPr>
        <w:drawing>
          <wp:anchor distT="0" distB="0" distL="114300" distR="114300" simplePos="0" relativeHeight="251658240" behindDoc="1" locked="0" layoutInCell="1" allowOverlap="1" wp14:anchorId="193CF5E5" wp14:editId="7D7B1BD4">
            <wp:simplePos x="0" y="0"/>
            <wp:positionH relativeFrom="margin">
              <wp:align>center</wp:align>
            </wp:positionH>
            <wp:positionV relativeFrom="paragraph">
              <wp:posOffset>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6EABAFE8" w14:textId="73240E38" w:rsidR="00A045F0" w:rsidRDefault="00A045F0" w:rsidP="00A045F0"/>
    <w:p w14:paraId="464C5BEB" w14:textId="77777777" w:rsidR="00A045F0" w:rsidRDefault="00A045F0" w:rsidP="00A045F0"/>
    <w:p w14:paraId="0703BEF0" w14:textId="77777777" w:rsidR="00EB3824" w:rsidRDefault="00EB3824" w:rsidP="00A045F0"/>
    <w:p w14:paraId="3C68B9E1" w14:textId="77777777" w:rsidR="00EB3824" w:rsidRDefault="00EB3824" w:rsidP="00A045F0"/>
    <w:p w14:paraId="28A7415B" w14:textId="77777777" w:rsidR="00EB3824" w:rsidRDefault="00EB3824" w:rsidP="00A045F0"/>
    <w:p w14:paraId="44D37D44" w14:textId="77777777" w:rsidR="00EB3824" w:rsidRDefault="00EB3824" w:rsidP="00A045F0"/>
    <w:p w14:paraId="77DFD423" w14:textId="77777777" w:rsidR="004F037E" w:rsidRPr="004F037E" w:rsidRDefault="004F037E" w:rsidP="004F037E">
      <w:pPr>
        <w:rPr>
          <w:rFonts w:ascii="Arial" w:eastAsia="Arial Unicode MS" w:hAnsi="Arial" w:cs="Arial"/>
          <w:b/>
          <w:sz w:val="72"/>
          <w:szCs w:val="72"/>
        </w:rPr>
      </w:pPr>
    </w:p>
    <w:p w14:paraId="3A441A81" w14:textId="2E281946" w:rsidR="00942E1F" w:rsidRPr="004F037E" w:rsidRDefault="0090093A" w:rsidP="00856A33">
      <w:pPr>
        <w:jc w:val="center"/>
        <w:rPr>
          <w:rFonts w:eastAsia="Arial Unicode MS" w:cs="Arial"/>
          <w:b/>
          <w:sz w:val="72"/>
          <w:szCs w:val="72"/>
        </w:rPr>
      </w:pPr>
      <w:r w:rsidRPr="004F037E">
        <w:rPr>
          <w:rFonts w:eastAsia="Arial Unicode MS" w:cs="Arial"/>
          <w:b/>
          <w:sz w:val="72"/>
          <w:szCs w:val="72"/>
        </w:rPr>
        <w:t>BSc (Hons</w:t>
      </w:r>
      <w:r w:rsidR="003B38C7" w:rsidRPr="004F037E">
        <w:rPr>
          <w:rFonts w:eastAsia="Arial Unicode MS" w:cs="Arial"/>
          <w:b/>
          <w:sz w:val="72"/>
          <w:szCs w:val="72"/>
        </w:rPr>
        <w:t>) Health and Social Care</w:t>
      </w:r>
    </w:p>
    <w:p w14:paraId="7808E279" w14:textId="5A3C8418" w:rsidR="004F037E" w:rsidRDefault="004F037E" w:rsidP="004F037E">
      <w:pPr>
        <w:spacing w:before="120" w:after="120"/>
        <w:jc w:val="center"/>
        <w:rPr>
          <w:rFonts w:ascii="Arial" w:hAnsi="Arial" w:cs="Arial"/>
          <w:b/>
          <w:bCs/>
          <w:sz w:val="44"/>
          <w:szCs w:val="44"/>
        </w:rPr>
      </w:pPr>
      <w:r w:rsidRPr="00A37F87">
        <w:rPr>
          <w:rFonts w:ascii="Arial" w:hAnsi="Arial" w:cs="Arial"/>
          <w:b/>
          <w:bCs/>
          <w:sz w:val="44"/>
          <w:szCs w:val="44"/>
        </w:rPr>
        <w:t>BMHP6030: Health, Wellbeing and Sustainable Development</w:t>
      </w:r>
    </w:p>
    <w:p w14:paraId="3116093E" w14:textId="77777777" w:rsidR="00336597" w:rsidRDefault="00336597" w:rsidP="004F037E">
      <w:pPr>
        <w:spacing w:before="120" w:after="120"/>
        <w:jc w:val="center"/>
        <w:rPr>
          <w:rFonts w:ascii="Arial" w:hAnsi="Arial" w:cs="Arial"/>
          <w:b/>
          <w:bCs/>
          <w:sz w:val="44"/>
          <w:szCs w:val="44"/>
        </w:rPr>
      </w:pPr>
    </w:p>
    <w:p w14:paraId="40A98F61" w14:textId="77777777" w:rsidR="00336597" w:rsidRPr="00A37F87" w:rsidRDefault="00336597" w:rsidP="004F037E">
      <w:pPr>
        <w:spacing w:before="120" w:after="120"/>
        <w:jc w:val="center"/>
        <w:rPr>
          <w:rFonts w:ascii="Arial" w:hAnsi="Arial" w:cs="Arial"/>
          <w:b/>
          <w:bCs/>
          <w:sz w:val="44"/>
          <w:szCs w:val="44"/>
        </w:rPr>
      </w:pPr>
    </w:p>
    <w:p w14:paraId="2DEF20D3" w14:textId="57680BA6" w:rsidR="00942E1F" w:rsidRDefault="00942E1F" w:rsidP="004F037E">
      <w:pPr>
        <w:spacing w:before="120" w:after="120"/>
        <w:jc w:val="center"/>
        <w:rPr>
          <w:rFonts w:ascii="Arial" w:hAnsi="Arial" w:cs="Arial"/>
          <w:b/>
          <w:bCs/>
          <w:sz w:val="36"/>
          <w:szCs w:val="36"/>
        </w:rPr>
      </w:pPr>
      <w:r w:rsidRPr="00856A33">
        <w:rPr>
          <w:rFonts w:ascii="Arial" w:hAnsi="Arial" w:cs="Arial"/>
          <w:b/>
          <w:bCs/>
          <w:sz w:val="36"/>
          <w:szCs w:val="36"/>
        </w:rPr>
        <w:t>Component 2: Written Assignment (Report)</w:t>
      </w:r>
    </w:p>
    <w:p w14:paraId="57B3E957" w14:textId="77777777" w:rsidR="00336597" w:rsidRPr="00856A33" w:rsidRDefault="00336597" w:rsidP="004F037E">
      <w:pPr>
        <w:spacing w:before="120" w:after="120"/>
        <w:jc w:val="center"/>
        <w:rPr>
          <w:rFonts w:ascii="Arial" w:hAnsi="Arial" w:cs="Arial"/>
          <w:b/>
          <w:sz w:val="36"/>
          <w:szCs w:val="36"/>
        </w:rPr>
      </w:pPr>
    </w:p>
    <w:p w14:paraId="2BB6546D" w14:textId="092E3574" w:rsidR="00336597" w:rsidRPr="00856A33" w:rsidRDefault="004F037E" w:rsidP="00336597">
      <w:pPr>
        <w:jc w:val="center"/>
        <w:rPr>
          <w:rFonts w:eastAsia="Times New Roman" w:cs="Times New Roman"/>
          <w:b/>
          <w:bCs/>
          <w:sz w:val="40"/>
          <w:szCs w:val="40"/>
        </w:rPr>
      </w:pPr>
      <w:r w:rsidRPr="00856A33">
        <w:rPr>
          <w:rFonts w:eastAsia="Times New Roman" w:cs="Times New Roman"/>
          <w:b/>
          <w:bCs/>
          <w:sz w:val="40"/>
          <w:szCs w:val="40"/>
        </w:rPr>
        <w:t>Sana Ahmed</w:t>
      </w:r>
    </w:p>
    <w:p w14:paraId="16CA848A" w14:textId="2F1516F3" w:rsidR="00EB3824" w:rsidRDefault="003F63D4" w:rsidP="003F63D4">
      <w:pPr>
        <w:jc w:val="center"/>
        <w:rPr>
          <w:rFonts w:eastAsia="Times New Roman" w:cs="Times New Roman"/>
          <w:b/>
          <w:bCs/>
          <w:sz w:val="40"/>
          <w:szCs w:val="40"/>
        </w:rPr>
      </w:pPr>
      <w:r>
        <w:rPr>
          <w:rFonts w:eastAsia="Times New Roman" w:cs="Times New Roman"/>
          <w:b/>
          <w:bCs/>
          <w:sz w:val="40"/>
          <w:szCs w:val="40"/>
        </w:rPr>
        <w:t>2314455</w:t>
      </w:r>
    </w:p>
    <w:p w14:paraId="641B5932" w14:textId="77777777" w:rsidR="003F63D4" w:rsidRDefault="003F63D4" w:rsidP="003F63D4">
      <w:pPr>
        <w:rPr>
          <w:rFonts w:eastAsia="Times New Roman" w:cs="Times New Roman"/>
          <w:b/>
          <w:bCs/>
          <w:sz w:val="40"/>
          <w:szCs w:val="40"/>
        </w:rPr>
      </w:pPr>
    </w:p>
    <w:p w14:paraId="2A3593F0" w14:textId="77777777" w:rsidR="003F63D4" w:rsidRDefault="003F63D4" w:rsidP="003F63D4">
      <w:pPr>
        <w:rPr>
          <w:rFonts w:eastAsia="Times New Roman" w:cs="Times New Roman"/>
          <w:b/>
          <w:bCs/>
          <w:sz w:val="40"/>
          <w:szCs w:val="40"/>
        </w:rPr>
      </w:pPr>
    </w:p>
    <w:sdt>
      <w:sdtPr>
        <w:rPr>
          <w:rFonts w:asciiTheme="minorHAnsi" w:eastAsiaTheme="minorHAnsi" w:hAnsiTheme="minorHAnsi" w:cstheme="minorBidi"/>
          <w:color w:val="auto"/>
          <w:kern w:val="2"/>
          <w:sz w:val="24"/>
          <w:szCs w:val="24"/>
          <w:lang w:eastAsia="en-US"/>
          <w14:ligatures w14:val="standardContextual"/>
        </w:rPr>
        <w:id w:val="2071539159"/>
        <w:docPartObj>
          <w:docPartGallery w:val="Table of Contents"/>
          <w:docPartUnique/>
        </w:docPartObj>
      </w:sdtPr>
      <w:sdtEndPr>
        <w:rPr>
          <w:b/>
          <w:bCs/>
        </w:rPr>
      </w:sdtEndPr>
      <w:sdtContent>
        <w:p w14:paraId="30421516" w14:textId="37C28D8C" w:rsidR="003F63D4" w:rsidRDefault="003F63D4">
          <w:pPr>
            <w:pStyle w:val="TOCHeading"/>
          </w:pPr>
          <w:r>
            <w:t>Table of Contents</w:t>
          </w:r>
        </w:p>
        <w:p w14:paraId="657D796D" w14:textId="2F3A528B" w:rsidR="0045127B" w:rsidRDefault="003F63D4">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4522570" w:history="1">
            <w:r w:rsidR="0045127B" w:rsidRPr="001B7E8C">
              <w:rPr>
                <w:rStyle w:val="Hyperlink"/>
                <w:rFonts w:ascii="Arial" w:hAnsi="Arial" w:cs="Arial"/>
                <w:noProof/>
              </w:rPr>
              <w:t>Introduction</w:t>
            </w:r>
            <w:r w:rsidR="0045127B">
              <w:rPr>
                <w:noProof/>
                <w:webHidden/>
              </w:rPr>
              <w:tab/>
            </w:r>
            <w:r w:rsidR="0045127B">
              <w:rPr>
                <w:noProof/>
                <w:webHidden/>
              </w:rPr>
              <w:fldChar w:fldCharType="begin"/>
            </w:r>
            <w:r w:rsidR="0045127B">
              <w:rPr>
                <w:noProof/>
                <w:webHidden/>
              </w:rPr>
              <w:instrText xml:space="preserve"> PAGEREF _Toc234522570 \h </w:instrText>
            </w:r>
            <w:r w:rsidR="0045127B">
              <w:rPr>
                <w:noProof/>
                <w:webHidden/>
              </w:rPr>
            </w:r>
            <w:r w:rsidR="0045127B">
              <w:rPr>
                <w:noProof/>
                <w:webHidden/>
              </w:rPr>
              <w:fldChar w:fldCharType="separate"/>
            </w:r>
            <w:r w:rsidR="0045127B">
              <w:rPr>
                <w:noProof/>
                <w:webHidden/>
              </w:rPr>
              <w:t>3</w:t>
            </w:r>
            <w:r w:rsidR="0045127B">
              <w:rPr>
                <w:noProof/>
                <w:webHidden/>
              </w:rPr>
              <w:fldChar w:fldCharType="end"/>
            </w:r>
          </w:hyperlink>
        </w:p>
        <w:p w14:paraId="19A840D6" w14:textId="4647DAE2" w:rsidR="0045127B" w:rsidRDefault="0045127B">
          <w:pPr>
            <w:pStyle w:val="TOC2"/>
            <w:tabs>
              <w:tab w:val="right" w:leader="dot" w:pos="9016"/>
            </w:tabs>
            <w:rPr>
              <w:rFonts w:eastAsiaTheme="minorEastAsia"/>
              <w:noProof/>
              <w:lang w:eastAsia="en-GB"/>
            </w:rPr>
          </w:pPr>
          <w:hyperlink w:anchor="_Toc234522571" w:history="1">
            <w:r w:rsidRPr="001B7E8C">
              <w:rPr>
                <w:rStyle w:val="Hyperlink"/>
                <w:rFonts w:ascii="Arial" w:hAnsi="Arial" w:cs="Arial"/>
                <w:noProof/>
              </w:rPr>
              <w:t>Section 1: Overview of Sustainable Development Goal 3: Good Health and Well-being</w:t>
            </w:r>
            <w:r>
              <w:rPr>
                <w:noProof/>
                <w:webHidden/>
              </w:rPr>
              <w:tab/>
            </w:r>
            <w:r>
              <w:rPr>
                <w:noProof/>
                <w:webHidden/>
              </w:rPr>
              <w:fldChar w:fldCharType="begin"/>
            </w:r>
            <w:r>
              <w:rPr>
                <w:noProof/>
                <w:webHidden/>
              </w:rPr>
              <w:instrText xml:space="preserve"> PAGEREF _Toc234522571 \h </w:instrText>
            </w:r>
            <w:r>
              <w:rPr>
                <w:noProof/>
                <w:webHidden/>
              </w:rPr>
            </w:r>
            <w:r>
              <w:rPr>
                <w:noProof/>
                <w:webHidden/>
              </w:rPr>
              <w:fldChar w:fldCharType="separate"/>
            </w:r>
            <w:r>
              <w:rPr>
                <w:noProof/>
                <w:webHidden/>
              </w:rPr>
              <w:t>3</w:t>
            </w:r>
            <w:r>
              <w:rPr>
                <w:noProof/>
                <w:webHidden/>
              </w:rPr>
              <w:fldChar w:fldCharType="end"/>
            </w:r>
          </w:hyperlink>
        </w:p>
        <w:p w14:paraId="66CC1D58" w14:textId="4859AF1F" w:rsidR="0045127B" w:rsidRDefault="0045127B">
          <w:pPr>
            <w:pStyle w:val="TOC3"/>
            <w:tabs>
              <w:tab w:val="right" w:leader="dot" w:pos="9016"/>
            </w:tabs>
            <w:rPr>
              <w:rFonts w:eastAsiaTheme="minorEastAsia"/>
              <w:noProof/>
              <w:lang w:eastAsia="en-GB"/>
            </w:rPr>
          </w:pPr>
          <w:hyperlink w:anchor="_Toc234522572" w:history="1">
            <w:r w:rsidRPr="001B7E8C">
              <w:rPr>
                <w:rStyle w:val="Hyperlink"/>
                <w:rFonts w:ascii="Arial" w:hAnsi="Arial" w:cs="Arial"/>
                <w:noProof/>
              </w:rPr>
              <w:t>1.1 Critical Evaluation of Global Policies and Initiatives</w:t>
            </w:r>
            <w:r>
              <w:rPr>
                <w:noProof/>
                <w:webHidden/>
              </w:rPr>
              <w:tab/>
            </w:r>
            <w:r>
              <w:rPr>
                <w:noProof/>
                <w:webHidden/>
              </w:rPr>
              <w:fldChar w:fldCharType="begin"/>
            </w:r>
            <w:r>
              <w:rPr>
                <w:noProof/>
                <w:webHidden/>
              </w:rPr>
              <w:instrText xml:space="preserve"> PAGEREF _Toc234522572 \h </w:instrText>
            </w:r>
            <w:r>
              <w:rPr>
                <w:noProof/>
                <w:webHidden/>
              </w:rPr>
            </w:r>
            <w:r>
              <w:rPr>
                <w:noProof/>
                <w:webHidden/>
              </w:rPr>
              <w:fldChar w:fldCharType="separate"/>
            </w:r>
            <w:r>
              <w:rPr>
                <w:noProof/>
                <w:webHidden/>
              </w:rPr>
              <w:t>3</w:t>
            </w:r>
            <w:r>
              <w:rPr>
                <w:noProof/>
                <w:webHidden/>
              </w:rPr>
              <w:fldChar w:fldCharType="end"/>
            </w:r>
          </w:hyperlink>
        </w:p>
        <w:p w14:paraId="3F8E9D5F" w14:textId="20CBEB22" w:rsidR="0045127B" w:rsidRDefault="0045127B">
          <w:pPr>
            <w:pStyle w:val="TOC3"/>
            <w:tabs>
              <w:tab w:val="right" w:leader="dot" w:pos="9016"/>
            </w:tabs>
            <w:rPr>
              <w:rFonts w:eastAsiaTheme="minorEastAsia"/>
              <w:noProof/>
              <w:lang w:eastAsia="en-GB"/>
            </w:rPr>
          </w:pPr>
          <w:hyperlink w:anchor="_Toc234522573" w:history="1">
            <w:r w:rsidRPr="001B7E8C">
              <w:rPr>
                <w:rStyle w:val="Hyperlink"/>
                <w:rFonts w:ascii="Arial" w:hAnsi="Arial" w:cs="Arial"/>
                <w:noProof/>
              </w:rPr>
              <w:t>1.2 Critical Evaluation of National and Local Policies and Initiatives</w:t>
            </w:r>
            <w:r>
              <w:rPr>
                <w:noProof/>
                <w:webHidden/>
              </w:rPr>
              <w:tab/>
            </w:r>
            <w:r>
              <w:rPr>
                <w:noProof/>
                <w:webHidden/>
              </w:rPr>
              <w:fldChar w:fldCharType="begin"/>
            </w:r>
            <w:r>
              <w:rPr>
                <w:noProof/>
                <w:webHidden/>
              </w:rPr>
              <w:instrText xml:space="preserve"> PAGEREF _Toc234522573 \h </w:instrText>
            </w:r>
            <w:r>
              <w:rPr>
                <w:noProof/>
                <w:webHidden/>
              </w:rPr>
            </w:r>
            <w:r>
              <w:rPr>
                <w:noProof/>
                <w:webHidden/>
              </w:rPr>
              <w:fldChar w:fldCharType="separate"/>
            </w:r>
            <w:r>
              <w:rPr>
                <w:noProof/>
                <w:webHidden/>
              </w:rPr>
              <w:t>4</w:t>
            </w:r>
            <w:r>
              <w:rPr>
                <w:noProof/>
                <w:webHidden/>
              </w:rPr>
              <w:fldChar w:fldCharType="end"/>
            </w:r>
          </w:hyperlink>
        </w:p>
        <w:p w14:paraId="5D382EA2" w14:textId="3A8D2894" w:rsidR="0045127B" w:rsidRDefault="0045127B">
          <w:pPr>
            <w:pStyle w:val="TOC3"/>
            <w:tabs>
              <w:tab w:val="right" w:leader="dot" w:pos="9016"/>
            </w:tabs>
            <w:rPr>
              <w:rFonts w:eastAsiaTheme="minorEastAsia"/>
              <w:noProof/>
              <w:lang w:eastAsia="en-GB"/>
            </w:rPr>
          </w:pPr>
          <w:hyperlink w:anchor="_Toc234522574" w:history="1">
            <w:r w:rsidRPr="001B7E8C">
              <w:rPr>
                <w:rStyle w:val="Hyperlink"/>
                <w:rFonts w:ascii="Arial" w:hAnsi="Arial" w:cs="Arial"/>
                <w:noProof/>
              </w:rPr>
              <w:t>1.3 Recommendations</w:t>
            </w:r>
            <w:r>
              <w:rPr>
                <w:noProof/>
                <w:webHidden/>
              </w:rPr>
              <w:tab/>
            </w:r>
            <w:r>
              <w:rPr>
                <w:noProof/>
                <w:webHidden/>
              </w:rPr>
              <w:fldChar w:fldCharType="begin"/>
            </w:r>
            <w:r>
              <w:rPr>
                <w:noProof/>
                <w:webHidden/>
              </w:rPr>
              <w:instrText xml:space="preserve"> PAGEREF _Toc234522574 \h </w:instrText>
            </w:r>
            <w:r>
              <w:rPr>
                <w:noProof/>
                <w:webHidden/>
              </w:rPr>
            </w:r>
            <w:r>
              <w:rPr>
                <w:noProof/>
                <w:webHidden/>
              </w:rPr>
              <w:fldChar w:fldCharType="separate"/>
            </w:r>
            <w:r>
              <w:rPr>
                <w:noProof/>
                <w:webHidden/>
              </w:rPr>
              <w:t>5</w:t>
            </w:r>
            <w:r>
              <w:rPr>
                <w:noProof/>
                <w:webHidden/>
              </w:rPr>
              <w:fldChar w:fldCharType="end"/>
            </w:r>
          </w:hyperlink>
        </w:p>
        <w:p w14:paraId="4F61F6FC" w14:textId="316C3D2C" w:rsidR="0045127B" w:rsidRDefault="0045127B">
          <w:pPr>
            <w:pStyle w:val="TOC2"/>
            <w:tabs>
              <w:tab w:val="right" w:leader="dot" w:pos="9016"/>
            </w:tabs>
            <w:rPr>
              <w:rFonts w:eastAsiaTheme="minorEastAsia"/>
              <w:noProof/>
              <w:lang w:eastAsia="en-GB"/>
            </w:rPr>
          </w:pPr>
          <w:hyperlink w:anchor="_Toc234522575" w:history="1">
            <w:r w:rsidRPr="001B7E8C">
              <w:rPr>
                <w:rStyle w:val="Hyperlink"/>
                <w:rFonts w:ascii="Arial" w:hAnsi="Arial" w:cs="Arial"/>
                <w:noProof/>
              </w:rPr>
              <w:t>Section 2: Overview of Sustainable Development Goal 2: Zero Hunger</w:t>
            </w:r>
            <w:r>
              <w:rPr>
                <w:noProof/>
                <w:webHidden/>
              </w:rPr>
              <w:tab/>
            </w:r>
            <w:r>
              <w:rPr>
                <w:noProof/>
                <w:webHidden/>
              </w:rPr>
              <w:fldChar w:fldCharType="begin"/>
            </w:r>
            <w:r>
              <w:rPr>
                <w:noProof/>
                <w:webHidden/>
              </w:rPr>
              <w:instrText xml:space="preserve"> PAGEREF _Toc234522575 \h </w:instrText>
            </w:r>
            <w:r>
              <w:rPr>
                <w:noProof/>
                <w:webHidden/>
              </w:rPr>
            </w:r>
            <w:r>
              <w:rPr>
                <w:noProof/>
                <w:webHidden/>
              </w:rPr>
              <w:fldChar w:fldCharType="separate"/>
            </w:r>
            <w:r>
              <w:rPr>
                <w:noProof/>
                <w:webHidden/>
              </w:rPr>
              <w:t>5</w:t>
            </w:r>
            <w:r>
              <w:rPr>
                <w:noProof/>
                <w:webHidden/>
              </w:rPr>
              <w:fldChar w:fldCharType="end"/>
            </w:r>
          </w:hyperlink>
        </w:p>
        <w:p w14:paraId="7C4CFE3B" w14:textId="0B108478" w:rsidR="0045127B" w:rsidRDefault="0045127B">
          <w:pPr>
            <w:pStyle w:val="TOC3"/>
            <w:tabs>
              <w:tab w:val="right" w:leader="dot" w:pos="9016"/>
            </w:tabs>
            <w:rPr>
              <w:rFonts w:eastAsiaTheme="minorEastAsia"/>
              <w:noProof/>
              <w:lang w:eastAsia="en-GB"/>
            </w:rPr>
          </w:pPr>
          <w:hyperlink w:anchor="_Toc234522576" w:history="1">
            <w:r w:rsidRPr="001B7E8C">
              <w:rPr>
                <w:rStyle w:val="Hyperlink"/>
                <w:rFonts w:ascii="Arial" w:hAnsi="Arial" w:cs="Arial"/>
                <w:noProof/>
              </w:rPr>
              <w:t>2.1 Critical Evaluation of Global Policies and Initiatives</w:t>
            </w:r>
            <w:r>
              <w:rPr>
                <w:noProof/>
                <w:webHidden/>
              </w:rPr>
              <w:tab/>
            </w:r>
            <w:r>
              <w:rPr>
                <w:noProof/>
                <w:webHidden/>
              </w:rPr>
              <w:fldChar w:fldCharType="begin"/>
            </w:r>
            <w:r>
              <w:rPr>
                <w:noProof/>
                <w:webHidden/>
              </w:rPr>
              <w:instrText xml:space="preserve"> PAGEREF _Toc234522576 \h </w:instrText>
            </w:r>
            <w:r>
              <w:rPr>
                <w:noProof/>
                <w:webHidden/>
              </w:rPr>
            </w:r>
            <w:r>
              <w:rPr>
                <w:noProof/>
                <w:webHidden/>
              </w:rPr>
              <w:fldChar w:fldCharType="separate"/>
            </w:r>
            <w:r>
              <w:rPr>
                <w:noProof/>
                <w:webHidden/>
              </w:rPr>
              <w:t>6</w:t>
            </w:r>
            <w:r>
              <w:rPr>
                <w:noProof/>
                <w:webHidden/>
              </w:rPr>
              <w:fldChar w:fldCharType="end"/>
            </w:r>
          </w:hyperlink>
        </w:p>
        <w:p w14:paraId="30C211B9" w14:textId="629A6430" w:rsidR="0045127B" w:rsidRDefault="0045127B">
          <w:pPr>
            <w:pStyle w:val="TOC3"/>
            <w:tabs>
              <w:tab w:val="right" w:leader="dot" w:pos="9016"/>
            </w:tabs>
            <w:rPr>
              <w:rFonts w:eastAsiaTheme="minorEastAsia"/>
              <w:noProof/>
              <w:lang w:eastAsia="en-GB"/>
            </w:rPr>
          </w:pPr>
          <w:hyperlink w:anchor="_Toc234522577" w:history="1">
            <w:r w:rsidRPr="001B7E8C">
              <w:rPr>
                <w:rStyle w:val="Hyperlink"/>
                <w:rFonts w:ascii="Arial" w:hAnsi="Arial" w:cs="Arial"/>
                <w:noProof/>
              </w:rPr>
              <w:t>2.2 Critical Evaluation of National and Local Policies and Initiatives</w:t>
            </w:r>
            <w:r>
              <w:rPr>
                <w:noProof/>
                <w:webHidden/>
              </w:rPr>
              <w:tab/>
            </w:r>
            <w:r>
              <w:rPr>
                <w:noProof/>
                <w:webHidden/>
              </w:rPr>
              <w:fldChar w:fldCharType="begin"/>
            </w:r>
            <w:r>
              <w:rPr>
                <w:noProof/>
                <w:webHidden/>
              </w:rPr>
              <w:instrText xml:space="preserve"> PAGEREF _Toc234522577 \h </w:instrText>
            </w:r>
            <w:r>
              <w:rPr>
                <w:noProof/>
                <w:webHidden/>
              </w:rPr>
            </w:r>
            <w:r>
              <w:rPr>
                <w:noProof/>
                <w:webHidden/>
              </w:rPr>
              <w:fldChar w:fldCharType="separate"/>
            </w:r>
            <w:r>
              <w:rPr>
                <w:noProof/>
                <w:webHidden/>
              </w:rPr>
              <w:t>7</w:t>
            </w:r>
            <w:r>
              <w:rPr>
                <w:noProof/>
                <w:webHidden/>
              </w:rPr>
              <w:fldChar w:fldCharType="end"/>
            </w:r>
          </w:hyperlink>
        </w:p>
        <w:p w14:paraId="202EBC74" w14:textId="730A3F0B" w:rsidR="0045127B" w:rsidRDefault="0045127B">
          <w:pPr>
            <w:pStyle w:val="TOC3"/>
            <w:tabs>
              <w:tab w:val="right" w:leader="dot" w:pos="9016"/>
            </w:tabs>
            <w:rPr>
              <w:rFonts w:eastAsiaTheme="minorEastAsia"/>
              <w:noProof/>
              <w:lang w:eastAsia="en-GB"/>
            </w:rPr>
          </w:pPr>
          <w:hyperlink w:anchor="_Toc234522578" w:history="1">
            <w:r w:rsidRPr="001B7E8C">
              <w:rPr>
                <w:rStyle w:val="Hyperlink"/>
                <w:rFonts w:ascii="Arial" w:hAnsi="Arial" w:cs="Arial"/>
                <w:noProof/>
              </w:rPr>
              <w:t>2.3 Recommendations</w:t>
            </w:r>
            <w:r>
              <w:rPr>
                <w:noProof/>
                <w:webHidden/>
              </w:rPr>
              <w:tab/>
            </w:r>
            <w:r>
              <w:rPr>
                <w:noProof/>
                <w:webHidden/>
              </w:rPr>
              <w:fldChar w:fldCharType="begin"/>
            </w:r>
            <w:r>
              <w:rPr>
                <w:noProof/>
                <w:webHidden/>
              </w:rPr>
              <w:instrText xml:space="preserve"> PAGEREF _Toc234522578 \h </w:instrText>
            </w:r>
            <w:r>
              <w:rPr>
                <w:noProof/>
                <w:webHidden/>
              </w:rPr>
            </w:r>
            <w:r>
              <w:rPr>
                <w:noProof/>
                <w:webHidden/>
              </w:rPr>
              <w:fldChar w:fldCharType="separate"/>
            </w:r>
            <w:r>
              <w:rPr>
                <w:noProof/>
                <w:webHidden/>
              </w:rPr>
              <w:t>7</w:t>
            </w:r>
            <w:r>
              <w:rPr>
                <w:noProof/>
                <w:webHidden/>
              </w:rPr>
              <w:fldChar w:fldCharType="end"/>
            </w:r>
          </w:hyperlink>
        </w:p>
        <w:p w14:paraId="3C00643D" w14:textId="7C88AA16" w:rsidR="0045127B" w:rsidRDefault="0045127B">
          <w:pPr>
            <w:pStyle w:val="TOC2"/>
            <w:tabs>
              <w:tab w:val="right" w:leader="dot" w:pos="9016"/>
            </w:tabs>
            <w:rPr>
              <w:rFonts w:eastAsiaTheme="minorEastAsia"/>
              <w:noProof/>
              <w:lang w:eastAsia="en-GB"/>
            </w:rPr>
          </w:pPr>
          <w:hyperlink w:anchor="_Toc234522579" w:history="1">
            <w:r w:rsidRPr="001B7E8C">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_Toc234522579 \h </w:instrText>
            </w:r>
            <w:r>
              <w:rPr>
                <w:noProof/>
                <w:webHidden/>
              </w:rPr>
            </w:r>
            <w:r>
              <w:rPr>
                <w:noProof/>
                <w:webHidden/>
              </w:rPr>
              <w:fldChar w:fldCharType="separate"/>
            </w:r>
            <w:r>
              <w:rPr>
                <w:noProof/>
                <w:webHidden/>
              </w:rPr>
              <w:t>8</w:t>
            </w:r>
            <w:r>
              <w:rPr>
                <w:noProof/>
                <w:webHidden/>
              </w:rPr>
              <w:fldChar w:fldCharType="end"/>
            </w:r>
          </w:hyperlink>
        </w:p>
        <w:p w14:paraId="7612578A" w14:textId="5E6DA208" w:rsidR="0045127B" w:rsidRDefault="0045127B">
          <w:pPr>
            <w:pStyle w:val="TOC2"/>
            <w:tabs>
              <w:tab w:val="right" w:leader="dot" w:pos="9016"/>
            </w:tabs>
            <w:rPr>
              <w:rFonts w:eastAsiaTheme="minorEastAsia"/>
              <w:noProof/>
              <w:lang w:eastAsia="en-GB"/>
            </w:rPr>
          </w:pPr>
          <w:hyperlink w:anchor="_Toc234522580" w:history="1">
            <w:r w:rsidRPr="001B7E8C">
              <w:rPr>
                <w:rStyle w:val="Hyperlink"/>
                <w:rFonts w:asciiTheme="minorBidi" w:hAnsiTheme="minorBidi"/>
                <w:noProof/>
              </w:rPr>
              <w:t>References</w:t>
            </w:r>
            <w:r>
              <w:rPr>
                <w:noProof/>
                <w:webHidden/>
              </w:rPr>
              <w:tab/>
            </w:r>
            <w:r>
              <w:rPr>
                <w:noProof/>
                <w:webHidden/>
              </w:rPr>
              <w:fldChar w:fldCharType="begin"/>
            </w:r>
            <w:r>
              <w:rPr>
                <w:noProof/>
                <w:webHidden/>
              </w:rPr>
              <w:instrText xml:space="preserve"> PAGEREF _Toc234522580 \h </w:instrText>
            </w:r>
            <w:r>
              <w:rPr>
                <w:noProof/>
                <w:webHidden/>
              </w:rPr>
            </w:r>
            <w:r>
              <w:rPr>
                <w:noProof/>
                <w:webHidden/>
              </w:rPr>
              <w:fldChar w:fldCharType="separate"/>
            </w:r>
            <w:r>
              <w:rPr>
                <w:noProof/>
                <w:webHidden/>
              </w:rPr>
              <w:t>9</w:t>
            </w:r>
            <w:r>
              <w:rPr>
                <w:noProof/>
                <w:webHidden/>
              </w:rPr>
              <w:fldChar w:fldCharType="end"/>
            </w:r>
          </w:hyperlink>
        </w:p>
        <w:p w14:paraId="722FACFA" w14:textId="38B5521A" w:rsidR="003F63D4" w:rsidRDefault="003F63D4">
          <w:r>
            <w:rPr>
              <w:b/>
              <w:bCs/>
            </w:rPr>
            <w:fldChar w:fldCharType="end"/>
          </w:r>
        </w:p>
      </w:sdtContent>
    </w:sdt>
    <w:p w14:paraId="185BE23F" w14:textId="77777777" w:rsidR="003F63D4" w:rsidRDefault="003F63D4" w:rsidP="003F63D4">
      <w:pPr>
        <w:rPr>
          <w:rFonts w:eastAsia="Times New Roman" w:cs="Times New Roman"/>
          <w:b/>
          <w:bCs/>
          <w:sz w:val="40"/>
          <w:szCs w:val="40"/>
        </w:rPr>
      </w:pPr>
    </w:p>
    <w:p w14:paraId="4F5CA8E1" w14:textId="77777777" w:rsidR="003F63D4" w:rsidRDefault="003F63D4" w:rsidP="003F63D4">
      <w:pPr>
        <w:rPr>
          <w:rFonts w:eastAsia="Times New Roman" w:cs="Times New Roman"/>
          <w:b/>
          <w:bCs/>
          <w:sz w:val="40"/>
          <w:szCs w:val="40"/>
        </w:rPr>
      </w:pPr>
    </w:p>
    <w:p w14:paraId="7555A92F" w14:textId="77777777" w:rsidR="003F63D4" w:rsidRDefault="003F63D4" w:rsidP="003F63D4">
      <w:pPr>
        <w:rPr>
          <w:rFonts w:eastAsia="Times New Roman" w:cs="Times New Roman"/>
          <w:b/>
          <w:bCs/>
          <w:sz w:val="40"/>
          <w:szCs w:val="40"/>
        </w:rPr>
      </w:pPr>
    </w:p>
    <w:p w14:paraId="5DFA1D21" w14:textId="77777777" w:rsidR="003F63D4" w:rsidRDefault="003F63D4" w:rsidP="003F63D4">
      <w:pPr>
        <w:rPr>
          <w:rFonts w:eastAsia="Times New Roman" w:cs="Times New Roman"/>
          <w:b/>
          <w:bCs/>
          <w:sz w:val="40"/>
          <w:szCs w:val="40"/>
        </w:rPr>
      </w:pPr>
    </w:p>
    <w:p w14:paraId="2C496FC1" w14:textId="77777777" w:rsidR="003F63D4" w:rsidRDefault="003F63D4" w:rsidP="003F63D4">
      <w:pPr>
        <w:rPr>
          <w:rFonts w:eastAsia="Times New Roman" w:cs="Times New Roman"/>
          <w:b/>
          <w:bCs/>
          <w:sz w:val="40"/>
          <w:szCs w:val="40"/>
        </w:rPr>
      </w:pPr>
    </w:p>
    <w:p w14:paraId="7654870E" w14:textId="77777777" w:rsidR="003F63D4" w:rsidRDefault="003F63D4" w:rsidP="003F63D4">
      <w:pPr>
        <w:rPr>
          <w:rFonts w:eastAsia="Times New Roman" w:cs="Times New Roman"/>
          <w:b/>
          <w:bCs/>
          <w:sz w:val="40"/>
          <w:szCs w:val="40"/>
        </w:rPr>
      </w:pPr>
    </w:p>
    <w:p w14:paraId="3738F249" w14:textId="77777777" w:rsidR="003F63D4" w:rsidRPr="003F63D4" w:rsidRDefault="003F63D4" w:rsidP="003F63D4">
      <w:pPr>
        <w:rPr>
          <w:rFonts w:eastAsia="Times New Roman" w:cs="Times New Roman"/>
          <w:b/>
          <w:bCs/>
          <w:sz w:val="40"/>
          <w:szCs w:val="40"/>
        </w:rPr>
      </w:pPr>
    </w:p>
    <w:p w14:paraId="514ADA62" w14:textId="77777777" w:rsidR="00EB3824" w:rsidRDefault="00EB3824" w:rsidP="00A045F0"/>
    <w:p w14:paraId="48A71EA7" w14:textId="77777777" w:rsidR="00EB3824" w:rsidRDefault="00EB3824" w:rsidP="00A045F0"/>
    <w:p w14:paraId="64658792" w14:textId="77777777" w:rsidR="00EB3824" w:rsidRDefault="00EB3824" w:rsidP="00A045F0"/>
    <w:p w14:paraId="12A351D4" w14:textId="77777777" w:rsidR="00B94F96" w:rsidRDefault="00B94F96" w:rsidP="001F7983"/>
    <w:p w14:paraId="76CCEB50" w14:textId="77777777" w:rsidR="005C75B7" w:rsidRPr="005C75B7" w:rsidRDefault="005C75B7" w:rsidP="005C75B7">
      <w:pPr>
        <w:pStyle w:val="Heading2"/>
        <w:rPr>
          <w:rFonts w:ascii="Arial" w:hAnsi="Arial" w:cs="Arial"/>
          <w:sz w:val="24"/>
          <w:szCs w:val="24"/>
        </w:rPr>
      </w:pPr>
      <w:bookmarkStart w:id="0" w:name="_Toc234494121"/>
      <w:bookmarkStart w:id="1" w:name="_Toc234522570"/>
      <w:r w:rsidRPr="005C75B7">
        <w:rPr>
          <w:rFonts w:ascii="Arial" w:hAnsi="Arial" w:cs="Arial"/>
          <w:sz w:val="24"/>
          <w:szCs w:val="24"/>
        </w:rPr>
        <w:lastRenderedPageBreak/>
        <w:t>Introduction</w:t>
      </w:r>
      <w:bookmarkEnd w:id="0"/>
      <w:bookmarkEnd w:id="1"/>
    </w:p>
    <w:p w14:paraId="2E6C5D04" w14:textId="77777777" w:rsidR="005C75B7" w:rsidRPr="005C75B7" w:rsidRDefault="005C75B7" w:rsidP="005C75B7">
      <w:pPr>
        <w:spacing w:line="360" w:lineRule="auto"/>
        <w:jc w:val="both"/>
        <w:rPr>
          <w:rFonts w:ascii="Arial" w:hAnsi="Arial" w:cs="Arial"/>
          <w:sz w:val="22"/>
          <w:szCs w:val="22"/>
        </w:rPr>
      </w:pPr>
      <w:r w:rsidRPr="005C75B7">
        <w:rPr>
          <w:rFonts w:ascii="Arial" w:hAnsi="Arial" w:cs="Arial"/>
          <w:sz w:val="22"/>
          <w:szCs w:val="22"/>
        </w:rPr>
        <w:t>The United Nations (UN) 2030 Agenda for Sustainable Development established 17 Sustainable Development Goals (SDGs) to address global social, economic and environmental challenges while promoting sustainable development and improving quality of life (UN, 2015). Although widely adopted, progress remains limited, with only 17% of SDG targets currently on track to be achieved by 2030, highlighting the need to evaluate policies and initiatives that support population health and wellbeing (UN, 2024).</w:t>
      </w:r>
    </w:p>
    <w:p w14:paraId="0E392D29" w14:textId="77777777" w:rsidR="005C75B7" w:rsidRPr="005C75B7" w:rsidRDefault="005C75B7" w:rsidP="005C75B7">
      <w:pPr>
        <w:spacing w:line="360" w:lineRule="auto"/>
        <w:jc w:val="both"/>
        <w:rPr>
          <w:rFonts w:ascii="Arial" w:hAnsi="Arial" w:cs="Arial"/>
          <w:sz w:val="22"/>
          <w:szCs w:val="22"/>
        </w:rPr>
      </w:pPr>
      <w:r w:rsidRPr="005C75B7">
        <w:rPr>
          <w:rFonts w:ascii="Arial" w:hAnsi="Arial" w:cs="Arial"/>
          <w:sz w:val="22"/>
          <w:szCs w:val="22"/>
        </w:rPr>
        <w:t>Among the 17 goals, SDG 3 (Good Health and Well-being) aims to ensure healthy lives and promote wellbeing for all, while SDG 2 (Zero Hunger) seeks to end hunger, improve nutrition and achieve food security (UN, 2015). These goals are closely interconnected, as adequate nutrition is fundamental to health, disease prevention and reducing health inequalities (FAO et al., 2025).</w:t>
      </w:r>
    </w:p>
    <w:p w14:paraId="4286350B" w14:textId="7ACE4E17" w:rsidR="005C75B7" w:rsidRPr="005C75B7" w:rsidRDefault="005C75B7" w:rsidP="005C75B7">
      <w:pPr>
        <w:spacing w:line="360" w:lineRule="auto"/>
        <w:jc w:val="both"/>
        <w:rPr>
          <w:rFonts w:ascii="Arial" w:hAnsi="Arial" w:cs="Arial"/>
          <w:sz w:val="22"/>
          <w:szCs w:val="22"/>
        </w:rPr>
      </w:pPr>
      <w:r w:rsidRPr="005C75B7">
        <w:rPr>
          <w:rFonts w:ascii="Arial" w:hAnsi="Arial" w:cs="Arial"/>
          <w:sz w:val="22"/>
          <w:szCs w:val="22"/>
        </w:rPr>
        <w:t>This report provides a critical evaluation of the contributions of SDG 3 and SDG 2 to health and wellbeing in the United Kingdom and globally. Policies are assessed using contemporary evidence and relevant health promotion theories, followed by recommendations to enhance population health and wellbeing.</w:t>
      </w:r>
    </w:p>
    <w:p w14:paraId="31ADB4D9" w14:textId="77777777" w:rsidR="005C75B7" w:rsidRPr="005C75B7" w:rsidRDefault="005C75B7" w:rsidP="005C75B7">
      <w:pPr>
        <w:pStyle w:val="Heading2"/>
        <w:rPr>
          <w:rFonts w:ascii="Arial" w:hAnsi="Arial" w:cs="Arial"/>
          <w:sz w:val="24"/>
          <w:szCs w:val="24"/>
        </w:rPr>
      </w:pPr>
      <w:bookmarkStart w:id="2" w:name="_Toc234494122"/>
      <w:bookmarkStart w:id="3" w:name="_Toc234522571"/>
      <w:r w:rsidRPr="005C75B7">
        <w:rPr>
          <w:rFonts w:ascii="Arial" w:hAnsi="Arial" w:cs="Arial"/>
          <w:sz w:val="24"/>
          <w:szCs w:val="24"/>
        </w:rPr>
        <w:t>Section 1: Overview of Sustainable Development Goal 3: Good Health and Well-being</w:t>
      </w:r>
      <w:bookmarkEnd w:id="2"/>
      <w:bookmarkEnd w:id="3"/>
    </w:p>
    <w:p w14:paraId="6FFFB81B" w14:textId="00B3E5D9" w:rsidR="005C75B7" w:rsidRPr="005C75B7" w:rsidRDefault="005C75B7" w:rsidP="005C75B7">
      <w:pPr>
        <w:spacing w:line="360" w:lineRule="auto"/>
        <w:jc w:val="both"/>
        <w:rPr>
          <w:rFonts w:ascii="Arial" w:hAnsi="Arial" w:cs="Arial"/>
          <w:sz w:val="22"/>
          <w:szCs w:val="22"/>
        </w:rPr>
      </w:pPr>
      <w:r w:rsidRPr="005C75B7">
        <w:rPr>
          <w:rFonts w:ascii="Arial" w:hAnsi="Arial" w:cs="Arial"/>
          <w:sz w:val="22"/>
          <w:szCs w:val="22"/>
        </w:rPr>
        <w:t>SDG 3, established within the UN 2030 Agenda for Sustainable Development, aims to ensure healthy lives and promote well-being for individuals of all ages (UN, 2015). Its targets include reducing maternal and child mortality, preventing communicable and non-communicable diseases, improving mental health, and strengthening health systems (UN, 2025). Achieving Universal Health Coverage (UHC) is a key component of SDG 3 and is recognised by the World Health Organization as essential for improving equitable access to healthcare and supporting sustainable development (WHO, 2025</w:t>
      </w:r>
      <w:r w:rsidR="00387A07">
        <w:rPr>
          <w:rFonts w:ascii="Arial" w:hAnsi="Arial" w:cs="Arial"/>
          <w:sz w:val="22"/>
          <w:szCs w:val="22"/>
        </w:rPr>
        <w:t>a</w:t>
      </w:r>
      <w:r w:rsidRPr="005C75B7">
        <w:rPr>
          <w:rFonts w:ascii="Arial" w:hAnsi="Arial" w:cs="Arial"/>
          <w:sz w:val="22"/>
          <w:szCs w:val="22"/>
        </w:rPr>
        <w:t>).</w:t>
      </w:r>
    </w:p>
    <w:p w14:paraId="4046C464" w14:textId="378995D0" w:rsidR="005C75B7" w:rsidRPr="005C75B7" w:rsidRDefault="005C75B7" w:rsidP="005C75B7">
      <w:pPr>
        <w:spacing w:line="360" w:lineRule="auto"/>
        <w:jc w:val="both"/>
        <w:rPr>
          <w:rFonts w:ascii="Arial" w:hAnsi="Arial" w:cs="Arial"/>
          <w:sz w:val="22"/>
          <w:szCs w:val="22"/>
        </w:rPr>
      </w:pPr>
      <w:r w:rsidRPr="005C75B7">
        <w:rPr>
          <w:rFonts w:ascii="Arial" w:hAnsi="Arial" w:cs="Arial"/>
          <w:sz w:val="22"/>
          <w:szCs w:val="22"/>
        </w:rPr>
        <w:t>Healthier populations support economic productivity and a higher quality of life (Kruk et al., 2018). Although life expectancy, maternal survival, and immunisation coverage have improved, substantial health inequalities persist and continue to impede progress toward SDG 3 (WHO, 2025</w:t>
      </w:r>
      <w:r w:rsidR="00387A07">
        <w:rPr>
          <w:rFonts w:ascii="Arial" w:hAnsi="Arial" w:cs="Arial"/>
          <w:sz w:val="22"/>
          <w:szCs w:val="22"/>
        </w:rPr>
        <w:t>b</w:t>
      </w:r>
      <w:r w:rsidRPr="005C75B7">
        <w:rPr>
          <w:rFonts w:ascii="Arial" w:hAnsi="Arial" w:cs="Arial"/>
          <w:sz w:val="22"/>
          <w:szCs w:val="22"/>
        </w:rPr>
        <w:t>). These ongoing disparities underscore the necessity of critically evaluating policies and initiatives aimed at improving health and wellbeing.</w:t>
      </w:r>
    </w:p>
    <w:p w14:paraId="75E90F69" w14:textId="77777777" w:rsidR="005C75B7" w:rsidRPr="005C75B7" w:rsidRDefault="005C75B7" w:rsidP="005C75B7">
      <w:pPr>
        <w:pStyle w:val="Heading3"/>
        <w:rPr>
          <w:rFonts w:ascii="Arial" w:hAnsi="Arial" w:cs="Arial"/>
          <w:sz w:val="22"/>
          <w:szCs w:val="22"/>
        </w:rPr>
      </w:pPr>
      <w:bookmarkStart w:id="4" w:name="_Toc234494123"/>
      <w:bookmarkStart w:id="5" w:name="_Toc234522572"/>
      <w:r w:rsidRPr="005C75B7">
        <w:rPr>
          <w:rFonts w:ascii="Arial" w:hAnsi="Arial" w:cs="Arial"/>
          <w:sz w:val="22"/>
          <w:szCs w:val="22"/>
        </w:rPr>
        <w:t>1.1 Critical Evaluation of Global Policies and Initiatives</w:t>
      </w:r>
      <w:bookmarkEnd w:id="4"/>
      <w:bookmarkEnd w:id="5"/>
    </w:p>
    <w:p w14:paraId="09011C3E" w14:textId="43EF3692" w:rsidR="005C75B7" w:rsidRPr="005C75B7" w:rsidRDefault="005C75B7" w:rsidP="003439AC">
      <w:pPr>
        <w:spacing w:line="360" w:lineRule="auto"/>
        <w:jc w:val="both"/>
        <w:rPr>
          <w:rFonts w:ascii="Arial" w:hAnsi="Arial" w:cs="Arial"/>
          <w:sz w:val="22"/>
          <w:szCs w:val="22"/>
        </w:rPr>
      </w:pPr>
      <w:r w:rsidRPr="005C75B7">
        <w:rPr>
          <w:rFonts w:ascii="Arial" w:hAnsi="Arial" w:cs="Arial"/>
          <w:sz w:val="22"/>
          <w:szCs w:val="22"/>
        </w:rPr>
        <w:t xml:space="preserve">Global policies supporting SDG 3 are guided by the UN 2030 Agenda for Sustainable Development and the WHO’s advocacy for UHC, which aims to ensure equitable access to essential health services without financial hardship (UN, 2015). </w:t>
      </w:r>
      <w:r w:rsidR="0074110A">
        <w:rPr>
          <w:rFonts w:ascii="Arial" w:hAnsi="Arial" w:cs="Arial"/>
          <w:sz w:val="22"/>
          <w:szCs w:val="22"/>
        </w:rPr>
        <w:t xml:space="preserve">Despite these improvements, progress remains uneven across countries, suggesting </w:t>
      </w:r>
      <w:r w:rsidR="00DA7F09">
        <w:rPr>
          <w:rFonts w:ascii="Arial" w:hAnsi="Arial" w:cs="Arial"/>
          <w:sz w:val="22"/>
          <w:szCs w:val="22"/>
        </w:rPr>
        <w:t xml:space="preserve">that policy implementation alone is </w:t>
      </w:r>
      <w:r w:rsidR="00DA7F09">
        <w:rPr>
          <w:rFonts w:ascii="Arial" w:hAnsi="Arial" w:cs="Arial"/>
          <w:sz w:val="22"/>
          <w:szCs w:val="22"/>
        </w:rPr>
        <w:lastRenderedPageBreak/>
        <w:t>insufficient without sustained investment (WHO</w:t>
      </w:r>
      <w:r w:rsidR="00BB0520">
        <w:rPr>
          <w:rFonts w:ascii="Arial" w:hAnsi="Arial" w:cs="Arial"/>
          <w:sz w:val="22"/>
          <w:szCs w:val="22"/>
        </w:rPr>
        <w:t>, 2025b; K</w:t>
      </w:r>
      <w:r w:rsidR="00287DAA">
        <w:rPr>
          <w:rFonts w:ascii="Arial" w:hAnsi="Arial" w:cs="Arial"/>
          <w:sz w:val="22"/>
          <w:szCs w:val="22"/>
        </w:rPr>
        <w:t>ru</w:t>
      </w:r>
      <w:r w:rsidR="00BB0520">
        <w:rPr>
          <w:rFonts w:ascii="Arial" w:hAnsi="Arial" w:cs="Arial"/>
          <w:sz w:val="22"/>
          <w:szCs w:val="22"/>
        </w:rPr>
        <w:t xml:space="preserve">k et al., 2018). </w:t>
      </w:r>
      <w:r w:rsidRPr="005C75B7">
        <w:rPr>
          <w:rFonts w:ascii="Arial" w:hAnsi="Arial" w:cs="Arial"/>
          <w:sz w:val="22"/>
          <w:szCs w:val="22"/>
        </w:rPr>
        <w:t>Investment in preventative healthcare has strengthened countries' capacity to respond to public health emergencies (Sachs et al., 2022).</w:t>
      </w:r>
    </w:p>
    <w:p w14:paraId="0AA53BFC" w14:textId="77777777" w:rsidR="005C75B7" w:rsidRPr="005C75B7" w:rsidRDefault="005C75B7" w:rsidP="005C75B7">
      <w:pPr>
        <w:spacing w:line="360" w:lineRule="auto"/>
        <w:jc w:val="both"/>
        <w:rPr>
          <w:rFonts w:ascii="Arial" w:hAnsi="Arial" w:cs="Arial"/>
          <w:sz w:val="22"/>
          <w:szCs w:val="22"/>
        </w:rPr>
      </w:pPr>
      <w:r w:rsidRPr="005C75B7">
        <w:rPr>
          <w:rFonts w:ascii="Arial" w:hAnsi="Arial" w:cs="Arial"/>
          <w:sz w:val="22"/>
          <w:szCs w:val="22"/>
        </w:rPr>
        <w:t>Despite these achievements, progress towards SDG 3 remains inconsistent. The UN (2024) reports that many health-related targets remain off track due to the long-term effects of the COVID-19 pandemic, widening socioeconomic inequalities, conflict and persistent underinvestment in health systems. Similarly, Hone, Macinko and Millett (2018) argue that UHC alone cannot eliminate health inequalities without broader interventions addressing poverty, education, employment and living conditions. These findings suggest that improving healthcare access alone is insufficient to achieve equitable health outcomes without addressing wider social, economic and environmental determinants (Hone, Macinko and Millett, 2018; Marmot et al., 2020). This reflects the Social Determinants of Health framework, which recognises that health is shaped by the conditions in which people are born, live, work and age (Marmot et al., 2020). Consequently, achieving SDG 3 requires coordinated cross-sector policies that address healthcare provision alongside wider social determinants to reduce health inequalities and improve population health (Marmot et al., 2020).</w:t>
      </w:r>
    </w:p>
    <w:p w14:paraId="7FFAF4A1" w14:textId="77777777" w:rsidR="005C75B7" w:rsidRPr="005C75B7" w:rsidRDefault="005C75B7" w:rsidP="005C75B7">
      <w:pPr>
        <w:pStyle w:val="Heading3"/>
        <w:rPr>
          <w:rFonts w:ascii="Arial" w:hAnsi="Arial" w:cs="Arial"/>
          <w:sz w:val="22"/>
          <w:szCs w:val="22"/>
        </w:rPr>
      </w:pPr>
      <w:bookmarkStart w:id="6" w:name="_Toc234494124"/>
      <w:bookmarkStart w:id="7" w:name="_Toc234522573"/>
      <w:r w:rsidRPr="005C75B7">
        <w:rPr>
          <w:rFonts w:ascii="Arial" w:hAnsi="Arial" w:cs="Arial"/>
          <w:sz w:val="22"/>
          <w:szCs w:val="22"/>
        </w:rPr>
        <w:t>1.2 Critical Evaluation of National and Local Policies and Initiatives</w:t>
      </w:r>
      <w:bookmarkEnd w:id="6"/>
      <w:bookmarkEnd w:id="7"/>
    </w:p>
    <w:p w14:paraId="5987CCA2" w14:textId="77777777" w:rsidR="005C75B7" w:rsidRPr="005C75B7" w:rsidRDefault="005C75B7" w:rsidP="005C75B7">
      <w:pPr>
        <w:spacing w:line="360" w:lineRule="auto"/>
        <w:jc w:val="both"/>
        <w:rPr>
          <w:rFonts w:ascii="Arial" w:hAnsi="Arial" w:cs="Arial"/>
          <w:sz w:val="22"/>
          <w:szCs w:val="22"/>
        </w:rPr>
      </w:pPr>
      <w:r w:rsidRPr="005C75B7">
        <w:rPr>
          <w:rFonts w:ascii="Arial" w:hAnsi="Arial" w:cs="Arial"/>
          <w:sz w:val="22"/>
          <w:szCs w:val="22"/>
        </w:rPr>
        <w:t>In the United Kingdom, SDG 3 is advanced through national policies that prioritise disease prevention, integrated care, and the reduction of health inequalities (NHS England, 2019). The NHS Long Term Plan seeks to strengthen preventative healthcare, expand mental health services, and integrate health and social care to deliver coordinated, person-centred services (NHS England, 2019). This strategy aligns with the Biopsychosocial Model, which recognises that health is shaped by biological, psychological, and social factors (Bolton and Gillett, 2019), and is consistent with the NHS Long Term Plan’s emphasis on integrated, person-centred care addressing physical, mental, and social needs (NHS England, 2019).</w:t>
      </w:r>
    </w:p>
    <w:p w14:paraId="49C23E57" w14:textId="3E226C04" w:rsidR="005C75B7" w:rsidRPr="005C75B7" w:rsidRDefault="005C75B7" w:rsidP="000D1C9D">
      <w:pPr>
        <w:spacing w:line="360" w:lineRule="auto"/>
        <w:jc w:val="both"/>
        <w:rPr>
          <w:rFonts w:ascii="Arial" w:hAnsi="Arial" w:cs="Arial"/>
          <w:sz w:val="22"/>
          <w:szCs w:val="22"/>
        </w:rPr>
      </w:pPr>
      <w:r w:rsidRPr="005C75B7">
        <w:rPr>
          <w:rFonts w:ascii="Arial" w:hAnsi="Arial" w:cs="Arial"/>
          <w:sz w:val="22"/>
          <w:szCs w:val="22"/>
        </w:rPr>
        <w:t xml:space="preserve">Initial evaluations indicate that Integrated Care Systems (ICSs) have enhanced collaboration among healthcare providers and increased emphasis on preventative and population health management, though measurable improvements remain inconsistent across England (Page et al., 2024). Persistent workforce shortages, rising service demand, financial constraints, and implementation challenges continue to limit the effectiveness of these reforms (Lalani et al., 2024; NHS England, 2023). </w:t>
      </w:r>
      <w:r w:rsidR="003C4323">
        <w:rPr>
          <w:rFonts w:ascii="Arial" w:hAnsi="Arial" w:cs="Arial"/>
          <w:sz w:val="22"/>
          <w:szCs w:val="22"/>
        </w:rPr>
        <w:t>However, the long</w:t>
      </w:r>
      <w:r w:rsidR="00CE629D">
        <w:rPr>
          <w:rFonts w:ascii="Arial" w:hAnsi="Arial" w:cs="Arial"/>
          <w:sz w:val="22"/>
          <w:szCs w:val="22"/>
        </w:rPr>
        <w:t>-term success of the NHS Long</w:t>
      </w:r>
      <w:r w:rsidR="00AA1C57">
        <w:rPr>
          <w:rFonts w:ascii="Arial" w:hAnsi="Arial" w:cs="Arial"/>
          <w:sz w:val="22"/>
          <w:szCs w:val="22"/>
        </w:rPr>
        <w:t xml:space="preserve"> Ter</w:t>
      </w:r>
      <w:r w:rsidR="004752BF">
        <w:rPr>
          <w:rFonts w:ascii="Arial" w:hAnsi="Arial" w:cs="Arial"/>
          <w:sz w:val="22"/>
          <w:szCs w:val="22"/>
        </w:rPr>
        <w:t>m</w:t>
      </w:r>
      <w:r w:rsidR="00CE629D">
        <w:rPr>
          <w:rFonts w:ascii="Arial" w:hAnsi="Arial" w:cs="Arial"/>
          <w:sz w:val="22"/>
          <w:szCs w:val="22"/>
        </w:rPr>
        <w:t xml:space="preserve"> </w:t>
      </w:r>
      <w:r w:rsidR="000B0839">
        <w:rPr>
          <w:rFonts w:ascii="Arial" w:hAnsi="Arial" w:cs="Arial"/>
          <w:sz w:val="22"/>
          <w:szCs w:val="22"/>
        </w:rPr>
        <w:t xml:space="preserve">Plan </w:t>
      </w:r>
      <w:r w:rsidR="00562E32">
        <w:rPr>
          <w:rFonts w:ascii="Arial" w:hAnsi="Arial" w:cs="Arial"/>
          <w:sz w:val="22"/>
          <w:szCs w:val="22"/>
        </w:rPr>
        <w:t xml:space="preserve">ultimately depends on whether investment translates into measurable improvements in health outcomes </w:t>
      </w:r>
      <w:r w:rsidR="000D1C9D" w:rsidRPr="000D1C9D">
        <w:rPr>
          <w:rFonts w:ascii="Arial" w:hAnsi="Arial" w:cs="Arial"/>
          <w:sz w:val="22"/>
          <w:szCs w:val="22"/>
        </w:rPr>
        <w:t>(NHS England, 2023).</w:t>
      </w:r>
    </w:p>
    <w:p w14:paraId="3BDE6121" w14:textId="37F23865" w:rsidR="005C75B7" w:rsidRPr="005C75B7" w:rsidRDefault="005C75B7" w:rsidP="00FC7412">
      <w:pPr>
        <w:spacing w:line="360" w:lineRule="auto"/>
        <w:jc w:val="both"/>
        <w:rPr>
          <w:rFonts w:ascii="Arial" w:hAnsi="Arial" w:cs="Arial"/>
          <w:sz w:val="22"/>
          <w:szCs w:val="22"/>
        </w:rPr>
      </w:pPr>
      <w:r w:rsidRPr="005C75B7">
        <w:rPr>
          <w:rFonts w:ascii="Arial" w:hAnsi="Arial" w:cs="Arial"/>
          <w:sz w:val="22"/>
          <w:szCs w:val="22"/>
        </w:rPr>
        <w:t xml:space="preserve">Birmingham provides a useful local case study for evaluating the implementation of SDG 3 through the Birmingham Health and Wellbeing Strategy and the Birmingham and Solihull </w:t>
      </w:r>
      <w:r w:rsidRPr="005C75B7">
        <w:rPr>
          <w:rFonts w:ascii="Arial" w:hAnsi="Arial" w:cs="Arial"/>
          <w:sz w:val="22"/>
          <w:szCs w:val="22"/>
        </w:rPr>
        <w:lastRenderedPageBreak/>
        <w:t xml:space="preserve">Integrated Care Board, both of which prioritise prevention, early intervention and reducing health inequalities (BCC, 2022b; Birmingham and Solihull Integrated Care System, n.d). </w:t>
      </w:r>
      <w:r w:rsidR="00635D7B">
        <w:rPr>
          <w:rFonts w:ascii="Arial" w:hAnsi="Arial" w:cs="Arial"/>
          <w:sz w:val="22"/>
          <w:szCs w:val="22"/>
        </w:rPr>
        <w:t xml:space="preserve">While these initiatives strengthen partnerships between healthcare providers, local authorities and voluntary </w:t>
      </w:r>
      <w:r w:rsidR="000B07A0">
        <w:rPr>
          <w:rFonts w:ascii="Arial" w:hAnsi="Arial" w:cs="Arial"/>
          <w:sz w:val="22"/>
          <w:szCs w:val="22"/>
        </w:rPr>
        <w:t>organisations</w:t>
      </w:r>
      <w:r w:rsidR="00767C0D">
        <w:rPr>
          <w:rFonts w:ascii="Arial" w:hAnsi="Arial" w:cs="Arial"/>
          <w:sz w:val="22"/>
          <w:szCs w:val="22"/>
        </w:rPr>
        <w:t xml:space="preserve">, their impact remains constrained by persistent </w:t>
      </w:r>
      <w:r w:rsidR="00651A79">
        <w:rPr>
          <w:rFonts w:ascii="Arial" w:hAnsi="Arial" w:cs="Arial"/>
          <w:sz w:val="22"/>
          <w:szCs w:val="22"/>
        </w:rPr>
        <w:t>soc</w:t>
      </w:r>
      <w:r w:rsidR="000B07A0">
        <w:rPr>
          <w:rFonts w:ascii="Arial" w:hAnsi="Arial" w:cs="Arial"/>
          <w:sz w:val="22"/>
          <w:szCs w:val="22"/>
        </w:rPr>
        <w:t xml:space="preserve">ioeconomic inequalities </w:t>
      </w:r>
      <w:r w:rsidRPr="005C75B7">
        <w:rPr>
          <w:rFonts w:ascii="Arial" w:hAnsi="Arial" w:cs="Arial"/>
          <w:sz w:val="22"/>
          <w:szCs w:val="22"/>
        </w:rPr>
        <w:t>(BCC, 2022b</w:t>
      </w:r>
      <w:r w:rsidR="00FC7412">
        <w:rPr>
          <w:rFonts w:ascii="Arial" w:hAnsi="Arial" w:cs="Arial"/>
          <w:sz w:val="22"/>
          <w:szCs w:val="22"/>
        </w:rPr>
        <w:t>; Marmot et al., 2020</w:t>
      </w:r>
      <w:r w:rsidRPr="005C75B7">
        <w:rPr>
          <w:rFonts w:ascii="Arial" w:hAnsi="Arial" w:cs="Arial"/>
          <w:sz w:val="22"/>
          <w:szCs w:val="22"/>
        </w:rPr>
        <w:t>). However, Birmingham continues to experience poorer health outcomes associated with socioeconomic deprivation, unemployment and ethnic inequalities, with healthy life expectancy remaining substantially lower in the city's most deprived communities (Marmot et al., 2020).</w:t>
      </w:r>
    </w:p>
    <w:p w14:paraId="5D40FA71" w14:textId="77777777" w:rsidR="005C75B7" w:rsidRPr="005C75B7" w:rsidRDefault="005C75B7" w:rsidP="005C75B7">
      <w:pPr>
        <w:spacing w:line="360" w:lineRule="auto"/>
        <w:jc w:val="both"/>
        <w:rPr>
          <w:rFonts w:ascii="Arial" w:hAnsi="Arial" w:cs="Arial"/>
          <w:sz w:val="22"/>
          <w:szCs w:val="22"/>
        </w:rPr>
      </w:pPr>
      <w:r w:rsidRPr="005C75B7">
        <w:rPr>
          <w:rFonts w:ascii="Arial" w:hAnsi="Arial" w:cs="Arial"/>
          <w:sz w:val="22"/>
          <w:szCs w:val="22"/>
        </w:rPr>
        <w:t>The effectiveness of Birmingham's prevention initiatives can be assessed using the Health Belief Model, which suggests that individuals are more likely to adopt healthier behaviours when they recognise the benefits of change, perceive personal risk, and have confidence in their ability to act (Jones et al., 2015). However, the model also acknowledges broader socioeconomic barriers, such as poverty, inadequate housing, and unemployment, which continue to affect health outcomes in Birmingham (Jones et al., 2015; Marmot et al., 2020). Thus, while Birmingham's initiatives reflect a strong commitment to SDG 3, their sustained effectiveness depends on integrating behaviour change strategies with comprehensive action on the social determinants of health, recognising that reducing health inequalities requires coordinated efforts beyond healthcare services alone (Marmot et al., 2020).</w:t>
      </w:r>
    </w:p>
    <w:p w14:paraId="20D49785" w14:textId="77777777" w:rsidR="005C75B7" w:rsidRPr="005C75B7" w:rsidRDefault="005C75B7" w:rsidP="005C75B7">
      <w:pPr>
        <w:pStyle w:val="Heading3"/>
        <w:rPr>
          <w:rFonts w:ascii="Arial" w:hAnsi="Arial" w:cs="Arial"/>
          <w:sz w:val="22"/>
          <w:szCs w:val="22"/>
        </w:rPr>
      </w:pPr>
      <w:bookmarkStart w:id="8" w:name="_Toc234494125"/>
      <w:bookmarkStart w:id="9" w:name="_Toc234522574"/>
      <w:r w:rsidRPr="005C75B7">
        <w:rPr>
          <w:rFonts w:ascii="Arial" w:hAnsi="Arial" w:cs="Arial"/>
          <w:sz w:val="22"/>
          <w:szCs w:val="22"/>
        </w:rPr>
        <w:t>1.3 Recommendations</w:t>
      </w:r>
      <w:bookmarkEnd w:id="8"/>
      <w:bookmarkEnd w:id="9"/>
    </w:p>
    <w:p w14:paraId="16C59453" w14:textId="17B3F798" w:rsidR="005C75B7" w:rsidRPr="005C75B7" w:rsidRDefault="005C75B7" w:rsidP="005C75B7">
      <w:pPr>
        <w:spacing w:line="360" w:lineRule="auto"/>
        <w:jc w:val="both"/>
        <w:rPr>
          <w:rFonts w:ascii="Arial" w:hAnsi="Arial" w:cs="Arial"/>
          <w:sz w:val="22"/>
          <w:szCs w:val="22"/>
        </w:rPr>
      </w:pPr>
      <w:r w:rsidRPr="005C75B7">
        <w:rPr>
          <w:rFonts w:ascii="Arial" w:hAnsi="Arial" w:cs="Arial"/>
          <w:sz w:val="22"/>
          <w:szCs w:val="22"/>
        </w:rPr>
        <w:t>To strengthen progress towards SDG 3, greater investment is required in preventative healthcare, workforce development and integrated health and social care services (WHO, 2025</w:t>
      </w:r>
      <w:r w:rsidR="003E384C">
        <w:rPr>
          <w:rFonts w:ascii="Arial" w:hAnsi="Arial" w:cs="Arial"/>
          <w:sz w:val="22"/>
          <w:szCs w:val="22"/>
        </w:rPr>
        <w:t>a</w:t>
      </w:r>
      <w:r w:rsidRPr="005C75B7">
        <w:rPr>
          <w:rFonts w:ascii="Arial" w:hAnsi="Arial" w:cs="Arial"/>
          <w:sz w:val="22"/>
          <w:szCs w:val="22"/>
        </w:rPr>
        <w:t xml:space="preserve">; NHS England, 2023). Although the NHS Long Term Plan provides a strong strategic framework, its long-term effectiveness depends on adequate funding, workforce capacity and consistent implementation (NHS England, 2023; Lalani et al., 2024). National and local policymakers should strengthen collaboration across the housing, education and employment sectors to address the wider social determinants of health (Marmot et al., 2020). In Birmingham, expanding community-based prevention programmes and improving access to early intervention services </w:t>
      </w:r>
      <w:r w:rsidR="00C115F2" w:rsidRPr="005C75B7">
        <w:rPr>
          <w:rFonts w:ascii="Arial" w:hAnsi="Arial" w:cs="Arial"/>
          <w:sz w:val="22"/>
          <w:szCs w:val="22"/>
        </w:rPr>
        <w:t>could reduce</w:t>
      </w:r>
      <w:r w:rsidRPr="005C75B7">
        <w:rPr>
          <w:rFonts w:ascii="Arial" w:hAnsi="Arial" w:cs="Arial"/>
          <w:sz w:val="22"/>
          <w:szCs w:val="22"/>
        </w:rPr>
        <w:t xml:space="preserve"> health inequalities and improve population wellbeing (BCC, 2022b). Collectively, these recommendations would address the underlying determinants of poor health and contribute to reducing health inequalities (Marmot et al., 2020).</w:t>
      </w:r>
    </w:p>
    <w:p w14:paraId="34D7E0D0" w14:textId="77777777" w:rsidR="005C75B7" w:rsidRPr="003D60C6" w:rsidRDefault="005C75B7" w:rsidP="003D60C6">
      <w:pPr>
        <w:pStyle w:val="Heading2"/>
        <w:rPr>
          <w:rFonts w:ascii="Arial" w:hAnsi="Arial" w:cs="Arial"/>
          <w:sz w:val="24"/>
          <w:szCs w:val="24"/>
        </w:rPr>
      </w:pPr>
      <w:bookmarkStart w:id="10" w:name="_Toc234494126"/>
      <w:bookmarkStart w:id="11" w:name="_Toc234522575"/>
      <w:r w:rsidRPr="003D60C6">
        <w:rPr>
          <w:rFonts w:ascii="Arial" w:hAnsi="Arial" w:cs="Arial"/>
          <w:sz w:val="24"/>
          <w:szCs w:val="24"/>
        </w:rPr>
        <w:t>Section 2: Overview of Sustainable Development Goal 2: Zero Hunger</w:t>
      </w:r>
      <w:bookmarkEnd w:id="10"/>
      <w:bookmarkEnd w:id="11"/>
    </w:p>
    <w:p w14:paraId="58D848ED" w14:textId="77777777" w:rsidR="005C75B7" w:rsidRPr="003D60C6" w:rsidRDefault="005C75B7" w:rsidP="003D60C6">
      <w:pPr>
        <w:spacing w:line="360" w:lineRule="auto"/>
        <w:jc w:val="both"/>
        <w:rPr>
          <w:rFonts w:ascii="Arial" w:hAnsi="Arial" w:cs="Arial"/>
          <w:sz w:val="22"/>
          <w:szCs w:val="22"/>
        </w:rPr>
      </w:pPr>
      <w:r w:rsidRPr="003D60C6">
        <w:rPr>
          <w:rFonts w:ascii="Arial" w:hAnsi="Arial" w:cs="Arial"/>
          <w:sz w:val="22"/>
          <w:szCs w:val="22"/>
        </w:rPr>
        <w:t xml:space="preserve">SDG 2, established under the UN 2030 Agenda for Sustainable Development, aims to end hunger, achieve food security, improve nutrition and promote sustainable agriculture by 2030 (UN, 2015). SDG 2 recognises that access to safe, nutritious and sufficient food is fundamental </w:t>
      </w:r>
      <w:r w:rsidRPr="003D60C6">
        <w:rPr>
          <w:rFonts w:ascii="Arial" w:hAnsi="Arial" w:cs="Arial"/>
          <w:sz w:val="22"/>
          <w:szCs w:val="22"/>
        </w:rPr>
        <w:lastRenderedPageBreak/>
        <w:t>to health, wellbeing and sustainable development (FAO et al., 2025). SDG 2 encompasses targets aimed at eliminating all forms of malnutrition, strengthening sustainable agricultural production and promoting resilient food systems capable of ensuring equitable access to safe and nutritious food (FAO et al., 2025).</w:t>
      </w:r>
    </w:p>
    <w:p w14:paraId="7C72A33B" w14:textId="77BB7FAD" w:rsidR="005C75B7" w:rsidRPr="003D60C6" w:rsidRDefault="005C75B7" w:rsidP="003D60C6">
      <w:pPr>
        <w:spacing w:line="360" w:lineRule="auto"/>
        <w:jc w:val="both"/>
        <w:rPr>
          <w:rFonts w:ascii="Arial" w:hAnsi="Arial" w:cs="Arial"/>
          <w:sz w:val="22"/>
          <w:szCs w:val="22"/>
        </w:rPr>
      </w:pPr>
      <w:r w:rsidRPr="003D60C6">
        <w:rPr>
          <w:rFonts w:ascii="Arial" w:hAnsi="Arial" w:cs="Arial"/>
          <w:sz w:val="22"/>
          <w:szCs w:val="22"/>
        </w:rPr>
        <w:t>Food insecurity persists as a public health challenge despite improvements in global food production (FAO et al., 2025). Ongoing conflict, climate change, economic instability, and rising food prices continue to undermine global food security, intensifying health inequalities and contributing to adverse physical and mental health outcomes (FAO et al., 2025). As adequate nutrition is fundamental to health and wellbeing, SDG 2 is intrinsically linked to SDG 3 (FAO et al., 2025). The subsequent section provides a critical evaluation of global, national, and local policies aimed at reducing food insecurity and improving nutritional health.</w:t>
      </w:r>
    </w:p>
    <w:p w14:paraId="54ED074B" w14:textId="77777777" w:rsidR="005C75B7" w:rsidRPr="003D60C6" w:rsidRDefault="005C75B7" w:rsidP="003D60C6">
      <w:pPr>
        <w:pStyle w:val="Heading3"/>
        <w:rPr>
          <w:rFonts w:ascii="Arial" w:hAnsi="Arial" w:cs="Arial"/>
          <w:sz w:val="22"/>
          <w:szCs w:val="22"/>
        </w:rPr>
      </w:pPr>
      <w:bookmarkStart w:id="12" w:name="_Toc234494127"/>
      <w:bookmarkStart w:id="13" w:name="_Toc234522576"/>
      <w:r w:rsidRPr="003D60C6">
        <w:rPr>
          <w:rFonts w:ascii="Arial" w:hAnsi="Arial" w:cs="Arial"/>
          <w:sz w:val="22"/>
          <w:szCs w:val="22"/>
        </w:rPr>
        <w:t>2.1 Critical Evaluation of Global Policies and Initiatives</w:t>
      </w:r>
      <w:bookmarkEnd w:id="12"/>
      <w:bookmarkEnd w:id="13"/>
    </w:p>
    <w:p w14:paraId="243DA1A3" w14:textId="569A0B11" w:rsidR="005C75B7" w:rsidRPr="003D60C6" w:rsidRDefault="005C75B7" w:rsidP="00535092">
      <w:pPr>
        <w:spacing w:line="360" w:lineRule="auto"/>
        <w:jc w:val="both"/>
        <w:rPr>
          <w:rFonts w:ascii="Arial" w:hAnsi="Arial" w:cs="Arial"/>
          <w:sz w:val="22"/>
          <w:szCs w:val="22"/>
        </w:rPr>
      </w:pPr>
      <w:r w:rsidRPr="003D60C6">
        <w:rPr>
          <w:rFonts w:ascii="Arial" w:hAnsi="Arial" w:cs="Arial"/>
          <w:sz w:val="22"/>
          <w:szCs w:val="22"/>
        </w:rPr>
        <w:t>Global initiatives supporting SDG 2 are coordinated by the UN, the Food and Agriculture Organization (FAO) and the WHO, which share the aim of eliminating hunger, improving nutrition and establishing sustainable food systems (FAO et al., 2025). These organisations promote policies that strengthen agricultural resilience and improve equitable access to nutritious food</w:t>
      </w:r>
      <w:r w:rsidR="00C66961">
        <w:rPr>
          <w:rFonts w:ascii="Arial" w:hAnsi="Arial" w:cs="Arial"/>
          <w:sz w:val="22"/>
          <w:szCs w:val="22"/>
        </w:rPr>
        <w:t>,</w:t>
      </w:r>
      <w:r w:rsidRPr="003D60C6">
        <w:rPr>
          <w:rFonts w:ascii="Arial" w:hAnsi="Arial" w:cs="Arial"/>
          <w:sz w:val="22"/>
          <w:szCs w:val="22"/>
        </w:rPr>
        <w:t xml:space="preserve"> particularly in low- and middle-income countries (FAO et al., 2025). Evidence indicates that coordinated investment in sustainable agriculture, nutrition programmes and food assistance has improved food security and reduced undernutrition across several regions (FAO et al., 2025). </w:t>
      </w:r>
      <w:r w:rsidR="00722305">
        <w:rPr>
          <w:rFonts w:ascii="Arial" w:hAnsi="Arial" w:cs="Arial"/>
          <w:sz w:val="22"/>
          <w:szCs w:val="22"/>
        </w:rPr>
        <w:t xml:space="preserve">Nevertheless, progress remains limited because the structural drivers of hunger continue to undermine global efforts </w:t>
      </w:r>
      <w:r w:rsidR="00535092" w:rsidRPr="00535092">
        <w:rPr>
          <w:rFonts w:ascii="Arial" w:hAnsi="Arial" w:cs="Arial"/>
          <w:sz w:val="22"/>
          <w:szCs w:val="22"/>
        </w:rPr>
        <w:t>(Moramarco et al., 2025).</w:t>
      </w:r>
    </w:p>
    <w:p w14:paraId="6B6EB870" w14:textId="0F7C4AA3" w:rsidR="005C75B7" w:rsidRPr="003D60C6" w:rsidRDefault="005C75B7" w:rsidP="003D60C6">
      <w:pPr>
        <w:spacing w:line="360" w:lineRule="auto"/>
        <w:jc w:val="both"/>
        <w:rPr>
          <w:rFonts w:ascii="Arial" w:hAnsi="Arial" w:cs="Arial"/>
          <w:sz w:val="22"/>
          <w:szCs w:val="22"/>
        </w:rPr>
      </w:pPr>
      <w:r w:rsidRPr="003D60C6">
        <w:rPr>
          <w:rFonts w:ascii="Arial" w:hAnsi="Arial" w:cs="Arial"/>
          <w:sz w:val="22"/>
          <w:szCs w:val="22"/>
        </w:rPr>
        <w:t xml:space="preserve">Despite these developments, progress towards achieving SDG 2 remains substantially behind schedule. Global monitoring reports </w:t>
      </w:r>
      <w:r w:rsidR="00C66961">
        <w:rPr>
          <w:rFonts w:ascii="Arial" w:hAnsi="Arial" w:cs="Arial"/>
          <w:sz w:val="22"/>
          <w:szCs w:val="22"/>
        </w:rPr>
        <w:t xml:space="preserve">indicate </w:t>
      </w:r>
      <w:r w:rsidRPr="003D60C6">
        <w:rPr>
          <w:rFonts w:ascii="Arial" w:hAnsi="Arial" w:cs="Arial"/>
          <w:sz w:val="22"/>
          <w:szCs w:val="22"/>
        </w:rPr>
        <w:t>that approximately 733 million people experienced hunger in 2023, reflecting the continuing effects of conflict, climate change, economic instability and rising food prices on food security (WHO, 2024). Fanzo et al. (2025) argue that climate change is increasingly disrupting food production, reducing agricultural productivity and exacerbating nutritional inequalities, particularly among vulnerable populations. These findings reflect the Social Determinants of Health framework, which recognises that food insecurity is influenced by broader social, economic and environmental conditions rather than food availability alone (Marmot et al., 2020). Although global initiatives have established a strong foundation for improving food security, their long-term effectiveness depends on coordinated cross-sector action to address the wider determinants of food insecurity and continued investment in resilient food systems (Moramarco</w:t>
      </w:r>
      <w:r w:rsidR="00E76CED">
        <w:rPr>
          <w:rFonts w:ascii="Arial" w:hAnsi="Arial" w:cs="Arial"/>
          <w:sz w:val="22"/>
          <w:szCs w:val="22"/>
        </w:rPr>
        <w:t xml:space="preserve"> et al.</w:t>
      </w:r>
      <w:r w:rsidRPr="003D60C6">
        <w:rPr>
          <w:rFonts w:ascii="Arial" w:hAnsi="Arial" w:cs="Arial"/>
          <w:sz w:val="22"/>
          <w:szCs w:val="22"/>
        </w:rPr>
        <w:t>, 2025).</w:t>
      </w:r>
    </w:p>
    <w:p w14:paraId="11A692CE" w14:textId="77777777" w:rsidR="005C75B7" w:rsidRPr="003D60C6" w:rsidRDefault="005C75B7" w:rsidP="003D60C6">
      <w:pPr>
        <w:pStyle w:val="Heading3"/>
        <w:rPr>
          <w:rFonts w:ascii="Arial" w:hAnsi="Arial" w:cs="Arial"/>
          <w:sz w:val="22"/>
          <w:szCs w:val="22"/>
        </w:rPr>
      </w:pPr>
      <w:bookmarkStart w:id="14" w:name="_Toc234494128"/>
      <w:bookmarkStart w:id="15" w:name="_Toc234522577"/>
      <w:r w:rsidRPr="003D60C6">
        <w:rPr>
          <w:rFonts w:ascii="Arial" w:hAnsi="Arial" w:cs="Arial"/>
          <w:sz w:val="22"/>
          <w:szCs w:val="22"/>
        </w:rPr>
        <w:lastRenderedPageBreak/>
        <w:t>2.2 Critical Evaluation of National and Local Policies and Initiatives</w:t>
      </w:r>
      <w:bookmarkEnd w:id="14"/>
      <w:bookmarkEnd w:id="15"/>
    </w:p>
    <w:p w14:paraId="3E5AB4E3" w14:textId="50A83E37" w:rsidR="005C75B7" w:rsidRPr="003D60C6" w:rsidRDefault="005C75B7" w:rsidP="003D60C6">
      <w:pPr>
        <w:spacing w:line="360" w:lineRule="auto"/>
        <w:jc w:val="both"/>
        <w:rPr>
          <w:rFonts w:ascii="Arial" w:hAnsi="Arial" w:cs="Arial"/>
          <w:sz w:val="22"/>
          <w:szCs w:val="22"/>
        </w:rPr>
      </w:pPr>
      <w:r w:rsidRPr="003D60C6">
        <w:rPr>
          <w:rFonts w:ascii="Arial" w:hAnsi="Arial" w:cs="Arial"/>
          <w:sz w:val="22"/>
          <w:szCs w:val="22"/>
        </w:rPr>
        <w:t>In the United Kingdom, SDG 2 is supported through national policies that aim to reduce food insecurity and improve nutritional health, particularly among vulnerable populations (N</w:t>
      </w:r>
      <w:r w:rsidR="00AB215B">
        <w:rPr>
          <w:rFonts w:ascii="Arial" w:hAnsi="Arial" w:cs="Arial"/>
          <w:sz w:val="22"/>
          <w:szCs w:val="22"/>
        </w:rPr>
        <w:t xml:space="preserve">ational </w:t>
      </w:r>
      <w:r w:rsidRPr="003D60C6">
        <w:rPr>
          <w:rFonts w:ascii="Arial" w:hAnsi="Arial" w:cs="Arial"/>
          <w:sz w:val="22"/>
          <w:szCs w:val="22"/>
        </w:rPr>
        <w:t>H</w:t>
      </w:r>
      <w:r w:rsidR="00AB215B">
        <w:rPr>
          <w:rFonts w:ascii="Arial" w:hAnsi="Arial" w:cs="Arial"/>
          <w:sz w:val="22"/>
          <w:szCs w:val="22"/>
        </w:rPr>
        <w:t xml:space="preserve">ealth </w:t>
      </w:r>
      <w:r w:rsidRPr="003D60C6">
        <w:rPr>
          <w:rFonts w:ascii="Arial" w:hAnsi="Arial" w:cs="Arial"/>
          <w:sz w:val="22"/>
          <w:szCs w:val="22"/>
        </w:rPr>
        <w:t>S</w:t>
      </w:r>
      <w:r w:rsidR="00AB215B">
        <w:rPr>
          <w:rFonts w:ascii="Arial" w:hAnsi="Arial" w:cs="Arial"/>
          <w:sz w:val="22"/>
          <w:szCs w:val="22"/>
        </w:rPr>
        <w:t>ervice</w:t>
      </w:r>
      <w:r w:rsidRPr="003D60C6">
        <w:rPr>
          <w:rFonts w:ascii="Arial" w:hAnsi="Arial" w:cs="Arial"/>
          <w:sz w:val="22"/>
          <w:szCs w:val="22"/>
        </w:rPr>
        <w:t>, 2024). The Healthy Start Scheme provides financial support for eligible pregnant women and families with young children to improve access to fruit, vegetables, milk and vitamins to promote maternal and child nutrition (N</w:t>
      </w:r>
      <w:r w:rsidR="00DC450F">
        <w:rPr>
          <w:rFonts w:ascii="Arial" w:hAnsi="Arial" w:cs="Arial"/>
          <w:sz w:val="22"/>
          <w:szCs w:val="22"/>
        </w:rPr>
        <w:t xml:space="preserve">ational </w:t>
      </w:r>
      <w:r w:rsidRPr="003D60C6">
        <w:rPr>
          <w:rFonts w:ascii="Arial" w:hAnsi="Arial" w:cs="Arial"/>
          <w:sz w:val="22"/>
          <w:szCs w:val="22"/>
        </w:rPr>
        <w:t>H</w:t>
      </w:r>
      <w:r w:rsidR="00DC450F">
        <w:rPr>
          <w:rFonts w:ascii="Arial" w:hAnsi="Arial" w:cs="Arial"/>
          <w:sz w:val="22"/>
          <w:szCs w:val="22"/>
        </w:rPr>
        <w:t xml:space="preserve">ealth </w:t>
      </w:r>
      <w:r w:rsidRPr="003D60C6">
        <w:rPr>
          <w:rFonts w:ascii="Arial" w:hAnsi="Arial" w:cs="Arial"/>
          <w:sz w:val="22"/>
          <w:szCs w:val="22"/>
        </w:rPr>
        <w:t>S</w:t>
      </w:r>
      <w:r w:rsidR="00AB215B">
        <w:rPr>
          <w:rFonts w:ascii="Arial" w:hAnsi="Arial" w:cs="Arial"/>
          <w:sz w:val="22"/>
          <w:szCs w:val="22"/>
        </w:rPr>
        <w:t>ervice</w:t>
      </w:r>
      <w:r w:rsidRPr="003D60C6">
        <w:rPr>
          <w:rFonts w:ascii="Arial" w:hAnsi="Arial" w:cs="Arial"/>
          <w:sz w:val="22"/>
          <w:szCs w:val="22"/>
        </w:rPr>
        <w:t>, 2024). However, many eligible families continue to face barriers to accessing the scheme, including limited awareness, administrative complexities and restrictive eligibility criteria (Barrett, Spires and Vogel, 2024).</w:t>
      </w:r>
    </w:p>
    <w:p w14:paraId="38DA5051" w14:textId="569B3D68" w:rsidR="005C75B7" w:rsidRPr="003D60C6" w:rsidRDefault="00762314" w:rsidP="00BF4F87">
      <w:pPr>
        <w:spacing w:line="360" w:lineRule="auto"/>
        <w:jc w:val="both"/>
        <w:rPr>
          <w:rFonts w:ascii="Arial" w:hAnsi="Arial" w:cs="Arial"/>
          <w:sz w:val="22"/>
          <w:szCs w:val="22"/>
        </w:rPr>
      </w:pPr>
      <w:r>
        <w:rPr>
          <w:rFonts w:ascii="Arial" w:hAnsi="Arial" w:cs="Arial"/>
          <w:sz w:val="22"/>
          <w:szCs w:val="22"/>
        </w:rPr>
        <w:t>Despite providing val</w:t>
      </w:r>
      <w:r w:rsidR="00E570C8">
        <w:rPr>
          <w:rFonts w:ascii="Arial" w:hAnsi="Arial" w:cs="Arial"/>
          <w:sz w:val="22"/>
          <w:szCs w:val="22"/>
        </w:rPr>
        <w:t xml:space="preserve">uable financial support, limited uptake raises questions about </w:t>
      </w:r>
      <w:r w:rsidR="00073337">
        <w:rPr>
          <w:rFonts w:ascii="Arial" w:hAnsi="Arial" w:cs="Arial"/>
          <w:sz w:val="22"/>
          <w:szCs w:val="22"/>
        </w:rPr>
        <w:t>whether the Health</w:t>
      </w:r>
      <w:r w:rsidR="00837063">
        <w:rPr>
          <w:rFonts w:ascii="Arial" w:hAnsi="Arial" w:cs="Arial"/>
          <w:sz w:val="22"/>
          <w:szCs w:val="22"/>
        </w:rPr>
        <w:t>y</w:t>
      </w:r>
      <w:r w:rsidR="00073337">
        <w:rPr>
          <w:rFonts w:ascii="Arial" w:hAnsi="Arial" w:cs="Arial"/>
          <w:sz w:val="22"/>
          <w:szCs w:val="22"/>
        </w:rPr>
        <w:t xml:space="preserve"> Strat Sch</w:t>
      </w:r>
      <w:r w:rsidR="00D95BEC">
        <w:rPr>
          <w:rFonts w:ascii="Arial" w:hAnsi="Arial" w:cs="Arial"/>
          <w:sz w:val="22"/>
          <w:szCs w:val="22"/>
        </w:rPr>
        <w:t>eme reaches all eligible families effectively</w:t>
      </w:r>
      <w:r w:rsidR="005C75B7" w:rsidRPr="003D60C6">
        <w:rPr>
          <w:rFonts w:ascii="Arial" w:hAnsi="Arial" w:cs="Arial"/>
          <w:sz w:val="22"/>
          <w:szCs w:val="22"/>
        </w:rPr>
        <w:t xml:space="preserve"> (Parnham et al., 2021). These findings indicate that national initiatives alone are inadequate to address the broader impacts of poverty and food insecurity without complementary economic and social policies (Marmot et al., 2020).</w:t>
      </w:r>
    </w:p>
    <w:p w14:paraId="2A4803D3" w14:textId="091EFBE9" w:rsidR="005C75B7" w:rsidRPr="003D60C6" w:rsidRDefault="005C75B7" w:rsidP="003D60C6">
      <w:pPr>
        <w:spacing w:line="360" w:lineRule="auto"/>
        <w:jc w:val="both"/>
        <w:rPr>
          <w:rFonts w:ascii="Arial" w:hAnsi="Arial" w:cs="Arial"/>
          <w:sz w:val="22"/>
          <w:szCs w:val="22"/>
        </w:rPr>
      </w:pPr>
      <w:r w:rsidRPr="003D60C6">
        <w:rPr>
          <w:rFonts w:ascii="Arial" w:hAnsi="Arial" w:cs="Arial"/>
          <w:sz w:val="22"/>
          <w:szCs w:val="22"/>
        </w:rPr>
        <w:t xml:space="preserve">Birmingham provides a local case study for evaluating SDG 2 through the Birmingham Food System Strategy, which aims to improve access to affordable, nutritious and sustainable food through partnership working between local authorities, healthcare providers and voluntary organisations (BCC, 2022a). </w:t>
      </w:r>
      <w:r w:rsidR="004C1E77">
        <w:rPr>
          <w:rFonts w:ascii="Arial" w:hAnsi="Arial" w:cs="Arial"/>
          <w:sz w:val="22"/>
          <w:szCs w:val="22"/>
        </w:rPr>
        <w:t xml:space="preserve">The Strategy demonstrates </w:t>
      </w:r>
      <w:r w:rsidR="002573B0">
        <w:rPr>
          <w:rFonts w:ascii="Arial" w:hAnsi="Arial" w:cs="Arial"/>
          <w:sz w:val="22"/>
          <w:szCs w:val="22"/>
        </w:rPr>
        <w:t>a commitment to reducing food inequalities; however, its impact remains constrained where structural deprivation persists</w:t>
      </w:r>
      <w:r w:rsidR="00427199">
        <w:rPr>
          <w:rFonts w:ascii="Arial" w:hAnsi="Arial" w:cs="Arial"/>
          <w:sz w:val="22"/>
          <w:szCs w:val="22"/>
        </w:rPr>
        <w:t xml:space="preserve"> </w:t>
      </w:r>
      <w:r w:rsidRPr="003D60C6">
        <w:rPr>
          <w:rFonts w:ascii="Arial" w:hAnsi="Arial" w:cs="Arial"/>
          <w:sz w:val="22"/>
          <w:szCs w:val="22"/>
        </w:rPr>
        <w:t>(BCC, 2022a</w:t>
      </w:r>
      <w:r w:rsidR="00427199">
        <w:rPr>
          <w:rFonts w:ascii="Arial" w:hAnsi="Arial" w:cs="Arial"/>
          <w:sz w:val="22"/>
          <w:szCs w:val="22"/>
        </w:rPr>
        <w:t>; Marmot et al., 2020</w:t>
      </w:r>
      <w:r w:rsidRPr="003D60C6">
        <w:rPr>
          <w:rFonts w:ascii="Arial" w:hAnsi="Arial" w:cs="Arial"/>
          <w:sz w:val="22"/>
          <w:szCs w:val="22"/>
        </w:rPr>
        <w:t>). These initiatives can be evaluated using the Social Determinants of Health framework, which recognises that food insecurity is shaped by broader social, economic and environmental conditions rather than individual choice alone (Marmot et al., 2020).</w:t>
      </w:r>
    </w:p>
    <w:p w14:paraId="27C78BAC" w14:textId="196ABB91" w:rsidR="005C75B7" w:rsidRPr="003D60C6" w:rsidRDefault="005C75B7" w:rsidP="00211E9A">
      <w:pPr>
        <w:spacing w:line="360" w:lineRule="auto"/>
        <w:jc w:val="both"/>
        <w:rPr>
          <w:rFonts w:ascii="Arial" w:hAnsi="Arial" w:cs="Arial"/>
          <w:sz w:val="22"/>
          <w:szCs w:val="22"/>
        </w:rPr>
      </w:pPr>
      <w:r w:rsidRPr="003D60C6">
        <w:rPr>
          <w:rFonts w:ascii="Arial" w:hAnsi="Arial" w:cs="Arial"/>
          <w:sz w:val="22"/>
          <w:szCs w:val="22"/>
        </w:rPr>
        <w:t xml:space="preserve">Persistent deprivation, unemployment, and increasing food costs continue to limit access to nutritious food for many Birmingham residents (The Food Foundation, 2025). </w:t>
      </w:r>
      <w:r w:rsidR="00211E9A" w:rsidRPr="00211E9A">
        <w:rPr>
          <w:rFonts w:ascii="Arial" w:hAnsi="Arial" w:cs="Arial"/>
          <w:sz w:val="22"/>
          <w:szCs w:val="22"/>
        </w:rPr>
        <w:t xml:space="preserve">These challenges illustrate </w:t>
      </w:r>
      <w:r w:rsidR="0075483B" w:rsidRPr="00211E9A">
        <w:rPr>
          <w:rFonts w:ascii="Arial" w:hAnsi="Arial" w:cs="Arial"/>
          <w:sz w:val="22"/>
          <w:szCs w:val="22"/>
        </w:rPr>
        <w:t>th</w:t>
      </w:r>
      <w:r w:rsidR="00EE5CAB">
        <w:rPr>
          <w:rFonts w:ascii="Arial" w:hAnsi="Arial" w:cs="Arial"/>
          <w:sz w:val="22"/>
          <w:szCs w:val="22"/>
        </w:rPr>
        <w:t>at</w:t>
      </w:r>
      <w:r w:rsidR="0075483B">
        <w:rPr>
          <w:rFonts w:ascii="Arial" w:hAnsi="Arial" w:cs="Arial"/>
          <w:sz w:val="22"/>
          <w:szCs w:val="22"/>
        </w:rPr>
        <w:t xml:space="preserve"> local initiatives</w:t>
      </w:r>
      <w:r w:rsidR="00211E9A" w:rsidRPr="00211E9A">
        <w:rPr>
          <w:rFonts w:ascii="Arial" w:hAnsi="Arial" w:cs="Arial"/>
          <w:sz w:val="22"/>
          <w:szCs w:val="22"/>
        </w:rPr>
        <w:t>, in isolation, are insufficient to eliminate food insecurity without sustained national investment and coordinated cross-sector action to address the broader social determinants of health (Marmot et al., 2020).</w:t>
      </w:r>
    </w:p>
    <w:p w14:paraId="2D460D0B" w14:textId="77777777" w:rsidR="005C75B7" w:rsidRPr="003D60C6" w:rsidRDefault="005C75B7" w:rsidP="003D60C6">
      <w:pPr>
        <w:pStyle w:val="Heading3"/>
        <w:rPr>
          <w:rFonts w:ascii="Arial" w:hAnsi="Arial" w:cs="Arial"/>
          <w:sz w:val="22"/>
          <w:szCs w:val="22"/>
        </w:rPr>
      </w:pPr>
      <w:bookmarkStart w:id="16" w:name="_Toc234494129"/>
      <w:bookmarkStart w:id="17" w:name="_Toc234522578"/>
      <w:r w:rsidRPr="003D60C6">
        <w:rPr>
          <w:rFonts w:ascii="Arial" w:hAnsi="Arial" w:cs="Arial"/>
          <w:sz w:val="22"/>
          <w:szCs w:val="22"/>
        </w:rPr>
        <w:t>2.3 Recommendations</w:t>
      </w:r>
      <w:bookmarkEnd w:id="16"/>
      <w:bookmarkEnd w:id="17"/>
    </w:p>
    <w:p w14:paraId="736F2460" w14:textId="77777777" w:rsidR="005C75B7" w:rsidRPr="003D60C6" w:rsidRDefault="005C75B7" w:rsidP="003D60C6">
      <w:pPr>
        <w:spacing w:line="360" w:lineRule="auto"/>
        <w:jc w:val="both"/>
        <w:rPr>
          <w:rFonts w:ascii="Arial" w:hAnsi="Arial" w:cs="Arial"/>
          <w:sz w:val="22"/>
          <w:szCs w:val="22"/>
        </w:rPr>
      </w:pPr>
      <w:r w:rsidRPr="003D60C6">
        <w:rPr>
          <w:rFonts w:ascii="Arial" w:hAnsi="Arial" w:cs="Arial"/>
          <w:sz w:val="22"/>
          <w:szCs w:val="22"/>
        </w:rPr>
        <w:t xml:space="preserve">To strengthen progress towards SDG 2, greater investment is required in policies that enhance food security, alleviate poverty and promote equitable access to nutritious food (FAO et al., 2025). National initiatives, including the Healthy Start Scheme, should be expanded by increasing public awareness, simplifying the application process and reviewing eligibility criteria to improve access for eligible families (Barrett, Spires and Vogel, 2024). Food insecurity policies should be integrated with economic and public health strategies that </w:t>
      </w:r>
      <w:r w:rsidRPr="003D60C6">
        <w:rPr>
          <w:rFonts w:ascii="Arial" w:hAnsi="Arial" w:cs="Arial"/>
          <w:sz w:val="22"/>
          <w:szCs w:val="22"/>
        </w:rPr>
        <w:lastRenderedPageBreak/>
        <w:t>address income inequality, housing insecurity and the rising cost of living, recognising their continued influence on nutritional health (Marmot et al., 2020). In Birmingham, strengthening community food partnerships and sustainable food initiatives could improve access to affordable, healthy food within disadvantaged communities (BCC, 2022a). Collectively, these recommendations would reduce nutritional inequalities and improve population health (FAO et al., 2025).</w:t>
      </w:r>
    </w:p>
    <w:p w14:paraId="09D37EB9" w14:textId="77777777" w:rsidR="005C75B7" w:rsidRPr="003D60C6" w:rsidRDefault="005C75B7" w:rsidP="003D60C6">
      <w:pPr>
        <w:pStyle w:val="Heading2"/>
        <w:rPr>
          <w:rFonts w:ascii="Arial" w:hAnsi="Arial" w:cs="Arial"/>
          <w:sz w:val="24"/>
          <w:szCs w:val="24"/>
        </w:rPr>
      </w:pPr>
      <w:bookmarkStart w:id="18" w:name="_Toc234494130"/>
      <w:bookmarkStart w:id="19" w:name="_Toc234522579"/>
      <w:r w:rsidRPr="003D60C6">
        <w:rPr>
          <w:rFonts w:ascii="Arial" w:hAnsi="Arial" w:cs="Arial"/>
          <w:sz w:val="24"/>
          <w:szCs w:val="24"/>
        </w:rPr>
        <w:t>Conclusion</w:t>
      </w:r>
      <w:bookmarkEnd w:id="18"/>
      <w:bookmarkEnd w:id="19"/>
    </w:p>
    <w:p w14:paraId="11B13ED3" w14:textId="4FE08A73" w:rsidR="005C75B7" w:rsidRPr="003D60C6" w:rsidRDefault="005C75B7" w:rsidP="003D60C6">
      <w:pPr>
        <w:spacing w:line="360" w:lineRule="auto"/>
        <w:jc w:val="both"/>
        <w:rPr>
          <w:rFonts w:ascii="Arial" w:hAnsi="Arial" w:cs="Arial"/>
          <w:sz w:val="22"/>
          <w:szCs w:val="22"/>
        </w:rPr>
      </w:pPr>
      <w:r w:rsidRPr="003D60C6">
        <w:rPr>
          <w:rFonts w:ascii="Arial" w:hAnsi="Arial" w:cs="Arial"/>
          <w:sz w:val="22"/>
          <w:szCs w:val="22"/>
        </w:rPr>
        <w:t>This report critically evaluated the contributions of SDG 3 (Good Health and Well-being) and SDG 2 (Zero Hunger) to improving population health at the global, national</w:t>
      </w:r>
      <w:r w:rsidR="00D6166A">
        <w:rPr>
          <w:rFonts w:ascii="Arial" w:hAnsi="Arial" w:cs="Arial"/>
          <w:sz w:val="22"/>
          <w:szCs w:val="22"/>
        </w:rPr>
        <w:t xml:space="preserve"> </w:t>
      </w:r>
      <w:r w:rsidRPr="003D60C6">
        <w:rPr>
          <w:rFonts w:ascii="Arial" w:hAnsi="Arial" w:cs="Arial"/>
          <w:sz w:val="22"/>
          <w:szCs w:val="22"/>
        </w:rPr>
        <w:t>and local levels. The findings demonstrated that, despite international and national efforts to improve health, nutrition and wellbeing, significant challenges remain. Workforce shortages, socioeconomic inequalities, food insecurity and the rising cost of living continue to hinder progress towards achieving both SDGs (UN, 2024; Marmot et al., 2020).</w:t>
      </w:r>
    </w:p>
    <w:p w14:paraId="57C3E04B" w14:textId="3954F730" w:rsidR="005C75B7" w:rsidRPr="003D60C6" w:rsidRDefault="005C75B7" w:rsidP="003D60C6">
      <w:pPr>
        <w:spacing w:line="360" w:lineRule="auto"/>
        <w:jc w:val="both"/>
        <w:rPr>
          <w:rFonts w:ascii="Arial" w:hAnsi="Arial" w:cs="Arial"/>
          <w:sz w:val="22"/>
          <w:szCs w:val="22"/>
        </w:rPr>
      </w:pPr>
      <w:r w:rsidRPr="003D60C6">
        <w:rPr>
          <w:rFonts w:ascii="Arial" w:hAnsi="Arial" w:cs="Arial"/>
          <w:sz w:val="22"/>
          <w:szCs w:val="22"/>
        </w:rPr>
        <w:t xml:space="preserve">The </w:t>
      </w:r>
      <w:r w:rsidR="00ED5FF6" w:rsidRPr="003D60C6">
        <w:rPr>
          <w:rFonts w:ascii="Arial" w:hAnsi="Arial" w:cs="Arial"/>
          <w:sz w:val="22"/>
          <w:szCs w:val="22"/>
        </w:rPr>
        <w:t>report emphasised</w:t>
      </w:r>
      <w:r w:rsidRPr="003D60C6">
        <w:rPr>
          <w:rFonts w:ascii="Arial" w:hAnsi="Arial" w:cs="Arial"/>
          <w:sz w:val="22"/>
          <w:szCs w:val="22"/>
        </w:rPr>
        <w:t xml:space="preserve"> the close relationship between SDG 2 and SDG 3, demonstrating that adequate nutrition is essential for improved health outcomes and that equitable healthcare systems are critical for promoting population health (FAO et al., 2025). The application of the Biopsychosocial Model, </w:t>
      </w:r>
      <w:r w:rsidR="00837063">
        <w:rPr>
          <w:rFonts w:ascii="Arial" w:hAnsi="Arial" w:cs="Arial"/>
          <w:sz w:val="22"/>
          <w:szCs w:val="22"/>
        </w:rPr>
        <w:t xml:space="preserve">the </w:t>
      </w:r>
      <w:r w:rsidRPr="003D60C6">
        <w:rPr>
          <w:rFonts w:ascii="Arial" w:hAnsi="Arial" w:cs="Arial"/>
          <w:sz w:val="22"/>
          <w:szCs w:val="22"/>
        </w:rPr>
        <w:t>Health Belief Model and Social Determinants of Health framework reinforces that improving population health necessitates coordinated action beyond healthcare services alone (Marmot et al., 2020).</w:t>
      </w:r>
    </w:p>
    <w:p w14:paraId="3A33259B" w14:textId="09617520" w:rsidR="00B94F96" w:rsidRDefault="00406CC2" w:rsidP="0075483B">
      <w:pPr>
        <w:spacing w:line="360" w:lineRule="auto"/>
        <w:jc w:val="both"/>
        <w:rPr>
          <w:rFonts w:ascii="Arial" w:hAnsi="Arial" w:cs="Arial"/>
          <w:sz w:val="22"/>
          <w:szCs w:val="22"/>
        </w:rPr>
      </w:pPr>
      <w:r>
        <w:rPr>
          <w:rFonts w:ascii="Arial" w:hAnsi="Arial" w:cs="Arial"/>
          <w:sz w:val="22"/>
          <w:szCs w:val="22"/>
        </w:rPr>
        <w:t>Overall, achieving the Sustainable Development Goals depends not only on collaboration but also on addressing the structural ine</w:t>
      </w:r>
      <w:r w:rsidR="00B6640B">
        <w:rPr>
          <w:rFonts w:ascii="Arial" w:hAnsi="Arial" w:cs="Arial"/>
          <w:sz w:val="22"/>
          <w:szCs w:val="22"/>
        </w:rPr>
        <w:t xml:space="preserve">qualities that continue to limit policy </w:t>
      </w:r>
      <w:r w:rsidR="00197B1A">
        <w:rPr>
          <w:rFonts w:ascii="Arial" w:hAnsi="Arial" w:cs="Arial"/>
          <w:sz w:val="22"/>
          <w:szCs w:val="22"/>
        </w:rPr>
        <w:t>effectiveness</w:t>
      </w:r>
      <w:r w:rsidR="00B6640B">
        <w:rPr>
          <w:rFonts w:ascii="Arial" w:hAnsi="Arial" w:cs="Arial"/>
          <w:sz w:val="22"/>
          <w:szCs w:val="22"/>
        </w:rPr>
        <w:t xml:space="preserve">. </w:t>
      </w:r>
      <w:r w:rsidR="005C75B7" w:rsidRPr="003D60C6">
        <w:rPr>
          <w:rFonts w:ascii="Arial" w:hAnsi="Arial" w:cs="Arial"/>
          <w:sz w:val="22"/>
          <w:szCs w:val="22"/>
        </w:rPr>
        <w:t>Strengthening prevention and addressing the wider social determinants of health will be essential to reducing health inequalities and improving population wellbeing (Marmot et al., 2020)</w:t>
      </w:r>
      <w:r w:rsidR="0075483B">
        <w:rPr>
          <w:rFonts w:ascii="Arial" w:hAnsi="Arial" w:cs="Arial"/>
          <w:sz w:val="22"/>
          <w:szCs w:val="22"/>
        </w:rPr>
        <w:t>.</w:t>
      </w:r>
    </w:p>
    <w:p w14:paraId="0E719798" w14:textId="77777777" w:rsidR="0075483B" w:rsidRDefault="0075483B" w:rsidP="0075483B">
      <w:pPr>
        <w:spacing w:line="360" w:lineRule="auto"/>
        <w:jc w:val="both"/>
        <w:rPr>
          <w:rFonts w:ascii="Arial" w:hAnsi="Arial" w:cs="Arial"/>
          <w:sz w:val="22"/>
          <w:szCs w:val="22"/>
        </w:rPr>
      </w:pPr>
    </w:p>
    <w:p w14:paraId="1B2FB88A" w14:textId="77777777" w:rsidR="0075483B" w:rsidRDefault="0075483B" w:rsidP="0075483B">
      <w:pPr>
        <w:spacing w:line="360" w:lineRule="auto"/>
        <w:jc w:val="both"/>
        <w:rPr>
          <w:rFonts w:ascii="Arial" w:hAnsi="Arial" w:cs="Arial"/>
          <w:sz w:val="22"/>
          <w:szCs w:val="22"/>
        </w:rPr>
      </w:pPr>
    </w:p>
    <w:p w14:paraId="352D5700" w14:textId="77777777" w:rsidR="0075483B" w:rsidRDefault="0075483B" w:rsidP="0075483B">
      <w:pPr>
        <w:spacing w:line="360" w:lineRule="auto"/>
        <w:jc w:val="both"/>
        <w:rPr>
          <w:rFonts w:ascii="Arial" w:hAnsi="Arial" w:cs="Arial"/>
          <w:sz w:val="22"/>
          <w:szCs w:val="22"/>
        </w:rPr>
      </w:pPr>
    </w:p>
    <w:p w14:paraId="162B89B7" w14:textId="77777777" w:rsidR="0075483B" w:rsidRDefault="0075483B" w:rsidP="0075483B">
      <w:pPr>
        <w:spacing w:line="360" w:lineRule="auto"/>
        <w:jc w:val="both"/>
        <w:rPr>
          <w:rFonts w:ascii="Arial" w:hAnsi="Arial" w:cs="Arial"/>
          <w:sz w:val="22"/>
          <w:szCs w:val="22"/>
        </w:rPr>
      </w:pPr>
    </w:p>
    <w:p w14:paraId="58C69480" w14:textId="77777777" w:rsidR="0075483B" w:rsidRDefault="0075483B" w:rsidP="0075483B">
      <w:pPr>
        <w:spacing w:line="360" w:lineRule="auto"/>
        <w:jc w:val="both"/>
        <w:rPr>
          <w:rFonts w:ascii="Arial" w:hAnsi="Arial" w:cs="Arial"/>
          <w:sz w:val="22"/>
          <w:szCs w:val="22"/>
        </w:rPr>
      </w:pPr>
    </w:p>
    <w:p w14:paraId="1BF22EEC" w14:textId="77777777" w:rsidR="0075483B" w:rsidRDefault="0075483B" w:rsidP="0075483B">
      <w:pPr>
        <w:spacing w:line="360" w:lineRule="auto"/>
        <w:jc w:val="both"/>
        <w:rPr>
          <w:rFonts w:ascii="Arial" w:hAnsi="Arial" w:cs="Arial"/>
          <w:sz w:val="22"/>
          <w:szCs w:val="22"/>
        </w:rPr>
      </w:pPr>
    </w:p>
    <w:p w14:paraId="3689F967" w14:textId="77777777" w:rsidR="0075483B" w:rsidRPr="0075483B" w:rsidRDefault="0075483B" w:rsidP="0075483B">
      <w:pPr>
        <w:spacing w:line="360" w:lineRule="auto"/>
        <w:jc w:val="both"/>
        <w:rPr>
          <w:rFonts w:ascii="Arial" w:hAnsi="Arial" w:cs="Arial"/>
          <w:sz w:val="22"/>
          <w:szCs w:val="22"/>
        </w:rPr>
      </w:pPr>
    </w:p>
    <w:p w14:paraId="77EAD32A" w14:textId="383D81B6" w:rsidR="002158C8" w:rsidRPr="00744BF5" w:rsidRDefault="00744BF5" w:rsidP="00744BF5">
      <w:pPr>
        <w:pStyle w:val="Heading2"/>
        <w:rPr>
          <w:rFonts w:asciiTheme="minorBidi" w:hAnsiTheme="minorBidi" w:cstheme="minorBidi"/>
          <w:sz w:val="24"/>
          <w:szCs w:val="24"/>
        </w:rPr>
      </w:pPr>
      <w:bookmarkStart w:id="20" w:name="_Toc234494131"/>
      <w:bookmarkStart w:id="21" w:name="_Toc234522580"/>
      <w:r w:rsidRPr="00744BF5">
        <w:rPr>
          <w:rFonts w:asciiTheme="minorBidi" w:hAnsiTheme="minorBidi" w:cstheme="minorBidi"/>
          <w:sz w:val="24"/>
          <w:szCs w:val="24"/>
        </w:rPr>
        <w:lastRenderedPageBreak/>
        <w:t>References</w:t>
      </w:r>
      <w:bookmarkEnd w:id="20"/>
      <w:bookmarkEnd w:id="21"/>
      <w:r w:rsidRPr="00744BF5">
        <w:rPr>
          <w:rFonts w:asciiTheme="minorBidi" w:hAnsiTheme="minorBidi" w:cstheme="minorBidi"/>
          <w:sz w:val="24"/>
          <w:szCs w:val="24"/>
        </w:rPr>
        <w:t xml:space="preserve"> </w:t>
      </w:r>
    </w:p>
    <w:p w14:paraId="2A535916" w14:textId="77BFBB4D" w:rsidR="00187480" w:rsidRPr="00537053" w:rsidRDefault="00187480" w:rsidP="00C13F88">
      <w:pPr>
        <w:spacing w:line="360" w:lineRule="auto"/>
        <w:jc w:val="both"/>
        <w:rPr>
          <w:rFonts w:ascii="Arial" w:eastAsiaTheme="minorEastAsia" w:hAnsi="Arial" w:cs="Arial"/>
          <w:kern w:val="0"/>
          <w:sz w:val="22"/>
          <w:szCs w:val="22"/>
          <w:lang w:eastAsia="en-GB"/>
          <w14:ligatures w14:val="none"/>
        </w:rPr>
      </w:pPr>
      <w:r w:rsidRPr="00537053">
        <w:rPr>
          <w:rFonts w:ascii="Arial" w:eastAsiaTheme="minorEastAsia" w:hAnsi="Arial" w:cs="Arial"/>
          <w:kern w:val="0"/>
          <w:sz w:val="22"/>
          <w:szCs w:val="22"/>
          <w:lang w:eastAsia="en-GB"/>
          <w14:ligatures w14:val="none"/>
        </w:rPr>
        <w:t xml:space="preserve">Barrett, M., Spires, M. and Vogel, C. (2024). ‘The Healthy Start scheme in England “is a lifeline for families but many are missing out”: a rapid qualitative analysis’. </w:t>
      </w:r>
      <w:r w:rsidRPr="00C9122C">
        <w:rPr>
          <w:rFonts w:ascii="Arial" w:eastAsiaTheme="minorEastAsia" w:hAnsi="Arial" w:cs="Arial"/>
          <w:i/>
          <w:iCs/>
          <w:kern w:val="0"/>
          <w:sz w:val="22"/>
          <w:szCs w:val="22"/>
          <w:lang w:eastAsia="en-GB"/>
          <w14:ligatures w14:val="none"/>
        </w:rPr>
        <w:t>BMC Medicine</w:t>
      </w:r>
      <w:r w:rsidRPr="00537053">
        <w:rPr>
          <w:rFonts w:ascii="Arial" w:eastAsiaTheme="minorEastAsia" w:hAnsi="Arial" w:cs="Arial"/>
          <w:kern w:val="0"/>
          <w:sz w:val="22"/>
          <w:szCs w:val="22"/>
          <w:lang w:eastAsia="en-GB"/>
          <w14:ligatures w14:val="none"/>
        </w:rPr>
        <w:t xml:space="preserve">, 22(1). DOI: </w:t>
      </w:r>
      <w:r w:rsidR="00042040" w:rsidRPr="00537053">
        <w:rPr>
          <w:rFonts w:ascii="Arial" w:eastAsiaTheme="minorEastAsia" w:hAnsi="Arial" w:cs="Arial"/>
          <w:kern w:val="0"/>
          <w:sz w:val="22"/>
          <w:szCs w:val="22"/>
          <w:lang w:eastAsia="en-GB"/>
          <w14:ligatures w14:val="none"/>
        </w:rPr>
        <w:t> </w:t>
      </w:r>
      <w:hyperlink r:id="rId9" w:tgtFrame="_blank" w:history="1">
        <w:r w:rsidR="00042040" w:rsidRPr="00537053">
          <w:rPr>
            <w:rStyle w:val="Hyperlink"/>
            <w:rFonts w:ascii="Arial" w:eastAsiaTheme="minorEastAsia" w:hAnsi="Arial" w:cs="Arial"/>
            <w:kern w:val="0"/>
            <w:sz w:val="22"/>
            <w:szCs w:val="22"/>
            <w:lang w:eastAsia="en-GB"/>
            <w14:ligatures w14:val="none"/>
          </w:rPr>
          <w:t>10.1186/s12916-024-03380-5</w:t>
        </w:r>
      </w:hyperlink>
      <w:r w:rsidR="00042040" w:rsidRPr="00537053">
        <w:rPr>
          <w:rFonts w:ascii="Arial" w:eastAsiaTheme="minorEastAsia" w:hAnsi="Arial" w:cs="Arial"/>
          <w:kern w:val="0"/>
          <w:sz w:val="22"/>
          <w:szCs w:val="22"/>
          <w:lang w:eastAsia="en-GB"/>
          <w14:ligatures w14:val="none"/>
        </w:rPr>
        <w:t>.</w:t>
      </w:r>
    </w:p>
    <w:p w14:paraId="5A8D5D62" w14:textId="33EE8DAC" w:rsidR="00187480" w:rsidRPr="00537053" w:rsidRDefault="00187480" w:rsidP="00C13F88">
      <w:pPr>
        <w:spacing w:line="360" w:lineRule="auto"/>
        <w:jc w:val="both"/>
        <w:rPr>
          <w:rFonts w:ascii="Arial" w:eastAsiaTheme="minorEastAsia" w:hAnsi="Arial" w:cs="Arial"/>
          <w:kern w:val="0"/>
          <w:sz w:val="22"/>
          <w:szCs w:val="22"/>
          <w:lang w:eastAsia="en-GB"/>
          <w14:ligatures w14:val="none"/>
        </w:rPr>
      </w:pPr>
      <w:r w:rsidRPr="00537053">
        <w:rPr>
          <w:rFonts w:ascii="Arial" w:eastAsiaTheme="minorEastAsia" w:hAnsi="Arial" w:cs="Arial"/>
          <w:kern w:val="0"/>
          <w:sz w:val="22"/>
          <w:szCs w:val="22"/>
          <w:lang w:eastAsia="en-GB"/>
          <w14:ligatures w14:val="none"/>
        </w:rPr>
        <w:t xml:space="preserve">Birmingham and Solihull Integrated Care System (n.d.). </w:t>
      </w:r>
      <w:r w:rsidRPr="00C9122C">
        <w:rPr>
          <w:rFonts w:ascii="Arial" w:eastAsiaTheme="minorEastAsia" w:hAnsi="Arial" w:cs="Arial"/>
          <w:i/>
          <w:iCs/>
          <w:kern w:val="0"/>
          <w:sz w:val="22"/>
          <w:szCs w:val="22"/>
          <w:lang w:eastAsia="en-GB"/>
          <w14:ligatures w14:val="none"/>
        </w:rPr>
        <w:t>Our Integrated Care Partnership (ICP).</w:t>
      </w:r>
      <w:r w:rsidRPr="00537053">
        <w:rPr>
          <w:rFonts w:ascii="Arial" w:eastAsiaTheme="minorEastAsia" w:hAnsi="Arial" w:cs="Arial"/>
          <w:kern w:val="0"/>
          <w:sz w:val="22"/>
          <w:szCs w:val="22"/>
          <w:lang w:eastAsia="en-GB"/>
          <w14:ligatures w14:val="none"/>
        </w:rPr>
        <w:t xml:space="preserve"> Available at: </w:t>
      </w:r>
      <w:hyperlink r:id="rId10" w:history="1">
        <w:r w:rsidR="004B6C4D" w:rsidRPr="00537053">
          <w:rPr>
            <w:rStyle w:val="Hyperlink"/>
            <w:rFonts w:ascii="Arial" w:eastAsiaTheme="minorEastAsia" w:hAnsi="Arial" w:cs="Arial"/>
            <w:kern w:val="0"/>
            <w:sz w:val="22"/>
            <w:szCs w:val="22"/>
            <w:lang w:eastAsia="en-GB"/>
            <w14:ligatures w14:val="none"/>
          </w:rPr>
          <w:t>https://www.birminghamsolihullics.org.uk/about-us/our-integrated-care-partnership</w:t>
        </w:r>
      </w:hyperlink>
      <w:r w:rsidR="004B6C4D" w:rsidRPr="00537053">
        <w:rPr>
          <w:rFonts w:ascii="Arial" w:eastAsiaTheme="minorEastAsia" w:hAnsi="Arial" w:cs="Arial"/>
          <w:kern w:val="0"/>
          <w:sz w:val="22"/>
          <w:szCs w:val="22"/>
          <w:lang w:eastAsia="en-GB"/>
          <w14:ligatures w14:val="none"/>
        </w:rPr>
        <w:t xml:space="preserve"> </w:t>
      </w:r>
      <w:r w:rsidRPr="00537053">
        <w:rPr>
          <w:rFonts w:ascii="Arial" w:eastAsiaTheme="minorEastAsia" w:hAnsi="Arial" w:cs="Arial"/>
          <w:kern w:val="0"/>
          <w:sz w:val="22"/>
          <w:szCs w:val="22"/>
          <w:lang w:eastAsia="en-GB"/>
          <w14:ligatures w14:val="none"/>
        </w:rPr>
        <w:t>(Accessed: 2</w:t>
      </w:r>
      <w:r w:rsidR="00A06DC5" w:rsidRPr="00537053">
        <w:rPr>
          <w:rFonts w:ascii="Arial" w:eastAsiaTheme="minorEastAsia" w:hAnsi="Arial" w:cs="Arial"/>
          <w:kern w:val="0"/>
          <w:sz w:val="22"/>
          <w:szCs w:val="22"/>
          <w:lang w:eastAsia="en-GB"/>
          <w14:ligatures w14:val="none"/>
        </w:rPr>
        <w:t>0</w:t>
      </w:r>
      <w:r w:rsidR="00A06DC5" w:rsidRPr="00537053">
        <w:rPr>
          <w:rFonts w:ascii="Arial" w:eastAsiaTheme="minorEastAsia" w:hAnsi="Arial" w:cs="Arial"/>
          <w:kern w:val="0"/>
          <w:sz w:val="22"/>
          <w:szCs w:val="22"/>
          <w:vertAlign w:val="superscript"/>
          <w:lang w:eastAsia="en-GB"/>
          <w14:ligatures w14:val="none"/>
        </w:rPr>
        <w:t>th</w:t>
      </w:r>
      <w:r w:rsidR="00A06DC5" w:rsidRPr="00537053">
        <w:rPr>
          <w:rFonts w:ascii="Arial" w:eastAsiaTheme="minorEastAsia" w:hAnsi="Arial" w:cs="Arial"/>
          <w:kern w:val="0"/>
          <w:sz w:val="22"/>
          <w:szCs w:val="22"/>
          <w:lang w:eastAsia="en-GB"/>
          <w14:ligatures w14:val="none"/>
        </w:rPr>
        <w:t xml:space="preserve"> June 2026).</w:t>
      </w:r>
    </w:p>
    <w:p w14:paraId="7C4461DF" w14:textId="3F02385D" w:rsidR="00187480" w:rsidRPr="00537053" w:rsidRDefault="00187480" w:rsidP="00C13F88">
      <w:pPr>
        <w:spacing w:line="360" w:lineRule="auto"/>
        <w:jc w:val="both"/>
        <w:rPr>
          <w:rFonts w:ascii="Arial" w:eastAsiaTheme="minorEastAsia" w:hAnsi="Arial" w:cs="Arial"/>
          <w:kern w:val="0"/>
          <w:sz w:val="22"/>
          <w:szCs w:val="22"/>
          <w:lang w:eastAsia="en-GB"/>
          <w14:ligatures w14:val="none"/>
        </w:rPr>
      </w:pPr>
      <w:r w:rsidRPr="00537053">
        <w:rPr>
          <w:rFonts w:ascii="Arial" w:eastAsiaTheme="minorEastAsia" w:hAnsi="Arial" w:cs="Arial"/>
          <w:kern w:val="0"/>
          <w:sz w:val="22"/>
          <w:szCs w:val="22"/>
          <w:lang w:eastAsia="en-GB"/>
          <w14:ligatures w14:val="none"/>
        </w:rPr>
        <w:t xml:space="preserve">Birmingham City Council (2022a). </w:t>
      </w:r>
      <w:r w:rsidRPr="00CB24D2">
        <w:rPr>
          <w:rFonts w:ascii="Arial" w:eastAsiaTheme="minorEastAsia" w:hAnsi="Arial" w:cs="Arial"/>
          <w:i/>
          <w:iCs/>
          <w:kern w:val="0"/>
          <w:sz w:val="22"/>
          <w:szCs w:val="22"/>
          <w:lang w:eastAsia="en-GB"/>
          <w14:ligatures w14:val="none"/>
        </w:rPr>
        <w:t>Birmingham Food System Strategy.</w:t>
      </w:r>
      <w:r w:rsidRPr="00537053">
        <w:rPr>
          <w:rFonts w:ascii="Arial" w:eastAsiaTheme="minorEastAsia" w:hAnsi="Arial" w:cs="Arial"/>
          <w:kern w:val="0"/>
          <w:sz w:val="22"/>
          <w:szCs w:val="22"/>
          <w:lang w:eastAsia="en-GB"/>
          <w14:ligatures w14:val="none"/>
        </w:rPr>
        <w:t xml:space="preserve"> Available at: </w:t>
      </w:r>
      <w:hyperlink r:id="rId11" w:history="1">
        <w:r w:rsidR="0002793A" w:rsidRPr="00537053">
          <w:rPr>
            <w:rStyle w:val="Hyperlink"/>
            <w:rFonts w:ascii="Arial" w:eastAsiaTheme="minorEastAsia" w:hAnsi="Arial" w:cs="Arial"/>
            <w:kern w:val="0"/>
            <w:sz w:val="22"/>
            <w:szCs w:val="22"/>
            <w:lang w:eastAsia="en-GB"/>
            <w14:ligatures w14:val="none"/>
          </w:rPr>
          <w:t>https://www.birmingham.gov.uk/info/50279/food_revolution/2602/birmingham_food_system_strategy</w:t>
        </w:r>
      </w:hyperlink>
      <w:r w:rsidR="0002793A" w:rsidRPr="00537053">
        <w:rPr>
          <w:rFonts w:ascii="Arial" w:eastAsiaTheme="minorEastAsia" w:hAnsi="Arial" w:cs="Arial"/>
          <w:kern w:val="0"/>
          <w:sz w:val="22"/>
          <w:szCs w:val="22"/>
          <w:lang w:eastAsia="en-GB"/>
          <w14:ligatures w14:val="none"/>
        </w:rPr>
        <w:t xml:space="preserve"> </w:t>
      </w:r>
      <w:r w:rsidRPr="00537053">
        <w:rPr>
          <w:rFonts w:ascii="Arial" w:eastAsiaTheme="minorEastAsia" w:hAnsi="Arial" w:cs="Arial"/>
          <w:kern w:val="0"/>
          <w:sz w:val="22"/>
          <w:szCs w:val="22"/>
          <w:lang w:eastAsia="en-GB"/>
          <w14:ligatures w14:val="none"/>
        </w:rPr>
        <w:t>(</w:t>
      </w:r>
      <w:r w:rsidR="009D3758" w:rsidRPr="00537053">
        <w:rPr>
          <w:rFonts w:ascii="Arial" w:eastAsiaTheme="minorEastAsia" w:hAnsi="Arial" w:cs="Arial"/>
          <w:kern w:val="0"/>
          <w:sz w:val="22"/>
          <w:szCs w:val="22"/>
          <w:lang w:eastAsia="en-GB"/>
          <w14:ligatures w14:val="none"/>
        </w:rPr>
        <w:t>Accessed: 28</w:t>
      </w:r>
      <w:r w:rsidR="009D3758" w:rsidRPr="00537053">
        <w:rPr>
          <w:rFonts w:ascii="Arial" w:eastAsiaTheme="minorEastAsia" w:hAnsi="Arial" w:cs="Arial"/>
          <w:kern w:val="0"/>
          <w:sz w:val="22"/>
          <w:szCs w:val="22"/>
          <w:vertAlign w:val="superscript"/>
          <w:lang w:eastAsia="en-GB"/>
          <w14:ligatures w14:val="none"/>
        </w:rPr>
        <w:t>th</w:t>
      </w:r>
      <w:r w:rsidR="009D3758" w:rsidRPr="00537053">
        <w:rPr>
          <w:rFonts w:ascii="Arial" w:eastAsiaTheme="minorEastAsia" w:hAnsi="Arial" w:cs="Arial"/>
          <w:kern w:val="0"/>
          <w:sz w:val="22"/>
          <w:szCs w:val="22"/>
          <w:lang w:eastAsia="en-GB"/>
          <w14:ligatures w14:val="none"/>
        </w:rPr>
        <w:t xml:space="preserve"> </w:t>
      </w:r>
      <w:r w:rsidRPr="00537053">
        <w:rPr>
          <w:rFonts w:ascii="Arial" w:eastAsiaTheme="minorEastAsia" w:hAnsi="Arial" w:cs="Arial"/>
          <w:kern w:val="0"/>
          <w:sz w:val="22"/>
          <w:szCs w:val="22"/>
          <w:lang w:eastAsia="en-GB"/>
          <w14:ligatures w14:val="none"/>
        </w:rPr>
        <w:t>June 2026).</w:t>
      </w:r>
    </w:p>
    <w:p w14:paraId="666BB014" w14:textId="34CEE913" w:rsidR="00187480" w:rsidRPr="00537053" w:rsidRDefault="00187480" w:rsidP="00C13F88">
      <w:pPr>
        <w:spacing w:line="360" w:lineRule="auto"/>
        <w:jc w:val="both"/>
        <w:rPr>
          <w:rFonts w:ascii="Arial" w:eastAsiaTheme="minorEastAsia" w:hAnsi="Arial" w:cs="Arial"/>
          <w:kern w:val="0"/>
          <w:sz w:val="22"/>
          <w:szCs w:val="22"/>
          <w:lang w:eastAsia="en-GB"/>
          <w14:ligatures w14:val="none"/>
        </w:rPr>
      </w:pPr>
      <w:r w:rsidRPr="00537053">
        <w:rPr>
          <w:rFonts w:ascii="Arial" w:eastAsiaTheme="minorEastAsia" w:hAnsi="Arial" w:cs="Arial"/>
          <w:kern w:val="0"/>
          <w:sz w:val="22"/>
          <w:szCs w:val="22"/>
          <w:lang w:eastAsia="en-GB"/>
          <w14:ligatures w14:val="none"/>
        </w:rPr>
        <w:t xml:space="preserve">Birmingham City Council (2022b). </w:t>
      </w:r>
      <w:r w:rsidRPr="00CB24D2">
        <w:rPr>
          <w:rFonts w:ascii="Arial" w:eastAsiaTheme="minorEastAsia" w:hAnsi="Arial" w:cs="Arial"/>
          <w:i/>
          <w:iCs/>
          <w:kern w:val="0"/>
          <w:sz w:val="22"/>
          <w:szCs w:val="22"/>
          <w:lang w:eastAsia="en-GB"/>
          <w14:ligatures w14:val="none"/>
        </w:rPr>
        <w:t>Birmingham Joint Health and Wellbeing Strategy: Creating a Bolder, Healthier City 2022–2030.</w:t>
      </w:r>
      <w:r w:rsidRPr="00537053">
        <w:rPr>
          <w:rFonts w:ascii="Arial" w:eastAsiaTheme="minorEastAsia" w:hAnsi="Arial" w:cs="Arial"/>
          <w:kern w:val="0"/>
          <w:sz w:val="22"/>
          <w:szCs w:val="22"/>
          <w:lang w:eastAsia="en-GB"/>
          <w14:ligatures w14:val="none"/>
        </w:rPr>
        <w:t xml:space="preserve"> Available at: </w:t>
      </w:r>
      <w:hyperlink r:id="rId12" w:history="1">
        <w:r w:rsidR="000328F0" w:rsidRPr="00537053">
          <w:rPr>
            <w:rStyle w:val="Hyperlink"/>
            <w:rFonts w:ascii="Arial" w:eastAsiaTheme="minorEastAsia" w:hAnsi="Arial" w:cs="Arial"/>
            <w:kern w:val="0"/>
            <w:sz w:val="22"/>
            <w:szCs w:val="22"/>
            <w:lang w:eastAsia="en-GB"/>
            <w14:ligatures w14:val="none"/>
          </w:rPr>
          <w:t>https://www.birmingham.gov.uk/downloads/file/23756/creating_a_bolder_healthier_city_2022_to_2030</w:t>
        </w:r>
      </w:hyperlink>
      <w:r w:rsidR="000328F0" w:rsidRPr="00537053">
        <w:rPr>
          <w:rFonts w:ascii="Arial" w:eastAsiaTheme="minorEastAsia" w:hAnsi="Arial" w:cs="Arial"/>
          <w:kern w:val="0"/>
          <w:sz w:val="22"/>
          <w:szCs w:val="22"/>
          <w:lang w:eastAsia="en-GB"/>
          <w14:ligatures w14:val="none"/>
        </w:rPr>
        <w:t xml:space="preserve"> </w:t>
      </w:r>
      <w:r w:rsidR="00D646C1" w:rsidRPr="00537053">
        <w:rPr>
          <w:rFonts w:ascii="Arial" w:eastAsiaTheme="minorEastAsia" w:hAnsi="Arial" w:cs="Arial"/>
          <w:kern w:val="0"/>
          <w:sz w:val="22"/>
          <w:szCs w:val="22"/>
          <w:lang w:eastAsia="en-GB"/>
          <w14:ligatures w14:val="none"/>
        </w:rPr>
        <w:t>(Accessed: 20</w:t>
      </w:r>
      <w:r w:rsidR="00D646C1" w:rsidRPr="00537053">
        <w:rPr>
          <w:rFonts w:ascii="Arial" w:eastAsiaTheme="minorEastAsia" w:hAnsi="Arial" w:cs="Arial"/>
          <w:kern w:val="0"/>
          <w:sz w:val="22"/>
          <w:szCs w:val="22"/>
          <w:vertAlign w:val="superscript"/>
          <w:lang w:eastAsia="en-GB"/>
          <w14:ligatures w14:val="none"/>
        </w:rPr>
        <w:t>th</w:t>
      </w:r>
      <w:r w:rsidR="00D646C1" w:rsidRPr="00537053">
        <w:rPr>
          <w:rFonts w:ascii="Arial" w:eastAsiaTheme="minorEastAsia" w:hAnsi="Arial" w:cs="Arial"/>
          <w:kern w:val="0"/>
          <w:sz w:val="22"/>
          <w:szCs w:val="22"/>
          <w:lang w:eastAsia="en-GB"/>
          <w14:ligatures w14:val="none"/>
        </w:rPr>
        <w:t xml:space="preserve"> June 2026).</w:t>
      </w:r>
    </w:p>
    <w:p w14:paraId="4C4EEA13" w14:textId="091763C6" w:rsidR="00187480" w:rsidRPr="00537053" w:rsidRDefault="00187480" w:rsidP="00C13F88">
      <w:pPr>
        <w:spacing w:line="360" w:lineRule="auto"/>
        <w:jc w:val="both"/>
        <w:rPr>
          <w:rFonts w:ascii="Arial" w:eastAsiaTheme="minorEastAsia" w:hAnsi="Arial" w:cs="Arial"/>
          <w:kern w:val="0"/>
          <w:sz w:val="22"/>
          <w:szCs w:val="22"/>
          <w:lang w:eastAsia="en-GB"/>
          <w14:ligatures w14:val="none"/>
        </w:rPr>
      </w:pPr>
      <w:r w:rsidRPr="00537053">
        <w:rPr>
          <w:rFonts w:ascii="Arial" w:eastAsiaTheme="minorEastAsia" w:hAnsi="Arial" w:cs="Arial"/>
          <w:kern w:val="0"/>
          <w:sz w:val="22"/>
          <w:szCs w:val="22"/>
          <w:lang w:eastAsia="en-GB"/>
          <w14:ligatures w14:val="none"/>
        </w:rPr>
        <w:t xml:space="preserve">Bolton, D. and Gillett, G. (2019). </w:t>
      </w:r>
      <w:r w:rsidRPr="00CB24D2">
        <w:rPr>
          <w:rFonts w:ascii="Arial" w:eastAsiaTheme="minorEastAsia" w:hAnsi="Arial" w:cs="Arial"/>
          <w:i/>
          <w:iCs/>
          <w:kern w:val="0"/>
          <w:sz w:val="22"/>
          <w:szCs w:val="22"/>
          <w:lang w:eastAsia="en-GB"/>
          <w14:ligatures w14:val="none"/>
        </w:rPr>
        <w:t>The Biopsychosocial Model 40 Years On</w:t>
      </w:r>
      <w:r w:rsidRPr="00537053">
        <w:rPr>
          <w:rFonts w:ascii="Arial" w:eastAsiaTheme="minorEastAsia" w:hAnsi="Arial" w:cs="Arial"/>
          <w:kern w:val="0"/>
          <w:sz w:val="22"/>
          <w:szCs w:val="22"/>
          <w:lang w:eastAsia="en-GB"/>
          <w14:ligatures w14:val="none"/>
        </w:rPr>
        <w:t>. Available at:</w:t>
      </w:r>
      <w:r w:rsidR="00D646C1" w:rsidRPr="00537053">
        <w:rPr>
          <w:rFonts w:ascii="Arial" w:eastAsiaTheme="minorEastAsia" w:hAnsi="Arial" w:cs="Arial"/>
          <w:kern w:val="0"/>
          <w:sz w:val="22"/>
          <w:szCs w:val="22"/>
          <w:lang w:eastAsia="en-GB"/>
          <w14:ligatures w14:val="none"/>
        </w:rPr>
        <w:t xml:space="preserve"> </w:t>
      </w:r>
      <w:hyperlink r:id="rId13" w:history="1">
        <w:r w:rsidR="00D646C1" w:rsidRPr="00537053">
          <w:rPr>
            <w:rStyle w:val="Hyperlink"/>
            <w:rFonts w:ascii="Arial" w:eastAsiaTheme="minorEastAsia" w:hAnsi="Arial" w:cs="Arial"/>
            <w:kern w:val="0"/>
            <w:sz w:val="22"/>
            <w:szCs w:val="22"/>
            <w:lang w:eastAsia="en-GB"/>
            <w14:ligatures w14:val="none"/>
          </w:rPr>
          <w:t>https://www.ncbi.nlm.nih.gov/books/NBK552030/</w:t>
        </w:r>
      </w:hyperlink>
      <w:r w:rsidR="00D646C1" w:rsidRPr="00537053">
        <w:rPr>
          <w:rFonts w:ascii="Arial" w:eastAsiaTheme="minorEastAsia" w:hAnsi="Arial" w:cs="Arial"/>
          <w:kern w:val="0"/>
          <w:sz w:val="22"/>
          <w:szCs w:val="22"/>
          <w:lang w:eastAsia="en-GB"/>
          <w14:ligatures w14:val="none"/>
        </w:rPr>
        <w:t xml:space="preserve"> </w:t>
      </w:r>
      <w:r w:rsidRPr="00537053">
        <w:rPr>
          <w:rFonts w:ascii="Arial" w:eastAsiaTheme="minorEastAsia" w:hAnsi="Arial" w:cs="Arial"/>
          <w:kern w:val="0"/>
          <w:sz w:val="22"/>
          <w:szCs w:val="22"/>
          <w:lang w:eastAsia="en-GB"/>
          <w14:ligatures w14:val="none"/>
        </w:rPr>
        <w:t>(Accessed: 20</w:t>
      </w:r>
      <w:r w:rsidR="00D646C1" w:rsidRPr="00537053">
        <w:rPr>
          <w:rFonts w:ascii="Arial" w:eastAsiaTheme="minorEastAsia" w:hAnsi="Arial" w:cs="Arial"/>
          <w:kern w:val="0"/>
          <w:sz w:val="22"/>
          <w:szCs w:val="22"/>
          <w:vertAlign w:val="superscript"/>
          <w:lang w:eastAsia="en-GB"/>
          <w14:ligatures w14:val="none"/>
        </w:rPr>
        <w:t>th</w:t>
      </w:r>
      <w:r w:rsidR="00D646C1" w:rsidRPr="00537053">
        <w:rPr>
          <w:rFonts w:ascii="Arial" w:eastAsiaTheme="minorEastAsia" w:hAnsi="Arial" w:cs="Arial"/>
          <w:kern w:val="0"/>
          <w:sz w:val="22"/>
          <w:szCs w:val="22"/>
          <w:lang w:eastAsia="en-GB"/>
          <w14:ligatures w14:val="none"/>
        </w:rPr>
        <w:t xml:space="preserve"> </w:t>
      </w:r>
      <w:r w:rsidRPr="00537053">
        <w:rPr>
          <w:rFonts w:ascii="Arial" w:eastAsiaTheme="minorEastAsia" w:hAnsi="Arial" w:cs="Arial"/>
          <w:kern w:val="0"/>
          <w:sz w:val="22"/>
          <w:szCs w:val="22"/>
          <w:lang w:eastAsia="en-GB"/>
          <w14:ligatures w14:val="none"/>
        </w:rPr>
        <w:t>June 2026).</w:t>
      </w:r>
    </w:p>
    <w:p w14:paraId="0A76A995" w14:textId="66EF2A92" w:rsidR="00187480" w:rsidRPr="00537053" w:rsidRDefault="00187480" w:rsidP="00C13F88">
      <w:pPr>
        <w:spacing w:line="360" w:lineRule="auto"/>
        <w:jc w:val="both"/>
        <w:rPr>
          <w:rFonts w:ascii="Arial" w:eastAsiaTheme="minorEastAsia" w:hAnsi="Arial" w:cs="Arial"/>
          <w:kern w:val="0"/>
          <w:sz w:val="22"/>
          <w:szCs w:val="22"/>
          <w:lang w:eastAsia="en-GB"/>
          <w14:ligatures w14:val="none"/>
        </w:rPr>
      </w:pPr>
      <w:r w:rsidRPr="00537053">
        <w:rPr>
          <w:rFonts w:ascii="Arial" w:eastAsiaTheme="minorEastAsia" w:hAnsi="Arial" w:cs="Arial"/>
          <w:kern w:val="0"/>
          <w:sz w:val="22"/>
          <w:szCs w:val="22"/>
          <w:lang w:eastAsia="en-GB"/>
          <w14:ligatures w14:val="none"/>
        </w:rPr>
        <w:t xml:space="preserve">Fanzo, J., Carducci, B., Louis-Jean, J., Herrero, M., Karl, K. and Rosenzweig, C. (2025). ‘Climate Change, Extreme Weather Events, Food Security, and Nutrition: Evolving Relationships and Critical Challenges’. </w:t>
      </w:r>
      <w:r w:rsidRPr="00CB24D2">
        <w:rPr>
          <w:rFonts w:ascii="Arial" w:eastAsiaTheme="minorEastAsia" w:hAnsi="Arial" w:cs="Arial"/>
          <w:i/>
          <w:iCs/>
          <w:kern w:val="0"/>
          <w:sz w:val="22"/>
          <w:szCs w:val="22"/>
          <w:lang w:eastAsia="en-GB"/>
          <w14:ligatures w14:val="none"/>
        </w:rPr>
        <w:t>Annual Review of Nutrition</w:t>
      </w:r>
      <w:r w:rsidRPr="00537053">
        <w:rPr>
          <w:rFonts w:ascii="Arial" w:eastAsiaTheme="minorEastAsia" w:hAnsi="Arial" w:cs="Arial"/>
          <w:kern w:val="0"/>
          <w:sz w:val="22"/>
          <w:szCs w:val="22"/>
          <w:lang w:eastAsia="en-GB"/>
          <w14:ligatures w14:val="none"/>
        </w:rPr>
        <w:t xml:space="preserve">. DOI: </w:t>
      </w:r>
      <w:r w:rsidR="0057633A" w:rsidRPr="00537053">
        <w:rPr>
          <w:rFonts w:ascii="Arial" w:eastAsiaTheme="minorEastAsia" w:hAnsi="Arial" w:cs="Arial"/>
          <w:kern w:val="0"/>
          <w:sz w:val="22"/>
          <w:szCs w:val="22"/>
          <w:lang w:eastAsia="en-GB"/>
          <w14:ligatures w14:val="none"/>
        </w:rPr>
        <w:t> </w:t>
      </w:r>
      <w:hyperlink r:id="rId14" w:tgtFrame="_blank" w:history="1">
        <w:r w:rsidR="0057633A" w:rsidRPr="00537053">
          <w:rPr>
            <w:rStyle w:val="Hyperlink"/>
            <w:rFonts w:ascii="Arial" w:eastAsiaTheme="minorEastAsia" w:hAnsi="Arial" w:cs="Arial"/>
            <w:kern w:val="0"/>
            <w:sz w:val="22"/>
            <w:szCs w:val="22"/>
            <w:lang w:eastAsia="en-GB"/>
            <w14:ligatures w14:val="none"/>
          </w:rPr>
          <w:t>10.1146/annurev-nutr-111324-111252</w:t>
        </w:r>
      </w:hyperlink>
      <w:r w:rsidR="00F664F3" w:rsidRPr="00537053">
        <w:rPr>
          <w:rFonts w:ascii="Arial" w:eastAsiaTheme="minorEastAsia" w:hAnsi="Arial" w:cs="Arial"/>
          <w:kern w:val="0"/>
          <w:sz w:val="22"/>
          <w:szCs w:val="22"/>
          <w:lang w:eastAsia="en-GB"/>
          <w14:ligatures w14:val="none"/>
        </w:rPr>
        <w:t>.</w:t>
      </w:r>
    </w:p>
    <w:p w14:paraId="055461F8" w14:textId="5092B1B7" w:rsidR="00187480" w:rsidRPr="00537053" w:rsidRDefault="00187480" w:rsidP="00C13F88">
      <w:pPr>
        <w:spacing w:line="360" w:lineRule="auto"/>
        <w:jc w:val="both"/>
        <w:rPr>
          <w:rFonts w:ascii="Arial" w:eastAsiaTheme="minorEastAsia" w:hAnsi="Arial" w:cs="Arial"/>
          <w:kern w:val="0"/>
          <w:sz w:val="22"/>
          <w:szCs w:val="22"/>
          <w:lang w:eastAsia="en-GB"/>
          <w14:ligatures w14:val="none"/>
        </w:rPr>
      </w:pPr>
      <w:r w:rsidRPr="00537053">
        <w:rPr>
          <w:rFonts w:ascii="Arial" w:eastAsiaTheme="minorEastAsia" w:hAnsi="Arial" w:cs="Arial"/>
          <w:kern w:val="0"/>
          <w:sz w:val="22"/>
          <w:szCs w:val="22"/>
          <w:lang w:eastAsia="en-GB"/>
          <w14:ligatures w14:val="none"/>
        </w:rPr>
        <w:t xml:space="preserve">FAO, IFAD, UNICEF, WFP and WHO (2025). </w:t>
      </w:r>
      <w:r w:rsidRPr="00CB24D2">
        <w:rPr>
          <w:rFonts w:ascii="Arial" w:eastAsiaTheme="minorEastAsia" w:hAnsi="Arial" w:cs="Arial"/>
          <w:i/>
          <w:iCs/>
          <w:kern w:val="0"/>
          <w:sz w:val="22"/>
          <w:szCs w:val="22"/>
          <w:lang w:eastAsia="en-GB"/>
          <w14:ligatures w14:val="none"/>
        </w:rPr>
        <w:t>The State of Food Security and Nutrition in the World 2025: Executive Summary</w:t>
      </w:r>
      <w:r w:rsidRPr="00537053">
        <w:rPr>
          <w:rFonts w:ascii="Arial" w:eastAsiaTheme="minorEastAsia" w:hAnsi="Arial" w:cs="Arial"/>
          <w:kern w:val="0"/>
          <w:sz w:val="22"/>
          <w:szCs w:val="22"/>
          <w:lang w:eastAsia="en-GB"/>
          <w14:ligatures w14:val="none"/>
        </w:rPr>
        <w:t xml:space="preserve">. Available at: </w:t>
      </w:r>
      <w:hyperlink r:id="rId15" w:anchor="gsc.tab=0" w:history="1">
        <w:r w:rsidR="005E3E26" w:rsidRPr="00537053">
          <w:rPr>
            <w:rStyle w:val="Hyperlink"/>
            <w:rFonts w:ascii="Arial" w:eastAsiaTheme="minorEastAsia" w:hAnsi="Arial" w:cs="Arial"/>
            <w:kern w:val="0"/>
            <w:sz w:val="22"/>
            <w:szCs w:val="22"/>
            <w:lang w:eastAsia="en-GB"/>
            <w14:ligatures w14:val="none"/>
          </w:rPr>
          <w:t>https://openknowledge.fao.org/server/api/core/bitstreams/de95e011-1af9-4b28-9a07-d8ce61f8aa6c/content/state-food-security-and-nutrition-2025/executive-summary.html#gsc.tab=0</w:t>
        </w:r>
      </w:hyperlink>
      <w:r w:rsidR="005E3E26" w:rsidRPr="00537053">
        <w:rPr>
          <w:rFonts w:ascii="Arial" w:eastAsiaTheme="minorEastAsia" w:hAnsi="Arial" w:cs="Arial"/>
          <w:kern w:val="0"/>
          <w:sz w:val="22"/>
          <w:szCs w:val="22"/>
          <w:lang w:eastAsia="en-GB"/>
          <w14:ligatures w14:val="none"/>
        </w:rPr>
        <w:t xml:space="preserve"> </w:t>
      </w:r>
      <w:r w:rsidRPr="00537053">
        <w:rPr>
          <w:rFonts w:ascii="Arial" w:eastAsiaTheme="minorEastAsia" w:hAnsi="Arial" w:cs="Arial"/>
          <w:kern w:val="0"/>
          <w:sz w:val="22"/>
          <w:szCs w:val="22"/>
          <w:lang w:eastAsia="en-GB"/>
          <w14:ligatures w14:val="none"/>
        </w:rPr>
        <w:t>(Accessed: 19</w:t>
      </w:r>
      <w:r w:rsidR="006D5796" w:rsidRPr="00537053">
        <w:rPr>
          <w:rFonts w:ascii="Arial" w:eastAsiaTheme="minorEastAsia" w:hAnsi="Arial" w:cs="Arial"/>
          <w:kern w:val="0"/>
          <w:sz w:val="22"/>
          <w:szCs w:val="22"/>
          <w:vertAlign w:val="superscript"/>
          <w:lang w:eastAsia="en-GB"/>
          <w14:ligatures w14:val="none"/>
        </w:rPr>
        <w:t>th</w:t>
      </w:r>
      <w:r w:rsidR="006D5796" w:rsidRPr="00537053">
        <w:rPr>
          <w:rFonts w:ascii="Arial" w:eastAsiaTheme="minorEastAsia" w:hAnsi="Arial" w:cs="Arial"/>
          <w:kern w:val="0"/>
          <w:sz w:val="22"/>
          <w:szCs w:val="22"/>
          <w:lang w:eastAsia="en-GB"/>
          <w14:ligatures w14:val="none"/>
        </w:rPr>
        <w:t xml:space="preserve"> </w:t>
      </w:r>
      <w:r w:rsidRPr="00537053">
        <w:rPr>
          <w:rFonts w:ascii="Arial" w:eastAsiaTheme="minorEastAsia" w:hAnsi="Arial" w:cs="Arial"/>
          <w:kern w:val="0"/>
          <w:sz w:val="22"/>
          <w:szCs w:val="22"/>
          <w:lang w:eastAsia="en-GB"/>
          <w14:ligatures w14:val="none"/>
        </w:rPr>
        <w:t>June 2026).</w:t>
      </w:r>
    </w:p>
    <w:p w14:paraId="113F1A59" w14:textId="49D0D3C7" w:rsidR="00187480" w:rsidRPr="00537053" w:rsidRDefault="00187480" w:rsidP="00C13F88">
      <w:pPr>
        <w:spacing w:line="360" w:lineRule="auto"/>
        <w:jc w:val="both"/>
        <w:rPr>
          <w:rFonts w:ascii="Arial" w:eastAsiaTheme="minorEastAsia" w:hAnsi="Arial" w:cs="Arial"/>
          <w:kern w:val="0"/>
          <w:sz w:val="22"/>
          <w:szCs w:val="22"/>
          <w:lang w:eastAsia="en-GB"/>
          <w14:ligatures w14:val="none"/>
        </w:rPr>
      </w:pPr>
      <w:r w:rsidRPr="00537053">
        <w:rPr>
          <w:rFonts w:ascii="Arial" w:eastAsiaTheme="minorEastAsia" w:hAnsi="Arial" w:cs="Arial"/>
          <w:kern w:val="0"/>
          <w:sz w:val="22"/>
          <w:szCs w:val="22"/>
          <w:lang w:eastAsia="en-GB"/>
          <w14:ligatures w14:val="none"/>
        </w:rPr>
        <w:t xml:space="preserve">Hone, T., Macinko, J. and Millett, C. (2018). ‘Revisiting Alma-Ata: what is the role of primary health care in achieving the Sustainable Development Goals?’. </w:t>
      </w:r>
      <w:r w:rsidRPr="00CB24D2">
        <w:rPr>
          <w:rFonts w:ascii="Arial" w:eastAsiaTheme="minorEastAsia" w:hAnsi="Arial" w:cs="Arial"/>
          <w:i/>
          <w:iCs/>
          <w:kern w:val="0"/>
          <w:sz w:val="22"/>
          <w:szCs w:val="22"/>
          <w:lang w:eastAsia="en-GB"/>
          <w14:ligatures w14:val="none"/>
        </w:rPr>
        <w:t>The Lancet,</w:t>
      </w:r>
      <w:r w:rsidRPr="00537053">
        <w:rPr>
          <w:rFonts w:ascii="Arial" w:eastAsiaTheme="minorEastAsia" w:hAnsi="Arial" w:cs="Arial"/>
          <w:kern w:val="0"/>
          <w:sz w:val="22"/>
          <w:szCs w:val="22"/>
          <w:lang w:eastAsia="en-GB"/>
          <w14:ligatures w14:val="none"/>
        </w:rPr>
        <w:t xml:space="preserve"> 392(10156), pp. 1461–1472. DOI: </w:t>
      </w:r>
      <w:hyperlink r:id="rId16" w:tgtFrame="_blank" w:history="1">
        <w:r w:rsidR="00B65485" w:rsidRPr="00537053">
          <w:rPr>
            <w:rStyle w:val="Hyperlink"/>
            <w:rFonts w:ascii="Arial" w:eastAsiaTheme="minorEastAsia" w:hAnsi="Arial" w:cs="Arial"/>
            <w:kern w:val="0"/>
            <w:sz w:val="22"/>
            <w:szCs w:val="22"/>
            <w:lang w:eastAsia="en-GB"/>
            <w14:ligatures w14:val="none"/>
          </w:rPr>
          <w:t>10.1016/S0140-6736(18)31829-4</w:t>
        </w:r>
      </w:hyperlink>
      <w:r w:rsidR="00B65485" w:rsidRPr="00537053">
        <w:rPr>
          <w:rFonts w:ascii="Arial" w:eastAsiaTheme="minorEastAsia" w:hAnsi="Arial" w:cs="Arial"/>
          <w:kern w:val="0"/>
          <w:sz w:val="22"/>
          <w:szCs w:val="22"/>
          <w:lang w:eastAsia="en-GB"/>
          <w14:ligatures w14:val="none"/>
        </w:rPr>
        <w:t>.</w:t>
      </w:r>
    </w:p>
    <w:p w14:paraId="1578F598" w14:textId="66343051" w:rsidR="00FF0B4E" w:rsidRPr="00537053" w:rsidRDefault="00187480" w:rsidP="00FF0B4E">
      <w:pPr>
        <w:spacing w:line="360" w:lineRule="auto"/>
        <w:jc w:val="both"/>
        <w:rPr>
          <w:rFonts w:ascii="Arial" w:eastAsiaTheme="minorEastAsia" w:hAnsi="Arial" w:cs="Arial"/>
          <w:kern w:val="0"/>
          <w:sz w:val="22"/>
          <w:szCs w:val="22"/>
          <w:lang w:eastAsia="en-GB"/>
          <w14:ligatures w14:val="none"/>
        </w:rPr>
      </w:pPr>
      <w:r w:rsidRPr="00537053">
        <w:rPr>
          <w:rFonts w:ascii="Arial" w:eastAsiaTheme="minorEastAsia" w:hAnsi="Arial" w:cs="Arial"/>
          <w:kern w:val="0"/>
          <w:sz w:val="22"/>
          <w:szCs w:val="22"/>
          <w:lang w:eastAsia="en-GB"/>
          <w14:ligatures w14:val="none"/>
        </w:rPr>
        <w:t xml:space="preserve">Jones, C.L., Jensen, J.D., Scherr, C.L., Brown, N.R., Christy, K. and Weaver, J. (2015). ‘The Health Belief Model as an Explanatory Framework in Communication Research: Exploring Parallel, Serial, and Moderated Mediation’. </w:t>
      </w:r>
      <w:r w:rsidRPr="00CB24D2">
        <w:rPr>
          <w:rFonts w:ascii="Arial" w:eastAsiaTheme="minorEastAsia" w:hAnsi="Arial" w:cs="Arial"/>
          <w:i/>
          <w:iCs/>
          <w:kern w:val="0"/>
          <w:sz w:val="22"/>
          <w:szCs w:val="22"/>
          <w:lang w:eastAsia="en-GB"/>
          <w14:ligatures w14:val="none"/>
        </w:rPr>
        <w:t>Health Communication,</w:t>
      </w:r>
      <w:r w:rsidRPr="00537053">
        <w:rPr>
          <w:rFonts w:ascii="Arial" w:eastAsiaTheme="minorEastAsia" w:hAnsi="Arial" w:cs="Arial"/>
          <w:kern w:val="0"/>
          <w:sz w:val="22"/>
          <w:szCs w:val="22"/>
          <w:lang w:eastAsia="en-GB"/>
          <w14:ligatures w14:val="none"/>
        </w:rPr>
        <w:t xml:space="preserve"> 30(6), pp. 566–576. DOI: </w:t>
      </w:r>
      <w:hyperlink r:id="rId17" w:tgtFrame="_blank" w:history="1">
        <w:r w:rsidR="00FF0B4E" w:rsidRPr="00537053">
          <w:rPr>
            <w:rStyle w:val="Hyperlink"/>
            <w:rFonts w:ascii="Arial" w:eastAsiaTheme="minorEastAsia" w:hAnsi="Arial" w:cs="Arial"/>
            <w:kern w:val="0"/>
            <w:sz w:val="22"/>
            <w:szCs w:val="22"/>
            <w:lang w:eastAsia="en-GB"/>
            <w14:ligatures w14:val="none"/>
          </w:rPr>
          <w:t>10.1080/10410236.2013.873363</w:t>
        </w:r>
      </w:hyperlink>
      <w:r w:rsidR="00FF0B4E" w:rsidRPr="00537053">
        <w:rPr>
          <w:rFonts w:ascii="Arial" w:eastAsiaTheme="minorEastAsia" w:hAnsi="Arial" w:cs="Arial"/>
          <w:kern w:val="0"/>
          <w:sz w:val="22"/>
          <w:szCs w:val="22"/>
          <w:lang w:eastAsia="en-GB"/>
          <w14:ligatures w14:val="none"/>
        </w:rPr>
        <w:t>.</w:t>
      </w:r>
    </w:p>
    <w:p w14:paraId="3CE28519" w14:textId="5C727433" w:rsidR="00187480" w:rsidRPr="00537053" w:rsidRDefault="00187480" w:rsidP="00C13F88">
      <w:pPr>
        <w:spacing w:line="360" w:lineRule="auto"/>
        <w:jc w:val="both"/>
        <w:rPr>
          <w:rFonts w:ascii="Arial" w:eastAsiaTheme="minorEastAsia" w:hAnsi="Arial" w:cs="Arial"/>
          <w:kern w:val="0"/>
          <w:sz w:val="22"/>
          <w:szCs w:val="22"/>
          <w:lang w:eastAsia="en-GB"/>
          <w14:ligatures w14:val="none"/>
        </w:rPr>
      </w:pPr>
    </w:p>
    <w:p w14:paraId="5918F5D5" w14:textId="673EBEED" w:rsidR="00187480" w:rsidRPr="00537053" w:rsidRDefault="00187480" w:rsidP="00C13F88">
      <w:pPr>
        <w:spacing w:line="360" w:lineRule="auto"/>
        <w:jc w:val="both"/>
        <w:rPr>
          <w:rFonts w:ascii="Arial" w:eastAsiaTheme="minorEastAsia" w:hAnsi="Arial" w:cs="Arial"/>
          <w:kern w:val="0"/>
          <w:sz w:val="22"/>
          <w:szCs w:val="22"/>
          <w:lang w:eastAsia="en-GB"/>
          <w14:ligatures w14:val="none"/>
        </w:rPr>
      </w:pPr>
      <w:r w:rsidRPr="00537053">
        <w:rPr>
          <w:rFonts w:ascii="Arial" w:eastAsiaTheme="minorEastAsia" w:hAnsi="Arial" w:cs="Arial"/>
          <w:kern w:val="0"/>
          <w:sz w:val="22"/>
          <w:szCs w:val="22"/>
          <w:lang w:eastAsia="en-GB"/>
          <w14:ligatures w14:val="none"/>
        </w:rPr>
        <w:lastRenderedPageBreak/>
        <w:t xml:space="preserve">Kruk, M.E., Gage, A.D., Joseph, N.T., Danaei, G., García-Saisó, S. and Salomon, J.A. (2018). ‘Mortality due to low-quality health systems in the Universal Health Coverage era: a systematic analysis of amenable deaths in 137 </w:t>
      </w:r>
      <w:r w:rsidR="00E17C2F" w:rsidRPr="00537053">
        <w:rPr>
          <w:rFonts w:ascii="Arial" w:eastAsiaTheme="minorEastAsia" w:hAnsi="Arial" w:cs="Arial"/>
          <w:kern w:val="0"/>
          <w:sz w:val="22"/>
          <w:szCs w:val="22"/>
          <w:lang w:eastAsia="en-GB"/>
          <w14:ligatures w14:val="none"/>
        </w:rPr>
        <w:t>countries</w:t>
      </w:r>
      <w:r w:rsidR="00B106B3">
        <w:rPr>
          <w:rFonts w:ascii="Arial" w:eastAsiaTheme="minorEastAsia" w:hAnsi="Arial" w:cs="Arial"/>
          <w:kern w:val="0"/>
          <w:sz w:val="22"/>
          <w:szCs w:val="22"/>
          <w:lang w:eastAsia="en-GB"/>
          <w14:ligatures w14:val="none"/>
        </w:rPr>
        <w:t>’,</w:t>
      </w:r>
      <w:r w:rsidRPr="00537053">
        <w:rPr>
          <w:rFonts w:ascii="Arial" w:eastAsiaTheme="minorEastAsia" w:hAnsi="Arial" w:cs="Arial"/>
          <w:kern w:val="0"/>
          <w:sz w:val="22"/>
          <w:szCs w:val="22"/>
          <w:lang w:eastAsia="en-GB"/>
          <w14:ligatures w14:val="none"/>
        </w:rPr>
        <w:t xml:space="preserve"> </w:t>
      </w:r>
      <w:r w:rsidRPr="00B106B3">
        <w:rPr>
          <w:rFonts w:ascii="Arial" w:eastAsiaTheme="minorEastAsia" w:hAnsi="Arial" w:cs="Arial"/>
          <w:i/>
          <w:iCs/>
          <w:kern w:val="0"/>
          <w:sz w:val="22"/>
          <w:szCs w:val="22"/>
          <w:lang w:eastAsia="en-GB"/>
          <w14:ligatures w14:val="none"/>
        </w:rPr>
        <w:t>The Lancet</w:t>
      </w:r>
      <w:r w:rsidRPr="00537053">
        <w:rPr>
          <w:rFonts w:ascii="Arial" w:eastAsiaTheme="minorEastAsia" w:hAnsi="Arial" w:cs="Arial"/>
          <w:kern w:val="0"/>
          <w:sz w:val="22"/>
          <w:szCs w:val="22"/>
          <w:lang w:eastAsia="en-GB"/>
          <w14:ligatures w14:val="none"/>
        </w:rPr>
        <w:t>, 392(10160), pp.</w:t>
      </w:r>
      <w:r w:rsidR="00CC7829" w:rsidRPr="00537053">
        <w:rPr>
          <w:rFonts w:ascii="Arial" w:hAnsi="Arial" w:cs="Arial"/>
          <w:sz w:val="22"/>
          <w:szCs w:val="22"/>
        </w:rPr>
        <w:t>2203-2212</w:t>
      </w:r>
      <w:r w:rsidRPr="00537053">
        <w:rPr>
          <w:rFonts w:ascii="Arial" w:eastAsiaTheme="minorEastAsia" w:hAnsi="Arial" w:cs="Arial"/>
          <w:kern w:val="0"/>
          <w:sz w:val="22"/>
          <w:szCs w:val="22"/>
          <w:lang w:eastAsia="en-GB"/>
          <w14:ligatures w14:val="none"/>
        </w:rPr>
        <w:t>.</w:t>
      </w:r>
      <w:r w:rsidR="006F2C26" w:rsidRPr="00537053">
        <w:rPr>
          <w:rFonts w:ascii="Arial" w:eastAsiaTheme="minorEastAsia" w:hAnsi="Arial" w:cs="Arial"/>
          <w:kern w:val="0"/>
          <w:sz w:val="22"/>
          <w:szCs w:val="22"/>
          <w:lang w:eastAsia="en-GB"/>
          <w14:ligatures w14:val="none"/>
        </w:rPr>
        <w:t xml:space="preserve"> DOI: </w:t>
      </w:r>
      <w:hyperlink r:id="rId18" w:tgtFrame="_blank" w:history="1">
        <w:r w:rsidR="006F2C26" w:rsidRPr="00537053">
          <w:rPr>
            <w:rStyle w:val="Hyperlink"/>
            <w:rFonts w:ascii="Arial" w:eastAsiaTheme="minorEastAsia" w:hAnsi="Arial" w:cs="Arial"/>
            <w:kern w:val="0"/>
            <w:sz w:val="22"/>
            <w:szCs w:val="22"/>
            <w:lang w:eastAsia="en-GB"/>
            <w14:ligatures w14:val="none"/>
          </w:rPr>
          <w:t>10.1016/S0140-6736(18)31668-4</w:t>
        </w:r>
      </w:hyperlink>
      <w:r w:rsidR="00426A1D">
        <w:t>.</w:t>
      </w:r>
    </w:p>
    <w:p w14:paraId="2D9BDFD8" w14:textId="3F4FB47E" w:rsidR="00187480" w:rsidRPr="00537053" w:rsidRDefault="00187480" w:rsidP="00C13F88">
      <w:pPr>
        <w:spacing w:line="360" w:lineRule="auto"/>
        <w:jc w:val="both"/>
        <w:rPr>
          <w:rFonts w:ascii="Arial" w:eastAsiaTheme="minorEastAsia" w:hAnsi="Arial" w:cs="Arial"/>
          <w:kern w:val="0"/>
          <w:sz w:val="22"/>
          <w:szCs w:val="22"/>
          <w:lang w:eastAsia="en-GB"/>
          <w14:ligatures w14:val="none"/>
        </w:rPr>
      </w:pPr>
      <w:r w:rsidRPr="00537053">
        <w:rPr>
          <w:rFonts w:ascii="Arial" w:eastAsiaTheme="minorEastAsia" w:hAnsi="Arial" w:cs="Arial"/>
          <w:kern w:val="0"/>
          <w:sz w:val="22"/>
          <w:szCs w:val="22"/>
          <w:lang w:eastAsia="en-GB"/>
          <w14:ligatures w14:val="none"/>
        </w:rPr>
        <w:t xml:space="preserve">Lalani, M., Sugavanam, P., Caiels, J., Crocker, H., Gunn, S., Hay, H., Hogan, H., Page, B., Peters, M. and Fitzpatrick, R. (2023). ‘Assessing Progress in Managing and Improving Quality in Nascent Integrated Care Systems in England’. </w:t>
      </w:r>
      <w:r w:rsidRPr="00B106B3">
        <w:rPr>
          <w:rFonts w:ascii="Arial" w:eastAsiaTheme="minorEastAsia" w:hAnsi="Arial" w:cs="Arial"/>
          <w:i/>
          <w:iCs/>
          <w:kern w:val="0"/>
          <w:sz w:val="22"/>
          <w:szCs w:val="22"/>
          <w:lang w:eastAsia="en-GB"/>
          <w14:ligatures w14:val="none"/>
        </w:rPr>
        <w:t>Journal of Health Services Research &amp; Policy,</w:t>
      </w:r>
      <w:r w:rsidRPr="00537053">
        <w:rPr>
          <w:rFonts w:ascii="Arial" w:eastAsiaTheme="minorEastAsia" w:hAnsi="Arial" w:cs="Arial"/>
          <w:kern w:val="0"/>
          <w:sz w:val="22"/>
          <w:szCs w:val="22"/>
          <w:lang w:eastAsia="en-GB"/>
          <w14:ligatures w14:val="none"/>
        </w:rPr>
        <w:t xml:space="preserve"> 29(2). DOI: </w:t>
      </w:r>
      <w:hyperlink r:id="rId19" w:tgtFrame="_blank" w:history="1">
        <w:r w:rsidR="00E54736" w:rsidRPr="00537053">
          <w:rPr>
            <w:rStyle w:val="Hyperlink"/>
            <w:rFonts w:ascii="Arial" w:eastAsiaTheme="minorEastAsia" w:hAnsi="Arial" w:cs="Arial"/>
            <w:kern w:val="0"/>
            <w:sz w:val="22"/>
            <w:szCs w:val="22"/>
            <w:lang w:eastAsia="en-GB"/>
            <w14:ligatures w14:val="none"/>
          </w:rPr>
          <w:t>10.1177/13558196231209940</w:t>
        </w:r>
      </w:hyperlink>
      <w:r w:rsidR="00A6351A" w:rsidRPr="00537053">
        <w:rPr>
          <w:rFonts w:ascii="Arial" w:eastAsiaTheme="minorEastAsia" w:hAnsi="Arial" w:cs="Arial"/>
          <w:kern w:val="0"/>
          <w:sz w:val="22"/>
          <w:szCs w:val="22"/>
          <w:lang w:eastAsia="en-GB"/>
          <w14:ligatures w14:val="none"/>
        </w:rPr>
        <w:t>.</w:t>
      </w:r>
    </w:p>
    <w:p w14:paraId="4FE737C9" w14:textId="6E2A645F" w:rsidR="00187480" w:rsidRPr="00537053" w:rsidRDefault="00187480" w:rsidP="00C13F88">
      <w:pPr>
        <w:spacing w:line="360" w:lineRule="auto"/>
        <w:jc w:val="both"/>
        <w:rPr>
          <w:rFonts w:ascii="Arial" w:eastAsiaTheme="minorEastAsia" w:hAnsi="Arial" w:cs="Arial"/>
          <w:kern w:val="0"/>
          <w:sz w:val="22"/>
          <w:szCs w:val="22"/>
          <w:lang w:eastAsia="en-GB"/>
          <w14:ligatures w14:val="none"/>
        </w:rPr>
      </w:pPr>
      <w:r w:rsidRPr="00537053">
        <w:rPr>
          <w:rFonts w:ascii="Arial" w:eastAsiaTheme="minorEastAsia" w:hAnsi="Arial" w:cs="Arial"/>
          <w:kern w:val="0"/>
          <w:sz w:val="22"/>
          <w:szCs w:val="22"/>
          <w:lang w:eastAsia="en-GB"/>
          <w14:ligatures w14:val="none"/>
        </w:rPr>
        <w:t xml:space="preserve">Marmot, M., Allen, J., Boyce, T., Goldblatt, P. and Morrison, J. (2020). </w:t>
      </w:r>
      <w:r w:rsidRPr="00C9122C">
        <w:rPr>
          <w:rFonts w:ascii="Arial" w:eastAsiaTheme="minorEastAsia" w:hAnsi="Arial" w:cs="Arial"/>
          <w:i/>
          <w:iCs/>
          <w:kern w:val="0"/>
          <w:sz w:val="22"/>
          <w:szCs w:val="22"/>
          <w:lang w:eastAsia="en-GB"/>
          <w14:ligatures w14:val="none"/>
        </w:rPr>
        <w:t xml:space="preserve">Health Equity in England: The Marmot Review 10 Years On. </w:t>
      </w:r>
      <w:r w:rsidRPr="00537053">
        <w:rPr>
          <w:rFonts w:ascii="Arial" w:eastAsiaTheme="minorEastAsia" w:hAnsi="Arial" w:cs="Arial"/>
          <w:kern w:val="0"/>
          <w:sz w:val="22"/>
          <w:szCs w:val="22"/>
          <w:lang w:eastAsia="en-GB"/>
          <w14:ligatures w14:val="none"/>
        </w:rPr>
        <w:t xml:space="preserve">Available at: </w:t>
      </w:r>
      <w:hyperlink r:id="rId20" w:history="1">
        <w:r w:rsidR="004E4441" w:rsidRPr="00537053">
          <w:rPr>
            <w:rStyle w:val="Hyperlink"/>
            <w:rFonts w:ascii="Arial" w:eastAsiaTheme="minorEastAsia" w:hAnsi="Arial" w:cs="Arial"/>
            <w:kern w:val="0"/>
            <w:sz w:val="22"/>
            <w:szCs w:val="22"/>
            <w:lang w:eastAsia="en-GB"/>
            <w14:ligatures w14:val="none"/>
          </w:rPr>
          <w:t>https://www.instituteofhealthequity.org/resources-reports/marmot-review-10-years-on/the-marmot-review-10-years-on-full-report.pdf</w:t>
        </w:r>
      </w:hyperlink>
      <w:r w:rsidR="004E4441" w:rsidRPr="00537053">
        <w:rPr>
          <w:rFonts w:ascii="Arial" w:eastAsiaTheme="minorEastAsia" w:hAnsi="Arial" w:cs="Arial"/>
          <w:kern w:val="0"/>
          <w:sz w:val="22"/>
          <w:szCs w:val="22"/>
          <w:lang w:eastAsia="en-GB"/>
          <w14:ligatures w14:val="none"/>
        </w:rPr>
        <w:t xml:space="preserve"> </w:t>
      </w:r>
      <w:r w:rsidRPr="00537053">
        <w:rPr>
          <w:rFonts w:ascii="Arial" w:eastAsiaTheme="minorEastAsia" w:hAnsi="Arial" w:cs="Arial"/>
          <w:kern w:val="0"/>
          <w:sz w:val="22"/>
          <w:szCs w:val="22"/>
          <w:lang w:eastAsia="en-GB"/>
          <w14:ligatures w14:val="none"/>
        </w:rPr>
        <w:t>(Accessed</w:t>
      </w:r>
      <w:r w:rsidR="004E4441" w:rsidRPr="00537053">
        <w:rPr>
          <w:rFonts w:ascii="Arial" w:eastAsiaTheme="minorEastAsia" w:hAnsi="Arial" w:cs="Arial"/>
          <w:kern w:val="0"/>
          <w:sz w:val="22"/>
          <w:szCs w:val="22"/>
          <w:lang w:eastAsia="en-GB"/>
          <w14:ligatures w14:val="none"/>
        </w:rPr>
        <w:t>: 19</w:t>
      </w:r>
      <w:r w:rsidR="004E4441" w:rsidRPr="00537053">
        <w:rPr>
          <w:rFonts w:ascii="Arial" w:eastAsiaTheme="minorEastAsia" w:hAnsi="Arial" w:cs="Arial"/>
          <w:kern w:val="0"/>
          <w:sz w:val="22"/>
          <w:szCs w:val="22"/>
          <w:vertAlign w:val="superscript"/>
          <w:lang w:eastAsia="en-GB"/>
          <w14:ligatures w14:val="none"/>
        </w:rPr>
        <w:t>th</w:t>
      </w:r>
      <w:r w:rsidR="004E4441" w:rsidRPr="00537053">
        <w:rPr>
          <w:rFonts w:ascii="Arial" w:eastAsiaTheme="minorEastAsia" w:hAnsi="Arial" w:cs="Arial"/>
          <w:kern w:val="0"/>
          <w:sz w:val="22"/>
          <w:szCs w:val="22"/>
          <w:lang w:eastAsia="en-GB"/>
          <w14:ligatures w14:val="none"/>
        </w:rPr>
        <w:t xml:space="preserve"> June 202</w:t>
      </w:r>
      <w:r w:rsidR="003134F0" w:rsidRPr="00537053">
        <w:rPr>
          <w:rFonts w:ascii="Arial" w:eastAsiaTheme="minorEastAsia" w:hAnsi="Arial" w:cs="Arial"/>
          <w:kern w:val="0"/>
          <w:sz w:val="22"/>
          <w:szCs w:val="22"/>
          <w:lang w:eastAsia="en-GB"/>
          <w14:ligatures w14:val="none"/>
        </w:rPr>
        <w:t>6).</w:t>
      </w:r>
    </w:p>
    <w:p w14:paraId="7453FD72" w14:textId="3293D3EC" w:rsidR="00187480" w:rsidRPr="00537053" w:rsidRDefault="00187480" w:rsidP="00C13F88">
      <w:pPr>
        <w:spacing w:line="360" w:lineRule="auto"/>
        <w:jc w:val="both"/>
        <w:rPr>
          <w:rFonts w:ascii="Arial" w:eastAsiaTheme="minorEastAsia" w:hAnsi="Arial" w:cs="Arial"/>
          <w:kern w:val="0"/>
          <w:sz w:val="22"/>
          <w:szCs w:val="22"/>
          <w:lang w:eastAsia="en-GB"/>
          <w14:ligatures w14:val="none"/>
        </w:rPr>
      </w:pPr>
      <w:r w:rsidRPr="00537053">
        <w:rPr>
          <w:rFonts w:ascii="Arial" w:eastAsiaTheme="minorEastAsia" w:hAnsi="Arial" w:cs="Arial"/>
          <w:kern w:val="0"/>
          <w:sz w:val="22"/>
          <w:szCs w:val="22"/>
          <w:lang w:eastAsia="en-GB"/>
          <w14:ligatures w14:val="none"/>
        </w:rPr>
        <w:t xml:space="preserve">Moramarco, S., Buonomo, E., Andreoli, A. and Palombi, L. (2025). ‘Tackling Global Malnutrition and Hunger in the Final Push Toward the 2030 Agenda’. </w:t>
      </w:r>
      <w:r w:rsidRPr="00C9122C">
        <w:rPr>
          <w:rFonts w:ascii="Arial" w:eastAsiaTheme="minorEastAsia" w:hAnsi="Arial" w:cs="Arial"/>
          <w:i/>
          <w:iCs/>
          <w:kern w:val="0"/>
          <w:sz w:val="22"/>
          <w:szCs w:val="22"/>
          <w:lang w:eastAsia="en-GB"/>
          <w14:ligatures w14:val="none"/>
        </w:rPr>
        <w:t>Nutrients,</w:t>
      </w:r>
      <w:r w:rsidRPr="00537053">
        <w:rPr>
          <w:rFonts w:ascii="Arial" w:eastAsiaTheme="minorEastAsia" w:hAnsi="Arial" w:cs="Arial"/>
          <w:kern w:val="0"/>
          <w:sz w:val="22"/>
          <w:szCs w:val="22"/>
          <w:lang w:eastAsia="en-GB"/>
          <w14:ligatures w14:val="none"/>
        </w:rPr>
        <w:t xml:space="preserve"> 17(19), p. 3059. DOI: </w:t>
      </w:r>
      <w:r w:rsidR="00BC4984" w:rsidRPr="00537053">
        <w:rPr>
          <w:rFonts w:ascii="Arial" w:eastAsiaTheme="minorEastAsia" w:hAnsi="Arial" w:cs="Arial"/>
          <w:kern w:val="0"/>
          <w:sz w:val="22"/>
          <w:szCs w:val="22"/>
          <w:lang w:eastAsia="en-GB"/>
          <w14:ligatures w14:val="none"/>
        </w:rPr>
        <w:t> </w:t>
      </w:r>
      <w:hyperlink r:id="rId21" w:tgtFrame="_blank" w:history="1">
        <w:r w:rsidR="00BC4984" w:rsidRPr="00537053">
          <w:rPr>
            <w:rStyle w:val="Hyperlink"/>
            <w:rFonts w:ascii="Arial" w:eastAsiaTheme="minorEastAsia" w:hAnsi="Arial" w:cs="Arial"/>
            <w:kern w:val="0"/>
            <w:sz w:val="22"/>
            <w:szCs w:val="22"/>
            <w:lang w:eastAsia="en-GB"/>
            <w14:ligatures w14:val="none"/>
          </w:rPr>
          <w:t>10.3390/nu17193059</w:t>
        </w:r>
      </w:hyperlink>
      <w:r w:rsidR="00A6351A" w:rsidRPr="00537053">
        <w:rPr>
          <w:rFonts w:ascii="Arial" w:eastAsiaTheme="minorEastAsia" w:hAnsi="Arial" w:cs="Arial"/>
          <w:kern w:val="0"/>
          <w:sz w:val="22"/>
          <w:szCs w:val="22"/>
          <w:lang w:eastAsia="en-GB"/>
          <w14:ligatures w14:val="none"/>
        </w:rPr>
        <w:t>.</w:t>
      </w:r>
    </w:p>
    <w:p w14:paraId="552F000A" w14:textId="5898E942" w:rsidR="00187480" w:rsidRPr="00537053" w:rsidRDefault="00187480" w:rsidP="00C13F88">
      <w:pPr>
        <w:spacing w:line="360" w:lineRule="auto"/>
        <w:jc w:val="both"/>
        <w:rPr>
          <w:rFonts w:ascii="Arial" w:eastAsiaTheme="minorEastAsia" w:hAnsi="Arial" w:cs="Arial"/>
          <w:kern w:val="0"/>
          <w:sz w:val="22"/>
          <w:szCs w:val="22"/>
          <w:lang w:eastAsia="en-GB"/>
          <w14:ligatures w14:val="none"/>
        </w:rPr>
      </w:pPr>
      <w:r w:rsidRPr="00537053">
        <w:rPr>
          <w:rFonts w:ascii="Arial" w:eastAsiaTheme="minorEastAsia" w:hAnsi="Arial" w:cs="Arial"/>
          <w:kern w:val="0"/>
          <w:sz w:val="22"/>
          <w:szCs w:val="22"/>
          <w:lang w:eastAsia="en-GB"/>
          <w14:ligatures w14:val="none"/>
        </w:rPr>
        <w:t xml:space="preserve">National Health Service (2024). </w:t>
      </w:r>
      <w:r w:rsidRPr="00C9122C">
        <w:rPr>
          <w:rFonts w:ascii="Arial" w:eastAsiaTheme="minorEastAsia" w:hAnsi="Arial" w:cs="Arial"/>
          <w:i/>
          <w:iCs/>
          <w:kern w:val="0"/>
          <w:sz w:val="22"/>
          <w:szCs w:val="22"/>
          <w:lang w:eastAsia="en-GB"/>
          <w14:ligatures w14:val="none"/>
        </w:rPr>
        <w:t>Healthy Start</w:t>
      </w:r>
      <w:r w:rsidRPr="00537053">
        <w:rPr>
          <w:rFonts w:ascii="Arial" w:eastAsiaTheme="minorEastAsia" w:hAnsi="Arial" w:cs="Arial"/>
          <w:kern w:val="0"/>
          <w:sz w:val="22"/>
          <w:szCs w:val="22"/>
          <w:lang w:eastAsia="en-GB"/>
          <w14:ligatures w14:val="none"/>
        </w:rPr>
        <w:t xml:space="preserve">. Available at: </w:t>
      </w:r>
      <w:hyperlink r:id="rId22" w:history="1">
        <w:r w:rsidR="00667724" w:rsidRPr="00537053">
          <w:rPr>
            <w:rStyle w:val="Hyperlink"/>
            <w:rFonts w:ascii="Arial" w:eastAsiaTheme="minorEastAsia" w:hAnsi="Arial" w:cs="Arial"/>
            <w:kern w:val="0"/>
            <w:sz w:val="22"/>
            <w:szCs w:val="22"/>
            <w:lang w:eastAsia="en-GB"/>
            <w14:ligatures w14:val="none"/>
          </w:rPr>
          <w:t>https://www.healthystart.nhs.uk/</w:t>
        </w:r>
      </w:hyperlink>
      <w:r w:rsidR="00667724" w:rsidRPr="00537053">
        <w:rPr>
          <w:rFonts w:ascii="Arial" w:eastAsiaTheme="minorEastAsia" w:hAnsi="Arial" w:cs="Arial"/>
          <w:kern w:val="0"/>
          <w:sz w:val="22"/>
          <w:szCs w:val="22"/>
          <w:lang w:eastAsia="en-GB"/>
          <w14:ligatures w14:val="none"/>
        </w:rPr>
        <w:t xml:space="preserve"> </w:t>
      </w:r>
      <w:r w:rsidRPr="00537053">
        <w:rPr>
          <w:rFonts w:ascii="Arial" w:eastAsiaTheme="minorEastAsia" w:hAnsi="Arial" w:cs="Arial"/>
          <w:kern w:val="0"/>
          <w:sz w:val="22"/>
          <w:szCs w:val="22"/>
          <w:lang w:eastAsia="en-GB"/>
          <w14:ligatures w14:val="none"/>
        </w:rPr>
        <w:t>(Accessed:</w:t>
      </w:r>
      <w:r w:rsidR="00667724" w:rsidRPr="00537053">
        <w:rPr>
          <w:rFonts w:ascii="Arial" w:eastAsiaTheme="minorEastAsia" w:hAnsi="Arial" w:cs="Arial"/>
          <w:kern w:val="0"/>
          <w:sz w:val="22"/>
          <w:szCs w:val="22"/>
          <w:lang w:eastAsia="en-GB"/>
          <w14:ligatures w14:val="none"/>
        </w:rPr>
        <w:t xml:space="preserve"> 28</w:t>
      </w:r>
      <w:r w:rsidR="00667724" w:rsidRPr="00537053">
        <w:rPr>
          <w:rFonts w:ascii="Arial" w:eastAsiaTheme="minorEastAsia" w:hAnsi="Arial" w:cs="Arial"/>
          <w:kern w:val="0"/>
          <w:sz w:val="22"/>
          <w:szCs w:val="22"/>
          <w:vertAlign w:val="superscript"/>
          <w:lang w:eastAsia="en-GB"/>
          <w14:ligatures w14:val="none"/>
        </w:rPr>
        <w:t>th</w:t>
      </w:r>
      <w:r w:rsidR="00667724" w:rsidRPr="00537053">
        <w:rPr>
          <w:rFonts w:ascii="Arial" w:eastAsiaTheme="minorEastAsia" w:hAnsi="Arial" w:cs="Arial"/>
          <w:kern w:val="0"/>
          <w:sz w:val="22"/>
          <w:szCs w:val="22"/>
          <w:lang w:eastAsia="en-GB"/>
          <w14:ligatures w14:val="none"/>
        </w:rPr>
        <w:t xml:space="preserve"> June 2026</w:t>
      </w:r>
      <w:r w:rsidRPr="00537053">
        <w:rPr>
          <w:rFonts w:ascii="Arial" w:eastAsiaTheme="minorEastAsia" w:hAnsi="Arial" w:cs="Arial"/>
          <w:kern w:val="0"/>
          <w:sz w:val="22"/>
          <w:szCs w:val="22"/>
          <w:lang w:eastAsia="en-GB"/>
          <w14:ligatures w14:val="none"/>
        </w:rPr>
        <w:t>).</w:t>
      </w:r>
    </w:p>
    <w:p w14:paraId="0721629E" w14:textId="6F56F17F" w:rsidR="00187480" w:rsidRPr="00537053" w:rsidRDefault="00187480" w:rsidP="00C13F88">
      <w:pPr>
        <w:spacing w:line="360" w:lineRule="auto"/>
        <w:jc w:val="both"/>
        <w:rPr>
          <w:rFonts w:ascii="Arial" w:eastAsiaTheme="minorEastAsia" w:hAnsi="Arial" w:cs="Arial"/>
          <w:kern w:val="0"/>
          <w:sz w:val="22"/>
          <w:szCs w:val="22"/>
          <w:lang w:eastAsia="en-GB"/>
          <w14:ligatures w14:val="none"/>
        </w:rPr>
      </w:pPr>
      <w:r w:rsidRPr="00537053">
        <w:rPr>
          <w:rFonts w:ascii="Arial" w:eastAsiaTheme="minorEastAsia" w:hAnsi="Arial" w:cs="Arial"/>
          <w:kern w:val="0"/>
          <w:sz w:val="22"/>
          <w:szCs w:val="22"/>
          <w:lang w:eastAsia="en-GB"/>
          <w14:ligatures w14:val="none"/>
        </w:rPr>
        <w:t xml:space="preserve">NHS England (2019). </w:t>
      </w:r>
      <w:r w:rsidRPr="00E175C3">
        <w:rPr>
          <w:rFonts w:ascii="Arial" w:eastAsiaTheme="minorEastAsia" w:hAnsi="Arial" w:cs="Arial"/>
          <w:i/>
          <w:iCs/>
          <w:kern w:val="0"/>
          <w:sz w:val="22"/>
          <w:szCs w:val="22"/>
          <w:lang w:eastAsia="en-GB"/>
          <w14:ligatures w14:val="none"/>
        </w:rPr>
        <w:t>The NHS Long Term Plan</w:t>
      </w:r>
      <w:r w:rsidRPr="00537053">
        <w:rPr>
          <w:rFonts w:ascii="Arial" w:eastAsiaTheme="minorEastAsia" w:hAnsi="Arial" w:cs="Arial"/>
          <w:kern w:val="0"/>
          <w:sz w:val="22"/>
          <w:szCs w:val="22"/>
          <w:lang w:eastAsia="en-GB"/>
          <w14:ligatures w14:val="none"/>
        </w:rPr>
        <w:t xml:space="preserve">. Available at: </w:t>
      </w:r>
      <w:hyperlink r:id="rId23" w:history="1">
        <w:r w:rsidR="003839D8" w:rsidRPr="00537053">
          <w:rPr>
            <w:rStyle w:val="Hyperlink"/>
            <w:rFonts w:ascii="Arial" w:eastAsiaTheme="minorEastAsia" w:hAnsi="Arial" w:cs="Arial"/>
            <w:kern w:val="0"/>
            <w:sz w:val="22"/>
            <w:szCs w:val="22"/>
            <w:lang w:eastAsia="en-GB"/>
            <w14:ligatures w14:val="none"/>
          </w:rPr>
          <w:t>https://webarchive.nationalarchives.gov.uk/ukgwa/20250511091243/https:/www.longtermplan.nhs.uk/wp-content/uploads/2019/08/nhs-long-term-plan-version-1.2.pdf</w:t>
        </w:r>
      </w:hyperlink>
      <w:r w:rsidR="003839D8" w:rsidRPr="00537053">
        <w:rPr>
          <w:rFonts w:ascii="Arial" w:eastAsiaTheme="minorEastAsia" w:hAnsi="Arial" w:cs="Arial"/>
          <w:kern w:val="0"/>
          <w:sz w:val="22"/>
          <w:szCs w:val="22"/>
          <w:lang w:eastAsia="en-GB"/>
          <w14:ligatures w14:val="none"/>
        </w:rPr>
        <w:t xml:space="preserve"> (</w:t>
      </w:r>
      <w:r w:rsidR="00931DAC" w:rsidRPr="00537053">
        <w:rPr>
          <w:rFonts w:ascii="Arial" w:eastAsiaTheme="minorEastAsia" w:hAnsi="Arial" w:cs="Arial"/>
          <w:kern w:val="0"/>
          <w:sz w:val="22"/>
          <w:szCs w:val="22"/>
          <w:lang w:eastAsia="en-GB"/>
          <w14:ligatures w14:val="none"/>
        </w:rPr>
        <w:t>Accessed: 20</w:t>
      </w:r>
      <w:r w:rsidR="00931DAC" w:rsidRPr="00537053">
        <w:rPr>
          <w:rFonts w:ascii="Arial" w:eastAsiaTheme="minorEastAsia" w:hAnsi="Arial" w:cs="Arial"/>
          <w:kern w:val="0"/>
          <w:sz w:val="22"/>
          <w:szCs w:val="22"/>
          <w:vertAlign w:val="superscript"/>
          <w:lang w:eastAsia="en-GB"/>
          <w14:ligatures w14:val="none"/>
        </w:rPr>
        <w:t>th</w:t>
      </w:r>
      <w:r w:rsidR="00931DAC" w:rsidRPr="00537053">
        <w:rPr>
          <w:rFonts w:ascii="Arial" w:eastAsiaTheme="minorEastAsia" w:hAnsi="Arial" w:cs="Arial"/>
          <w:kern w:val="0"/>
          <w:sz w:val="22"/>
          <w:szCs w:val="22"/>
          <w:lang w:eastAsia="en-GB"/>
          <w14:ligatures w14:val="none"/>
        </w:rPr>
        <w:t xml:space="preserve"> June </w:t>
      </w:r>
      <w:r w:rsidR="00581F02" w:rsidRPr="00537053">
        <w:rPr>
          <w:rFonts w:ascii="Arial" w:eastAsiaTheme="minorEastAsia" w:hAnsi="Arial" w:cs="Arial"/>
          <w:kern w:val="0"/>
          <w:sz w:val="22"/>
          <w:szCs w:val="22"/>
          <w:lang w:eastAsia="en-GB"/>
          <w14:ligatures w14:val="none"/>
        </w:rPr>
        <w:t>2026).</w:t>
      </w:r>
    </w:p>
    <w:p w14:paraId="26D0F8DA" w14:textId="3FAA0BE4" w:rsidR="00187480" w:rsidRPr="00537053" w:rsidRDefault="00187480" w:rsidP="00C13F88">
      <w:pPr>
        <w:spacing w:line="360" w:lineRule="auto"/>
        <w:jc w:val="both"/>
        <w:rPr>
          <w:rFonts w:ascii="Arial" w:eastAsiaTheme="minorEastAsia" w:hAnsi="Arial" w:cs="Arial"/>
          <w:kern w:val="0"/>
          <w:sz w:val="22"/>
          <w:szCs w:val="22"/>
          <w:lang w:eastAsia="en-GB"/>
          <w14:ligatures w14:val="none"/>
        </w:rPr>
      </w:pPr>
      <w:r w:rsidRPr="00537053">
        <w:rPr>
          <w:rFonts w:ascii="Arial" w:eastAsiaTheme="minorEastAsia" w:hAnsi="Arial" w:cs="Arial"/>
          <w:kern w:val="0"/>
          <w:sz w:val="22"/>
          <w:szCs w:val="22"/>
          <w:lang w:eastAsia="en-GB"/>
          <w14:ligatures w14:val="none"/>
        </w:rPr>
        <w:t xml:space="preserve">NHS England (2023). </w:t>
      </w:r>
      <w:r w:rsidRPr="00E175C3">
        <w:rPr>
          <w:rFonts w:ascii="Arial" w:eastAsiaTheme="minorEastAsia" w:hAnsi="Arial" w:cs="Arial"/>
          <w:i/>
          <w:iCs/>
          <w:kern w:val="0"/>
          <w:sz w:val="22"/>
          <w:szCs w:val="22"/>
          <w:lang w:eastAsia="en-GB"/>
          <w14:ligatures w14:val="none"/>
        </w:rPr>
        <w:t>NHS Long Term Workforce Plan</w:t>
      </w:r>
      <w:r w:rsidRPr="00537053">
        <w:rPr>
          <w:rFonts w:ascii="Arial" w:eastAsiaTheme="minorEastAsia" w:hAnsi="Arial" w:cs="Arial"/>
          <w:kern w:val="0"/>
          <w:sz w:val="22"/>
          <w:szCs w:val="22"/>
          <w:lang w:eastAsia="en-GB"/>
          <w14:ligatures w14:val="none"/>
        </w:rPr>
        <w:t xml:space="preserve">. Available at: </w:t>
      </w:r>
      <w:hyperlink r:id="rId24" w:history="1">
        <w:r w:rsidR="00B802BF" w:rsidRPr="00537053">
          <w:rPr>
            <w:rStyle w:val="Hyperlink"/>
            <w:rFonts w:ascii="Arial" w:eastAsiaTheme="minorEastAsia" w:hAnsi="Arial" w:cs="Arial"/>
            <w:kern w:val="0"/>
            <w:sz w:val="22"/>
            <w:szCs w:val="22"/>
            <w:lang w:eastAsia="en-GB"/>
            <w14:ligatures w14:val="none"/>
          </w:rPr>
          <w:t>https://www.england.nhs.uk/long-read/nhs-long-term-workforce-plan-2/</w:t>
        </w:r>
      </w:hyperlink>
      <w:r w:rsidR="00B802BF" w:rsidRPr="00537053">
        <w:rPr>
          <w:rFonts w:ascii="Arial" w:eastAsiaTheme="minorEastAsia" w:hAnsi="Arial" w:cs="Arial"/>
          <w:kern w:val="0"/>
          <w:sz w:val="22"/>
          <w:szCs w:val="22"/>
          <w:lang w:eastAsia="en-GB"/>
          <w14:ligatures w14:val="none"/>
        </w:rPr>
        <w:t xml:space="preserve"> </w:t>
      </w:r>
      <w:r w:rsidRPr="00537053">
        <w:rPr>
          <w:rFonts w:ascii="Arial" w:eastAsiaTheme="minorEastAsia" w:hAnsi="Arial" w:cs="Arial"/>
          <w:kern w:val="0"/>
          <w:sz w:val="22"/>
          <w:szCs w:val="22"/>
          <w:lang w:eastAsia="en-GB"/>
          <w14:ligatures w14:val="none"/>
        </w:rPr>
        <w:t>(Accessed</w:t>
      </w:r>
      <w:r w:rsidR="00454274" w:rsidRPr="00537053">
        <w:rPr>
          <w:rFonts w:ascii="Arial" w:eastAsiaTheme="minorEastAsia" w:hAnsi="Arial" w:cs="Arial"/>
          <w:kern w:val="0"/>
          <w:sz w:val="22"/>
          <w:szCs w:val="22"/>
          <w:lang w:eastAsia="en-GB"/>
          <w14:ligatures w14:val="none"/>
        </w:rPr>
        <w:t>: 20</w:t>
      </w:r>
      <w:r w:rsidR="00454274" w:rsidRPr="00537053">
        <w:rPr>
          <w:rFonts w:ascii="Arial" w:eastAsiaTheme="minorEastAsia" w:hAnsi="Arial" w:cs="Arial"/>
          <w:kern w:val="0"/>
          <w:sz w:val="22"/>
          <w:szCs w:val="22"/>
          <w:vertAlign w:val="superscript"/>
          <w:lang w:eastAsia="en-GB"/>
          <w14:ligatures w14:val="none"/>
        </w:rPr>
        <w:t>th</w:t>
      </w:r>
      <w:r w:rsidR="00454274" w:rsidRPr="00537053">
        <w:rPr>
          <w:rFonts w:ascii="Arial" w:eastAsiaTheme="minorEastAsia" w:hAnsi="Arial" w:cs="Arial"/>
          <w:kern w:val="0"/>
          <w:sz w:val="22"/>
          <w:szCs w:val="22"/>
          <w:lang w:eastAsia="en-GB"/>
          <w14:ligatures w14:val="none"/>
        </w:rPr>
        <w:t xml:space="preserve"> June 2026).</w:t>
      </w:r>
    </w:p>
    <w:p w14:paraId="39E7988A" w14:textId="62D19104" w:rsidR="00187480" w:rsidRPr="00537053" w:rsidRDefault="00187480" w:rsidP="00C13F88">
      <w:pPr>
        <w:spacing w:line="360" w:lineRule="auto"/>
        <w:jc w:val="both"/>
        <w:rPr>
          <w:rFonts w:ascii="Arial" w:eastAsiaTheme="minorEastAsia" w:hAnsi="Arial" w:cs="Arial"/>
          <w:kern w:val="0"/>
          <w:sz w:val="22"/>
          <w:szCs w:val="22"/>
          <w:lang w:eastAsia="en-GB"/>
          <w14:ligatures w14:val="none"/>
        </w:rPr>
      </w:pPr>
      <w:r w:rsidRPr="00537053">
        <w:rPr>
          <w:rFonts w:ascii="Arial" w:eastAsiaTheme="minorEastAsia" w:hAnsi="Arial" w:cs="Arial"/>
          <w:kern w:val="0"/>
          <w:sz w:val="22"/>
          <w:szCs w:val="22"/>
          <w:lang w:eastAsia="en-GB"/>
          <w14:ligatures w14:val="none"/>
        </w:rPr>
        <w:t xml:space="preserve">Page, B., Sugavanam, T., Fitzpatrick, R., Hogan, H. and Lalani, M. (2024). ‘Floundering or Flourishing? Early Insights from the Inception of Integrated Care Systems in England’. </w:t>
      </w:r>
      <w:r w:rsidRPr="00E175C3">
        <w:rPr>
          <w:rFonts w:ascii="Arial" w:eastAsiaTheme="minorEastAsia" w:hAnsi="Arial" w:cs="Arial"/>
          <w:i/>
          <w:iCs/>
          <w:kern w:val="0"/>
          <w:sz w:val="22"/>
          <w:szCs w:val="22"/>
          <w:lang w:eastAsia="en-GB"/>
          <w14:ligatures w14:val="none"/>
        </w:rPr>
        <w:t>International Journal of Integrated Care</w:t>
      </w:r>
      <w:r w:rsidRPr="00537053">
        <w:rPr>
          <w:rFonts w:ascii="Arial" w:eastAsiaTheme="minorEastAsia" w:hAnsi="Arial" w:cs="Arial"/>
          <w:kern w:val="0"/>
          <w:sz w:val="22"/>
          <w:szCs w:val="22"/>
          <w:lang w:eastAsia="en-GB"/>
          <w14:ligatures w14:val="none"/>
        </w:rPr>
        <w:t xml:space="preserve">, 24(3). DOI: </w:t>
      </w:r>
      <w:r w:rsidR="008B4F81" w:rsidRPr="00537053">
        <w:rPr>
          <w:rFonts w:ascii="Arial" w:eastAsiaTheme="minorEastAsia" w:hAnsi="Arial" w:cs="Arial"/>
          <w:kern w:val="0"/>
          <w:sz w:val="22"/>
          <w:szCs w:val="22"/>
          <w:lang w:eastAsia="en-GB"/>
          <w14:ligatures w14:val="none"/>
        </w:rPr>
        <w:t> </w:t>
      </w:r>
      <w:hyperlink r:id="rId25" w:tgtFrame="_blank" w:history="1">
        <w:r w:rsidR="008B4F81" w:rsidRPr="00537053">
          <w:rPr>
            <w:rStyle w:val="Hyperlink"/>
            <w:rFonts w:ascii="Arial" w:eastAsiaTheme="minorEastAsia" w:hAnsi="Arial" w:cs="Arial"/>
            <w:kern w:val="0"/>
            <w:sz w:val="22"/>
            <w:szCs w:val="22"/>
            <w:lang w:eastAsia="en-GB"/>
            <w14:ligatures w14:val="none"/>
          </w:rPr>
          <w:t>10.5334/ijic.7738</w:t>
        </w:r>
      </w:hyperlink>
      <w:r w:rsidR="008B4F81" w:rsidRPr="00537053">
        <w:rPr>
          <w:rFonts w:ascii="Arial" w:eastAsiaTheme="minorEastAsia" w:hAnsi="Arial" w:cs="Arial"/>
          <w:kern w:val="0"/>
          <w:sz w:val="22"/>
          <w:szCs w:val="22"/>
          <w:lang w:eastAsia="en-GB"/>
          <w14:ligatures w14:val="none"/>
        </w:rPr>
        <w:t>.</w:t>
      </w:r>
    </w:p>
    <w:p w14:paraId="3925F710" w14:textId="3D6842CD" w:rsidR="00F75D9A" w:rsidRPr="00537053" w:rsidRDefault="00187480" w:rsidP="00F75D9A">
      <w:pPr>
        <w:spacing w:line="360" w:lineRule="auto"/>
        <w:jc w:val="both"/>
        <w:rPr>
          <w:rFonts w:ascii="Arial" w:eastAsiaTheme="minorEastAsia" w:hAnsi="Arial" w:cs="Arial"/>
          <w:kern w:val="0"/>
          <w:sz w:val="22"/>
          <w:szCs w:val="22"/>
          <w:lang w:eastAsia="en-GB"/>
          <w14:ligatures w14:val="none"/>
        </w:rPr>
      </w:pPr>
      <w:r w:rsidRPr="00537053">
        <w:rPr>
          <w:rFonts w:ascii="Arial" w:eastAsiaTheme="minorEastAsia" w:hAnsi="Arial" w:cs="Arial"/>
          <w:kern w:val="0"/>
          <w:sz w:val="22"/>
          <w:szCs w:val="22"/>
          <w:lang w:eastAsia="en-GB"/>
          <w14:ligatures w14:val="none"/>
        </w:rPr>
        <w:t xml:space="preserve">Parnham, J., Millett, C., Chang, K., Laverty, A.A., von Hinke, S., Pearson-Stuttard, J. and Vamos, E.P. (2021). ‘Is the Healthy Start Scheme Associated with Increased Food Expenditure in Low-Income Families with Young Children in the United Kingdom?’. </w:t>
      </w:r>
      <w:r w:rsidRPr="00E175C3">
        <w:rPr>
          <w:rFonts w:ascii="Arial" w:eastAsiaTheme="minorEastAsia" w:hAnsi="Arial" w:cs="Arial"/>
          <w:i/>
          <w:iCs/>
          <w:kern w:val="0"/>
          <w:sz w:val="22"/>
          <w:szCs w:val="22"/>
          <w:lang w:eastAsia="en-GB"/>
          <w14:ligatures w14:val="none"/>
        </w:rPr>
        <w:t>BMC Public Health,</w:t>
      </w:r>
      <w:r w:rsidRPr="00537053">
        <w:rPr>
          <w:rFonts w:ascii="Arial" w:eastAsiaTheme="minorEastAsia" w:hAnsi="Arial" w:cs="Arial"/>
          <w:kern w:val="0"/>
          <w:sz w:val="22"/>
          <w:szCs w:val="22"/>
          <w:lang w:eastAsia="en-GB"/>
          <w14:ligatures w14:val="none"/>
        </w:rPr>
        <w:t xml:space="preserve"> 21(1). DOI: </w:t>
      </w:r>
      <w:hyperlink r:id="rId26" w:tgtFrame="_blank" w:history="1">
        <w:r w:rsidR="00F75D9A" w:rsidRPr="00537053">
          <w:rPr>
            <w:rStyle w:val="Hyperlink"/>
            <w:rFonts w:ascii="Arial" w:eastAsiaTheme="minorEastAsia" w:hAnsi="Arial" w:cs="Arial"/>
            <w:kern w:val="0"/>
            <w:sz w:val="22"/>
            <w:szCs w:val="22"/>
            <w:lang w:eastAsia="en-GB"/>
            <w14:ligatures w14:val="none"/>
          </w:rPr>
          <w:t>10.1186/s12889-021-12222-5</w:t>
        </w:r>
      </w:hyperlink>
      <w:r w:rsidR="00F75D9A" w:rsidRPr="00537053">
        <w:rPr>
          <w:rFonts w:ascii="Arial" w:eastAsiaTheme="minorEastAsia" w:hAnsi="Arial" w:cs="Arial"/>
          <w:kern w:val="0"/>
          <w:sz w:val="22"/>
          <w:szCs w:val="22"/>
          <w:lang w:eastAsia="en-GB"/>
          <w14:ligatures w14:val="none"/>
        </w:rPr>
        <w:t>.</w:t>
      </w:r>
    </w:p>
    <w:p w14:paraId="49D4AC80" w14:textId="4FFAC4E3" w:rsidR="00187480" w:rsidRPr="00537053" w:rsidRDefault="00187480" w:rsidP="00C13F88">
      <w:pPr>
        <w:spacing w:line="360" w:lineRule="auto"/>
        <w:jc w:val="both"/>
        <w:rPr>
          <w:rFonts w:ascii="Arial" w:eastAsiaTheme="minorEastAsia" w:hAnsi="Arial" w:cs="Arial"/>
          <w:kern w:val="0"/>
          <w:sz w:val="22"/>
          <w:szCs w:val="22"/>
          <w:lang w:eastAsia="en-GB"/>
          <w14:ligatures w14:val="none"/>
        </w:rPr>
      </w:pPr>
      <w:r w:rsidRPr="00537053">
        <w:rPr>
          <w:rFonts w:ascii="Arial" w:eastAsiaTheme="minorEastAsia" w:hAnsi="Arial" w:cs="Arial"/>
          <w:kern w:val="0"/>
          <w:sz w:val="22"/>
          <w:szCs w:val="22"/>
          <w:lang w:eastAsia="en-GB"/>
          <w14:ligatures w14:val="none"/>
        </w:rPr>
        <w:t xml:space="preserve">Sachs, J.D., Lafortune, G., Kroll, C., Fuller, G. and Woelm, F. (2022). </w:t>
      </w:r>
      <w:r w:rsidRPr="00E175C3">
        <w:rPr>
          <w:rFonts w:ascii="Arial" w:eastAsiaTheme="minorEastAsia" w:hAnsi="Arial" w:cs="Arial"/>
          <w:i/>
          <w:iCs/>
          <w:kern w:val="0"/>
          <w:sz w:val="22"/>
          <w:szCs w:val="22"/>
          <w:lang w:eastAsia="en-GB"/>
          <w14:ligatures w14:val="none"/>
        </w:rPr>
        <w:t xml:space="preserve">Sustainable Development Report 2022: From Crisis to Sustainable Development: The SDGs as a </w:t>
      </w:r>
      <w:r w:rsidRPr="00E175C3">
        <w:rPr>
          <w:rFonts w:ascii="Arial" w:eastAsiaTheme="minorEastAsia" w:hAnsi="Arial" w:cs="Arial"/>
          <w:i/>
          <w:iCs/>
          <w:kern w:val="0"/>
          <w:sz w:val="22"/>
          <w:szCs w:val="22"/>
          <w:lang w:eastAsia="en-GB"/>
          <w14:ligatures w14:val="none"/>
        </w:rPr>
        <w:lastRenderedPageBreak/>
        <w:t xml:space="preserve">Roadmap to 2030 and </w:t>
      </w:r>
      <w:proofErr w:type="gramStart"/>
      <w:r w:rsidRPr="00E175C3">
        <w:rPr>
          <w:rFonts w:ascii="Arial" w:eastAsiaTheme="minorEastAsia" w:hAnsi="Arial" w:cs="Arial"/>
          <w:i/>
          <w:iCs/>
          <w:kern w:val="0"/>
          <w:sz w:val="22"/>
          <w:szCs w:val="22"/>
          <w:lang w:eastAsia="en-GB"/>
          <w14:ligatures w14:val="none"/>
        </w:rPr>
        <w:t>Beyond</w:t>
      </w:r>
      <w:proofErr w:type="gramEnd"/>
      <w:r w:rsidRPr="00E175C3">
        <w:rPr>
          <w:rFonts w:ascii="Arial" w:eastAsiaTheme="minorEastAsia" w:hAnsi="Arial" w:cs="Arial"/>
          <w:i/>
          <w:iCs/>
          <w:kern w:val="0"/>
          <w:sz w:val="22"/>
          <w:szCs w:val="22"/>
          <w:lang w:eastAsia="en-GB"/>
          <w14:ligatures w14:val="none"/>
        </w:rPr>
        <w:t>.</w:t>
      </w:r>
      <w:r w:rsidRPr="00537053">
        <w:rPr>
          <w:rFonts w:ascii="Arial" w:eastAsiaTheme="minorEastAsia" w:hAnsi="Arial" w:cs="Arial"/>
          <w:kern w:val="0"/>
          <w:sz w:val="22"/>
          <w:szCs w:val="22"/>
          <w:lang w:eastAsia="en-GB"/>
          <w14:ligatures w14:val="none"/>
        </w:rPr>
        <w:t xml:space="preserve"> Available at: </w:t>
      </w:r>
      <w:hyperlink r:id="rId27" w:history="1">
        <w:r w:rsidR="0035159A" w:rsidRPr="00537053">
          <w:rPr>
            <w:rStyle w:val="Hyperlink"/>
            <w:rFonts w:ascii="Arial" w:eastAsiaTheme="minorEastAsia" w:hAnsi="Arial" w:cs="Arial"/>
            <w:kern w:val="0"/>
            <w:sz w:val="22"/>
            <w:szCs w:val="22"/>
            <w:lang w:eastAsia="en-GB"/>
            <w14:ligatures w14:val="none"/>
          </w:rPr>
          <w:t>https://s3.amazonaws.com/sustainabledevelopment.report/2022/2022-sustainable-development-report.pdf</w:t>
        </w:r>
      </w:hyperlink>
      <w:r w:rsidR="0035159A" w:rsidRPr="00537053">
        <w:rPr>
          <w:rFonts w:ascii="Arial" w:eastAsiaTheme="minorEastAsia" w:hAnsi="Arial" w:cs="Arial"/>
          <w:kern w:val="0"/>
          <w:sz w:val="22"/>
          <w:szCs w:val="22"/>
          <w:lang w:eastAsia="en-GB"/>
          <w14:ligatures w14:val="none"/>
        </w:rPr>
        <w:t xml:space="preserve"> </w:t>
      </w:r>
      <w:r w:rsidRPr="00537053">
        <w:rPr>
          <w:rFonts w:ascii="Arial" w:eastAsiaTheme="minorEastAsia" w:hAnsi="Arial" w:cs="Arial"/>
          <w:kern w:val="0"/>
          <w:sz w:val="22"/>
          <w:szCs w:val="22"/>
          <w:lang w:eastAsia="en-GB"/>
          <w14:ligatures w14:val="none"/>
        </w:rPr>
        <w:t>(</w:t>
      </w:r>
      <w:r w:rsidR="0035159A" w:rsidRPr="00537053">
        <w:rPr>
          <w:rFonts w:ascii="Arial" w:eastAsiaTheme="minorEastAsia" w:hAnsi="Arial" w:cs="Arial"/>
          <w:kern w:val="0"/>
          <w:sz w:val="22"/>
          <w:szCs w:val="22"/>
          <w:lang w:eastAsia="en-GB"/>
          <w14:ligatures w14:val="none"/>
        </w:rPr>
        <w:t xml:space="preserve">Accessed: </w:t>
      </w:r>
      <w:r w:rsidR="00CA462C" w:rsidRPr="00537053">
        <w:rPr>
          <w:rFonts w:ascii="Arial" w:eastAsiaTheme="minorEastAsia" w:hAnsi="Arial" w:cs="Arial"/>
          <w:kern w:val="0"/>
          <w:sz w:val="22"/>
          <w:szCs w:val="22"/>
          <w:lang w:eastAsia="en-GB"/>
          <w14:ligatures w14:val="none"/>
        </w:rPr>
        <w:t>25</w:t>
      </w:r>
      <w:r w:rsidR="00CA462C" w:rsidRPr="00537053">
        <w:rPr>
          <w:rFonts w:ascii="Arial" w:eastAsiaTheme="minorEastAsia" w:hAnsi="Arial" w:cs="Arial"/>
          <w:kern w:val="0"/>
          <w:sz w:val="22"/>
          <w:szCs w:val="22"/>
          <w:vertAlign w:val="superscript"/>
          <w:lang w:eastAsia="en-GB"/>
          <w14:ligatures w14:val="none"/>
        </w:rPr>
        <w:t>th</w:t>
      </w:r>
      <w:r w:rsidR="00CA462C" w:rsidRPr="00537053">
        <w:rPr>
          <w:rFonts w:ascii="Arial" w:eastAsiaTheme="minorEastAsia" w:hAnsi="Arial" w:cs="Arial"/>
          <w:kern w:val="0"/>
          <w:sz w:val="22"/>
          <w:szCs w:val="22"/>
          <w:lang w:eastAsia="en-GB"/>
          <w14:ligatures w14:val="none"/>
        </w:rPr>
        <w:t xml:space="preserve"> June 2026).</w:t>
      </w:r>
    </w:p>
    <w:p w14:paraId="7EEA889B" w14:textId="29DF1643" w:rsidR="00187480" w:rsidRPr="00537053" w:rsidRDefault="00187480" w:rsidP="00C13F88">
      <w:pPr>
        <w:spacing w:line="360" w:lineRule="auto"/>
        <w:jc w:val="both"/>
        <w:rPr>
          <w:rFonts w:ascii="Arial" w:eastAsiaTheme="minorEastAsia" w:hAnsi="Arial" w:cs="Arial"/>
          <w:kern w:val="0"/>
          <w:sz w:val="22"/>
          <w:szCs w:val="22"/>
          <w:lang w:eastAsia="en-GB"/>
          <w14:ligatures w14:val="none"/>
        </w:rPr>
      </w:pPr>
      <w:r w:rsidRPr="00537053">
        <w:rPr>
          <w:rFonts w:ascii="Arial" w:eastAsiaTheme="minorEastAsia" w:hAnsi="Arial" w:cs="Arial"/>
          <w:kern w:val="0"/>
          <w:sz w:val="22"/>
          <w:szCs w:val="22"/>
          <w:lang w:eastAsia="en-GB"/>
          <w14:ligatures w14:val="none"/>
        </w:rPr>
        <w:t xml:space="preserve">The Food Foundation (2025). </w:t>
      </w:r>
      <w:r w:rsidRPr="00E175C3">
        <w:rPr>
          <w:rFonts w:ascii="Arial" w:eastAsiaTheme="minorEastAsia" w:hAnsi="Arial" w:cs="Arial"/>
          <w:i/>
          <w:iCs/>
          <w:kern w:val="0"/>
          <w:sz w:val="22"/>
          <w:szCs w:val="22"/>
          <w:lang w:eastAsia="en-GB"/>
          <w14:ligatures w14:val="none"/>
        </w:rPr>
        <w:t>The Broken Plate 2025.</w:t>
      </w:r>
      <w:r w:rsidRPr="00537053">
        <w:rPr>
          <w:rFonts w:ascii="Arial" w:eastAsiaTheme="minorEastAsia" w:hAnsi="Arial" w:cs="Arial"/>
          <w:kern w:val="0"/>
          <w:sz w:val="22"/>
          <w:szCs w:val="22"/>
          <w:lang w:eastAsia="en-GB"/>
          <w14:ligatures w14:val="none"/>
        </w:rPr>
        <w:t xml:space="preserve"> Available at: </w:t>
      </w:r>
      <w:hyperlink r:id="rId28" w:history="1">
        <w:r w:rsidR="00D22B37" w:rsidRPr="00537053">
          <w:rPr>
            <w:rStyle w:val="Hyperlink"/>
            <w:rFonts w:ascii="Arial" w:eastAsiaTheme="minorEastAsia" w:hAnsi="Arial" w:cs="Arial"/>
            <w:kern w:val="0"/>
            <w:sz w:val="22"/>
            <w:szCs w:val="22"/>
            <w:lang w:eastAsia="en-GB"/>
            <w14:ligatures w14:val="none"/>
          </w:rPr>
          <w:t>https://foodfoundation.org.uk/sites/default/files/2025-04/TFF_The%20Broken%20Plate%202025.pdf</w:t>
        </w:r>
      </w:hyperlink>
      <w:r w:rsidR="00D22B37" w:rsidRPr="00537053">
        <w:rPr>
          <w:rFonts w:ascii="Arial" w:eastAsiaTheme="minorEastAsia" w:hAnsi="Arial" w:cs="Arial"/>
          <w:kern w:val="0"/>
          <w:sz w:val="22"/>
          <w:szCs w:val="22"/>
          <w:lang w:eastAsia="en-GB"/>
          <w14:ligatures w14:val="none"/>
        </w:rPr>
        <w:t xml:space="preserve"> </w:t>
      </w:r>
      <w:r w:rsidRPr="00537053">
        <w:rPr>
          <w:rFonts w:ascii="Arial" w:eastAsiaTheme="minorEastAsia" w:hAnsi="Arial" w:cs="Arial"/>
          <w:kern w:val="0"/>
          <w:sz w:val="22"/>
          <w:szCs w:val="22"/>
          <w:lang w:eastAsia="en-GB"/>
          <w14:ligatures w14:val="none"/>
        </w:rPr>
        <w:t xml:space="preserve">(Accessed: </w:t>
      </w:r>
      <w:r w:rsidR="00D22B37" w:rsidRPr="00537053">
        <w:rPr>
          <w:rFonts w:ascii="Arial" w:eastAsiaTheme="minorEastAsia" w:hAnsi="Arial" w:cs="Arial"/>
          <w:kern w:val="0"/>
          <w:sz w:val="22"/>
          <w:szCs w:val="22"/>
          <w:lang w:eastAsia="en-GB"/>
          <w14:ligatures w14:val="none"/>
        </w:rPr>
        <w:t>28</w:t>
      </w:r>
      <w:r w:rsidR="00D22B37" w:rsidRPr="00537053">
        <w:rPr>
          <w:rFonts w:ascii="Arial" w:eastAsiaTheme="minorEastAsia" w:hAnsi="Arial" w:cs="Arial"/>
          <w:kern w:val="0"/>
          <w:sz w:val="22"/>
          <w:szCs w:val="22"/>
          <w:vertAlign w:val="superscript"/>
          <w:lang w:eastAsia="en-GB"/>
          <w14:ligatures w14:val="none"/>
        </w:rPr>
        <w:t>th</w:t>
      </w:r>
      <w:r w:rsidR="00D22B37" w:rsidRPr="00537053">
        <w:rPr>
          <w:rFonts w:ascii="Arial" w:eastAsiaTheme="minorEastAsia" w:hAnsi="Arial" w:cs="Arial"/>
          <w:kern w:val="0"/>
          <w:sz w:val="22"/>
          <w:szCs w:val="22"/>
          <w:lang w:eastAsia="en-GB"/>
          <w14:ligatures w14:val="none"/>
        </w:rPr>
        <w:t xml:space="preserve"> June 2026</w:t>
      </w:r>
      <w:r w:rsidRPr="00537053">
        <w:rPr>
          <w:rFonts w:ascii="Arial" w:eastAsiaTheme="minorEastAsia" w:hAnsi="Arial" w:cs="Arial"/>
          <w:kern w:val="0"/>
          <w:sz w:val="22"/>
          <w:szCs w:val="22"/>
          <w:lang w:eastAsia="en-GB"/>
          <w14:ligatures w14:val="none"/>
        </w:rPr>
        <w:t>).</w:t>
      </w:r>
    </w:p>
    <w:p w14:paraId="0687A7E9" w14:textId="0F64D6C2" w:rsidR="00187480" w:rsidRPr="00537053" w:rsidRDefault="00187480" w:rsidP="00C13F88">
      <w:pPr>
        <w:spacing w:line="360" w:lineRule="auto"/>
        <w:jc w:val="both"/>
        <w:rPr>
          <w:rFonts w:ascii="Arial" w:eastAsiaTheme="minorEastAsia" w:hAnsi="Arial" w:cs="Arial"/>
          <w:kern w:val="0"/>
          <w:sz w:val="22"/>
          <w:szCs w:val="22"/>
          <w:lang w:eastAsia="en-GB"/>
          <w14:ligatures w14:val="none"/>
        </w:rPr>
      </w:pPr>
      <w:r w:rsidRPr="00537053">
        <w:rPr>
          <w:rFonts w:ascii="Arial" w:eastAsiaTheme="minorEastAsia" w:hAnsi="Arial" w:cs="Arial"/>
          <w:kern w:val="0"/>
          <w:sz w:val="22"/>
          <w:szCs w:val="22"/>
          <w:lang w:eastAsia="en-GB"/>
          <w14:ligatures w14:val="none"/>
        </w:rPr>
        <w:t xml:space="preserve">United Nations (2015). </w:t>
      </w:r>
      <w:r w:rsidRPr="00E175C3">
        <w:rPr>
          <w:rFonts w:ascii="Arial" w:eastAsiaTheme="minorEastAsia" w:hAnsi="Arial" w:cs="Arial"/>
          <w:i/>
          <w:iCs/>
          <w:kern w:val="0"/>
          <w:sz w:val="22"/>
          <w:szCs w:val="22"/>
          <w:lang w:eastAsia="en-GB"/>
          <w14:ligatures w14:val="none"/>
        </w:rPr>
        <w:t>Transforming our World: The 2030 Agenda for Sustainable Development.</w:t>
      </w:r>
      <w:r w:rsidRPr="00537053">
        <w:rPr>
          <w:rFonts w:ascii="Arial" w:eastAsiaTheme="minorEastAsia" w:hAnsi="Arial" w:cs="Arial"/>
          <w:kern w:val="0"/>
          <w:sz w:val="22"/>
          <w:szCs w:val="22"/>
          <w:lang w:eastAsia="en-GB"/>
          <w14:ligatures w14:val="none"/>
        </w:rPr>
        <w:t xml:space="preserve"> Available at: </w:t>
      </w:r>
      <w:hyperlink r:id="rId29" w:history="1">
        <w:r w:rsidR="000763BF" w:rsidRPr="00537053">
          <w:rPr>
            <w:rStyle w:val="Hyperlink"/>
            <w:rFonts w:ascii="Arial" w:eastAsiaTheme="minorEastAsia" w:hAnsi="Arial" w:cs="Arial"/>
            <w:kern w:val="0"/>
            <w:sz w:val="22"/>
            <w:szCs w:val="22"/>
            <w:lang w:eastAsia="en-GB"/>
            <w14:ligatures w14:val="none"/>
          </w:rPr>
          <w:t>https://sdgs.un.org/2030agenda</w:t>
        </w:r>
      </w:hyperlink>
      <w:r w:rsidR="000763BF" w:rsidRPr="00537053">
        <w:rPr>
          <w:rFonts w:ascii="Arial" w:eastAsiaTheme="minorEastAsia" w:hAnsi="Arial" w:cs="Arial"/>
          <w:kern w:val="0"/>
          <w:sz w:val="22"/>
          <w:szCs w:val="22"/>
          <w:lang w:eastAsia="en-GB"/>
          <w14:ligatures w14:val="none"/>
        </w:rPr>
        <w:t xml:space="preserve"> </w:t>
      </w:r>
      <w:r w:rsidRPr="00537053">
        <w:rPr>
          <w:rFonts w:ascii="Arial" w:eastAsiaTheme="minorEastAsia" w:hAnsi="Arial" w:cs="Arial"/>
          <w:kern w:val="0"/>
          <w:sz w:val="22"/>
          <w:szCs w:val="22"/>
          <w:lang w:eastAsia="en-GB"/>
          <w14:ligatures w14:val="none"/>
        </w:rPr>
        <w:t>(Accessed:</w:t>
      </w:r>
      <w:r w:rsidR="000763BF" w:rsidRPr="00537053">
        <w:rPr>
          <w:rFonts w:ascii="Arial" w:eastAsiaTheme="minorEastAsia" w:hAnsi="Arial" w:cs="Arial"/>
          <w:kern w:val="0"/>
          <w:sz w:val="22"/>
          <w:szCs w:val="22"/>
          <w:lang w:eastAsia="en-GB"/>
          <w14:ligatures w14:val="none"/>
        </w:rPr>
        <w:t xml:space="preserve"> 19</w:t>
      </w:r>
      <w:r w:rsidR="000763BF" w:rsidRPr="00537053">
        <w:rPr>
          <w:rFonts w:ascii="Arial" w:eastAsiaTheme="minorEastAsia" w:hAnsi="Arial" w:cs="Arial"/>
          <w:kern w:val="0"/>
          <w:sz w:val="22"/>
          <w:szCs w:val="22"/>
          <w:vertAlign w:val="superscript"/>
          <w:lang w:eastAsia="en-GB"/>
          <w14:ligatures w14:val="none"/>
        </w:rPr>
        <w:t>th</w:t>
      </w:r>
      <w:r w:rsidR="000763BF" w:rsidRPr="00537053">
        <w:rPr>
          <w:rFonts w:ascii="Arial" w:eastAsiaTheme="minorEastAsia" w:hAnsi="Arial" w:cs="Arial"/>
          <w:kern w:val="0"/>
          <w:sz w:val="22"/>
          <w:szCs w:val="22"/>
          <w:lang w:eastAsia="en-GB"/>
          <w14:ligatures w14:val="none"/>
        </w:rPr>
        <w:t xml:space="preserve"> June 2026).</w:t>
      </w:r>
    </w:p>
    <w:p w14:paraId="1D414407" w14:textId="57880832" w:rsidR="00187480" w:rsidRPr="00537053" w:rsidRDefault="00187480" w:rsidP="00C13F88">
      <w:pPr>
        <w:spacing w:line="360" w:lineRule="auto"/>
        <w:jc w:val="both"/>
        <w:rPr>
          <w:rFonts w:ascii="Arial" w:eastAsiaTheme="minorEastAsia" w:hAnsi="Arial" w:cs="Arial"/>
          <w:kern w:val="0"/>
          <w:sz w:val="22"/>
          <w:szCs w:val="22"/>
          <w:lang w:eastAsia="en-GB"/>
          <w14:ligatures w14:val="none"/>
        </w:rPr>
      </w:pPr>
      <w:r w:rsidRPr="00537053">
        <w:rPr>
          <w:rFonts w:ascii="Arial" w:eastAsiaTheme="minorEastAsia" w:hAnsi="Arial" w:cs="Arial"/>
          <w:kern w:val="0"/>
          <w:sz w:val="22"/>
          <w:szCs w:val="22"/>
          <w:lang w:eastAsia="en-GB"/>
          <w14:ligatures w14:val="none"/>
        </w:rPr>
        <w:t xml:space="preserve">United Nations (2024). </w:t>
      </w:r>
      <w:r w:rsidRPr="00E175C3">
        <w:rPr>
          <w:rFonts w:ascii="Arial" w:eastAsiaTheme="minorEastAsia" w:hAnsi="Arial" w:cs="Arial"/>
          <w:i/>
          <w:iCs/>
          <w:kern w:val="0"/>
          <w:sz w:val="22"/>
          <w:szCs w:val="22"/>
          <w:lang w:eastAsia="en-GB"/>
          <w14:ligatures w14:val="none"/>
        </w:rPr>
        <w:t>The Sustainable Development Goals Report 2024.</w:t>
      </w:r>
      <w:r w:rsidRPr="00537053">
        <w:rPr>
          <w:rFonts w:ascii="Arial" w:eastAsiaTheme="minorEastAsia" w:hAnsi="Arial" w:cs="Arial"/>
          <w:kern w:val="0"/>
          <w:sz w:val="22"/>
          <w:szCs w:val="22"/>
          <w:lang w:eastAsia="en-GB"/>
          <w14:ligatures w14:val="none"/>
        </w:rPr>
        <w:t xml:space="preserve"> Available at: </w:t>
      </w:r>
      <w:hyperlink r:id="rId30" w:history="1">
        <w:r w:rsidR="005E5C8A" w:rsidRPr="00537053">
          <w:rPr>
            <w:rStyle w:val="Hyperlink"/>
            <w:rFonts w:ascii="Arial" w:eastAsiaTheme="minorEastAsia" w:hAnsi="Arial" w:cs="Arial"/>
            <w:kern w:val="0"/>
            <w:sz w:val="22"/>
            <w:szCs w:val="22"/>
            <w:lang w:eastAsia="en-GB"/>
            <w14:ligatures w14:val="none"/>
          </w:rPr>
          <w:t>https://unstats.un.org/sdgs/report/2024</w:t>
        </w:r>
      </w:hyperlink>
      <w:r w:rsidR="005E5C8A" w:rsidRPr="00537053">
        <w:rPr>
          <w:rFonts w:ascii="Arial" w:eastAsiaTheme="minorEastAsia" w:hAnsi="Arial" w:cs="Arial"/>
          <w:kern w:val="0"/>
          <w:sz w:val="22"/>
          <w:szCs w:val="22"/>
          <w:lang w:eastAsia="en-GB"/>
          <w14:ligatures w14:val="none"/>
        </w:rPr>
        <w:t xml:space="preserve"> </w:t>
      </w:r>
      <w:r w:rsidRPr="00537053">
        <w:rPr>
          <w:rFonts w:ascii="Arial" w:eastAsiaTheme="minorEastAsia" w:hAnsi="Arial" w:cs="Arial"/>
          <w:kern w:val="0"/>
          <w:sz w:val="22"/>
          <w:szCs w:val="22"/>
          <w:lang w:eastAsia="en-GB"/>
          <w14:ligatures w14:val="none"/>
        </w:rPr>
        <w:t>(</w:t>
      </w:r>
      <w:r w:rsidR="00685F96" w:rsidRPr="00537053">
        <w:rPr>
          <w:rFonts w:ascii="Arial" w:eastAsiaTheme="minorEastAsia" w:hAnsi="Arial" w:cs="Arial"/>
          <w:kern w:val="0"/>
          <w:sz w:val="22"/>
          <w:szCs w:val="22"/>
          <w:lang w:eastAsia="en-GB"/>
          <w14:ligatures w14:val="none"/>
        </w:rPr>
        <w:t>Accessed: 19</w:t>
      </w:r>
      <w:r w:rsidR="00685F96" w:rsidRPr="00537053">
        <w:rPr>
          <w:rFonts w:ascii="Arial" w:eastAsiaTheme="minorEastAsia" w:hAnsi="Arial" w:cs="Arial"/>
          <w:kern w:val="0"/>
          <w:sz w:val="22"/>
          <w:szCs w:val="22"/>
          <w:vertAlign w:val="superscript"/>
          <w:lang w:eastAsia="en-GB"/>
          <w14:ligatures w14:val="none"/>
        </w:rPr>
        <w:t>th</w:t>
      </w:r>
      <w:r w:rsidR="00685F96" w:rsidRPr="00537053">
        <w:rPr>
          <w:rFonts w:ascii="Arial" w:eastAsiaTheme="minorEastAsia" w:hAnsi="Arial" w:cs="Arial"/>
          <w:kern w:val="0"/>
          <w:sz w:val="22"/>
          <w:szCs w:val="22"/>
          <w:lang w:eastAsia="en-GB"/>
          <w14:ligatures w14:val="none"/>
        </w:rPr>
        <w:t xml:space="preserve"> June 2026).</w:t>
      </w:r>
    </w:p>
    <w:p w14:paraId="6BDB84BA" w14:textId="1BD59EB4" w:rsidR="00187480" w:rsidRPr="00537053" w:rsidRDefault="00187480" w:rsidP="00C13F88">
      <w:pPr>
        <w:spacing w:line="360" w:lineRule="auto"/>
        <w:jc w:val="both"/>
        <w:rPr>
          <w:rFonts w:ascii="Arial" w:eastAsiaTheme="minorEastAsia" w:hAnsi="Arial" w:cs="Arial"/>
          <w:kern w:val="0"/>
          <w:sz w:val="22"/>
          <w:szCs w:val="22"/>
          <w:lang w:eastAsia="en-GB"/>
          <w14:ligatures w14:val="none"/>
        </w:rPr>
      </w:pPr>
      <w:r w:rsidRPr="00537053">
        <w:rPr>
          <w:rFonts w:ascii="Arial" w:eastAsiaTheme="minorEastAsia" w:hAnsi="Arial" w:cs="Arial"/>
          <w:kern w:val="0"/>
          <w:sz w:val="22"/>
          <w:szCs w:val="22"/>
          <w:lang w:eastAsia="en-GB"/>
          <w14:ligatures w14:val="none"/>
        </w:rPr>
        <w:t xml:space="preserve">United Nations (2025). </w:t>
      </w:r>
      <w:r w:rsidRPr="00E175C3">
        <w:rPr>
          <w:rFonts w:ascii="Arial" w:eastAsiaTheme="minorEastAsia" w:hAnsi="Arial" w:cs="Arial"/>
          <w:i/>
          <w:iCs/>
          <w:kern w:val="0"/>
          <w:sz w:val="22"/>
          <w:szCs w:val="22"/>
          <w:lang w:eastAsia="en-GB"/>
          <w14:ligatures w14:val="none"/>
        </w:rPr>
        <w:t>Goal 3: Ensure Healthy Lives and Promote Well-being for All at All Ages</w:t>
      </w:r>
      <w:r w:rsidRPr="00537053">
        <w:rPr>
          <w:rFonts w:ascii="Arial" w:eastAsiaTheme="minorEastAsia" w:hAnsi="Arial" w:cs="Arial"/>
          <w:kern w:val="0"/>
          <w:sz w:val="22"/>
          <w:szCs w:val="22"/>
          <w:lang w:eastAsia="en-GB"/>
          <w14:ligatures w14:val="none"/>
        </w:rPr>
        <w:t xml:space="preserve">. Available at: </w:t>
      </w:r>
      <w:hyperlink r:id="rId31" w:history="1">
        <w:r w:rsidR="005E6BE6" w:rsidRPr="00537053">
          <w:rPr>
            <w:rStyle w:val="Hyperlink"/>
            <w:rFonts w:ascii="Arial" w:eastAsiaTheme="minorEastAsia" w:hAnsi="Arial" w:cs="Arial"/>
            <w:kern w:val="0"/>
            <w:sz w:val="22"/>
            <w:szCs w:val="22"/>
            <w:lang w:eastAsia="en-GB"/>
            <w14:ligatures w14:val="none"/>
          </w:rPr>
          <w:t>https://sdgs.un.org/goals/goal3</w:t>
        </w:r>
      </w:hyperlink>
      <w:r w:rsidR="005E6BE6" w:rsidRPr="00537053">
        <w:rPr>
          <w:rFonts w:ascii="Arial" w:eastAsiaTheme="minorEastAsia" w:hAnsi="Arial" w:cs="Arial"/>
          <w:kern w:val="0"/>
          <w:sz w:val="22"/>
          <w:szCs w:val="22"/>
          <w:lang w:eastAsia="en-GB"/>
          <w14:ligatures w14:val="none"/>
        </w:rPr>
        <w:t xml:space="preserve"> </w:t>
      </w:r>
      <w:r w:rsidRPr="00537053">
        <w:rPr>
          <w:rFonts w:ascii="Arial" w:eastAsiaTheme="minorEastAsia" w:hAnsi="Arial" w:cs="Arial"/>
          <w:kern w:val="0"/>
          <w:sz w:val="22"/>
          <w:szCs w:val="22"/>
          <w:lang w:eastAsia="en-GB"/>
          <w14:ligatures w14:val="none"/>
        </w:rPr>
        <w:t>(Accessed:</w:t>
      </w:r>
      <w:r w:rsidR="000464FD" w:rsidRPr="00537053">
        <w:rPr>
          <w:rFonts w:ascii="Arial" w:eastAsiaTheme="minorEastAsia" w:hAnsi="Arial" w:cs="Arial"/>
          <w:kern w:val="0"/>
          <w:sz w:val="22"/>
          <w:szCs w:val="22"/>
          <w:lang w:eastAsia="en-GB"/>
          <w14:ligatures w14:val="none"/>
        </w:rPr>
        <w:t xml:space="preserve"> 19</w:t>
      </w:r>
      <w:r w:rsidR="000464FD" w:rsidRPr="00537053">
        <w:rPr>
          <w:rFonts w:ascii="Arial" w:eastAsiaTheme="minorEastAsia" w:hAnsi="Arial" w:cs="Arial"/>
          <w:kern w:val="0"/>
          <w:sz w:val="22"/>
          <w:szCs w:val="22"/>
          <w:vertAlign w:val="superscript"/>
          <w:lang w:eastAsia="en-GB"/>
          <w14:ligatures w14:val="none"/>
        </w:rPr>
        <w:t>th</w:t>
      </w:r>
      <w:r w:rsidR="000464FD" w:rsidRPr="00537053">
        <w:rPr>
          <w:rFonts w:ascii="Arial" w:eastAsiaTheme="minorEastAsia" w:hAnsi="Arial" w:cs="Arial"/>
          <w:kern w:val="0"/>
          <w:sz w:val="22"/>
          <w:szCs w:val="22"/>
          <w:lang w:eastAsia="en-GB"/>
          <w14:ligatures w14:val="none"/>
        </w:rPr>
        <w:t xml:space="preserve"> June 2026).</w:t>
      </w:r>
    </w:p>
    <w:p w14:paraId="5F7FB8A6" w14:textId="7CFA74D4" w:rsidR="00187480" w:rsidRPr="00537053" w:rsidRDefault="00187480" w:rsidP="00C13F88">
      <w:pPr>
        <w:spacing w:line="360" w:lineRule="auto"/>
        <w:jc w:val="both"/>
        <w:rPr>
          <w:rFonts w:ascii="Arial" w:eastAsiaTheme="minorEastAsia" w:hAnsi="Arial" w:cs="Arial"/>
          <w:kern w:val="0"/>
          <w:sz w:val="22"/>
          <w:szCs w:val="22"/>
          <w:lang w:eastAsia="en-GB"/>
          <w14:ligatures w14:val="none"/>
        </w:rPr>
      </w:pPr>
      <w:r w:rsidRPr="00537053">
        <w:rPr>
          <w:rFonts w:ascii="Arial" w:eastAsiaTheme="minorEastAsia" w:hAnsi="Arial" w:cs="Arial"/>
          <w:kern w:val="0"/>
          <w:sz w:val="22"/>
          <w:szCs w:val="22"/>
          <w:lang w:eastAsia="en-GB"/>
          <w14:ligatures w14:val="none"/>
        </w:rPr>
        <w:t xml:space="preserve">World Health Organization (2024). </w:t>
      </w:r>
      <w:r w:rsidRPr="00E175C3">
        <w:rPr>
          <w:rFonts w:ascii="Arial" w:eastAsiaTheme="minorEastAsia" w:hAnsi="Arial" w:cs="Arial"/>
          <w:i/>
          <w:iCs/>
          <w:kern w:val="0"/>
          <w:sz w:val="22"/>
          <w:szCs w:val="22"/>
          <w:lang w:eastAsia="en-GB"/>
          <w14:ligatures w14:val="none"/>
        </w:rPr>
        <w:t>Hunger Numbers Stubbornly High for Three Consecutive Years as Global Crises Deepen: UN Report</w:t>
      </w:r>
      <w:r w:rsidRPr="00537053">
        <w:rPr>
          <w:rFonts w:ascii="Arial" w:eastAsiaTheme="minorEastAsia" w:hAnsi="Arial" w:cs="Arial"/>
          <w:kern w:val="0"/>
          <w:sz w:val="22"/>
          <w:szCs w:val="22"/>
          <w:lang w:eastAsia="en-GB"/>
          <w14:ligatures w14:val="none"/>
        </w:rPr>
        <w:t xml:space="preserve">. Available at: </w:t>
      </w:r>
      <w:hyperlink r:id="rId32" w:history="1">
        <w:r w:rsidR="006E2307" w:rsidRPr="00537053">
          <w:rPr>
            <w:rStyle w:val="Hyperlink"/>
            <w:rFonts w:ascii="Arial" w:eastAsiaTheme="minorEastAsia" w:hAnsi="Arial" w:cs="Arial"/>
            <w:kern w:val="0"/>
            <w:sz w:val="22"/>
            <w:szCs w:val="22"/>
            <w:lang w:eastAsia="en-GB"/>
            <w14:ligatures w14:val="none"/>
          </w:rPr>
          <w:t>https://www.who.int/news/item/24-07-2024-hunger-numbers-stubbornly-high-for-three-consecutive-years-as-global-crises-deepen--un-report</w:t>
        </w:r>
      </w:hyperlink>
      <w:r w:rsidR="006E2307" w:rsidRPr="00537053">
        <w:rPr>
          <w:rFonts w:ascii="Arial" w:eastAsiaTheme="minorEastAsia" w:hAnsi="Arial" w:cs="Arial"/>
          <w:kern w:val="0"/>
          <w:sz w:val="22"/>
          <w:szCs w:val="22"/>
          <w:lang w:eastAsia="en-GB"/>
          <w14:ligatures w14:val="none"/>
        </w:rPr>
        <w:t xml:space="preserve"> </w:t>
      </w:r>
      <w:r w:rsidRPr="00537053">
        <w:rPr>
          <w:rFonts w:ascii="Arial" w:eastAsiaTheme="minorEastAsia" w:hAnsi="Arial" w:cs="Arial"/>
          <w:kern w:val="0"/>
          <w:sz w:val="22"/>
          <w:szCs w:val="22"/>
          <w:lang w:eastAsia="en-GB"/>
          <w14:ligatures w14:val="none"/>
        </w:rPr>
        <w:t>(Accessed:</w:t>
      </w:r>
      <w:r w:rsidR="006E2307" w:rsidRPr="00537053">
        <w:rPr>
          <w:rFonts w:ascii="Arial" w:eastAsiaTheme="minorEastAsia" w:hAnsi="Arial" w:cs="Arial"/>
          <w:kern w:val="0"/>
          <w:sz w:val="22"/>
          <w:szCs w:val="22"/>
          <w:lang w:eastAsia="en-GB"/>
          <w14:ligatures w14:val="none"/>
        </w:rPr>
        <w:t xml:space="preserve"> 25</w:t>
      </w:r>
      <w:r w:rsidR="006E2307" w:rsidRPr="00537053">
        <w:rPr>
          <w:rFonts w:ascii="Arial" w:eastAsiaTheme="minorEastAsia" w:hAnsi="Arial" w:cs="Arial"/>
          <w:kern w:val="0"/>
          <w:sz w:val="22"/>
          <w:szCs w:val="22"/>
          <w:vertAlign w:val="superscript"/>
          <w:lang w:eastAsia="en-GB"/>
          <w14:ligatures w14:val="none"/>
        </w:rPr>
        <w:t>th</w:t>
      </w:r>
      <w:r w:rsidR="006E2307" w:rsidRPr="00537053">
        <w:rPr>
          <w:rFonts w:ascii="Arial" w:eastAsiaTheme="minorEastAsia" w:hAnsi="Arial" w:cs="Arial"/>
          <w:kern w:val="0"/>
          <w:sz w:val="22"/>
          <w:szCs w:val="22"/>
          <w:lang w:eastAsia="en-GB"/>
          <w14:ligatures w14:val="none"/>
        </w:rPr>
        <w:t xml:space="preserve"> June 2026).</w:t>
      </w:r>
    </w:p>
    <w:p w14:paraId="41DB937E" w14:textId="46D3280F" w:rsidR="00187480" w:rsidRPr="00537053" w:rsidRDefault="00187480" w:rsidP="00C13F88">
      <w:pPr>
        <w:spacing w:line="360" w:lineRule="auto"/>
        <w:jc w:val="both"/>
        <w:rPr>
          <w:rFonts w:ascii="Arial" w:eastAsiaTheme="minorEastAsia" w:hAnsi="Arial" w:cs="Arial"/>
          <w:kern w:val="0"/>
          <w:sz w:val="22"/>
          <w:szCs w:val="22"/>
          <w:lang w:eastAsia="en-GB"/>
          <w14:ligatures w14:val="none"/>
        </w:rPr>
      </w:pPr>
      <w:r w:rsidRPr="00537053">
        <w:rPr>
          <w:rFonts w:ascii="Arial" w:eastAsiaTheme="minorEastAsia" w:hAnsi="Arial" w:cs="Arial"/>
          <w:kern w:val="0"/>
          <w:sz w:val="22"/>
          <w:szCs w:val="22"/>
          <w:lang w:eastAsia="en-GB"/>
          <w14:ligatures w14:val="none"/>
        </w:rPr>
        <w:t xml:space="preserve">World Health Organization (2025a). </w:t>
      </w:r>
      <w:r w:rsidRPr="00E175C3">
        <w:rPr>
          <w:rFonts w:ascii="Arial" w:eastAsiaTheme="minorEastAsia" w:hAnsi="Arial" w:cs="Arial"/>
          <w:i/>
          <w:iCs/>
          <w:kern w:val="0"/>
          <w:sz w:val="22"/>
          <w:szCs w:val="22"/>
          <w:lang w:eastAsia="en-GB"/>
          <w14:ligatures w14:val="none"/>
        </w:rPr>
        <w:t xml:space="preserve">Universal Health Coverage (UHC). </w:t>
      </w:r>
      <w:r w:rsidRPr="00537053">
        <w:rPr>
          <w:rFonts w:ascii="Arial" w:eastAsiaTheme="minorEastAsia" w:hAnsi="Arial" w:cs="Arial"/>
          <w:kern w:val="0"/>
          <w:sz w:val="22"/>
          <w:szCs w:val="22"/>
          <w:lang w:eastAsia="en-GB"/>
          <w14:ligatures w14:val="none"/>
        </w:rPr>
        <w:t xml:space="preserve">Available at: </w:t>
      </w:r>
      <w:hyperlink r:id="rId33" w:history="1">
        <w:r w:rsidR="00455C8D" w:rsidRPr="00537053">
          <w:rPr>
            <w:rStyle w:val="Hyperlink"/>
            <w:rFonts w:ascii="Arial" w:eastAsiaTheme="minorEastAsia" w:hAnsi="Arial" w:cs="Arial"/>
            <w:kern w:val="0"/>
            <w:sz w:val="22"/>
            <w:szCs w:val="22"/>
            <w:lang w:eastAsia="en-GB"/>
            <w14:ligatures w14:val="none"/>
          </w:rPr>
          <w:t>https://www.who.int/news-room/fact-sheets/detail/universal-health-coverage-(uhc)</w:t>
        </w:r>
      </w:hyperlink>
      <w:r w:rsidR="00455C8D" w:rsidRPr="00537053">
        <w:rPr>
          <w:rFonts w:ascii="Arial" w:eastAsiaTheme="minorEastAsia" w:hAnsi="Arial" w:cs="Arial"/>
          <w:kern w:val="0"/>
          <w:sz w:val="22"/>
          <w:szCs w:val="22"/>
          <w:lang w:eastAsia="en-GB"/>
          <w14:ligatures w14:val="none"/>
        </w:rPr>
        <w:t xml:space="preserve"> </w:t>
      </w:r>
      <w:r w:rsidRPr="00537053">
        <w:rPr>
          <w:rFonts w:ascii="Arial" w:eastAsiaTheme="minorEastAsia" w:hAnsi="Arial" w:cs="Arial"/>
          <w:kern w:val="0"/>
          <w:sz w:val="22"/>
          <w:szCs w:val="22"/>
          <w:lang w:eastAsia="en-GB"/>
          <w14:ligatures w14:val="none"/>
        </w:rPr>
        <w:t xml:space="preserve">(Accessed: </w:t>
      </w:r>
      <w:r w:rsidR="00455C8D" w:rsidRPr="00537053">
        <w:rPr>
          <w:rFonts w:ascii="Arial" w:eastAsiaTheme="minorEastAsia" w:hAnsi="Arial" w:cs="Arial"/>
          <w:kern w:val="0"/>
          <w:sz w:val="22"/>
          <w:szCs w:val="22"/>
          <w:lang w:eastAsia="en-GB"/>
          <w14:ligatures w14:val="none"/>
        </w:rPr>
        <w:t>19</w:t>
      </w:r>
      <w:r w:rsidR="00455C8D" w:rsidRPr="00537053">
        <w:rPr>
          <w:rFonts w:ascii="Arial" w:eastAsiaTheme="minorEastAsia" w:hAnsi="Arial" w:cs="Arial"/>
          <w:kern w:val="0"/>
          <w:sz w:val="22"/>
          <w:szCs w:val="22"/>
          <w:vertAlign w:val="superscript"/>
          <w:lang w:eastAsia="en-GB"/>
          <w14:ligatures w14:val="none"/>
        </w:rPr>
        <w:t>th</w:t>
      </w:r>
      <w:r w:rsidR="00455C8D" w:rsidRPr="00537053">
        <w:rPr>
          <w:rFonts w:ascii="Arial" w:eastAsiaTheme="minorEastAsia" w:hAnsi="Arial" w:cs="Arial"/>
          <w:kern w:val="0"/>
          <w:sz w:val="22"/>
          <w:szCs w:val="22"/>
          <w:lang w:eastAsia="en-GB"/>
          <w14:ligatures w14:val="none"/>
        </w:rPr>
        <w:t xml:space="preserve"> June 2026).</w:t>
      </w:r>
    </w:p>
    <w:p w14:paraId="1FB624CA" w14:textId="1A85599D" w:rsidR="00187480" w:rsidRPr="00537053" w:rsidRDefault="00187480" w:rsidP="00C13F88">
      <w:pPr>
        <w:spacing w:line="360" w:lineRule="auto"/>
        <w:jc w:val="both"/>
        <w:rPr>
          <w:rFonts w:ascii="Arial" w:eastAsiaTheme="minorEastAsia" w:hAnsi="Arial" w:cs="Arial"/>
          <w:kern w:val="0"/>
          <w:sz w:val="22"/>
          <w:szCs w:val="22"/>
          <w:lang w:eastAsia="en-GB"/>
          <w14:ligatures w14:val="none"/>
        </w:rPr>
      </w:pPr>
      <w:r w:rsidRPr="00537053">
        <w:rPr>
          <w:rFonts w:ascii="Arial" w:eastAsiaTheme="minorEastAsia" w:hAnsi="Arial" w:cs="Arial"/>
          <w:kern w:val="0"/>
          <w:sz w:val="22"/>
          <w:szCs w:val="22"/>
          <w:lang w:eastAsia="en-GB"/>
          <w14:ligatures w14:val="none"/>
        </w:rPr>
        <w:t xml:space="preserve">World Health Organization (2025b). </w:t>
      </w:r>
      <w:r w:rsidRPr="00E175C3">
        <w:rPr>
          <w:rFonts w:ascii="Arial" w:eastAsiaTheme="minorEastAsia" w:hAnsi="Arial" w:cs="Arial"/>
          <w:i/>
          <w:iCs/>
          <w:kern w:val="0"/>
          <w:sz w:val="22"/>
          <w:szCs w:val="22"/>
          <w:lang w:eastAsia="en-GB"/>
          <w14:ligatures w14:val="none"/>
        </w:rPr>
        <w:t>World Health Statistics 2025: Monitoring Health for the SDGs, Sustainable Development Goals.</w:t>
      </w:r>
      <w:r w:rsidRPr="00537053">
        <w:rPr>
          <w:rFonts w:ascii="Arial" w:eastAsiaTheme="minorEastAsia" w:hAnsi="Arial" w:cs="Arial"/>
          <w:kern w:val="0"/>
          <w:sz w:val="22"/>
          <w:szCs w:val="22"/>
          <w:lang w:eastAsia="en-GB"/>
          <w14:ligatures w14:val="none"/>
        </w:rPr>
        <w:t xml:space="preserve"> Available at: </w:t>
      </w:r>
      <w:hyperlink r:id="rId34" w:history="1">
        <w:r w:rsidR="00AB3F28" w:rsidRPr="00537053">
          <w:rPr>
            <w:rStyle w:val="Hyperlink"/>
            <w:rFonts w:ascii="Arial" w:eastAsiaTheme="minorEastAsia" w:hAnsi="Arial" w:cs="Arial"/>
            <w:kern w:val="0"/>
            <w:sz w:val="22"/>
            <w:szCs w:val="22"/>
            <w:lang w:eastAsia="en-GB"/>
            <w14:ligatures w14:val="none"/>
          </w:rPr>
          <w:t>https://iris.who.int/server/api/core/bitstreams/c992fbdc-11ef-43db-a478-7e7a195403ae/content</w:t>
        </w:r>
      </w:hyperlink>
      <w:r w:rsidR="00AB3F28" w:rsidRPr="00537053">
        <w:rPr>
          <w:rFonts w:ascii="Arial" w:eastAsiaTheme="minorEastAsia" w:hAnsi="Arial" w:cs="Arial"/>
          <w:kern w:val="0"/>
          <w:sz w:val="22"/>
          <w:szCs w:val="22"/>
          <w:lang w:eastAsia="en-GB"/>
          <w14:ligatures w14:val="none"/>
        </w:rPr>
        <w:t xml:space="preserve"> </w:t>
      </w:r>
      <w:r w:rsidRPr="00537053">
        <w:rPr>
          <w:rFonts w:ascii="Arial" w:eastAsiaTheme="minorEastAsia" w:hAnsi="Arial" w:cs="Arial"/>
          <w:kern w:val="0"/>
          <w:sz w:val="22"/>
          <w:szCs w:val="22"/>
          <w:lang w:eastAsia="en-GB"/>
          <w14:ligatures w14:val="none"/>
        </w:rPr>
        <w:t>(Accessed:</w:t>
      </w:r>
      <w:r w:rsidR="00962879" w:rsidRPr="00537053">
        <w:rPr>
          <w:rFonts w:ascii="Arial" w:eastAsiaTheme="minorEastAsia" w:hAnsi="Arial" w:cs="Arial"/>
          <w:kern w:val="0"/>
          <w:sz w:val="22"/>
          <w:szCs w:val="22"/>
          <w:lang w:eastAsia="en-GB"/>
          <w14:ligatures w14:val="none"/>
        </w:rPr>
        <w:t xml:space="preserve"> 19</w:t>
      </w:r>
      <w:r w:rsidR="00962879" w:rsidRPr="00537053">
        <w:rPr>
          <w:rFonts w:ascii="Arial" w:eastAsiaTheme="minorEastAsia" w:hAnsi="Arial" w:cs="Arial"/>
          <w:kern w:val="0"/>
          <w:sz w:val="22"/>
          <w:szCs w:val="22"/>
          <w:vertAlign w:val="superscript"/>
          <w:lang w:eastAsia="en-GB"/>
          <w14:ligatures w14:val="none"/>
        </w:rPr>
        <w:t>th</w:t>
      </w:r>
      <w:r w:rsidR="00962879" w:rsidRPr="00537053">
        <w:rPr>
          <w:rFonts w:ascii="Arial" w:eastAsiaTheme="minorEastAsia" w:hAnsi="Arial" w:cs="Arial"/>
          <w:kern w:val="0"/>
          <w:sz w:val="22"/>
          <w:szCs w:val="22"/>
          <w:lang w:eastAsia="en-GB"/>
          <w14:ligatures w14:val="none"/>
        </w:rPr>
        <w:t xml:space="preserve"> June 2026).</w:t>
      </w:r>
    </w:p>
    <w:p w14:paraId="60A0A2AB" w14:textId="513B4892" w:rsidR="00CD51AF" w:rsidRPr="00537053" w:rsidRDefault="00CD51AF" w:rsidP="00BA209F">
      <w:pPr>
        <w:spacing w:after="0" w:line="360" w:lineRule="auto"/>
        <w:jc w:val="both"/>
        <w:rPr>
          <w:rFonts w:ascii="Arial" w:hAnsi="Arial" w:cs="Arial"/>
          <w:sz w:val="22"/>
          <w:szCs w:val="22"/>
        </w:rPr>
      </w:pPr>
    </w:p>
    <w:sectPr w:rsidR="00CD51AF" w:rsidRPr="00537053">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D8B98" w14:textId="77777777" w:rsidR="00C16869" w:rsidRDefault="00C16869" w:rsidP="002F0B9D">
      <w:pPr>
        <w:spacing w:after="0" w:line="240" w:lineRule="auto"/>
      </w:pPr>
      <w:r>
        <w:separator/>
      </w:r>
    </w:p>
  </w:endnote>
  <w:endnote w:type="continuationSeparator" w:id="0">
    <w:p w14:paraId="050AEE2B" w14:textId="77777777" w:rsidR="00C16869" w:rsidRDefault="00C16869" w:rsidP="002F0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6906576"/>
      <w:docPartObj>
        <w:docPartGallery w:val="Page Numbers (Bottom of Page)"/>
        <w:docPartUnique/>
      </w:docPartObj>
    </w:sdtPr>
    <w:sdtEndPr/>
    <w:sdtContent>
      <w:p w14:paraId="20E25FB3" w14:textId="39EF8DF6" w:rsidR="004210B4" w:rsidRDefault="004210B4">
        <w:pPr>
          <w:pStyle w:val="Footer"/>
          <w:jc w:val="right"/>
        </w:pPr>
        <w:r>
          <w:fldChar w:fldCharType="begin"/>
        </w:r>
        <w:r>
          <w:instrText>PAGE   \* MERGEFORMAT</w:instrText>
        </w:r>
        <w:r>
          <w:fldChar w:fldCharType="separate"/>
        </w:r>
        <w:r>
          <w:t>2</w:t>
        </w:r>
        <w:r>
          <w:fldChar w:fldCharType="end"/>
        </w:r>
      </w:p>
    </w:sdtContent>
  </w:sdt>
  <w:p w14:paraId="43E07AE0" w14:textId="77777777" w:rsidR="004210B4" w:rsidRDefault="004210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63F29" w14:textId="77777777" w:rsidR="00C16869" w:rsidRDefault="00C16869" w:rsidP="002F0B9D">
      <w:pPr>
        <w:spacing w:after="0" w:line="240" w:lineRule="auto"/>
      </w:pPr>
      <w:r>
        <w:separator/>
      </w:r>
    </w:p>
  </w:footnote>
  <w:footnote w:type="continuationSeparator" w:id="0">
    <w:p w14:paraId="3DF84C19" w14:textId="77777777" w:rsidR="00C16869" w:rsidRDefault="00C16869" w:rsidP="002F0B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830EE"/>
    <w:multiLevelType w:val="multilevel"/>
    <w:tmpl w:val="A2AE7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B6F50"/>
    <w:multiLevelType w:val="multilevel"/>
    <w:tmpl w:val="2110B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D500D"/>
    <w:multiLevelType w:val="multilevel"/>
    <w:tmpl w:val="6CA67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215E95"/>
    <w:multiLevelType w:val="multilevel"/>
    <w:tmpl w:val="6DB6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1F22DA"/>
    <w:multiLevelType w:val="multilevel"/>
    <w:tmpl w:val="89FC2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4041C1"/>
    <w:multiLevelType w:val="multilevel"/>
    <w:tmpl w:val="8064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9C3B0D"/>
    <w:multiLevelType w:val="multilevel"/>
    <w:tmpl w:val="33CA3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DD5D24"/>
    <w:multiLevelType w:val="multilevel"/>
    <w:tmpl w:val="ED78A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FF09C4"/>
    <w:multiLevelType w:val="multilevel"/>
    <w:tmpl w:val="C3DECBC4"/>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9E27728"/>
    <w:multiLevelType w:val="multilevel"/>
    <w:tmpl w:val="39B65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0812C0"/>
    <w:multiLevelType w:val="multilevel"/>
    <w:tmpl w:val="0FB0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C8792B"/>
    <w:multiLevelType w:val="multilevel"/>
    <w:tmpl w:val="8F44A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0141683">
    <w:abstractNumId w:val="8"/>
  </w:num>
  <w:num w:numId="2" w16cid:durableId="2119371459">
    <w:abstractNumId w:val="6"/>
  </w:num>
  <w:num w:numId="3" w16cid:durableId="1068269029">
    <w:abstractNumId w:val="10"/>
  </w:num>
  <w:num w:numId="4" w16cid:durableId="888301942">
    <w:abstractNumId w:val="1"/>
  </w:num>
  <w:num w:numId="5" w16cid:durableId="821697482">
    <w:abstractNumId w:val="5"/>
  </w:num>
  <w:num w:numId="6" w16cid:durableId="1609072637">
    <w:abstractNumId w:val="4"/>
  </w:num>
  <w:num w:numId="7" w16cid:durableId="1683430433">
    <w:abstractNumId w:val="7"/>
  </w:num>
  <w:num w:numId="8" w16cid:durableId="1888177614">
    <w:abstractNumId w:val="3"/>
  </w:num>
  <w:num w:numId="9" w16cid:durableId="814416117">
    <w:abstractNumId w:val="0"/>
  </w:num>
  <w:num w:numId="10" w16cid:durableId="1024014745">
    <w:abstractNumId w:val="2"/>
  </w:num>
  <w:num w:numId="11" w16cid:durableId="223179624">
    <w:abstractNumId w:val="9"/>
  </w:num>
  <w:num w:numId="12" w16cid:durableId="90409848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8C8"/>
    <w:rsid w:val="00010C57"/>
    <w:rsid w:val="00017A8D"/>
    <w:rsid w:val="00021C19"/>
    <w:rsid w:val="000249F7"/>
    <w:rsid w:val="0002793A"/>
    <w:rsid w:val="000328F0"/>
    <w:rsid w:val="00035411"/>
    <w:rsid w:val="0004126B"/>
    <w:rsid w:val="00042040"/>
    <w:rsid w:val="000464FD"/>
    <w:rsid w:val="00046809"/>
    <w:rsid w:val="0005791F"/>
    <w:rsid w:val="0006376D"/>
    <w:rsid w:val="0006618D"/>
    <w:rsid w:val="00073337"/>
    <w:rsid w:val="00076025"/>
    <w:rsid w:val="000763BF"/>
    <w:rsid w:val="00076E26"/>
    <w:rsid w:val="00082191"/>
    <w:rsid w:val="00083517"/>
    <w:rsid w:val="00091440"/>
    <w:rsid w:val="00093F17"/>
    <w:rsid w:val="000A2F2E"/>
    <w:rsid w:val="000A482C"/>
    <w:rsid w:val="000B07A0"/>
    <w:rsid w:val="000B0839"/>
    <w:rsid w:val="000B3B34"/>
    <w:rsid w:val="000C41D8"/>
    <w:rsid w:val="000D1C9D"/>
    <w:rsid w:val="000D7BFA"/>
    <w:rsid w:val="000E608D"/>
    <w:rsid w:val="001038AA"/>
    <w:rsid w:val="00103C97"/>
    <w:rsid w:val="001054F3"/>
    <w:rsid w:val="001101CD"/>
    <w:rsid w:val="00114E70"/>
    <w:rsid w:val="001247B9"/>
    <w:rsid w:val="00127859"/>
    <w:rsid w:val="001324C1"/>
    <w:rsid w:val="00137472"/>
    <w:rsid w:val="00155817"/>
    <w:rsid w:val="00162B2D"/>
    <w:rsid w:val="0016375A"/>
    <w:rsid w:val="00171A01"/>
    <w:rsid w:val="00172F00"/>
    <w:rsid w:val="00173D2A"/>
    <w:rsid w:val="0017478A"/>
    <w:rsid w:val="00187335"/>
    <w:rsid w:val="00187480"/>
    <w:rsid w:val="0019344B"/>
    <w:rsid w:val="00193DED"/>
    <w:rsid w:val="00194D84"/>
    <w:rsid w:val="00197B1A"/>
    <w:rsid w:val="001A0066"/>
    <w:rsid w:val="001B467A"/>
    <w:rsid w:val="001B56FA"/>
    <w:rsid w:val="001C1E57"/>
    <w:rsid w:val="001D2ABA"/>
    <w:rsid w:val="001D376D"/>
    <w:rsid w:val="001D4422"/>
    <w:rsid w:val="001D6F06"/>
    <w:rsid w:val="001E0F0D"/>
    <w:rsid w:val="001F2A28"/>
    <w:rsid w:val="001F3ABB"/>
    <w:rsid w:val="001F4538"/>
    <w:rsid w:val="001F7983"/>
    <w:rsid w:val="00203F36"/>
    <w:rsid w:val="00211E9A"/>
    <w:rsid w:val="002141B4"/>
    <w:rsid w:val="002158C8"/>
    <w:rsid w:val="002227E4"/>
    <w:rsid w:val="002242DB"/>
    <w:rsid w:val="00230A06"/>
    <w:rsid w:val="00232174"/>
    <w:rsid w:val="002447CF"/>
    <w:rsid w:val="00244971"/>
    <w:rsid w:val="00246785"/>
    <w:rsid w:val="002533D5"/>
    <w:rsid w:val="002573B0"/>
    <w:rsid w:val="00257CFD"/>
    <w:rsid w:val="002601D3"/>
    <w:rsid w:val="00276AE9"/>
    <w:rsid w:val="0028086C"/>
    <w:rsid w:val="0028400E"/>
    <w:rsid w:val="00284617"/>
    <w:rsid w:val="00284E4E"/>
    <w:rsid w:val="00287370"/>
    <w:rsid w:val="00287DAA"/>
    <w:rsid w:val="0029491D"/>
    <w:rsid w:val="0029755D"/>
    <w:rsid w:val="002A7B2C"/>
    <w:rsid w:val="002B2366"/>
    <w:rsid w:val="002B5A75"/>
    <w:rsid w:val="002B715C"/>
    <w:rsid w:val="002B7CA0"/>
    <w:rsid w:val="002C480A"/>
    <w:rsid w:val="002D4220"/>
    <w:rsid w:val="002D4EAB"/>
    <w:rsid w:val="002E0CCE"/>
    <w:rsid w:val="002E45EF"/>
    <w:rsid w:val="002E4D20"/>
    <w:rsid w:val="002F0B9D"/>
    <w:rsid w:val="002F30D8"/>
    <w:rsid w:val="002F5F1C"/>
    <w:rsid w:val="003024C0"/>
    <w:rsid w:val="00302DF9"/>
    <w:rsid w:val="003134F0"/>
    <w:rsid w:val="00317CBD"/>
    <w:rsid w:val="003229BE"/>
    <w:rsid w:val="003238AF"/>
    <w:rsid w:val="00327035"/>
    <w:rsid w:val="003355E3"/>
    <w:rsid w:val="00336597"/>
    <w:rsid w:val="0034063C"/>
    <w:rsid w:val="00342F29"/>
    <w:rsid w:val="003439AC"/>
    <w:rsid w:val="003467FE"/>
    <w:rsid w:val="0035159A"/>
    <w:rsid w:val="00363E26"/>
    <w:rsid w:val="0036439F"/>
    <w:rsid w:val="00366E49"/>
    <w:rsid w:val="00370D86"/>
    <w:rsid w:val="003759ED"/>
    <w:rsid w:val="003839D8"/>
    <w:rsid w:val="00383E61"/>
    <w:rsid w:val="00387A07"/>
    <w:rsid w:val="003937DD"/>
    <w:rsid w:val="003A6FC7"/>
    <w:rsid w:val="003B38C7"/>
    <w:rsid w:val="003C4323"/>
    <w:rsid w:val="003D60C6"/>
    <w:rsid w:val="003E0604"/>
    <w:rsid w:val="003E2521"/>
    <w:rsid w:val="003E384C"/>
    <w:rsid w:val="003E4108"/>
    <w:rsid w:val="003E76D3"/>
    <w:rsid w:val="003F63D4"/>
    <w:rsid w:val="00403836"/>
    <w:rsid w:val="00406CC2"/>
    <w:rsid w:val="004123B6"/>
    <w:rsid w:val="004137F5"/>
    <w:rsid w:val="00420576"/>
    <w:rsid w:val="004210B4"/>
    <w:rsid w:val="00425A5C"/>
    <w:rsid w:val="00426A1D"/>
    <w:rsid w:val="00427199"/>
    <w:rsid w:val="00436492"/>
    <w:rsid w:val="0045127B"/>
    <w:rsid w:val="00454274"/>
    <w:rsid w:val="00455C8D"/>
    <w:rsid w:val="0046373C"/>
    <w:rsid w:val="0046445E"/>
    <w:rsid w:val="004752BF"/>
    <w:rsid w:val="0048196B"/>
    <w:rsid w:val="00481D21"/>
    <w:rsid w:val="004840EF"/>
    <w:rsid w:val="004879BC"/>
    <w:rsid w:val="004922A3"/>
    <w:rsid w:val="00493B1D"/>
    <w:rsid w:val="0049674F"/>
    <w:rsid w:val="004A6F3F"/>
    <w:rsid w:val="004B1F29"/>
    <w:rsid w:val="004B6C4D"/>
    <w:rsid w:val="004C1E77"/>
    <w:rsid w:val="004C4A96"/>
    <w:rsid w:val="004D0384"/>
    <w:rsid w:val="004D50C1"/>
    <w:rsid w:val="004D5B4C"/>
    <w:rsid w:val="004E4441"/>
    <w:rsid w:val="004F037E"/>
    <w:rsid w:val="004F0C17"/>
    <w:rsid w:val="0051072E"/>
    <w:rsid w:val="00511F8E"/>
    <w:rsid w:val="00516F55"/>
    <w:rsid w:val="00517042"/>
    <w:rsid w:val="00521B4E"/>
    <w:rsid w:val="00521C76"/>
    <w:rsid w:val="00522635"/>
    <w:rsid w:val="00524AB5"/>
    <w:rsid w:val="00527AB0"/>
    <w:rsid w:val="00534D79"/>
    <w:rsid w:val="00535092"/>
    <w:rsid w:val="00537053"/>
    <w:rsid w:val="00543AED"/>
    <w:rsid w:val="005444BE"/>
    <w:rsid w:val="0054550E"/>
    <w:rsid w:val="0055303A"/>
    <w:rsid w:val="005551CB"/>
    <w:rsid w:val="005554D1"/>
    <w:rsid w:val="00555534"/>
    <w:rsid w:val="005615B6"/>
    <w:rsid w:val="00562E32"/>
    <w:rsid w:val="0057633A"/>
    <w:rsid w:val="00577000"/>
    <w:rsid w:val="00580DA9"/>
    <w:rsid w:val="00581F02"/>
    <w:rsid w:val="00581F90"/>
    <w:rsid w:val="00592EA6"/>
    <w:rsid w:val="00595786"/>
    <w:rsid w:val="005A0D00"/>
    <w:rsid w:val="005A2E84"/>
    <w:rsid w:val="005A6D2C"/>
    <w:rsid w:val="005B3582"/>
    <w:rsid w:val="005B55E5"/>
    <w:rsid w:val="005C2C44"/>
    <w:rsid w:val="005C75B7"/>
    <w:rsid w:val="005C7BC1"/>
    <w:rsid w:val="005D1722"/>
    <w:rsid w:val="005D3822"/>
    <w:rsid w:val="005E3E26"/>
    <w:rsid w:val="005E560C"/>
    <w:rsid w:val="005E5C8A"/>
    <w:rsid w:val="005E6BE6"/>
    <w:rsid w:val="00601160"/>
    <w:rsid w:val="00611352"/>
    <w:rsid w:val="006114B8"/>
    <w:rsid w:val="00623880"/>
    <w:rsid w:val="00626A1E"/>
    <w:rsid w:val="0063353C"/>
    <w:rsid w:val="00635D7B"/>
    <w:rsid w:val="00640BA5"/>
    <w:rsid w:val="00647DAA"/>
    <w:rsid w:val="00651A79"/>
    <w:rsid w:val="00651F7E"/>
    <w:rsid w:val="00655FC2"/>
    <w:rsid w:val="00656FF5"/>
    <w:rsid w:val="00661D1F"/>
    <w:rsid w:val="00664D2E"/>
    <w:rsid w:val="00665971"/>
    <w:rsid w:val="00667724"/>
    <w:rsid w:val="00675401"/>
    <w:rsid w:val="00676AD2"/>
    <w:rsid w:val="00677AD7"/>
    <w:rsid w:val="00680A78"/>
    <w:rsid w:val="00685F96"/>
    <w:rsid w:val="00690EA5"/>
    <w:rsid w:val="00690FC4"/>
    <w:rsid w:val="0069367D"/>
    <w:rsid w:val="0069578D"/>
    <w:rsid w:val="00695D0C"/>
    <w:rsid w:val="006A1339"/>
    <w:rsid w:val="006B4A68"/>
    <w:rsid w:val="006B6C2A"/>
    <w:rsid w:val="006B7A37"/>
    <w:rsid w:val="006D1626"/>
    <w:rsid w:val="006D5796"/>
    <w:rsid w:val="006E2307"/>
    <w:rsid w:val="006E4EB5"/>
    <w:rsid w:val="006E52FB"/>
    <w:rsid w:val="006E55C2"/>
    <w:rsid w:val="006F2C26"/>
    <w:rsid w:val="006F576C"/>
    <w:rsid w:val="006F72DE"/>
    <w:rsid w:val="006F7686"/>
    <w:rsid w:val="007120AB"/>
    <w:rsid w:val="00722305"/>
    <w:rsid w:val="00726A30"/>
    <w:rsid w:val="00732424"/>
    <w:rsid w:val="00733E6A"/>
    <w:rsid w:val="00735D74"/>
    <w:rsid w:val="0074110A"/>
    <w:rsid w:val="007419B3"/>
    <w:rsid w:val="00741A0D"/>
    <w:rsid w:val="00744BF5"/>
    <w:rsid w:val="0075483B"/>
    <w:rsid w:val="00755980"/>
    <w:rsid w:val="00760358"/>
    <w:rsid w:val="00762314"/>
    <w:rsid w:val="00762696"/>
    <w:rsid w:val="00767C0D"/>
    <w:rsid w:val="00774A0A"/>
    <w:rsid w:val="007750AB"/>
    <w:rsid w:val="00783343"/>
    <w:rsid w:val="00786BB0"/>
    <w:rsid w:val="0079573A"/>
    <w:rsid w:val="00796574"/>
    <w:rsid w:val="007B07AA"/>
    <w:rsid w:val="007B324B"/>
    <w:rsid w:val="007B3E73"/>
    <w:rsid w:val="007B586E"/>
    <w:rsid w:val="007B65BD"/>
    <w:rsid w:val="007B7847"/>
    <w:rsid w:val="007C221D"/>
    <w:rsid w:val="007D3900"/>
    <w:rsid w:val="007D56B2"/>
    <w:rsid w:val="007D62CC"/>
    <w:rsid w:val="007D75AE"/>
    <w:rsid w:val="007F1E69"/>
    <w:rsid w:val="007F69C4"/>
    <w:rsid w:val="007F72B5"/>
    <w:rsid w:val="00806D5D"/>
    <w:rsid w:val="00807A87"/>
    <w:rsid w:val="008105B8"/>
    <w:rsid w:val="0081717E"/>
    <w:rsid w:val="00825A13"/>
    <w:rsid w:val="00834564"/>
    <w:rsid w:val="00837063"/>
    <w:rsid w:val="008379AB"/>
    <w:rsid w:val="00847451"/>
    <w:rsid w:val="008517FF"/>
    <w:rsid w:val="00856A33"/>
    <w:rsid w:val="00857532"/>
    <w:rsid w:val="008607D1"/>
    <w:rsid w:val="00861F3E"/>
    <w:rsid w:val="008653E6"/>
    <w:rsid w:val="008671E4"/>
    <w:rsid w:val="00877208"/>
    <w:rsid w:val="0088055C"/>
    <w:rsid w:val="008825D0"/>
    <w:rsid w:val="00890D43"/>
    <w:rsid w:val="00893AFC"/>
    <w:rsid w:val="00897F1A"/>
    <w:rsid w:val="008A7D11"/>
    <w:rsid w:val="008B4F81"/>
    <w:rsid w:val="008C32C6"/>
    <w:rsid w:val="008C3B93"/>
    <w:rsid w:val="008C469F"/>
    <w:rsid w:val="008C6BA5"/>
    <w:rsid w:val="008D501B"/>
    <w:rsid w:val="008E0879"/>
    <w:rsid w:val="008F3FAA"/>
    <w:rsid w:val="008F6995"/>
    <w:rsid w:val="0090093A"/>
    <w:rsid w:val="009066E1"/>
    <w:rsid w:val="00906E61"/>
    <w:rsid w:val="00912FA6"/>
    <w:rsid w:val="0091431F"/>
    <w:rsid w:val="00920D5A"/>
    <w:rsid w:val="00924455"/>
    <w:rsid w:val="00931DAC"/>
    <w:rsid w:val="0093381E"/>
    <w:rsid w:val="00941807"/>
    <w:rsid w:val="00942E1F"/>
    <w:rsid w:val="00944B4C"/>
    <w:rsid w:val="009518A6"/>
    <w:rsid w:val="0095461A"/>
    <w:rsid w:val="009605B6"/>
    <w:rsid w:val="00962879"/>
    <w:rsid w:val="00963FF2"/>
    <w:rsid w:val="00966E3D"/>
    <w:rsid w:val="009676BB"/>
    <w:rsid w:val="0097055F"/>
    <w:rsid w:val="0097158C"/>
    <w:rsid w:val="00972937"/>
    <w:rsid w:val="00983E9D"/>
    <w:rsid w:val="00991066"/>
    <w:rsid w:val="00996B6F"/>
    <w:rsid w:val="009A1C78"/>
    <w:rsid w:val="009A640F"/>
    <w:rsid w:val="009A71AA"/>
    <w:rsid w:val="009B0521"/>
    <w:rsid w:val="009B528E"/>
    <w:rsid w:val="009C03E6"/>
    <w:rsid w:val="009D3758"/>
    <w:rsid w:val="009D6818"/>
    <w:rsid w:val="009E18CA"/>
    <w:rsid w:val="009F000F"/>
    <w:rsid w:val="009F21CF"/>
    <w:rsid w:val="00A02185"/>
    <w:rsid w:val="00A045F0"/>
    <w:rsid w:val="00A05A47"/>
    <w:rsid w:val="00A069D9"/>
    <w:rsid w:val="00A06DC5"/>
    <w:rsid w:val="00A06EF0"/>
    <w:rsid w:val="00A07F81"/>
    <w:rsid w:val="00A1160A"/>
    <w:rsid w:val="00A122DC"/>
    <w:rsid w:val="00A13C4D"/>
    <w:rsid w:val="00A14E1C"/>
    <w:rsid w:val="00A165BE"/>
    <w:rsid w:val="00A21D85"/>
    <w:rsid w:val="00A24595"/>
    <w:rsid w:val="00A31043"/>
    <w:rsid w:val="00A353A2"/>
    <w:rsid w:val="00A35D0D"/>
    <w:rsid w:val="00A37F87"/>
    <w:rsid w:val="00A4305E"/>
    <w:rsid w:val="00A43CF4"/>
    <w:rsid w:val="00A54406"/>
    <w:rsid w:val="00A56764"/>
    <w:rsid w:val="00A6351A"/>
    <w:rsid w:val="00A71642"/>
    <w:rsid w:val="00A736BA"/>
    <w:rsid w:val="00A7684A"/>
    <w:rsid w:val="00A77679"/>
    <w:rsid w:val="00A91242"/>
    <w:rsid w:val="00AA1C57"/>
    <w:rsid w:val="00AA258F"/>
    <w:rsid w:val="00AA6BFF"/>
    <w:rsid w:val="00AA7480"/>
    <w:rsid w:val="00AB215B"/>
    <w:rsid w:val="00AB3F28"/>
    <w:rsid w:val="00AC2C98"/>
    <w:rsid w:val="00AC382D"/>
    <w:rsid w:val="00AC63F3"/>
    <w:rsid w:val="00AC6768"/>
    <w:rsid w:val="00AC7322"/>
    <w:rsid w:val="00AD16C3"/>
    <w:rsid w:val="00AD6566"/>
    <w:rsid w:val="00AF35FE"/>
    <w:rsid w:val="00AF63A9"/>
    <w:rsid w:val="00AF6A8A"/>
    <w:rsid w:val="00B031B1"/>
    <w:rsid w:val="00B06992"/>
    <w:rsid w:val="00B106B3"/>
    <w:rsid w:val="00B11667"/>
    <w:rsid w:val="00B11FEE"/>
    <w:rsid w:val="00B2244C"/>
    <w:rsid w:val="00B255ED"/>
    <w:rsid w:val="00B275A0"/>
    <w:rsid w:val="00B34EEF"/>
    <w:rsid w:val="00B63E80"/>
    <w:rsid w:val="00B649B1"/>
    <w:rsid w:val="00B64D8A"/>
    <w:rsid w:val="00B65485"/>
    <w:rsid w:val="00B65F83"/>
    <w:rsid w:val="00B6640B"/>
    <w:rsid w:val="00B72D82"/>
    <w:rsid w:val="00B76D71"/>
    <w:rsid w:val="00B802BF"/>
    <w:rsid w:val="00B94F96"/>
    <w:rsid w:val="00BA0E15"/>
    <w:rsid w:val="00BA128B"/>
    <w:rsid w:val="00BA209F"/>
    <w:rsid w:val="00BB0520"/>
    <w:rsid w:val="00BC4984"/>
    <w:rsid w:val="00BD2A70"/>
    <w:rsid w:val="00BD2B6E"/>
    <w:rsid w:val="00BE702C"/>
    <w:rsid w:val="00BF0E43"/>
    <w:rsid w:val="00BF1013"/>
    <w:rsid w:val="00BF18A6"/>
    <w:rsid w:val="00BF4F87"/>
    <w:rsid w:val="00BF68AA"/>
    <w:rsid w:val="00C115F2"/>
    <w:rsid w:val="00C122BA"/>
    <w:rsid w:val="00C13F88"/>
    <w:rsid w:val="00C16869"/>
    <w:rsid w:val="00C243C8"/>
    <w:rsid w:val="00C31AE8"/>
    <w:rsid w:val="00C373B0"/>
    <w:rsid w:val="00C44D79"/>
    <w:rsid w:val="00C6328D"/>
    <w:rsid w:val="00C63B38"/>
    <w:rsid w:val="00C66961"/>
    <w:rsid w:val="00C709AE"/>
    <w:rsid w:val="00C73E56"/>
    <w:rsid w:val="00C75D6A"/>
    <w:rsid w:val="00C906D8"/>
    <w:rsid w:val="00C9122C"/>
    <w:rsid w:val="00C944CF"/>
    <w:rsid w:val="00CA462C"/>
    <w:rsid w:val="00CB0070"/>
    <w:rsid w:val="00CB0137"/>
    <w:rsid w:val="00CB24D2"/>
    <w:rsid w:val="00CB3E06"/>
    <w:rsid w:val="00CB5BEA"/>
    <w:rsid w:val="00CB6CEF"/>
    <w:rsid w:val="00CC6B61"/>
    <w:rsid w:val="00CC7829"/>
    <w:rsid w:val="00CD51AF"/>
    <w:rsid w:val="00CD5A1F"/>
    <w:rsid w:val="00CD7657"/>
    <w:rsid w:val="00CE2730"/>
    <w:rsid w:val="00CE50F3"/>
    <w:rsid w:val="00CE629D"/>
    <w:rsid w:val="00CF083F"/>
    <w:rsid w:val="00CF1712"/>
    <w:rsid w:val="00D024D6"/>
    <w:rsid w:val="00D039B9"/>
    <w:rsid w:val="00D160B3"/>
    <w:rsid w:val="00D22B37"/>
    <w:rsid w:val="00D33F2A"/>
    <w:rsid w:val="00D36981"/>
    <w:rsid w:val="00D36E39"/>
    <w:rsid w:val="00D4519B"/>
    <w:rsid w:val="00D51142"/>
    <w:rsid w:val="00D512BF"/>
    <w:rsid w:val="00D561BB"/>
    <w:rsid w:val="00D61620"/>
    <w:rsid w:val="00D6166A"/>
    <w:rsid w:val="00D646C1"/>
    <w:rsid w:val="00D6589E"/>
    <w:rsid w:val="00D71F0A"/>
    <w:rsid w:val="00D743CC"/>
    <w:rsid w:val="00D74CFD"/>
    <w:rsid w:val="00D81F11"/>
    <w:rsid w:val="00D8670C"/>
    <w:rsid w:val="00D95BEC"/>
    <w:rsid w:val="00DA12DB"/>
    <w:rsid w:val="00DA7F09"/>
    <w:rsid w:val="00DB4D94"/>
    <w:rsid w:val="00DC0367"/>
    <w:rsid w:val="00DC1746"/>
    <w:rsid w:val="00DC450F"/>
    <w:rsid w:val="00DC698D"/>
    <w:rsid w:val="00DD3912"/>
    <w:rsid w:val="00DD573D"/>
    <w:rsid w:val="00DD5EF9"/>
    <w:rsid w:val="00DE2E02"/>
    <w:rsid w:val="00DF2E5E"/>
    <w:rsid w:val="00DF5B51"/>
    <w:rsid w:val="00DF69C0"/>
    <w:rsid w:val="00E00FEC"/>
    <w:rsid w:val="00E05C38"/>
    <w:rsid w:val="00E0673D"/>
    <w:rsid w:val="00E175C3"/>
    <w:rsid w:val="00E17C2F"/>
    <w:rsid w:val="00E20FA0"/>
    <w:rsid w:val="00E30377"/>
    <w:rsid w:val="00E361FB"/>
    <w:rsid w:val="00E37C9F"/>
    <w:rsid w:val="00E43217"/>
    <w:rsid w:val="00E45831"/>
    <w:rsid w:val="00E52644"/>
    <w:rsid w:val="00E54736"/>
    <w:rsid w:val="00E54844"/>
    <w:rsid w:val="00E55101"/>
    <w:rsid w:val="00E56337"/>
    <w:rsid w:val="00E570C8"/>
    <w:rsid w:val="00E60507"/>
    <w:rsid w:val="00E615B9"/>
    <w:rsid w:val="00E63D59"/>
    <w:rsid w:val="00E6457A"/>
    <w:rsid w:val="00E67109"/>
    <w:rsid w:val="00E701BC"/>
    <w:rsid w:val="00E758C9"/>
    <w:rsid w:val="00E76CED"/>
    <w:rsid w:val="00E80889"/>
    <w:rsid w:val="00E816D6"/>
    <w:rsid w:val="00E852E6"/>
    <w:rsid w:val="00E86736"/>
    <w:rsid w:val="00E910BC"/>
    <w:rsid w:val="00E9442C"/>
    <w:rsid w:val="00E95EBD"/>
    <w:rsid w:val="00EA44FC"/>
    <w:rsid w:val="00EB3824"/>
    <w:rsid w:val="00EC43FF"/>
    <w:rsid w:val="00ED2630"/>
    <w:rsid w:val="00ED5F60"/>
    <w:rsid w:val="00ED5FF6"/>
    <w:rsid w:val="00EE3C13"/>
    <w:rsid w:val="00EE4927"/>
    <w:rsid w:val="00EE5CAB"/>
    <w:rsid w:val="00EF0313"/>
    <w:rsid w:val="00F10D83"/>
    <w:rsid w:val="00F167A3"/>
    <w:rsid w:val="00F201E6"/>
    <w:rsid w:val="00F24799"/>
    <w:rsid w:val="00F2650A"/>
    <w:rsid w:val="00F34453"/>
    <w:rsid w:val="00F432B2"/>
    <w:rsid w:val="00F441EB"/>
    <w:rsid w:val="00F44375"/>
    <w:rsid w:val="00F45D87"/>
    <w:rsid w:val="00F53D1E"/>
    <w:rsid w:val="00F56E99"/>
    <w:rsid w:val="00F5747B"/>
    <w:rsid w:val="00F605FD"/>
    <w:rsid w:val="00F61658"/>
    <w:rsid w:val="00F664F3"/>
    <w:rsid w:val="00F6670C"/>
    <w:rsid w:val="00F67AC5"/>
    <w:rsid w:val="00F67FD6"/>
    <w:rsid w:val="00F75D9A"/>
    <w:rsid w:val="00F767E2"/>
    <w:rsid w:val="00F776CE"/>
    <w:rsid w:val="00F84C54"/>
    <w:rsid w:val="00F84F62"/>
    <w:rsid w:val="00F86DEC"/>
    <w:rsid w:val="00F86F94"/>
    <w:rsid w:val="00F90B4E"/>
    <w:rsid w:val="00F91EFD"/>
    <w:rsid w:val="00F9393D"/>
    <w:rsid w:val="00F945B8"/>
    <w:rsid w:val="00F96912"/>
    <w:rsid w:val="00F974EA"/>
    <w:rsid w:val="00FA1D7C"/>
    <w:rsid w:val="00FB0351"/>
    <w:rsid w:val="00FB5EEA"/>
    <w:rsid w:val="00FB6529"/>
    <w:rsid w:val="00FC5A4D"/>
    <w:rsid w:val="00FC7412"/>
    <w:rsid w:val="00FD178E"/>
    <w:rsid w:val="00FE0326"/>
    <w:rsid w:val="00FF0B4E"/>
    <w:rsid w:val="00FF61E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EE446"/>
  <w15:chartTrackingRefBased/>
  <w15:docId w15:val="{4FC7872C-BF54-4B48-891F-23C8073EA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58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158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158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58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58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58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58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58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58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58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158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158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58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58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58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58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58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58C8"/>
    <w:rPr>
      <w:rFonts w:eastAsiaTheme="majorEastAsia" w:cstheme="majorBidi"/>
      <w:color w:val="272727" w:themeColor="text1" w:themeTint="D8"/>
    </w:rPr>
  </w:style>
  <w:style w:type="paragraph" w:styleId="Title">
    <w:name w:val="Title"/>
    <w:basedOn w:val="Normal"/>
    <w:next w:val="Normal"/>
    <w:link w:val="TitleChar"/>
    <w:uiPriority w:val="10"/>
    <w:qFormat/>
    <w:rsid w:val="002158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58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58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58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58C8"/>
    <w:pPr>
      <w:spacing w:before="160"/>
      <w:jc w:val="center"/>
    </w:pPr>
    <w:rPr>
      <w:i/>
      <w:iCs/>
      <w:color w:val="404040" w:themeColor="text1" w:themeTint="BF"/>
    </w:rPr>
  </w:style>
  <w:style w:type="character" w:customStyle="1" w:styleId="QuoteChar">
    <w:name w:val="Quote Char"/>
    <w:basedOn w:val="DefaultParagraphFont"/>
    <w:link w:val="Quote"/>
    <w:uiPriority w:val="29"/>
    <w:rsid w:val="002158C8"/>
    <w:rPr>
      <w:i/>
      <w:iCs/>
      <w:color w:val="404040" w:themeColor="text1" w:themeTint="BF"/>
    </w:rPr>
  </w:style>
  <w:style w:type="paragraph" w:styleId="ListParagraph">
    <w:name w:val="List Paragraph"/>
    <w:basedOn w:val="Normal"/>
    <w:uiPriority w:val="34"/>
    <w:qFormat/>
    <w:rsid w:val="002158C8"/>
    <w:pPr>
      <w:ind w:left="720"/>
      <w:contextualSpacing/>
    </w:pPr>
  </w:style>
  <w:style w:type="character" w:styleId="IntenseEmphasis">
    <w:name w:val="Intense Emphasis"/>
    <w:basedOn w:val="DefaultParagraphFont"/>
    <w:uiPriority w:val="21"/>
    <w:qFormat/>
    <w:rsid w:val="002158C8"/>
    <w:rPr>
      <w:i/>
      <w:iCs/>
      <w:color w:val="0F4761" w:themeColor="accent1" w:themeShade="BF"/>
    </w:rPr>
  </w:style>
  <w:style w:type="paragraph" w:styleId="IntenseQuote">
    <w:name w:val="Intense Quote"/>
    <w:basedOn w:val="Normal"/>
    <w:next w:val="Normal"/>
    <w:link w:val="IntenseQuoteChar"/>
    <w:uiPriority w:val="30"/>
    <w:qFormat/>
    <w:rsid w:val="002158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58C8"/>
    <w:rPr>
      <w:i/>
      <w:iCs/>
      <w:color w:val="0F4761" w:themeColor="accent1" w:themeShade="BF"/>
    </w:rPr>
  </w:style>
  <w:style w:type="character" w:styleId="IntenseReference">
    <w:name w:val="Intense Reference"/>
    <w:basedOn w:val="DefaultParagraphFont"/>
    <w:uiPriority w:val="32"/>
    <w:qFormat/>
    <w:rsid w:val="002158C8"/>
    <w:rPr>
      <w:b/>
      <w:bCs/>
      <w:smallCaps/>
      <w:color w:val="0F4761" w:themeColor="accent1" w:themeShade="BF"/>
      <w:spacing w:val="5"/>
    </w:rPr>
  </w:style>
  <w:style w:type="paragraph" w:styleId="NoSpacing">
    <w:name w:val="No Spacing"/>
    <w:uiPriority w:val="1"/>
    <w:qFormat/>
    <w:rsid w:val="005444BE"/>
    <w:pPr>
      <w:spacing w:after="0" w:line="240" w:lineRule="auto"/>
    </w:pPr>
  </w:style>
  <w:style w:type="paragraph" w:styleId="Header">
    <w:name w:val="header"/>
    <w:basedOn w:val="Normal"/>
    <w:link w:val="HeaderChar"/>
    <w:uiPriority w:val="99"/>
    <w:unhideWhenUsed/>
    <w:rsid w:val="002F0B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0B9D"/>
  </w:style>
  <w:style w:type="paragraph" w:styleId="Footer">
    <w:name w:val="footer"/>
    <w:basedOn w:val="Normal"/>
    <w:link w:val="FooterChar"/>
    <w:uiPriority w:val="99"/>
    <w:unhideWhenUsed/>
    <w:rsid w:val="002F0B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0B9D"/>
  </w:style>
  <w:style w:type="paragraph" w:styleId="TOCHeading">
    <w:name w:val="TOC Heading"/>
    <w:basedOn w:val="Heading1"/>
    <w:next w:val="Normal"/>
    <w:uiPriority w:val="39"/>
    <w:unhideWhenUsed/>
    <w:qFormat/>
    <w:rsid w:val="00CB5BEA"/>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CB5BEA"/>
    <w:pPr>
      <w:spacing w:after="100"/>
      <w:ind w:left="240"/>
    </w:pPr>
  </w:style>
  <w:style w:type="paragraph" w:styleId="TOC3">
    <w:name w:val="toc 3"/>
    <w:basedOn w:val="Normal"/>
    <w:next w:val="Normal"/>
    <w:autoRedefine/>
    <w:uiPriority w:val="39"/>
    <w:unhideWhenUsed/>
    <w:rsid w:val="00CB5BEA"/>
    <w:pPr>
      <w:spacing w:after="100"/>
      <w:ind w:left="480"/>
    </w:pPr>
  </w:style>
  <w:style w:type="character" w:styleId="Hyperlink">
    <w:name w:val="Hyperlink"/>
    <w:basedOn w:val="DefaultParagraphFont"/>
    <w:uiPriority w:val="99"/>
    <w:unhideWhenUsed/>
    <w:rsid w:val="00CB5BEA"/>
    <w:rPr>
      <w:color w:val="467886" w:themeColor="hyperlink"/>
      <w:u w:val="single"/>
    </w:rPr>
  </w:style>
  <w:style w:type="paragraph" w:styleId="NormalWeb">
    <w:name w:val="Normal (Web)"/>
    <w:basedOn w:val="Normal"/>
    <w:uiPriority w:val="99"/>
    <w:unhideWhenUsed/>
    <w:rsid w:val="00FC5A4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isselectedend">
    <w:name w:val="isselectedend"/>
    <w:basedOn w:val="Normal"/>
    <w:rsid w:val="002E45E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dq2pgselectionanchorcontainer">
    <w:name w:val="pdq2pg_selectionanchorcontainer"/>
    <w:basedOn w:val="Normal"/>
    <w:rsid w:val="00C944C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1D4422"/>
    <w:rPr>
      <w:color w:val="605E5C"/>
      <w:shd w:val="clear" w:color="auto" w:fill="E1DFDD"/>
    </w:rPr>
  </w:style>
  <w:style w:type="character" w:customStyle="1" w:styleId="apple-converted-space">
    <w:name w:val="apple-converted-space"/>
    <w:basedOn w:val="DefaultParagraphFont"/>
    <w:rsid w:val="002227E4"/>
  </w:style>
  <w:style w:type="paragraph" w:customStyle="1" w:styleId="p1">
    <w:name w:val="p1"/>
    <w:basedOn w:val="Normal"/>
    <w:rsid w:val="004840EF"/>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2">
    <w:name w:val="s2"/>
    <w:basedOn w:val="DefaultParagraphFont"/>
    <w:rsid w:val="007B7847"/>
  </w:style>
  <w:style w:type="character" w:customStyle="1" w:styleId="s1">
    <w:name w:val="s1"/>
    <w:basedOn w:val="DefaultParagraphFont"/>
    <w:rsid w:val="007B7847"/>
  </w:style>
  <w:style w:type="paragraph" w:customStyle="1" w:styleId="p2">
    <w:name w:val="p2"/>
    <w:basedOn w:val="Normal"/>
    <w:rsid w:val="00AF35FE"/>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books/NBK552030/" TargetMode="External"/><Relationship Id="rId18" Type="http://schemas.openxmlformats.org/officeDocument/2006/relationships/hyperlink" Target="https://doi.org/10.1016/S0140-6736(18)31668-4" TargetMode="External"/><Relationship Id="rId26" Type="http://schemas.openxmlformats.org/officeDocument/2006/relationships/hyperlink" Target="https://doi.org/10.1186/s12889-021-12222-5" TargetMode="External"/><Relationship Id="rId21" Type="http://schemas.openxmlformats.org/officeDocument/2006/relationships/hyperlink" Target="https://doi.org/10.3390/nu17193059" TargetMode="External"/><Relationship Id="rId34" Type="http://schemas.openxmlformats.org/officeDocument/2006/relationships/hyperlink" Target="https://iris.who.int/server/api/core/bitstreams/c992fbdc-11ef-43db-a478-7e7a195403ae/content" TargetMode="External"/><Relationship Id="rId7" Type="http://schemas.openxmlformats.org/officeDocument/2006/relationships/endnotes" Target="endnotes.xml"/><Relationship Id="rId12" Type="http://schemas.openxmlformats.org/officeDocument/2006/relationships/hyperlink" Target="https://www.birmingham.gov.uk/downloads/file/23756/creating_a_bolder_healthier_city_2022_to_2030" TargetMode="External"/><Relationship Id="rId17" Type="http://schemas.openxmlformats.org/officeDocument/2006/relationships/hyperlink" Target="https://doi.org/10.1080/10410236.2013.873363" TargetMode="External"/><Relationship Id="rId25" Type="http://schemas.openxmlformats.org/officeDocument/2006/relationships/hyperlink" Target="https://doi.org/10.5334/ijic.7738" TargetMode="External"/><Relationship Id="rId33" Type="http://schemas.openxmlformats.org/officeDocument/2006/relationships/hyperlink" Target="https://www.who.int/news-room/fact-sheets/detail/universal-health-coverage-(uhc)" TargetMode="External"/><Relationship Id="rId2" Type="http://schemas.openxmlformats.org/officeDocument/2006/relationships/numbering" Target="numbering.xml"/><Relationship Id="rId16" Type="http://schemas.openxmlformats.org/officeDocument/2006/relationships/hyperlink" Target="https://doi.org/10.1016/s0140-6736(18)31829-4" TargetMode="External"/><Relationship Id="rId20" Type="http://schemas.openxmlformats.org/officeDocument/2006/relationships/hyperlink" Target="https://www.instituteofhealthequity.org/resources-reports/marmot-review-10-years-on/the-marmot-review-10-years-on-full-report.pdf" TargetMode="External"/><Relationship Id="rId29" Type="http://schemas.openxmlformats.org/officeDocument/2006/relationships/hyperlink" Target="https://sdgs.un.org/2030agend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rmingham.gov.uk/info/50279/food_revolution/2602/birmingham_food_system_strategy" TargetMode="External"/><Relationship Id="rId24" Type="http://schemas.openxmlformats.org/officeDocument/2006/relationships/hyperlink" Target="https://www.england.nhs.uk/long-read/nhs-long-term-workforce-plan-2/" TargetMode="External"/><Relationship Id="rId32" Type="http://schemas.openxmlformats.org/officeDocument/2006/relationships/hyperlink" Target="https://www.who.int/news/item/24-07-2024-hunger-numbers-stubbornly-high-for-three-consecutive-years-as-global-crises-deepen--un-report"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openknowledge.fao.org/server/api/core/bitstreams/de95e011-1af9-4b28-9a07-d8ce61f8aa6c/content/state-food-security-and-nutrition-2025/executive-summary.html" TargetMode="External"/><Relationship Id="rId23" Type="http://schemas.openxmlformats.org/officeDocument/2006/relationships/hyperlink" Target="https://webarchive.nationalarchives.gov.uk/ukgwa/20250511091243/https:/www.longtermplan.nhs.uk/wp-content/uploads/2019/08/nhs-long-term-plan-version-1.2.pdf" TargetMode="External"/><Relationship Id="rId28" Type="http://schemas.openxmlformats.org/officeDocument/2006/relationships/hyperlink" Target="https://foodfoundation.org.uk/sites/default/files/2025-04/TFF_The%20Broken%20Plate%202025.pdf" TargetMode="External"/><Relationship Id="rId36" Type="http://schemas.openxmlformats.org/officeDocument/2006/relationships/fontTable" Target="fontTable.xml"/><Relationship Id="rId10" Type="http://schemas.openxmlformats.org/officeDocument/2006/relationships/hyperlink" Target="https://www.birminghamsolihullics.org.uk/about-us/our-integrated-care-partnership" TargetMode="External"/><Relationship Id="rId19" Type="http://schemas.openxmlformats.org/officeDocument/2006/relationships/hyperlink" Target="https://doi.org/10.1177/13558196231209940" TargetMode="External"/><Relationship Id="rId31" Type="http://schemas.openxmlformats.org/officeDocument/2006/relationships/hyperlink" Target="https://sdgs.un.org/goals/goal3" TargetMode="External"/><Relationship Id="rId4" Type="http://schemas.openxmlformats.org/officeDocument/2006/relationships/settings" Target="settings.xml"/><Relationship Id="rId9" Type="http://schemas.openxmlformats.org/officeDocument/2006/relationships/hyperlink" Target="https://doi.org/10.1186/s12916-024-03380-5" TargetMode="External"/><Relationship Id="rId14" Type="http://schemas.openxmlformats.org/officeDocument/2006/relationships/hyperlink" Target="https://doi.org/10.1146/annurev-nutr-111324-111252" TargetMode="External"/><Relationship Id="rId22" Type="http://schemas.openxmlformats.org/officeDocument/2006/relationships/hyperlink" Target="https://www.healthystart.nhs.uk/" TargetMode="External"/><Relationship Id="rId27" Type="http://schemas.openxmlformats.org/officeDocument/2006/relationships/hyperlink" Target="https://s3.amazonaws.com/sustainabledevelopment.report/2022/2022-sustainable-development-report.pdf" TargetMode="External"/><Relationship Id="rId30" Type="http://schemas.openxmlformats.org/officeDocument/2006/relationships/hyperlink" Target="https://unstats.un.org/sdgs/report/2024"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3FEED8-654C-4E81-A905-487B8A6B3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11</Pages>
  <Words>3915</Words>
  <Characters>22318</Characters>
  <Application>Microsoft Office Word</Application>
  <DocSecurity>0</DocSecurity>
  <Lines>185</Lines>
  <Paragraphs>52</Paragraphs>
  <ScaleCrop>false</ScaleCrop>
  <Company/>
  <LinksUpToDate>false</LinksUpToDate>
  <CharactersWithSpaces>26181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Ahmed (2314455)</dc:creator>
  <cp:keywords/>
  <dc:description/>
  <cp:lastModifiedBy>Sana Ahmed (2314455)</cp:lastModifiedBy>
  <cp:revision>179</cp:revision>
  <dcterms:created xsi:type="dcterms:W3CDTF">2026-07-08T21:08:00Z</dcterms:created>
  <dcterms:modified xsi:type="dcterms:W3CDTF">2026-07-09T19:49:00Z</dcterms:modified>
</cp:coreProperties>
</file>