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ntTable.xml" ContentType="application/vnd.openxmlformats-officedocument.wordprocessingml.fontTable+xml"/>
  <Override PartName="/docProps/core.xml" ContentType="application/vnd.openxmlformats-package.core-properties+xml"/>
  <Override PartName="/word/numbering.xml" ContentType="application/vnd.openxmlformats-officedocument.wordprocessingml.numbering+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layout1.xml" ContentType="application/vnd.openxmlformats-officedocument.drawingml.diagramLayout+xml"/>
  <Override PartName="/word/document.xml" ContentType="application/vnd.openxmlformats-officedocument.wordprocessingml.document.main+xml"/>
  <Override PartName="/customXml/itemProps1.xml" ContentType="application/vnd.openxmlformats-officedocument.customXmlProperties+xml"/>
  <Override PartName="/word/diagrams/quickStyle1.xml" ContentType="application/vnd.openxmlformats-officedocument.drawingml.diagramStyle+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center"/>
        <w:rPr>
          <w:rFonts w:ascii="Times New Roman" w:cs="Times New Roman" w:hAnsi="Times New Roman"/>
          <w:b/>
          <w:bCs/>
          <w:sz w:val="24"/>
          <w:szCs w:val="24"/>
          <w:lang w:val="en-GB"/>
        </w:rPr>
      </w:pPr>
    </w:p>
    <w:p>
      <w:pPr>
        <w:pStyle w:val="style0"/>
        <w:spacing w:lineRule="auto" w:line="360"/>
        <w:jc w:val="center"/>
        <w:rPr>
          <w:rFonts w:ascii="Times New Roman" w:cs="Times New Roman" w:hAnsi="Times New Roman"/>
          <w:b/>
          <w:bCs/>
          <w:sz w:val="24"/>
          <w:szCs w:val="24"/>
          <w:lang w:val="en-GB"/>
        </w:rPr>
      </w:pPr>
    </w:p>
    <w:p>
      <w:pPr>
        <w:pStyle w:val="style0"/>
        <w:spacing w:lineRule="auto" w:line="360"/>
        <w:jc w:val="center"/>
        <w:rPr>
          <w:rFonts w:ascii="Times New Roman" w:cs="Times New Roman" w:hAnsi="Times New Roman"/>
          <w:b/>
          <w:bCs/>
          <w:sz w:val="24"/>
          <w:szCs w:val="24"/>
          <w:lang w:val="en-GB"/>
        </w:rPr>
      </w:pPr>
    </w:p>
    <w:p>
      <w:pPr>
        <w:pStyle w:val="style0"/>
        <w:spacing w:lineRule="auto" w:line="360"/>
        <w:jc w:val="center"/>
        <w:rPr>
          <w:rFonts w:ascii="Times New Roman" w:cs="Times New Roman" w:hAnsi="Times New Roman"/>
          <w:b/>
          <w:bCs/>
          <w:sz w:val="24"/>
          <w:szCs w:val="24"/>
          <w:lang w:val="en-GB"/>
        </w:rPr>
      </w:pPr>
    </w:p>
    <w:p>
      <w:pPr>
        <w:pStyle w:val="style0"/>
        <w:spacing w:lineRule="auto" w:line="360"/>
        <w:jc w:val="left"/>
        <w:rPr>
          <w:rFonts w:ascii="Times New Roman" w:cs="Times New Roman" w:hAnsi="Times New Roman"/>
          <w:b/>
          <w:bCs/>
          <w:sz w:val="24"/>
          <w:szCs w:val="24"/>
          <w:lang w:val="en-GB"/>
        </w:rPr>
      </w:pP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US"/>
        </w:rPr>
        <w:t>BA ( Hons)</w:t>
      </w:r>
    </w:p>
    <w:p>
      <w:pPr>
        <w:pStyle w:val="style0"/>
        <w:spacing w:lineRule="auto" w:line="360"/>
        <w:jc w:val="center"/>
        <w:rPr>
          <w:rFonts w:ascii="Times New Roman" w:cs="Times New Roman" w:hAnsi="Times New Roman"/>
          <w:b/>
          <w:bCs/>
          <w:sz w:val="24"/>
          <w:szCs w:val="24"/>
          <w:lang w:val="en-GB"/>
        </w:rPr>
      </w:pPr>
    </w:p>
    <w:p>
      <w:pPr>
        <w:pStyle w:val="style0"/>
        <w:spacing w:lineRule="auto" w:line="360"/>
        <w:jc w:val="center"/>
        <w:rPr>
          <w:rFonts w:ascii="Times New Roman" w:cs="Times New Roman" w:hAnsi="Times New Roman"/>
          <w:b/>
          <w:bCs/>
          <w:sz w:val="24"/>
          <w:szCs w:val="24"/>
          <w:lang w:val="en-GB"/>
        </w:rPr>
      </w:pP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GB"/>
        </w:rPr>
        <w:t>Leading and Implementing Strategic Change at Marks &amp; Spencer plc:</w:t>
      </w:r>
      <w:r>
        <w:rPr>
          <w:rFonts w:ascii="Times New Roman" w:cs="Times New Roman" w:hAnsi="Times New Roman"/>
          <w:b/>
          <w:bCs/>
          <w:sz w:val="24"/>
          <w:szCs w:val="24"/>
          <w:lang w:val="en-GB"/>
        </w:rPr>
        <w:t xml:space="preserve"> </w:t>
      </w:r>
      <w:r>
        <w:rPr>
          <w:rFonts w:ascii="Times New Roman" w:cs="Times New Roman" w:hAnsi="Times New Roman"/>
          <w:b/>
          <w:bCs/>
          <w:sz w:val="24"/>
          <w:szCs w:val="24"/>
          <w:lang w:val="en-GB"/>
        </w:rPr>
        <w:t>A Change Management Plan for Organisational Adaptation in UK Retail</w:t>
      </w: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US"/>
        </w:rPr>
        <w:t>Module: Leading and implementing Change (LCLM6003)</w:t>
      </w: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US"/>
        </w:rPr>
        <w:t xml:space="preserve">  Assignment Title:</w:t>
      </w: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US"/>
        </w:rPr>
        <w:t xml:space="preserve">A Strategic Change Plan </w:t>
      </w: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US"/>
        </w:rPr>
        <w:t>Student Name: Ousman Conte</w:t>
      </w: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US"/>
        </w:rPr>
        <w:t>Student ID: 2310911</w:t>
      </w: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US"/>
        </w:rPr>
        <w:t>Lecturer:Nadeem Mirza</w:t>
      </w: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US"/>
        </w:rPr>
        <w:t>Submission Date:23/03/2026</w:t>
      </w:r>
    </w:p>
    <w:p>
      <w:pPr>
        <w:pStyle w:val="style0"/>
        <w:spacing w:lineRule="auto" w:line="360"/>
        <w:jc w:val="left"/>
        <w:rPr>
          <w:rFonts w:ascii="Times New Roman" w:cs="Times New Roman" w:hAnsi="Times New Roman"/>
          <w:b/>
          <w:bCs/>
          <w:sz w:val="24"/>
          <w:szCs w:val="24"/>
          <w:lang w:val="en-GB"/>
        </w:rPr>
      </w:pPr>
    </w:p>
    <w:p>
      <w:pPr>
        <w:pStyle w:val="style0"/>
        <w:spacing w:lineRule="auto" w:line="360"/>
        <w:jc w:val="left"/>
        <w:rPr>
          <w:rFonts w:ascii="Times New Roman" w:cs="Times New Roman" w:hAnsi="Times New Roman"/>
          <w:b/>
          <w:bCs/>
          <w:sz w:val="24"/>
          <w:szCs w:val="24"/>
          <w:lang w:val="en-GB"/>
        </w:rPr>
      </w:pPr>
    </w:p>
    <w:p>
      <w:pPr>
        <w:pStyle w:val="style0"/>
        <w:spacing w:lineRule="auto" w:line="360"/>
        <w:jc w:val="left"/>
        <w:rPr>
          <w:rFonts w:ascii="Times New Roman" w:cs="Times New Roman" w:hAnsi="Times New Roman"/>
          <w:b/>
          <w:bCs/>
          <w:sz w:val="24"/>
          <w:szCs w:val="24"/>
          <w:lang w:val="en-GB"/>
        </w:rPr>
      </w:pPr>
    </w:p>
    <w:p>
      <w:pPr>
        <w:pStyle w:val="style0"/>
        <w:spacing w:lineRule="auto" w:line="360"/>
        <w:jc w:val="center"/>
        <w:rPr>
          <w:rFonts w:ascii="Times New Roman" w:cs="Times New Roman" w:hAnsi="Times New Roman"/>
          <w:b/>
          <w:bCs/>
          <w:sz w:val="24"/>
          <w:szCs w:val="24"/>
          <w:lang w:val="en-GB"/>
        </w:rPr>
      </w:pP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US"/>
        </w:rPr>
        <w:t>At 14:00 MP</w:t>
      </w: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US"/>
        </w:rPr>
        <w:t>Word Count:4000 words</w:t>
      </w:r>
    </w:p>
    <w:p>
      <w:pPr>
        <w:pStyle w:val="style0"/>
        <w:spacing w:lineRule="auto" w:line="360"/>
        <w:jc w:val="center"/>
        <w:rPr>
          <w:rFonts w:ascii="Times New Roman" w:cs="Times New Roman" w:hAnsi="Times New Roman"/>
          <w:b/>
          <w:bCs/>
          <w:sz w:val="24"/>
          <w:szCs w:val="24"/>
          <w:lang w:val="en-GB"/>
        </w:rPr>
      </w:pPr>
      <w:r>
        <w:rPr>
          <w:rFonts w:ascii="Times New Roman" w:cs="Times New Roman" w:hAnsi="Times New Roman"/>
          <w:b/>
          <w:bCs/>
          <w:sz w:val="24"/>
          <w:szCs w:val="24"/>
          <w:lang w:val="en-US"/>
        </w:rPr>
        <w:t xml:space="preserve">   </w:t>
      </w:r>
    </w:p>
    <w:p>
      <w:pPr>
        <w:pStyle w:val="style0"/>
        <w:spacing w:lineRule="auto" w:line="360"/>
        <w:rPr>
          <w:rStyle w:val="style87"/>
          <w:rFonts w:ascii="Times New Roman" w:cs="Times New Roman" w:hAnsi="Times New Roman"/>
          <w:b w:val="false"/>
          <w:bCs w:val="false"/>
          <w:sz w:val="24"/>
          <w:szCs w:val="24"/>
          <w:lang w:val="en-GB"/>
        </w:rPr>
      </w:pPr>
      <w:r>
        <w:rPr>
          <w:rStyle w:val="style87"/>
          <w:rFonts w:ascii="Times New Roman" w:cs="Times New Roman" w:hAnsi="Times New Roman"/>
          <w:b w:val="false"/>
          <w:bCs w:val="false"/>
          <w:sz w:val="24"/>
          <w:szCs w:val="24"/>
          <w:lang w:val="en-GB"/>
        </w:rPr>
        <w:br w:type="page"/>
      </w:r>
    </w:p>
    <w:p>
      <w:pPr>
        <w:pStyle w:val="style1"/>
        <w:spacing w:lineRule="auto" w:line="360"/>
        <w:jc w:val="center"/>
        <w:rPr>
          <w:rStyle w:val="style87"/>
          <w:rFonts w:ascii="Times New Roman" w:hAnsi="Times New Roman"/>
          <w:b/>
          <w:bCs/>
          <w:sz w:val="24"/>
          <w:szCs w:val="24"/>
          <w:lang w:val="en-GB"/>
        </w:rPr>
      </w:pPr>
      <w:r>
        <w:rPr>
          <w:rStyle w:val="style87"/>
          <w:rFonts w:ascii="Times New Roman" w:hAnsi="Times New Roman"/>
          <w:b/>
          <w:bCs/>
          <w:sz w:val="24"/>
          <w:szCs w:val="24"/>
          <w:lang w:val="en-GB"/>
        </w:rPr>
        <w:t>Executive Summary</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The UK retail environment in which Marks and Spencer plc operates is characterised by a history of sustained digital disruption, shifting consumer demands, growing cost pressures and operational and cyber risks </w:t>
      </w:r>
      <w:r>
        <w:rPr>
          <w:rFonts w:ascii="Times New Roman" w:cs="Times New Roman" w:hAnsi="Times New Roman"/>
          <w:lang w:val="en-GB"/>
        </w:rPr>
        <w:t>to which it is more exposed</w:t>
      </w:r>
      <w:r>
        <w:rPr>
          <w:rFonts w:ascii="Times New Roman" w:cs="Times New Roman" w:hAnsi="Times New Roman"/>
          <w:lang w:val="en-GB"/>
        </w:rPr>
        <w:t xml:space="preserve">. Though the organisation has portrayed better financial performance by its strategy of Reshape for Growth, such recovery has been disproportionate and sensitive, especially in the Clothing and Home division. Recent organisational incidents, such as the 2025 cyber incident, have also revealed the weaknesses in </w:t>
      </w:r>
      <w:r>
        <w:rPr>
          <w:rFonts w:ascii="Times New Roman" w:cs="Times New Roman" w:hAnsi="Times New Roman"/>
          <w:lang w:val="en-GB"/>
        </w:rPr>
        <w:t>organisational resilience, the ability to build,</w:t>
      </w:r>
      <w:r>
        <w:rPr>
          <w:rFonts w:ascii="Times New Roman" w:cs="Times New Roman" w:hAnsi="Times New Roman"/>
          <w:lang w:val="en-GB"/>
        </w:rPr>
        <w:t xml:space="preserve"> and the introduction of change.</w:t>
      </w:r>
    </w:p>
    <w:p>
      <w:pPr>
        <w:pStyle w:val="style94"/>
        <w:spacing w:lineRule="auto" w:line="360"/>
        <w:rPr>
          <w:rFonts w:ascii="Times New Roman" w:cs="Times New Roman" w:hAnsi="Times New Roman"/>
          <w:lang w:val="en-GB"/>
        </w:rPr>
      </w:pPr>
      <w:r>
        <w:rPr>
          <w:rFonts w:ascii="Times New Roman" w:cs="Times New Roman" w:hAnsi="Times New Roman"/>
          <w:lang w:val="en-GB"/>
        </w:rPr>
        <w:t>This report outlines a strategic change management plan</w:t>
      </w:r>
      <w:r>
        <w:rPr>
          <w:rFonts w:ascii="Times New Roman" w:cs="Times New Roman" w:hAnsi="Times New Roman"/>
          <w:lang w:val="en-GB"/>
        </w:rPr>
        <w:t xml:space="preserve"> that will guide Marks &amp; Spencer beyond episodic restructuring toward</w:t>
      </w:r>
      <w:r>
        <w:rPr>
          <w:rFonts w:ascii="Times New Roman" w:cs="Times New Roman" w:hAnsi="Times New Roman"/>
          <w:lang w:val="en-GB"/>
        </w:rPr>
        <w:t xml:space="preserve"> sustainable organisational adaptation.</w:t>
      </w:r>
      <w:r>
        <w:rPr>
          <w:rFonts w:ascii="Times New Roman" w:cs="Times New Roman" w:hAnsi="Times New Roman"/>
          <w:lang w:val="en-GB"/>
        </w:rPr>
        <w:t xml:space="preserve"> </w:t>
      </w:r>
      <w:r>
        <w:rPr>
          <w:rFonts w:ascii="Times New Roman" w:cs="Times New Roman" w:hAnsi="Times New Roman"/>
          <w:lang w:val="en-GB"/>
        </w:rPr>
        <w:t>This report critically reviews internal and external change drivers in the organisation, evaluates the effectiveness of past change strategies</w:t>
      </w:r>
      <w:r>
        <w:rPr>
          <w:rFonts w:ascii="Times New Roman" w:cs="Times New Roman" w:hAnsi="Times New Roman"/>
          <w:lang w:val="en-GB"/>
        </w:rPr>
        <w:t>, and examines how leadership and organisational culture can be employed to influence change outcomes</w:t>
      </w:r>
      <w:r>
        <w:rPr>
          <w:rFonts w:ascii="Times New Roman" w:cs="Times New Roman" w:hAnsi="Times New Roman"/>
          <w:lang w:val="en-GB"/>
        </w:rPr>
        <w:t>.</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As </w:t>
      </w:r>
      <w:r>
        <w:rPr>
          <w:rFonts w:ascii="Times New Roman" w:cs="Times New Roman" w:hAnsi="Times New Roman"/>
          <w:lang w:val="en-GB"/>
        </w:rPr>
        <w:t xml:space="preserve">the analysis reveals, senior leadership has managed to reinstate strategic focus and performance discipline. Still, the execution of change has been limited by cultural inertia, the capacity of middle management, and the lack of alignment between strategic goals and </w:t>
      </w:r>
      <w:r>
        <w:rPr>
          <w:rFonts w:ascii="Times New Roman" w:cs="Times New Roman" w:hAnsi="Times New Roman"/>
          <w:lang w:val="en-GB"/>
        </w:rPr>
        <w:t>people management systems. The proposed change plan, in turn, places emphasis on the integration of the change via renewed performance management systems, improved capabilities of the workforce, and increased organisational resilience.</w:t>
      </w:r>
    </w:p>
    <w:p>
      <w:pPr>
        <w:pStyle w:val="style94"/>
        <w:spacing w:lineRule="auto" w:line="360"/>
        <w:rPr>
          <w:rFonts w:ascii="Times New Roman" w:cs="Times New Roman" w:hAnsi="Times New Roman"/>
          <w:lang w:val="en-GB"/>
        </w:rPr>
      </w:pPr>
      <w:r>
        <w:rPr>
          <w:rFonts w:ascii="Times New Roman" w:cs="Times New Roman" w:hAnsi="Times New Roman"/>
          <w:lang w:val="en-GB"/>
        </w:rPr>
        <w:t>At the centre of the suggested strategy will lie the alignment of rewards, progression</w:t>
      </w:r>
      <w:r>
        <w:rPr>
          <w:rFonts w:ascii="Times New Roman" w:cs="Times New Roman" w:hAnsi="Times New Roman"/>
          <w:lang w:val="en-GB"/>
        </w:rPr>
        <w:t>, and performance evaluation with behaviours that facilitate collaboration, progress,</w:t>
      </w:r>
      <w:r>
        <w:rPr>
          <w:rFonts w:ascii="Times New Roman" w:cs="Times New Roman" w:hAnsi="Times New Roman"/>
          <w:lang w:val="en-GB"/>
        </w:rPr>
        <w:t xml:space="preserve"> and continuous capability </w:t>
      </w:r>
      <w:r>
        <w:rPr>
          <w:rFonts w:ascii="Times New Roman" w:cs="Times New Roman" w:hAnsi="Times New Roman"/>
          <w:lang w:val="en-GB"/>
        </w:rPr>
        <w:t>development</w:t>
      </w:r>
      <w:r>
        <w:rPr>
          <w:rFonts w:ascii="Times New Roman" w:cs="Times New Roman" w:hAnsi="Times New Roman"/>
          <w:lang w:val="en-GB"/>
        </w:rPr>
        <w:t>.</w:t>
      </w:r>
      <w:r>
        <w:rPr>
          <w:rFonts w:ascii="Times New Roman" w:cs="Times New Roman" w:hAnsi="Times New Roman"/>
          <w:lang w:val="en-GB"/>
        </w:rPr>
        <w:t xml:space="preserve"> Structured feedback loops and quarterly performance assessments</w:t>
      </w:r>
      <w:r>
        <w:rPr>
          <w:rFonts w:ascii="Times New Roman" w:cs="Times New Roman" w:hAnsi="Times New Roman"/>
          <w:lang w:val="en-GB"/>
        </w:rPr>
        <w:t>, as well as strictly defined evaluation metrics that encompass operational performance, employee engagement, and digital resiliency,</w:t>
      </w:r>
      <w:r>
        <w:rPr>
          <w:rFonts w:ascii="Times New Roman" w:cs="Times New Roman" w:hAnsi="Times New Roman"/>
          <w:lang w:val="en-GB"/>
        </w:rPr>
        <w:t xml:space="preserve"> reinforce learning and adaptation. The report concludes that the sustainable change at Marks and Spencer requires more than strategic direction or structural change, but a consistent alignment of leadership behaviour, organisational culture and performance systems to facilitate learning and improvement</w:t>
      </w:r>
      <w:r>
        <w:rPr>
          <w:rFonts w:ascii="Times New Roman" w:cs="Times New Roman" w:hAnsi="Times New Roman"/>
          <w:lang w:val="en-GB"/>
        </w:rPr>
        <w:t>.</w:t>
      </w:r>
    </w:p>
    <w:p>
      <w:pPr>
        <w:pStyle w:val="style0"/>
        <w:spacing w:lineRule="auto" w:line="360"/>
        <w:rPr>
          <w:rStyle w:val="style87"/>
          <w:rFonts w:ascii="Times New Roman" w:cs="Times New Roman" w:hAnsi="Times New Roman"/>
          <w:b w:val="false"/>
          <w:bCs w:val="false"/>
          <w:sz w:val="24"/>
          <w:szCs w:val="24"/>
          <w:lang w:val="en-GB"/>
        </w:rPr>
      </w:pPr>
      <w:r>
        <w:rPr>
          <w:rStyle w:val="style87"/>
          <w:rFonts w:ascii="Times New Roman" w:cs="Times New Roman" w:hAnsi="Times New Roman"/>
          <w:b w:val="false"/>
          <w:bCs w:val="false"/>
          <w:sz w:val="24"/>
          <w:szCs w:val="24"/>
          <w:lang w:val="en-GB"/>
        </w:rPr>
        <w:br w:type="page"/>
      </w:r>
    </w:p>
    <w:p>
      <w:pPr>
        <w:pStyle w:val="style266"/>
        <w:spacing w:lineRule="auto" w:line="360"/>
        <w:rPr>
          <w:rFonts w:ascii="Times New Roman" w:hAnsi="Times New Roman"/>
          <w:sz w:val="24"/>
          <w:szCs w:val="24"/>
          <w:lang w:val="en-GB"/>
        </w:rPr>
      </w:pPr>
      <w:r>
        <w:rPr>
          <w:rFonts w:ascii="Times New Roman" w:hAnsi="Times New Roman"/>
          <w:sz w:val="24"/>
          <w:szCs w:val="24"/>
          <w:lang w:val="en-GB"/>
        </w:rPr>
        <w:t>Contents</w:t>
      </w:r>
    </w:p>
    <w:p>
      <w:pPr>
        <w:pStyle w:val="style19"/>
        <w:tabs>
          <w:tab w:val="right" w:leader="dot" w:pos="9350"/>
        </w:tabs>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fldChar w:fldCharType="begin"/>
      </w:r>
      <w:r>
        <w:rPr>
          <w:rFonts w:ascii="Times New Roman" w:cs="Times New Roman" w:hAnsi="Times New Roman"/>
          <w:sz w:val="24"/>
          <w:szCs w:val="24"/>
          <w:lang w:val="en-GB"/>
        </w:rPr>
        <w:instrText xml:space="preserve"> TOC \o "1-3" \h \z \u </w:instrText>
      </w:r>
      <w:r>
        <w:rPr>
          <w:rFonts w:ascii="Times New Roman" w:cs="Times New Roman" w:hAnsi="Times New Roman"/>
          <w:sz w:val="24"/>
          <w:szCs w:val="24"/>
          <w:lang w:val="en-GB"/>
        </w:rPr>
        <w:fldChar w:fldCharType="separate"/>
      </w:r>
      <w:r>
        <w:rPr/>
        <w:fldChar w:fldCharType="begin"/>
      </w:r>
      <w:r>
        <w:instrText xml:space="preserve"> HYPERLINK \l "_Toc220369472" </w:instrText>
      </w:r>
      <w:r>
        <w:rPr/>
        <w:fldChar w:fldCharType="separate"/>
      </w:r>
      <w:r>
        <w:rPr>
          <w:rStyle w:val="style85"/>
          <w:rFonts w:ascii="Times New Roman" w:cs="Times New Roman" w:hAnsi="Times New Roman"/>
          <w:sz w:val="24"/>
          <w:szCs w:val="24"/>
          <w:lang w:val="en-GB"/>
        </w:rPr>
        <w:t>1. ORGANISATIONAL CONTEXT AND ENVIRONMENTAL DRIVERS OF CHANGE AT MARKS &amp; SPENCER</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_Toc220369472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4</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"_Toc220369473" </w:instrText>
      </w:r>
      <w:r>
        <w:rPr/>
        <w:fldChar w:fldCharType="separate"/>
      </w:r>
      <w:r>
        <w:rPr>
          <w:rStyle w:val="style85"/>
          <w:rFonts w:ascii="Times New Roman" w:cs="Times New Roman" w:hAnsi="Times New Roman"/>
          <w:sz w:val="24"/>
          <w:szCs w:val="24"/>
          <w:lang w:val="en-GB"/>
        </w:rPr>
        <w:t>1.1 Marks &amp; Spencer plc</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_Toc220369473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4</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"_Toc220369474" </w:instrText>
      </w:r>
      <w:r>
        <w:rPr/>
        <w:fldChar w:fldCharType="separate"/>
      </w:r>
      <w:r>
        <w:rPr>
          <w:rStyle w:val="style85"/>
          <w:rFonts w:ascii="Times New Roman" w:cs="Times New Roman" w:hAnsi="Times New Roman"/>
          <w:sz w:val="24"/>
          <w:szCs w:val="24"/>
          <w:lang w:val="en-GB"/>
        </w:rPr>
        <w:t>1.2 External Environmental Drivers of Change</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_Toc220369474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4</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"_Toc220369475" </w:instrText>
      </w:r>
      <w:r>
        <w:rPr/>
        <w:fldChar w:fldCharType="separate"/>
      </w:r>
      <w:r>
        <w:rPr>
          <w:rStyle w:val="style85"/>
          <w:rFonts w:ascii="Times New Roman" w:cs="Times New Roman" w:hAnsi="Times New Roman"/>
          <w:sz w:val="24"/>
          <w:szCs w:val="24"/>
          <w:lang w:val="en-GB"/>
        </w:rPr>
        <w:t>Digital disruption and online retail growth</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_Toc220369475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4</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"_Toc220369476" </w:instrText>
      </w:r>
      <w:r>
        <w:rPr/>
        <w:fldChar w:fldCharType="separate"/>
      </w:r>
      <w:r>
        <w:rPr>
          <w:rStyle w:val="style85"/>
          <w:rFonts w:ascii="Times New Roman" w:cs="Times New Roman" w:hAnsi="Times New Roman"/>
          <w:sz w:val="24"/>
          <w:szCs w:val="24"/>
          <w:lang w:val="en-GB"/>
        </w:rPr>
        <w:t>Cybersecurity and operational resilience</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_Toc220369476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5</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"_Toc220369477" </w:instrText>
      </w:r>
      <w:r>
        <w:rPr/>
        <w:fldChar w:fldCharType="separate"/>
      </w:r>
      <w:r>
        <w:rPr>
          <w:rStyle w:val="style85"/>
          <w:rFonts w:ascii="Times New Roman" w:cs="Times New Roman" w:hAnsi="Times New Roman"/>
          <w:sz w:val="24"/>
          <w:szCs w:val="24"/>
          <w:lang w:val="en-GB"/>
        </w:rPr>
        <w:t>Macroeconomic pressure and cost inflation</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_Toc220369477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6</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"_Toc220369478" </w:instrText>
      </w:r>
      <w:r>
        <w:rPr/>
        <w:fldChar w:fldCharType="separate"/>
      </w:r>
      <w:r>
        <w:rPr>
          <w:rStyle w:val="style85"/>
          <w:rFonts w:ascii="Times New Roman" w:cs="Times New Roman" w:hAnsi="Times New Roman"/>
          <w:sz w:val="24"/>
          <w:szCs w:val="24"/>
          <w:lang w:val="en-GB"/>
        </w:rPr>
        <w:t>Sustainability and regulatory expectations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_Toc220369478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6</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"_Toc220369479" </w:instrText>
      </w:r>
      <w:r>
        <w:rPr/>
        <w:fldChar w:fldCharType="separate"/>
      </w:r>
      <w:r>
        <w:rPr>
          <w:rStyle w:val="style85"/>
          <w:rFonts w:ascii="Times New Roman" w:cs="Times New Roman" w:hAnsi="Times New Roman"/>
          <w:sz w:val="24"/>
          <w:szCs w:val="24"/>
          <w:lang w:val="en-GB"/>
        </w:rPr>
        <w:t>1.3 Internal Environmental Drivers of Change</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_Toc220369479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6</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"_Toc220369480" </w:instrText>
      </w:r>
      <w:r>
        <w:rPr/>
        <w:fldChar w:fldCharType="separate"/>
      </w:r>
      <w:r>
        <w:rPr>
          <w:rStyle w:val="style85"/>
          <w:rFonts w:ascii="Times New Roman" w:cs="Times New Roman" w:hAnsi="Times New Roman"/>
          <w:sz w:val="24"/>
          <w:szCs w:val="24"/>
          <w:lang w:val="en-GB"/>
        </w:rPr>
        <w:t>Organisational capability constraints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_Toc220369480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6</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"_Toc220369481" </w:instrText>
      </w:r>
      <w:r>
        <w:rPr/>
        <w:fldChar w:fldCharType="separate"/>
      </w:r>
      <w:r>
        <w:rPr>
          <w:rStyle w:val="style85"/>
          <w:rFonts w:ascii="Times New Roman" w:cs="Times New Roman" w:hAnsi="Times New Roman"/>
          <w:sz w:val="24"/>
          <w:szCs w:val="24"/>
          <w:lang w:val="en-GB"/>
        </w:rPr>
        <w:t>Workforce restructuring and skills mismatch</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_Toc220369481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7</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"_Toc220369482" </w:instrText>
      </w:r>
      <w:r>
        <w:rPr/>
        <w:fldChar w:fldCharType="separate"/>
      </w:r>
      <w:r>
        <w:rPr>
          <w:rStyle w:val="style85"/>
          <w:rFonts w:ascii="Times New Roman" w:cs="Times New Roman" w:hAnsi="Times New Roman"/>
          <w:sz w:val="24"/>
          <w:szCs w:val="24"/>
          <w:lang w:val="en-GB"/>
        </w:rPr>
        <w:t>Cultural inertia</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_Toc220369482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7</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"_Toc220369483" </w:instrText>
      </w:r>
      <w:r>
        <w:rPr/>
        <w:fldChar w:fldCharType="separate"/>
      </w:r>
      <w:r>
        <w:rPr>
          <w:rStyle w:val="style85"/>
          <w:rFonts w:ascii="Times New Roman" w:cs="Times New Roman" w:hAnsi="Times New Roman"/>
          <w:sz w:val="24"/>
          <w:szCs w:val="24"/>
          <w:lang w:val="en-GB"/>
        </w:rPr>
        <w:t>1.4 Environment–Capability Misalignment</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_Toc220369483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7</w:t>
      </w:r>
      <w:r>
        <w:rPr>
          <w:rFonts w:ascii="Times New Roman" w:cs="Times New Roman" w:hAnsi="Times New Roman"/>
          <w:webHidden/>
          <w:sz w:val="24"/>
          <w:szCs w:val="24"/>
          <w:lang w:val="en-GB"/>
        </w:rPr>
        <w:fldChar w:fldCharType="end"/>
      </w:r>
      <w:r>
        <w:rPr/>
        <w:fldChar w:fldCharType="end"/>
      </w:r>
    </w:p>
    <w:p>
      <w:pPr>
        <w:pStyle w:val="style19"/>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"_Toc220369484" </w:instrText>
      </w:r>
      <w:r>
        <w:rPr/>
        <w:fldChar w:fldCharType="separate"/>
      </w:r>
      <w:r>
        <w:rPr>
          <w:rStyle w:val="style85"/>
          <w:rFonts w:ascii="Times New Roman" w:cs="Times New Roman" w:hAnsi="Times New Roman"/>
          <w:sz w:val="24"/>
          <w:szCs w:val="24"/>
          <w:lang w:val="en-GB"/>
        </w:rPr>
        <w:t>2: CRITICAL EVALUATION OF CHANGE MANAGEMENT MODELS IN THE CONTEXT OF MARKS &amp; SPENCER</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_Toc220369484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7</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"_Toc220369485" </w:instrText>
      </w:r>
      <w:r>
        <w:rPr/>
        <w:fldChar w:fldCharType="separate"/>
      </w:r>
      <w:r>
        <w:rPr>
          <w:rStyle w:val="style85"/>
          <w:rFonts w:ascii="Times New Roman" w:cs="Times New Roman" w:hAnsi="Times New Roman"/>
          <w:sz w:val="24"/>
          <w:szCs w:val="24"/>
          <w:lang w:val="en-GB"/>
        </w:rPr>
        <w:t>2.1 Nature of Change at Marks &amp; Spencer</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_Toc220369485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7</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"_Toc220369486" </w:instrText>
      </w:r>
      <w:r>
        <w:rPr/>
        <w:fldChar w:fldCharType="separate"/>
      </w:r>
      <w:r>
        <w:rPr>
          <w:rStyle w:val="style85"/>
          <w:rFonts w:ascii="Times New Roman" w:cs="Times New Roman" w:hAnsi="Times New Roman"/>
          <w:sz w:val="24"/>
          <w:szCs w:val="24"/>
          <w:lang w:val="en-GB"/>
        </w:rPr>
        <w:t>2.2 Lewin’s Three-Stage Model: Diagnostic Value and Structural Limitations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_Toc220369486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8</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"_Toc220369487" </w:instrText>
      </w:r>
      <w:r>
        <w:rPr/>
        <w:fldChar w:fldCharType="separate"/>
      </w:r>
      <w:r>
        <w:rPr>
          <w:rStyle w:val="style85"/>
          <w:rFonts w:ascii="Times New Roman" w:cs="Times New Roman" w:hAnsi="Times New Roman"/>
          <w:sz w:val="24"/>
          <w:szCs w:val="24"/>
          <w:lang w:val="en-GB"/>
        </w:rPr>
        <w:t>2.3 Kotter’s Eight-Step Model:</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_Toc220369487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9</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"_Toc220369488" </w:instrText>
      </w:r>
      <w:r>
        <w:rPr/>
        <w:fldChar w:fldCharType="separate"/>
      </w:r>
      <w:r>
        <w:rPr>
          <w:rStyle w:val="style85"/>
          <w:rFonts w:ascii="Times New Roman" w:cs="Times New Roman" w:hAnsi="Times New Roman"/>
          <w:sz w:val="24"/>
          <w:szCs w:val="24"/>
          <w:lang w:val="en-GB"/>
        </w:rPr>
        <w:t>2.4 ADKAR Model:</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_Toc220369488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10</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"_Toc220369489" </w:instrText>
      </w:r>
      <w:r>
        <w:rPr/>
        <w:fldChar w:fldCharType="separate"/>
      </w:r>
      <w:r>
        <w:rPr>
          <w:rStyle w:val="style85"/>
          <w:rFonts w:ascii="Times New Roman" w:cs="Times New Roman" w:hAnsi="Times New Roman"/>
          <w:sz w:val="24"/>
          <w:szCs w:val="24"/>
          <w:lang w:val="en-GB"/>
        </w:rPr>
        <w:t>2.5 Dynamic Capabilities Perspective: Strategic Integration of Change</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_Toc220369489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11</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"_Toc220369490" </w:instrText>
      </w:r>
      <w:r>
        <w:rPr/>
        <w:fldChar w:fldCharType="separate"/>
      </w:r>
      <w:r>
        <w:rPr>
          <w:rStyle w:val="style85"/>
          <w:rFonts w:ascii="Times New Roman" w:cs="Times New Roman" w:hAnsi="Times New Roman"/>
          <w:sz w:val="24"/>
          <w:szCs w:val="24"/>
          <w:lang w:val="en-GB"/>
        </w:rPr>
        <w:t>2.6 Comparative Evaluation and Synthesis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_Toc220369490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11</w:t>
      </w:r>
      <w:r>
        <w:rPr>
          <w:rFonts w:ascii="Times New Roman" w:cs="Times New Roman" w:hAnsi="Times New Roman"/>
          <w:webHidden/>
          <w:sz w:val="24"/>
          <w:szCs w:val="24"/>
          <w:lang w:val="en-GB"/>
        </w:rPr>
        <w:fldChar w:fldCharType="end"/>
      </w:r>
      <w:r>
        <w:rPr/>
        <w:fldChar w:fldCharType="end"/>
      </w:r>
    </w:p>
    <w:p>
      <w:pPr>
        <w:pStyle w:val="style19"/>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"_Toc220369491" </w:instrText>
      </w:r>
      <w:r>
        <w:rPr/>
        <w:fldChar w:fldCharType="separate"/>
      </w:r>
      <w:r>
        <w:rPr>
          <w:rStyle w:val="style85"/>
          <w:rFonts w:ascii="Times New Roman" w:cs="Times New Roman" w:hAnsi="Times New Roman"/>
          <w:sz w:val="24"/>
          <w:szCs w:val="24"/>
          <w:lang w:val="en-GB"/>
        </w:rPr>
        <w:t>3: LEADERSHIP, ORGANISATIONAL CULTURE, AND CHANGE IMPLEMENTATION AT MARKS &amp; SPENCER</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_Toc220369491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12</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"_Toc220369492" </w:instrText>
      </w:r>
      <w:r>
        <w:rPr/>
        <w:fldChar w:fldCharType="separate"/>
      </w:r>
      <w:r>
        <w:rPr>
          <w:rStyle w:val="style85"/>
          <w:rFonts w:ascii="Times New Roman" w:cs="Times New Roman" w:hAnsi="Times New Roman"/>
          <w:sz w:val="24"/>
          <w:szCs w:val="24"/>
          <w:lang w:val="en-GB"/>
        </w:rPr>
        <w:t>3.1 Leadership Approach and Strategic Direction at Marks &amp; Spencer</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_Toc220369492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12</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"_Toc220369493" </w:instrText>
      </w:r>
      <w:r>
        <w:rPr/>
        <w:fldChar w:fldCharType="separate"/>
      </w:r>
      <w:r>
        <w:rPr>
          <w:rStyle w:val="style85"/>
          <w:rFonts w:ascii="Times New Roman" w:cs="Times New Roman" w:hAnsi="Times New Roman"/>
          <w:sz w:val="24"/>
          <w:szCs w:val="24"/>
          <w:lang w:val="en-GB"/>
        </w:rPr>
        <w:t>3.2 Role of the Board and Senior Management in Change Governance</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_Toc220369493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12</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"_Toc220369494" </w:instrText>
      </w:r>
      <w:r>
        <w:rPr/>
        <w:fldChar w:fldCharType="separate"/>
      </w:r>
      <w:r>
        <w:rPr>
          <w:rStyle w:val="style85"/>
          <w:rFonts w:ascii="Times New Roman" w:cs="Times New Roman" w:hAnsi="Times New Roman"/>
          <w:sz w:val="24"/>
          <w:szCs w:val="24"/>
          <w:lang w:val="en-GB"/>
        </w:rPr>
        <w:t>3.3 Middle Management as Change Enablers and Bottlenecks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_Toc220369494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13</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"_Toc220369495" </w:instrText>
      </w:r>
      <w:r>
        <w:rPr/>
        <w:fldChar w:fldCharType="separate"/>
      </w:r>
      <w:r>
        <w:rPr>
          <w:rStyle w:val="style85"/>
          <w:rFonts w:ascii="Times New Roman" w:cs="Times New Roman" w:hAnsi="Times New Roman"/>
          <w:sz w:val="24"/>
          <w:szCs w:val="24"/>
          <w:lang w:val="en-GB"/>
        </w:rPr>
        <w:t>3.4 Organisational Culture and Its Impact on Change</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_Toc220369495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13</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"_Toc220369496" </w:instrText>
      </w:r>
      <w:r>
        <w:rPr/>
        <w:fldChar w:fldCharType="separate"/>
      </w:r>
      <w:r>
        <w:rPr>
          <w:rStyle w:val="style85"/>
          <w:rFonts w:ascii="Times New Roman" w:cs="Times New Roman" w:hAnsi="Times New Roman"/>
          <w:sz w:val="24"/>
          <w:szCs w:val="24"/>
          <w:lang w:val="en-GB"/>
        </w:rPr>
        <w:t>3.5 Resistance to Change and Change Fatigue</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_Toc220369496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14</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"_Toc220369497" </w:instrText>
      </w:r>
      <w:r>
        <w:rPr/>
        <w:fldChar w:fldCharType="separate"/>
      </w:r>
      <w:r>
        <w:rPr>
          <w:rStyle w:val="style85"/>
          <w:rFonts w:ascii="Times New Roman" w:cs="Times New Roman" w:hAnsi="Times New Roman"/>
          <w:sz w:val="24"/>
          <w:szCs w:val="24"/>
          <w:lang w:val="en-GB"/>
        </w:rPr>
        <w:t>3.6 Leadership, Culture, and Change Outcomes: A Critical Assessment</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_Toc220369497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15</w:t>
      </w:r>
      <w:r>
        <w:rPr>
          <w:rFonts w:ascii="Times New Roman" w:cs="Times New Roman" w:hAnsi="Times New Roman"/>
          <w:webHidden/>
          <w:sz w:val="24"/>
          <w:szCs w:val="24"/>
          <w:lang w:val="en-GB"/>
        </w:rPr>
        <w:fldChar w:fldCharType="end"/>
      </w:r>
      <w:r>
        <w:rPr/>
        <w:fldChar w:fldCharType="end"/>
      </w:r>
    </w:p>
    <w:p>
      <w:pPr>
        <w:pStyle w:val="style19"/>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"_Toc220369498" </w:instrText>
      </w:r>
      <w:r>
        <w:rPr/>
        <w:fldChar w:fldCharType="separate"/>
      </w:r>
      <w:r>
        <w:rPr>
          <w:rStyle w:val="style85"/>
          <w:rFonts w:ascii="Times New Roman" w:cs="Times New Roman" w:hAnsi="Times New Roman"/>
          <w:sz w:val="24"/>
          <w:szCs w:val="24"/>
          <w:lang w:val="en-GB"/>
        </w:rPr>
        <w:t>4: PROPOSED STRATEGIC CHANGE MANAGEMENT PLAN FOR MARKS &amp; SPENCER</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_Toc220369498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15</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"_Toc220369499" </w:instrText>
      </w:r>
      <w:r>
        <w:rPr/>
        <w:fldChar w:fldCharType="separate"/>
      </w:r>
      <w:r>
        <w:rPr>
          <w:rStyle w:val="style85"/>
          <w:rFonts w:ascii="Times New Roman" w:cs="Times New Roman" w:hAnsi="Times New Roman"/>
          <w:sz w:val="24"/>
          <w:szCs w:val="24"/>
          <w:lang w:val="en-GB"/>
        </w:rPr>
        <w:t>4.1 Justification for the Proposed Change</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_Toc220369499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15</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"_Toc220369500" </w:instrText>
      </w:r>
      <w:r>
        <w:rPr/>
        <w:fldChar w:fldCharType="separate"/>
      </w:r>
      <w:r>
        <w:rPr>
          <w:rStyle w:val="style85"/>
          <w:rFonts w:ascii="Times New Roman" w:cs="Times New Roman" w:hAnsi="Times New Roman"/>
          <w:sz w:val="24"/>
          <w:szCs w:val="24"/>
          <w:lang w:val="en-GB"/>
        </w:rPr>
        <w:t>4.2 Strategic Change Objectives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_Toc220369500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16</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"_Toc220369501" </w:instrText>
      </w:r>
      <w:r>
        <w:rPr/>
        <w:fldChar w:fldCharType="separate"/>
      </w:r>
      <w:r>
        <w:rPr>
          <w:rStyle w:val="style85"/>
          <w:rFonts w:ascii="Times New Roman" w:cs="Times New Roman" w:hAnsi="Times New Roman"/>
          <w:sz w:val="24"/>
          <w:szCs w:val="24"/>
          <w:lang w:val="en-GB"/>
        </w:rPr>
        <w:t>4.3 Change Implementation Framework</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_Toc220369501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16</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"_Toc220369502" </w:instrText>
      </w:r>
      <w:r>
        <w:rPr/>
        <w:fldChar w:fldCharType="separate"/>
      </w:r>
      <w:r>
        <w:rPr>
          <w:rStyle w:val="style85"/>
          <w:rFonts w:ascii="Times New Roman" w:cs="Times New Roman" w:hAnsi="Times New Roman"/>
          <w:sz w:val="24"/>
          <w:szCs w:val="24"/>
          <w:lang w:val="en-GB"/>
        </w:rPr>
        <w:t>Phase 1: Leadership Alignment and Urgency (Months 1–2)</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_Toc220369502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16</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"_Toc220369503" </w:instrText>
      </w:r>
      <w:r>
        <w:rPr/>
        <w:fldChar w:fldCharType="separate"/>
      </w:r>
      <w:r>
        <w:rPr>
          <w:rStyle w:val="style85"/>
          <w:rFonts w:ascii="Times New Roman" w:cs="Times New Roman" w:hAnsi="Times New Roman"/>
          <w:sz w:val="24"/>
          <w:szCs w:val="24"/>
          <w:lang w:val="en-GB"/>
        </w:rPr>
        <w:t>Phase 2: Capability and Resilience Building (Months 3–18)</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_Toc220369503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17</w:t>
      </w:r>
      <w:r>
        <w:rPr>
          <w:rFonts w:ascii="Times New Roman" w:cs="Times New Roman" w:hAnsi="Times New Roman"/>
          <w:webHidden/>
          <w:sz w:val="24"/>
          <w:szCs w:val="24"/>
          <w:lang w:val="en-GB"/>
        </w:rPr>
        <w:fldChar w:fldCharType="end"/>
      </w:r>
      <w:r>
        <w:rPr/>
        <w:fldChar w:fldCharType="end"/>
      </w:r>
    </w:p>
    <w:p>
      <w:pPr>
        <w:pStyle w:val="style21"/>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"_Toc220369504" </w:instrText>
      </w:r>
      <w:r>
        <w:rPr/>
        <w:fldChar w:fldCharType="separate"/>
      </w:r>
      <w:r>
        <w:rPr>
          <w:rStyle w:val="style85"/>
          <w:rFonts w:ascii="Times New Roman" w:cs="Times New Roman" w:hAnsi="Times New Roman"/>
          <w:sz w:val="24"/>
          <w:szCs w:val="24"/>
          <w:lang w:val="en-GB"/>
        </w:rPr>
        <w:t>Phase 3: Embedding and Reinforcement (Months 12–36)</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_Toc220369504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17</w:t>
      </w:r>
      <w:r>
        <w:rPr>
          <w:rFonts w:ascii="Times New Roman" w:cs="Times New Roman" w:hAnsi="Times New Roman"/>
          <w:webHidden/>
          <w:sz w:val="24"/>
          <w:szCs w:val="24"/>
          <w:lang w:val="en-GB"/>
        </w:rPr>
        <w:fldChar w:fldCharType="end"/>
      </w:r>
      <w:r>
        <w:rPr/>
        <w:fldChar w:fldCharType="end"/>
      </w:r>
    </w:p>
    <w:p>
      <w:pPr>
        <w:pStyle w:val="style20"/>
        <w:tabs>
          <w:tab w:val="left" w:leader="none" w:pos="880"/>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"_Toc220369505" </w:instrText>
      </w:r>
      <w:r>
        <w:rPr/>
        <w:fldChar w:fldCharType="separate"/>
      </w:r>
      <w:r>
        <w:rPr>
          <w:rStyle w:val="style85"/>
          <w:rFonts w:ascii="Times New Roman" w:cs="Times New Roman" w:hAnsi="Times New Roman"/>
          <w:sz w:val="24"/>
          <w:szCs w:val="24"/>
          <w:lang w:val="en-GB"/>
        </w:rPr>
        <w:t>4.4</w:t>
      </w:r>
      <w:r>
        <w:rPr>
          <w:rFonts w:ascii="Times New Roman" w:cs="Times New Roman" w:hAnsi="Times New Roman"/>
          <w:sz w:val="24"/>
          <w:szCs w:val="24"/>
          <w:lang w:val="en-GB"/>
        </w:rPr>
        <w:tab/>
      </w:r>
      <w:r>
        <w:rPr>
          <w:rStyle w:val="style85"/>
          <w:rFonts w:ascii="Times New Roman" w:cs="Times New Roman" w:hAnsi="Times New Roman"/>
          <w:sz w:val="24"/>
          <w:szCs w:val="24"/>
          <w:lang w:val="en-GB"/>
        </w:rPr>
        <w:t>Financial and Resource Plan</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_Toc220369505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17</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"_Toc220369506" </w:instrText>
      </w:r>
      <w:r>
        <w:rPr/>
        <w:fldChar w:fldCharType="separate"/>
      </w:r>
      <w:r>
        <w:rPr>
          <w:rStyle w:val="style85"/>
          <w:rFonts w:ascii="Times New Roman" w:cs="Times New Roman" w:hAnsi="Times New Roman"/>
          <w:sz w:val="24"/>
          <w:szCs w:val="24"/>
          <w:lang w:val="en-GB"/>
        </w:rPr>
        <w:t>4.5 Communication Strategy</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_Toc220369506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17</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"_Toc220369507" </w:instrText>
      </w:r>
      <w:r>
        <w:rPr/>
        <w:fldChar w:fldCharType="separate"/>
      </w:r>
      <w:r>
        <w:rPr>
          <w:rStyle w:val="style85"/>
          <w:rFonts w:ascii="Times New Roman" w:cs="Times New Roman" w:hAnsi="Times New Roman"/>
          <w:sz w:val="24"/>
          <w:szCs w:val="24"/>
          <w:lang w:val="en-GB"/>
        </w:rPr>
        <w:t>4.6 Evaluation and Control Mechanisms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_Toc220369507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18</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"_Toc220369508" </w:instrText>
      </w:r>
      <w:r>
        <w:rPr/>
        <w:fldChar w:fldCharType="separate"/>
      </w:r>
      <w:r>
        <w:rPr>
          <w:rStyle w:val="style85"/>
          <w:rFonts w:ascii="Times New Roman" w:cs="Times New Roman" w:hAnsi="Times New Roman"/>
          <w:sz w:val="24"/>
          <w:szCs w:val="24"/>
          <w:lang w:val="en-GB"/>
        </w:rPr>
        <w:t>4.7 Conclusion</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_Toc220369508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18</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"_Toc220369509" </w:instrText>
      </w:r>
      <w:r>
        <w:rPr/>
        <w:fldChar w:fldCharType="separate"/>
      </w:r>
      <w:r>
        <w:rPr>
          <w:rStyle w:val="style85"/>
          <w:rFonts w:ascii="Times New Roman" w:cs="Times New Roman" w:eastAsia="Times New Roman" w:hAnsi="Times New Roman"/>
          <w:b/>
          <w:bCs/>
          <w:sz w:val="24"/>
          <w:szCs w:val="24"/>
          <w:lang w:val="en-GB"/>
        </w:rPr>
        <w:t>Appendix A: Stakeholder Communication Matrix</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_Toc220369509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24</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"_Toc220369510" </w:instrText>
      </w:r>
      <w:r>
        <w:rPr/>
        <w:fldChar w:fldCharType="separate"/>
      </w:r>
      <w:r>
        <w:rPr>
          <w:rStyle w:val="style85"/>
          <w:rFonts w:ascii="Times New Roman" w:cs="Times New Roman" w:eastAsia="Times New Roman" w:hAnsi="Times New Roman"/>
          <w:b/>
          <w:bCs/>
          <w:sz w:val="24"/>
          <w:szCs w:val="24"/>
          <w:lang w:val="en-GB"/>
        </w:rPr>
        <w:t>Appendix B: High-Level Strategic Change Timeline (36 Months)</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_Toc220369510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24</w:t>
      </w:r>
      <w:r>
        <w:rPr>
          <w:rFonts w:ascii="Times New Roman" w:cs="Times New Roman" w:hAnsi="Times New Roman"/>
          <w:webHidden/>
          <w:sz w:val="24"/>
          <w:szCs w:val="24"/>
          <w:lang w:val="en-GB"/>
        </w:rPr>
        <w:fldChar w:fldCharType="end"/>
      </w:r>
      <w:r>
        <w:rPr/>
        <w:fldChar w:fldCharType="end"/>
      </w:r>
    </w:p>
    <w:p>
      <w:pPr>
        <w:pStyle w:val="style20"/>
        <w:tabs>
          <w:tab w:val="right" w:leader="dot" w:pos="9350"/>
        </w:tabs>
        <w:spacing w:lineRule="auto" w:line="360"/>
        <w:rPr>
          <w:rFonts w:ascii="Times New Roman" w:cs="Times New Roman" w:hAnsi="Times New Roman"/>
          <w:sz w:val="24"/>
          <w:szCs w:val="24"/>
          <w:lang w:val="en-GB"/>
        </w:rPr>
      </w:pPr>
      <w:r>
        <w:rPr/>
        <w:fldChar w:fldCharType="begin"/>
      </w:r>
      <w:r>
        <w:instrText xml:space="preserve"> HYPERLINK \l "_Toc220369511" </w:instrText>
      </w:r>
      <w:r>
        <w:rPr/>
        <w:fldChar w:fldCharType="separate"/>
      </w:r>
      <w:r>
        <w:rPr>
          <w:rStyle w:val="style85"/>
          <w:rFonts w:ascii="Times New Roman" w:cs="Times New Roman" w:eastAsia="Times New Roman" w:hAnsi="Times New Roman"/>
          <w:b/>
          <w:bCs/>
          <w:sz w:val="24"/>
          <w:szCs w:val="24"/>
          <w:lang w:val="en-GB"/>
        </w:rPr>
        <w:t>Appendix C: Risk Register and Mitigation Plan</w:t>
      </w:r>
      <w:r>
        <w:rPr>
          <w:rFonts w:ascii="Times New Roman" w:cs="Times New Roman" w:hAnsi="Times New Roman"/>
          <w:webHidden/>
          <w:sz w:val="24"/>
          <w:szCs w:val="24"/>
          <w:lang w:val="en-GB"/>
        </w:rPr>
        <w:tab/>
      </w:r>
      <w:r>
        <w:rPr>
          <w:rFonts w:ascii="Times New Roman" w:cs="Times New Roman" w:hAnsi="Times New Roman"/>
          <w:webHidden/>
          <w:sz w:val="24"/>
          <w:szCs w:val="24"/>
          <w:lang w:val="en-GB"/>
        </w:rPr>
        <w:fldChar w:fldCharType="begin"/>
      </w:r>
      <w:r>
        <w:rPr>
          <w:rFonts w:ascii="Times New Roman" w:cs="Times New Roman" w:hAnsi="Times New Roman"/>
          <w:webHidden/>
          <w:sz w:val="24"/>
          <w:szCs w:val="24"/>
          <w:lang w:val="en-GB"/>
        </w:rPr>
        <w:instrText xml:space="preserve"> PAGEREF _Toc220369511 \h </w:instrText>
      </w:r>
      <w:r>
        <w:rPr>
          <w:rFonts w:ascii="Times New Roman" w:cs="Times New Roman" w:hAnsi="Times New Roman"/>
          <w:webHidden/>
          <w:sz w:val="24"/>
          <w:szCs w:val="24"/>
          <w:lang w:val="en-GB"/>
        </w:rPr>
        <w:fldChar w:fldCharType="separate"/>
      </w:r>
      <w:r>
        <w:rPr>
          <w:rFonts w:ascii="Times New Roman" w:cs="Times New Roman" w:hAnsi="Times New Roman"/>
          <w:webHidden/>
          <w:sz w:val="24"/>
          <w:szCs w:val="24"/>
          <w:lang w:val="en-GB"/>
        </w:rPr>
        <w:t>25</w:t>
      </w:r>
      <w:r>
        <w:rPr>
          <w:rFonts w:ascii="Times New Roman" w:cs="Times New Roman" w:hAnsi="Times New Roman"/>
          <w:webHidden/>
          <w:sz w:val="24"/>
          <w:szCs w:val="24"/>
          <w:lang w:val="en-GB"/>
        </w:rPr>
        <w:fldChar w:fldCharType="end"/>
      </w:r>
      <w:r>
        <w:rPr/>
        <w:fldChar w:fldCharType="end"/>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fldChar w:fldCharType="end"/>
      </w:r>
    </w:p>
    <w:p>
      <w:pPr>
        <w:pStyle w:val="style0"/>
        <w:spacing w:lineRule="auto" w:line="360"/>
        <w:rPr>
          <w:rStyle w:val="style87"/>
          <w:rFonts w:ascii="Times New Roman" w:cs="Times New Roman" w:hAnsi="Times New Roman"/>
          <w:b w:val="false"/>
          <w:bCs w:val="false"/>
          <w:sz w:val="24"/>
          <w:szCs w:val="24"/>
          <w:lang w:val="en-GB"/>
        </w:rPr>
      </w:pPr>
      <w:r>
        <w:rPr>
          <w:rStyle w:val="style87"/>
          <w:rFonts w:ascii="Times New Roman" w:cs="Times New Roman" w:hAnsi="Times New Roman"/>
          <w:b w:val="false"/>
          <w:bCs w:val="false"/>
          <w:sz w:val="24"/>
          <w:szCs w:val="24"/>
          <w:lang w:val="en-GB"/>
        </w:rPr>
        <w:br w:type="page"/>
      </w:r>
    </w:p>
    <w:bookmarkStart w:id="0" w:name="_Toc220369472"/>
    <w:p>
      <w:pPr>
        <w:pStyle w:val="style1"/>
        <w:spacing w:lineRule="auto" w:line="360"/>
        <w:rPr>
          <w:rFonts w:ascii="Times New Roman" w:hAnsi="Times New Roman"/>
          <w:sz w:val="24"/>
          <w:szCs w:val="24"/>
          <w:lang w:val="en-GB"/>
        </w:rPr>
      </w:pPr>
      <w:r>
        <w:rPr>
          <w:rStyle w:val="style87"/>
          <w:rFonts w:ascii="Times New Roman" w:hAnsi="Times New Roman"/>
          <w:b/>
          <w:bCs/>
          <w:sz w:val="24"/>
          <w:szCs w:val="24"/>
          <w:lang w:val="en-GB"/>
        </w:rPr>
        <w:t xml:space="preserve">1. </w:t>
      </w:r>
      <w:r>
        <w:rPr>
          <w:rStyle w:val="style87"/>
          <w:rFonts w:ascii="Times New Roman" w:hAnsi="Times New Roman"/>
          <w:b/>
          <w:bCs/>
          <w:sz w:val="24"/>
          <w:szCs w:val="24"/>
          <w:lang w:val="en-GB"/>
        </w:rPr>
        <w:t>ORGANISATIONAL CONTEXT AND ENVIRONMENTAL DRIVERS OF CHANGE AT MARKS &amp; SPENCER</w:t>
      </w:r>
      <w:bookmarkEnd w:id="0"/>
    </w:p>
    <w:bookmarkStart w:id="1" w:name="_Toc220369473"/>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1.1 Marks &amp; Spencer plc</w:t>
      </w:r>
      <w:bookmarkEnd w:id="1"/>
    </w:p>
    <w:p>
      <w:pPr>
        <w:pStyle w:val="style94"/>
        <w:spacing w:lineRule="auto" w:line="360"/>
        <w:rPr>
          <w:rFonts w:ascii="Times New Roman" w:cs="Times New Roman" w:hAnsi="Times New Roman"/>
          <w:lang w:val="en-GB"/>
        </w:rPr>
      </w:pPr>
      <w:r>
        <w:rPr>
          <w:rFonts w:ascii="Times New Roman" w:cs="Times New Roman" w:hAnsi="Times New Roman"/>
          <w:lang w:val="en-GB"/>
        </w:rPr>
        <w:t>Marks and Spencer plc (M&amp;S) is an FTSE-listed retail organisation based in the United Kingdom, which has its main operations in Food, Clothing,</w:t>
      </w:r>
      <w:r>
        <w:rPr>
          <w:rFonts w:ascii="Times New Roman" w:cs="Times New Roman" w:hAnsi="Times New Roman"/>
          <w:lang w:val="en-GB"/>
        </w:rPr>
        <w:t xml:space="preserve"> and Home. M&amp;S </w:t>
      </w:r>
      <w:r>
        <w:rPr>
          <w:rFonts w:ascii="Times New Roman" w:cs="Times New Roman" w:hAnsi="Times New Roman"/>
          <w:lang w:val="en-GB"/>
        </w:rPr>
        <w:t>was established in 1884 and has long established itself as a quality-driven, reputable, ethical retailer</w:t>
      </w:r>
      <w:r>
        <w:rPr>
          <w:rFonts w:ascii="Times New Roman" w:cs="Times New Roman" w:hAnsi="Times New Roman"/>
          <w:lang w:val="en-GB"/>
        </w:rPr>
        <w:t>. By the 2024/25 financial year, M&amp;S had around 64,000 employees, and over 1,000 stores in the UK, online operations and some global operations (</w:t>
      </w:r>
      <w:r>
        <w:rPr>
          <w:rFonts w:ascii="Times New Roman" w:cs="Times New Roman" w:hAnsi="Times New Roman"/>
          <w:lang w:val="en-GB"/>
        </w:rPr>
        <w:t>M&amp;S</w:t>
      </w:r>
      <w:r>
        <w:rPr>
          <w:rFonts w:ascii="Times New Roman" w:cs="Times New Roman" w:hAnsi="Times New Roman"/>
          <w:lang w:val="en-GB"/>
        </w:rPr>
        <w:t>, 2025a).</w:t>
      </w:r>
    </w:p>
    <w:p>
      <w:pPr>
        <w:pStyle w:val="style94"/>
        <w:spacing w:lineRule="auto" w:line="360"/>
        <w:rPr>
          <w:rFonts w:ascii="Times New Roman" w:cs="Times New Roman" w:hAnsi="Times New Roman"/>
          <w:lang w:val="en-GB"/>
        </w:rPr>
      </w:pPr>
      <w:r>
        <w:rPr>
          <w:rFonts w:ascii="Times New Roman" w:cs="Times New Roman" w:hAnsi="Times New Roman"/>
          <w:lang w:val="en-GB"/>
        </w:rPr>
        <w:t>Financially, the M&amp;S group registere</w:t>
      </w:r>
      <w:r>
        <w:rPr>
          <w:rFonts w:ascii="Times New Roman" w:cs="Times New Roman" w:hAnsi="Times New Roman"/>
          <w:lang w:val="en-GB"/>
        </w:rPr>
        <w:t xml:space="preserve">d </w:t>
      </w:r>
      <w:r>
        <w:rPr>
          <w:rFonts w:ascii="Times New Roman" w:cs="Times New Roman" w:hAnsi="Times New Roman"/>
          <w:lang w:val="en-GB"/>
        </w:rPr>
        <w:t xml:space="preserve">revenue of around £ 13.8 billion in FY2024/25, an increase year-on-year, with the Food division contributing the majority of the </w:t>
      </w:r>
      <w:r>
        <w:rPr>
          <w:rFonts w:ascii="Times New Roman" w:cs="Times New Roman" w:hAnsi="Times New Roman"/>
          <w:lang w:val="en-GB"/>
        </w:rPr>
        <w:t>growth (</w:t>
      </w:r>
      <w:r>
        <w:rPr>
          <w:rFonts w:ascii="Times New Roman" w:cs="Times New Roman" w:hAnsi="Times New Roman"/>
          <w:lang w:val="en-GB"/>
        </w:rPr>
        <w:t>M&amp;S</w:t>
      </w:r>
      <w:r>
        <w:rPr>
          <w:rFonts w:ascii="Times New Roman" w:cs="Times New Roman" w:hAnsi="Times New Roman"/>
          <w:lang w:val="en-GB"/>
        </w:rPr>
        <w:t xml:space="preserve">, 2025a). Food revenue </w:t>
      </w:r>
      <w:r>
        <w:rPr>
          <w:rFonts w:ascii="Times New Roman" w:cs="Times New Roman" w:hAnsi="Times New Roman"/>
          <w:lang w:val="en-GB"/>
        </w:rPr>
        <w:t>exceeded 9 billion, accounting for over 65% of group sales, while Clothing and Home remained weaker than</w:t>
      </w:r>
      <w:r>
        <w:rPr>
          <w:rFonts w:ascii="Times New Roman" w:cs="Times New Roman" w:hAnsi="Times New Roman"/>
          <w:lang w:val="en-GB"/>
        </w:rPr>
        <w:t xml:space="preserve"> the recent improvement efforts. This variance illustrates an inherent </w:t>
      </w:r>
      <w:r>
        <w:rPr>
          <w:rFonts w:ascii="Times New Roman" w:cs="Times New Roman" w:hAnsi="Times New Roman"/>
          <w:lang w:val="en-GB"/>
        </w:rPr>
        <w:t>imbalance in the organisational operating model, which</w:t>
      </w:r>
      <w:r>
        <w:rPr>
          <w:rFonts w:ascii="Times New Roman" w:cs="Times New Roman" w:hAnsi="Times New Roman"/>
          <w:lang w:val="en-GB"/>
        </w:rPr>
        <w:t xml:space="preserve"> portrays </w:t>
      </w:r>
      <w:r>
        <w:rPr>
          <w:rFonts w:ascii="Times New Roman" w:cs="Times New Roman" w:hAnsi="Times New Roman"/>
          <w:lang w:val="en-GB"/>
        </w:rPr>
        <w:t xml:space="preserve">the subsidisation of strategic underperformance </w:t>
      </w:r>
      <w:r>
        <w:rPr>
          <w:rFonts w:ascii="Times New Roman" w:cs="Times New Roman" w:hAnsi="Times New Roman"/>
          <w:lang w:val="en-GB"/>
        </w:rPr>
        <w:t>by one of the divisions.</w:t>
      </w:r>
    </w:p>
    <w:p>
      <w:pPr>
        <w:pStyle w:val="style94"/>
        <w:spacing w:lineRule="auto" w:line="360"/>
        <w:rPr>
          <w:rFonts w:ascii="Times New Roman" w:cs="Times New Roman" w:hAnsi="Times New Roman"/>
          <w:lang w:val="en-GB"/>
        </w:rPr>
      </w:pPr>
      <w:r>
        <w:rPr>
          <w:rFonts w:ascii="Times New Roman" w:cs="Times New Roman" w:hAnsi="Times New Roman"/>
          <w:lang w:val="en-GB"/>
        </w:rPr>
        <w:t>The company is already working under the strategy named Reshape for Growth</w:t>
      </w:r>
      <w:r>
        <w:rPr>
          <w:rFonts w:ascii="Times New Roman" w:cs="Times New Roman" w:hAnsi="Times New Roman"/>
          <w:lang w:val="en-GB"/>
        </w:rPr>
        <w:t>, which</w:t>
      </w:r>
      <w:r>
        <w:rPr>
          <w:rFonts w:ascii="Times New Roman" w:cs="Times New Roman" w:hAnsi="Times New Roman"/>
          <w:lang w:val="en-GB"/>
        </w:rPr>
        <w:t xml:space="preserve"> is oriented on optimising the portfolio of stores, investing in digital, modernising the supply chain, and leading the disciplines of cost. Although the strategy has stabilised financial outcomes, it has not eradicated underlying weaknesses</w:t>
      </w:r>
      <w:r>
        <w:rPr>
          <w:rFonts w:ascii="Times New Roman" w:cs="Times New Roman" w:hAnsi="Times New Roman"/>
          <w:lang w:val="en-GB"/>
        </w:rPr>
        <w:t>,</w:t>
      </w:r>
      <w:r>
        <w:rPr>
          <w:rFonts w:ascii="Times New Roman" w:cs="Times New Roman" w:hAnsi="Times New Roman"/>
          <w:lang w:val="en-GB"/>
        </w:rPr>
        <w:t xml:space="preserve"> especially in digital resilience, labour effectiveness and cultural flexibility</w:t>
      </w:r>
      <w:r>
        <w:rPr>
          <w:rFonts w:ascii="Times New Roman" w:cs="Times New Roman" w:hAnsi="Times New Roman"/>
          <w:lang w:val="en-GB"/>
        </w:rPr>
        <w:t>.</w:t>
      </w:r>
    </w:p>
    <w:bookmarkStart w:id="2" w:name="_Toc220369474"/>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1.2 External Environmental Drivers of Change</w:t>
      </w:r>
      <w:bookmarkEnd w:id="2"/>
    </w:p>
    <w:bookmarkStart w:id="3" w:name="_Toc220369475"/>
    <w:p>
      <w:pPr>
        <w:pStyle w:val="style3"/>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Digital disruption and online retail growth</w:t>
      </w:r>
      <w:bookmarkEnd w:id="3"/>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Digital disruption is the greatest external change driver that would influence M&amp;S. </w:t>
      </w:r>
      <w:r>
        <w:rPr>
          <w:rFonts w:ascii="Times New Roman" w:cs="Times New Roman" w:hAnsi="Times New Roman"/>
          <w:lang w:val="en-GB"/>
        </w:rPr>
        <w:t xml:space="preserve">The latest data show that </w:t>
      </w:r>
      <w:r>
        <w:rPr>
          <w:rStyle w:val="style87"/>
          <w:rFonts w:ascii="Times New Roman" w:cs="Times New Roman" w:hAnsi="Times New Roman"/>
          <w:b w:val="false"/>
          <w:bCs w:val="false"/>
          <w:lang w:val="en-GB"/>
        </w:rPr>
        <w:t>online sales now account for around 30% of total UK retail sales</w:t>
      </w:r>
      <w:r>
        <w:rPr>
          <w:rFonts w:ascii="Times New Roman" w:cs="Times New Roman" w:hAnsi="Times New Roman"/>
          <w:b/>
          <w:bCs/>
          <w:lang w:val="en-GB"/>
        </w:rPr>
        <w:t>,</w:t>
      </w:r>
      <w:r>
        <w:rPr>
          <w:rFonts w:ascii="Times New Roman" w:cs="Times New Roman" w:hAnsi="Times New Roman"/>
          <w:lang w:val="en-GB"/>
        </w:rPr>
        <w:t xml:space="preserve"> confirming that e-commerce has stabilised at a structurally high level well above pre-pandemic norms, rather than returning to earlier low levels </w:t>
      </w:r>
      <w:r>
        <w:rPr>
          <w:rFonts w:ascii="Times New Roman" w:cs="Times New Roman" w:hAnsi="Times New Roman"/>
          <w:lang w:val="en-GB"/>
        </w:rPr>
        <w:t>(</w:t>
      </w:r>
      <w:r>
        <w:rPr>
          <w:rFonts w:ascii="Times New Roman" w:cs="Times New Roman" w:hAnsi="Times New Roman"/>
          <w:lang w:val="en-GB"/>
        </w:rPr>
        <w:t>ONS</w:t>
      </w:r>
      <w:r>
        <w:rPr>
          <w:rFonts w:ascii="Times New Roman" w:cs="Times New Roman" w:hAnsi="Times New Roman"/>
          <w:lang w:val="en-GB"/>
        </w:rPr>
        <w:t>, 2025)</w:t>
      </w:r>
      <w:r>
        <w:rPr>
          <w:rFonts w:ascii="Times New Roman" w:cs="Times New Roman" w:hAnsi="Times New Roman"/>
          <w:lang w:val="en-GB"/>
        </w:rPr>
        <w:t xml:space="preserve"> (Figure 1)</w:t>
      </w:r>
      <w:r>
        <w:rPr>
          <w:rFonts w:ascii="Times New Roman" w:cs="Times New Roman" w:hAnsi="Times New Roman"/>
          <w:lang w:val="en-GB"/>
        </w:rPr>
        <w:t>. This trend indicates long-term alterations in consumer behaviour and not a one-off pandemic impact.</w:t>
      </w:r>
    </w:p>
    <w:p>
      <w:pPr>
        <w:pStyle w:val="style94"/>
        <w:keepNext/>
        <w:spacing w:lineRule="auto" w:line="360"/>
        <w:rPr>
          <w:rFonts w:ascii="Times New Roman" w:cs="Times New Roman" w:hAnsi="Times New Roman"/>
          <w:lang w:val="en-GB"/>
        </w:rPr>
      </w:pPr>
      <w:r>
        <w:rPr>
          <w:rFonts w:ascii="Times New Roman" w:cs="Times New Roman" w:hAnsi="Times New Roman"/>
          <w:noProof/>
          <w:lang w:val="en-GB" w:eastAsia="en-GB"/>
        </w:rPr>
        <w:drawing>
          <wp:inline distL="0" distT="0" distB="0" distR="0">
            <wp:extent cx="5943600" cy="2848343"/>
            <wp:effectExtent l="1905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943600" cy="2848343"/>
                    </a:xfrm>
                    <a:prstGeom prst="rect"/>
                    <a:ln>
                      <a:noFill/>
                    </a:ln>
                  </pic:spPr>
                </pic:pic>
              </a:graphicData>
            </a:graphic>
          </wp:inline>
        </w:drawing>
      </w:r>
    </w:p>
    <w:p>
      <w:pPr>
        <w:pStyle w:val="style34"/>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Figure </w:t>
      </w:r>
      <w:r>
        <w:rPr>
          <w:rFonts w:ascii="Times New Roman" w:cs="Times New Roman" w:hAnsi="Times New Roman"/>
          <w:sz w:val="24"/>
          <w:szCs w:val="24"/>
          <w:lang w:val="en-GB"/>
        </w:rPr>
        <w:fldChar w:fldCharType="begin"/>
      </w:r>
      <w:r>
        <w:rPr>
          <w:rFonts w:ascii="Times New Roman" w:cs="Times New Roman" w:hAnsi="Times New Roman"/>
          <w:sz w:val="24"/>
          <w:szCs w:val="24"/>
          <w:lang w:val="en-GB"/>
        </w:rPr>
        <w:instrText xml:space="preserve"> SEQ Figure \* ARABIC </w:instrText>
      </w:r>
      <w:r>
        <w:rPr>
          <w:rFonts w:ascii="Times New Roman" w:cs="Times New Roman" w:hAnsi="Times New Roman"/>
          <w:sz w:val="24"/>
          <w:szCs w:val="24"/>
          <w:lang w:val="en-GB"/>
        </w:rPr>
        <w:fldChar w:fldCharType="separate"/>
      </w:r>
      <w:r>
        <w:rPr>
          <w:rFonts w:ascii="Times New Roman" w:cs="Times New Roman" w:hAnsi="Times New Roman"/>
          <w:sz w:val="24"/>
          <w:szCs w:val="24"/>
          <w:lang w:val="en-GB"/>
        </w:rPr>
        <w:t>1</w:t>
      </w:r>
      <w:r>
        <w:rPr>
          <w:rFonts w:ascii="Times New Roman" w:cs="Times New Roman" w:hAnsi="Times New Roman"/>
          <w:sz w:val="24"/>
          <w:szCs w:val="24"/>
          <w:lang w:val="en-GB"/>
        </w:rPr>
        <w:fldChar w:fldCharType="end"/>
      </w:r>
      <w:r>
        <w:rPr>
          <w:rFonts w:ascii="Times New Roman" w:cs="Times New Roman" w:hAnsi="Times New Roman"/>
          <w:sz w:val="24"/>
          <w:szCs w:val="24"/>
          <w:lang w:val="en-GB"/>
        </w:rPr>
        <w:t>: Graph of increasing internet sales (ONS, 2025)</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In </w:t>
      </w:r>
      <w:r>
        <w:rPr>
          <w:rFonts w:ascii="Times New Roman" w:cs="Times New Roman" w:hAnsi="Times New Roman"/>
          <w:lang w:val="en-GB"/>
        </w:rPr>
        <w:t>the M&amp;S case, the lack of digital investment traditionally worsened the level of competitiveness in Clothing and Home,</w:t>
      </w:r>
      <w:r>
        <w:rPr>
          <w:rFonts w:ascii="Times New Roman" w:cs="Times New Roman" w:hAnsi="Times New Roman"/>
          <w:lang w:val="en-GB"/>
        </w:rPr>
        <w:t xml:space="preserve"> where speed, data-driven merchandising and fulfilment efficiency are paramount. Despite the investments that M&amp;S has since put in online platforms and digital infrastructure, it is still at a catch-up stage, in comparison with digitally advanced competitors like Next and Amazon. Digital change is thus not an addition to the strategy; however, </w:t>
      </w:r>
      <w:r>
        <w:rPr>
          <w:rFonts w:ascii="Times New Roman" w:cs="Times New Roman" w:hAnsi="Times New Roman"/>
          <w:lang w:val="en-GB"/>
        </w:rPr>
        <w:t xml:space="preserve">it is </w:t>
      </w:r>
      <w:r>
        <w:rPr>
          <w:rFonts w:ascii="Times New Roman" w:cs="Times New Roman" w:hAnsi="Times New Roman"/>
          <w:lang w:val="en-GB"/>
        </w:rPr>
        <w:t>one of its central requirements</w:t>
      </w:r>
      <w:r>
        <w:rPr>
          <w:rFonts w:ascii="Times New Roman" w:cs="Times New Roman" w:hAnsi="Times New Roman"/>
          <w:lang w:val="en-GB"/>
        </w:rPr>
        <w:t>.</w:t>
      </w:r>
    </w:p>
    <w:bookmarkStart w:id="4" w:name="_Toc220369476"/>
    <w:p>
      <w:pPr>
        <w:pStyle w:val="style3"/>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Cybersecurity and operational resilience</w:t>
      </w:r>
      <w:bookmarkEnd w:id="4"/>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In April 2025, M&amp;S suffered a significant </w:t>
      </w:r>
      <w:r>
        <w:rPr>
          <w:rFonts w:ascii="Times New Roman" w:cs="Times New Roman" w:hAnsi="Times New Roman"/>
          <w:lang w:val="en-GB"/>
        </w:rPr>
        <w:t>cyberattack, which interrupted online orders, click-and-collect orders</w:t>
      </w:r>
      <w:r>
        <w:rPr>
          <w:rFonts w:ascii="Times New Roman" w:cs="Times New Roman" w:hAnsi="Times New Roman"/>
          <w:lang w:val="en-GB"/>
        </w:rPr>
        <w:t xml:space="preserve">, and contactless payment services in stores. The organisation has put </w:t>
      </w:r>
      <w:r>
        <w:rPr>
          <w:rFonts w:ascii="Times New Roman" w:cs="Times New Roman" w:hAnsi="Times New Roman"/>
          <w:lang w:val="en-GB"/>
        </w:rPr>
        <w:t>online sales on hold</w:t>
      </w:r>
      <w:r>
        <w:rPr>
          <w:rFonts w:ascii="Times New Roman" w:cs="Times New Roman" w:hAnsi="Times New Roman"/>
          <w:lang w:val="en-GB"/>
        </w:rPr>
        <w:t>, which has cost the organisation a lot of lost revenue and reputation. Media coverage and public disclosures put the financial loss and expense in the hundreds of millions of pounds in sales lost and recovery costs (Marks and Spencer, 2025b; AP News, 2025; Reuters, 2025).</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This event essentially repositioned the issue of cybersecurity as a change agent impacting operational resilience, business continuity planning and digital governance. In the case of M&amp;S, the </w:t>
      </w:r>
      <w:r>
        <w:rPr>
          <w:rFonts w:ascii="Times New Roman" w:cs="Times New Roman" w:hAnsi="Times New Roman"/>
          <w:lang w:val="en-GB"/>
        </w:rPr>
        <w:t>cyber-attack</w:t>
      </w:r>
      <w:r>
        <w:rPr>
          <w:rFonts w:ascii="Times New Roman" w:cs="Times New Roman" w:hAnsi="Times New Roman"/>
          <w:lang w:val="en-GB"/>
        </w:rPr>
        <w:t xml:space="preserve"> has hastened the necessity of organisational change beyond technology </w:t>
      </w:r>
      <w:r>
        <w:rPr>
          <w:rFonts w:ascii="Times New Roman" w:cs="Times New Roman" w:hAnsi="Times New Roman"/>
          <w:lang w:val="en-GB"/>
        </w:rPr>
        <w:t>solutions</w:t>
      </w:r>
      <w:r>
        <w:rPr>
          <w:rFonts w:ascii="Times New Roman" w:cs="Times New Roman" w:hAnsi="Times New Roman"/>
          <w:lang w:val="en-GB"/>
        </w:rPr>
        <w:t>,</w:t>
      </w:r>
      <w:r>
        <w:rPr>
          <w:rFonts w:ascii="Times New Roman" w:cs="Times New Roman" w:hAnsi="Times New Roman"/>
          <w:lang w:val="en-GB"/>
        </w:rPr>
        <w:t xml:space="preserve"> including leadership responsibility, awareness of employees and ability to communicate a crisis</w:t>
      </w:r>
      <w:r>
        <w:rPr>
          <w:rFonts w:ascii="Times New Roman" w:cs="Times New Roman" w:hAnsi="Times New Roman"/>
          <w:lang w:val="en-GB"/>
        </w:rPr>
        <w:t>.</w:t>
      </w:r>
    </w:p>
    <w:bookmarkStart w:id="5" w:name="_Toc220369477"/>
    <w:p>
      <w:pPr>
        <w:pStyle w:val="style3"/>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Macroeconomic pressure and cost inflation</w:t>
      </w:r>
      <w:bookmarkEnd w:id="5"/>
    </w:p>
    <w:p>
      <w:pPr>
        <w:pStyle w:val="style94"/>
        <w:spacing w:lineRule="auto" w:line="360"/>
        <w:rPr>
          <w:rFonts w:ascii="Times New Roman" w:cs="Times New Roman" w:hAnsi="Times New Roman"/>
          <w:lang w:val="en-GB"/>
        </w:rPr>
      </w:pPr>
      <w:r>
        <w:rPr>
          <w:rFonts w:ascii="Times New Roman" w:cs="Times New Roman" w:hAnsi="Times New Roman"/>
          <w:lang w:val="en-GB"/>
        </w:rPr>
        <w:t>The macroeconomic pressure experienced by UK retailers remains inflationary</w:t>
      </w:r>
      <w:r>
        <w:rPr>
          <w:rFonts w:ascii="Times New Roman" w:cs="Times New Roman" w:hAnsi="Times New Roman"/>
          <w:lang w:val="en-GB"/>
        </w:rPr>
        <w:t>, which has resulted in a rise in energy costs</w:t>
      </w:r>
      <w:r>
        <w:rPr>
          <w:rFonts w:ascii="Times New Roman" w:cs="Times New Roman" w:hAnsi="Times New Roman"/>
          <w:lang w:val="en-GB"/>
        </w:rPr>
        <w:t xml:space="preserve"> and wages. The British Retail Consortium (2024) notes that the cost of operating in retail in the UK increased considerably during 2022-2024</w:t>
      </w:r>
      <w:r>
        <w:rPr>
          <w:rFonts w:ascii="Times New Roman" w:cs="Times New Roman" w:hAnsi="Times New Roman"/>
          <w:lang w:val="en-GB"/>
        </w:rPr>
        <w:t xml:space="preserve">; at the same time, </w:t>
      </w:r>
      <w:r>
        <w:rPr>
          <w:rFonts w:ascii="Times New Roman" w:cs="Times New Roman" w:hAnsi="Times New Roman"/>
          <w:lang w:val="en-GB"/>
        </w:rPr>
        <w:t>consumer spending was not as high as it could have been because of the cost-of-living crisis.</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In </w:t>
      </w:r>
      <w:r>
        <w:rPr>
          <w:rFonts w:ascii="Times New Roman" w:cs="Times New Roman" w:hAnsi="Times New Roman"/>
          <w:lang w:val="en-GB"/>
        </w:rPr>
        <w:t xml:space="preserve">the </w:t>
      </w:r>
      <w:r>
        <w:rPr>
          <w:rFonts w:ascii="Times New Roman" w:cs="Times New Roman" w:hAnsi="Times New Roman"/>
          <w:lang w:val="en-GB"/>
        </w:rPr>
        <w:t>M&amp;S</w:t>
      </w:r>
      <w:r>
        <w:rPr>
          <w:rFonts w:ascii="Times New Roman" w:cs="Times New Roman" w:hAnsi="Times New Roman"/>
          <w:lang w:val="en-GB"/>
        </w:rPr>
        <w:t xml:space="preserve"> case</w:t>
      </w:r>
      <w:r>
        <w:rPr>
          <w:rFonts w:ascii="Times New Roman" w:cs="Times New Roman" w:hAnsi="Times New Roman"/>
          <w:lang w:val="en-GB"/>
        </w:rPr>
        <w:t>, these pressures make productivity improvement and cost discipline of great significance. Nevertheless, change efforts where cost is the main factor may negatively affect the morale of staff unless there is investment in skills and involvement</w:t>
      </w:r>
      <w:r>
        <w:rPr>
          <w:rFonts w:ascii="Times New Roman" w:cs="Times New Roman" w:hAnsi="Times New Roman"/>
          <w:lang w:val="en-GB"/>
        </w:rPr>
        <w:t xml:space="preserve"> (</w:t>
      </w:r>
      <w:r>
        <w:rPr>
          <w:rFonts w:ascii="Times New Roman" w:cs="Times New Roman" w:hAnsi="Times New Roman"/>
          <w:color w:val="222222"/>
          <w:shd w:val="clear" w:color="auto" w:fill="ffffff"/>
          <w:lang w:val="en-GB"/>
        </w:rPr>
        <w:t>Lestari et al., 2024)</w:t>
      </w:r>
      <w:r>
        <w:rPr>
          <w:rFonts w:ascii="Times New Roman" w:cs="Times New Roman" w:hAnsi="Times New Roman"/>
          <w:lang w:val="en-GB"/>
        </w:rPr>
        <w:t xml:space="preserve">. This is a crucial contextual factor that determines </w:t>
      </w:r>
      <w:r>
        <w:rPr>
          <w:rFonts w:ascii="Times New Roman" w:cs="Times New Roman" w:hAnsi="Times New Roman"/>
          <w:lang w:val="en-GB"/>
        </w:rPr>
        <w:t>the change agenda in the organisation due to the</w:t>
      </w:r>
      <w:r>
        <w:rPr>
          <w:rFonts w:ascii="Times New Roman" w:cs="Times New Roman" w:hAnsi="Times New Roman"/>
          <w:lang w:val="en-GB"/>
        </w:rPr>
        <w:t xml:space="preserve"> tension between efficiency and people sustainability</w:t>
      </w:r>
      <w:r>
        <w:rPr>
          <w:rFonts w:ascii="Times New Roman" w:cs="Times New Roman" w:hAnsi="Times New Roman"/>
          <w:lang w:val="en-GB"/>
        </w:rPr>
        <w:t>.</w:t>
      </w:r>
      <w:bookmarkStart w:id="6" w:name="_GoBack"/>
      <w:bookmarkEnd w:id="6"/>
    </w:p>
    <w:bookmarkStart w:id="7" w:name="_Toc220369478"/>
    <w:p>
      <w:pPr>
        <w:pStyle w:val="style3"/>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Sustainability and regulatory expectations</w:t>
      </w:r>
      <w:bookmarkEnd w:id="7"/>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Sustainability is both an external and a strategic opportunity. The Plan A programme by M&amp;S is a declaration that by the year 2040</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the organisation will be net-zero in its operations, responsible in sourcing and reducing</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waste</w:t>
      </w:r>
      <w:r>
        <w:rPr>
          <w:rFonts w:ascii="Times New Roman" w:cs="Times New Roman" w:hAnsi="Times New Roman"/>
          <w:sz w:val="24"/>
          <w:szCs w:val="24"/>
          <w:lang w:val="en-GB"/>
        </w:rPr>
        <w:t>. T</w:t>
      </w:r>
      <w:r>
        <w:rPr>
          <w:rFonts w:ascii="Times New Roman" w:cs="Times New Roman" w:hAnsi="Times New Roman"/>
          <w:sz w:val="24"/>
          <w:szCs w:val="24"/>
          <w:lang w:val="en-GB"/>
        </w:rPr>
        <w:t xml:space="preserve">he UK reporting requirements, such as Streamlined Energy and Carbon Reporting (SECR), demand the </w:t>
      </w:r>
      <w:r>
        <w:rPr>
          <w:rFonts w:ascii="Times New Roman" w:cs="Times New Roman" w:hAnsi="Times New Roman"/>
          <w:sz w:val="24"/>
          <w:szCs w:val="24"/>
          <w:lang w:val="en-GB"/>
        </w:rPr>
        <w:t>evidence-based</w:t>
      </w:r>
      <w:r>
        <w:rPr>
          <w:rFonts w:ascii="Times New Roman" w:cs="Times New Roman" w:hAnsi="Times New Roman"/>
          <w:sz w:val="24"/>
          <w:szCs w:val="24"/>
          <w:lang w:val="en-GB"/>
        </w:rPr>
        <w:t xml:space="preserve"> inclusion of sustainability in the decision-making processes of operations (UK Government, 2023).</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Referring </w:t>
      </w:r>
      <w:r>
        <w:rPr>
          <w:rFonts w:ascii="Times New Roman" w:cs="Times New Roman" w:hAnsi="Times New Roman"/>
          <w:sz w:val="24"/>
          <w:szCs w:val="24"/>
          <w:lang w:val="en-GB"/>
        </w:rPr>
        <w:t xml:space="preserve">to </w:t>
      </w:r>
      <w:r>
        <w:rPr>
          <w:rFonts w:ascii="Times New Roman" w:cs="Times New Roman" w:hAnsi="Times New Roman"/>
          <w:color w:val="222222"/>
          <w:sz w:val="24"/>
          <w:szCs w:val="24"/>
          <w:shd w:val="clear" w:color="auto" w:fill="ffffff"/>
          <w:lang w:val="en-GB"/>
        </w:rPr>
        <w:t>Feng</w:t>
      </w:r>
      <w:r>
        <w:rPr>
          <w:rFonts w:ascii="Times New Roman" w:cs="Times New Roman" w:hAnsi="Times New Roman"/>
          <w:sz w:val="24"/>
          <w:szCs w:val="24"/>
          <w:lang w:val="en-GB"/>
        </w:rPr>
        <w:t xml:space="preserve"> et al. (2024), s</w:t>
      </w:r>
      <w:r>
        <w:rPr>
          <w:rFonts w:ascii="Times New Roman" w:cs="Times New Roman" w:hAnsi="Times New Roman"/>
          <w:sz w:val="24"/>
          <w:szCs w:val="24"/>
          <w:lang w:val="en-GB"/>
        </w:rPr>
        <w:t>ustainability is, therefore, a catalyst of organisational change in the supply chain, product design, logistics and performance measurement systems, not a corporate responsibility project on its own.</w:t>
      </w:r>
    </w:p>
    <w:bookmarkStart w:id="8" w:name="_Toc220369479"/>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1.3 Internal Environmental Drivers of Change</w:t>
      </w:r>
      <w:bookmarkEnd w:id="8"/>
    </w:p>
    <w:bookmarkStart w:id="9" w:name="_Toc220369480"/>
    <w:p>
      <w:pPr>
        <w:pStyle w:val="style3"/>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Organisational capability constraints</w:t>
      </w:r>
      <w:bookmarkEnd w:id="9"/>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M&amp;S also has long-standing capability problems internally. Agility has been constrained by legacy IT systems, siloed organisational designs and risk-averse decision-making patterns of the </w:t>
      </w:r>
      <w:r>
        <w:rPr>
          <w:rFonts w:ascii="Times New Roman" w:cs="Times New Roman" w:hAnsi="Times New Roman"/>
          <w:sz w:val="24"/>
          <w:szCs w:val="24"/>
          <w:lang w:val="en-GB"/>
        </w:rPr>
        <w:t>past. Although the recent investments have enhanced the infrastructure, capability building, especially in the areas of data analytics, digital merchandising, and quick fulfilment, is not even across the organisation (Marks and Spencer, 2025a).</w:t>
      </w:r>
    </w:p>
    <w:bookmarkStart w:id="10" w:name="_Toc220369481"/>
    <w:p>
      <w:pPr>
        <w:pStyle w:val="style3"/>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Workforce restructuring and skills mismatch</w:t>
      </w:r>
      <w:bookmarkEnd w:id="10"/>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The efforts to close down stores many times, redesigning and automation efforts have created workforce uncertainty. </w:t>
      </w:r>
      <w:r>
        <w:rPr>
          <w:rFonts w:ascii="Times New Roman" w:cs="Times New Roman" w:hAnsi="Times New Roman"/>
          <w:sz w:val="24"/>
          <w:szCs w:val="24"/>
          <w:lang w:val="en-GB"/>
        </w:rPr>
        <w:t>On the contrary</w:t>
      </w:r>
      <w:r>
        <w:rPr>
          <w:rFonts w:ascii="Times New Roman" w:cs="Times New Roman" w:hAnsi="Times New Roman"/>
          <w:sz w:val="24"/>
          <w:szCs w:val="24"/>
          <w:lang w:val="en-GB"/>
        </w:rPr>
        <w:t>, M&amp;S has focused on training, but according to retail change Burnes (2017), the recurring restructuring without clear progression routes results in change fatigue and resistance. Middle managers at M&amp;S are under certain pressure, as they serve as carriers of change as well as emotional supporters of the frontline employees.</w:t>
      </w:r>
    </w:p>
    <w:bookmarkStart w:id="11" w:name="_Toc220369482"/>
    <w:p>
      <w:pPr>
        <w:pStyle w:val="style3"/>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Cultural inertia</w:t>
      </w:r>
      <w:bookmarkEnd w:id="11"/>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The old tradition of M&amp;S, which has been the foundation of brand trust, based on stability, quality, and longevity</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has become a working liability, limiting the ability to be flexible. This is a cultural resistance that slows down </w:t>
      </w:r>
      <w:r>
        <w:rPr>
          <w:rFonts w:ascii="Times New Roman" w:cs="Times New Roman" w:hAnsi="Times New Roman"/>
          <w:sz w:val="24"/>
          <w:szCs w:val="24"/>
          <w:lang w:val="en-GB"/>
        </w:rPr>
        <w:t>introducing</w:t>
      </w:r>
      <w:r>
        <w:rPr>
          <w:rFonts w:ascii="Times New Roman" w:cs="Times New Roman" w:hAnsi="Times New Roman"/>
          <w:sz w:val="24"/>
          <w:szCs w:val="24"/>
          <w:lang w:val="en-GB"/>
        </w:rPr>
        <w:t xml:space="preserve"> agile, experimentation necessary in digital retail, supporting the argument that cultural change needs to be deliberate and gradual.</w:t>
      </w:r>
    </w:p>
    <w:bookmarkStart w:id="12" w:name="_Toc220369483"/>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 xml:space="preserve">1.4 </w:t>
      </w:r>
      <w:r>
        <w:rPr>
          <w:rStyle w:val="style87"/>
          <w:rFonts w:ascii="Times New Roman" w:cs="Times New Roman" w:hAnsi="Times New Roman"/>
          <w:b/>
          <w:bCs/>
          <w:sz w:val="24"/>
          <w:szCs w:val="24"/>
          <w:lang w:val="en-GB"/>
        </w:rPr>
        <w:t>Environment–Capability Misalignment</w:t>
      </w:r>
      <w:bookmarkEnd w:id="12"/>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The evaluation shows that there is increased incongruity between the environmental needs and organisational potential at M&amp;S. External forces need rapidness, stability, and </w:t>
      </w:r>
      <w:r>
        <w:rPr>
          <w:rFonts w:ascii="Times New Roman" w:cs="Times New Roman" w:hAnsi="Times New Roman"/>
          <w:sz w:val="24"/>
          <w:szCs w:val="24"/>
          <w:lang w:val="en-GB"/>
        </w:rPr>
        <w:t>digitisation, whereas internal organisations</w:t>
      </w:r>
      <w:r>
        <w:rPr>
          <w:rFonts w:ascii="Times New Roman" w:cs="Times New Roman" w:hAnsi="Times New Roman"/>
          <w:sz w:val="24"/>
          <w:szCs w:val="24"/>
          <w:lang w:val="en-GB"/>
        </w:rPr>
        <w:t>, talent, and culture lag behind. This is a mismatch that stands behind why recent financial recovery is not comparable to long-term strategic security and why it is necessary to have a structured and capability-based change management plan.</w:t>
      </w:r>
    </w:p>
    <w:bookmarkStart w:id="13" w:name="_Toc220369484"/>
    <w:p>
      <w:pPr>
        <w:pStyle w:val="style1"/>
        <w:spacing w:lineRule="auto" w:line="360"/>
        <w:rPr>
          <w:rFonts w:ascii="Times New Roman" w:hAnsi="Times New Roman"/>
          <w:sz w:val="24"/>
          <w:szCs w:val="24"/>
          <w:lang w:val="en-GB"/>
        </w:rPr>
      </w:pPr>
      <w:r>
        <w:rPr>
          <w:rStyle w:val="style87"/>
          <w:rFonts w:ascii="Times New Roman" w:hAnsi="Times New Roman"/>
          <w:b/>
          <w:bCs/>
          <w:sz w:val="24"/>
          <w:szCs w:val="24"/>
          <w:lang w:val="en-GB"/>
        </w:rPr>
        <w:t>2: CRITICAL EVALUATION OF CHANGE MANAGEMENT MODELS IN THE CONTEXT OF MARKS &amp; SPENCER</w:t>
      </w:r>
      <w:bookmarkEnd w:id="13"/>
    </w:p>
    <w:bookmarkStart w:id="14" w:name="_Toc220369485"/>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2.1 Nature of Change at Marks &amp; Spencer</w:t>
      </w:r>
      <w:bookmarkEnd w:id="14"/>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The transformation that Marks and Spencer </w:t>
      </w:r>
      <w:r>
        <w:rPr>
          <w:rFonts w:ascii="Times New Roman" w:cs="Times New Roman" w:hAnsi="Times New Roman"/>
          <w:lang w:val="en-GB"/>
        </w:rPr>
        <w:t>has</w:t>
      </w:r>
      <w:r>
        <w:rPr>
          <w:rFonts w:ascii="Times New Roman" w:cs="Times New Roman" w:hAnsi="Times New Roman"/>
          <w:lang w:val="en-GB"/>
        </w:rPr>
        <w:t xml:space="preserve"> gone through in the last ten years can be described as strategic and transformational change</w:t>
      </w:r>
      <w:r>
        <w:rPr>
          <w:rFonts w:ascii="Times New Roman" w:cs="Times New Roman" w:hAnsi="Times New Roman"/>
          <w:lang w:val="en-GB"/>
        </w:rPr>
        <w:t>,</w:t>
      </w:r>
      <w:r>
        <w:rPr>
          <w:rFonts w:ascii="Times New Roman" w:cs="Times New Roman" w:hAnsi="Times New Roman"/>
          <w:lang w:val="en-GB"/>
        </w:rPr>
        <w:t xml:space="preserve"> and not incremental or operational change. </w:t>
      </w:r>
      <w:r>
        <w:rPr>
          <w:rFonts w:ascii="Times New Roman" w:cs="Times New Roman" w:hAnsi="Times New Roman"/>
          <w:lang w:val="en-GB"/>
        </w:rPr>
        <w:t xml:space="preserve">Transformational change entails radical reorganisation of organisational strategy, organisation, forces, and culture </w:t>
      </w:r>
      <w:r>
        <w:rPr>
          <w:rFonts w:ascii="Times New Roman" w:cs="Times New Roman" w:hAnsi="Times New Roman"/>
          <w:lang w:val="en-GB"/>
        </w:rPr>
        <w:t xml:space="preserve">in response to </w:t>
      </w:r>
      <w:r>
        <w:rPr>
          <w:rFonts w:ascii="Times New Roman" w:cs="Times New Roman" w:hAnsi="Times New Roman"/>
          <w:lang w:val="en-GB"/>
        </w:rPr>
        <w:t xml:space="preserve">chronic environmental disturbance (Cameron and Green, 2020). In the case of M&amp;S, this has involved refocusing the business to Food, </w:t>
      </w:r>
      <w:r>
        <w:rPr>
          <w:rFonts w:ascii="Times New Roman" w:cs="Times New Roman" w:hAnsi="Times New Roman"/>
          <w:lang w:val="en-GB"/>
        </w:rPr>
        <w:t>reorganising the</w:t>
      </w:r>
      <w:r>
        <w:rPr>
          <w:rFonts w:ascii="Times New Roman" w:cs="Times New Roman" w:hAnsi="Times New Roman"/>
          <w:lang w:val="en-GB"/>
        </w:rPr>
        <w:t xml:space="preserve"> store portfolio, investing in online channels, redesigning supply chains and redefining leadership responsibility.</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Notably, M&amp;S does not have a linear context of change. Overlapping pressures have been experienced by the organisation, which include digital disruption, economic volatility, </w:t>
      </w:r>
      <w:r>
        <w:rPr>
          <w:rFonts w:ascii="Times New Roman" w:cs="Times New Roman" w:hAnsi="Times New Roman"/>
          <w:lang w:val="en-GB"/>
        </w:rPr>
        <w:t>and regulation</w:t>
      </w:r>
      <w:r>
        <w:rPr>
          <w:rFonts w:ascii="Times New Roman" w:cs="Times New Roman" w:hAnsi="Times New Roman"/>
          <w:lang w:val="en-GB"/>
        </w:rPr>
        <w:t xml:space="preserve"> by sustainability and cyber risk, with an implication that change has been realised not in specific phases but in cycles. This complication restricts the utility of the single, linear change models and creates a necessity to critically assess their applicability</w:t>
      </w:r>
      <w:r>
        <w:rPr>
          <w:rFonts w:ascii="Times New Roman" w:cs="Times New Roman" w:hAnsi="Times New Roman"/>
          <w:lang w:val="en-GB"/>
        </w:rPr>
        <w:t>.</w:t>
      </w:r>
    </w:p>
    <w:bookmarkStart w:id="15" w:name="_Toc220369486"/>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2.2 Lewin’s Three-Stage Model: Diagnostic Value and Structural Limitations</w:t>
      </w:r>
      <w:bookmarkEnd w:id="15"/>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The Three-Stage Model of change by Lewin (1951) unfreeze, change, refreeze) provides a structural basis on which organisational change is viewed by highlighting the necessity of destabilising the current behaviour prior to the introduction of new behaviour. The unfreezing stage has been </w:t>
      </w:r>
      <w:r>
        <w:rPr>
          <w:rFonts w:ascii="Times New Roman" w:cs="Times New Roman" w:hAnsi="Times New Roman"/>
          <w:lang w:val="en-GB"/>
        </w:rPr>
        <w:t>evident</w:t>
      </w:r>
      <w:r>
        <w:rPr>
          <w:rFonts w:ascii="Times New Roman" w:cs="Times New Roman" w:hAnsi="Times New Roman"/>
          <w:lang w:val="en-GB"/>
        </w:rPr>
        <w:t xml:space="preserve"> in the M&amp;S context. A high rate of poor performance in Clothing and Home, loss of relevance in the market, </w:t>
      </w:r>
      <w:r>
        <w:rPr>
          <w:rFonts w:ascii="Times New Roman" w:cs="Times New Roman" w:hAnsi="Times New Roman"/>
          <w:lang w:val="en-GB"/>
        </w:rPr>
        <w:t>and pressure from</w:t>
      </w:r>
      <w:r>
        <w:rPr>
          <w:rFonts w:ascii="Times New Roman" w:cs="Times New Roman" w:hAnsi="Times New Roman"/>
          <w:lang w:val="en-GB"/>
        </w:rPr>
        <w:t xml:space="preserve"> the shareholders provided a good reason to drop the old ways. The top leadership applied performance transparency and strategic communication to undermine commitment to old operating models (Marks and Spencer, 2025a).</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Concrete initiatives can be identified as the change phase and include store rationalisation, online investment in digital form, supply chain automation, and online expansion through partnerships. These moves are </w:t>
      </w:r>
      <w:r>
        <w:rPr>
          <w:rFonts w:ascii="Times New Roman" w:cs="Times New Roman" w:hAnsi="Times New Roman"/>
          <w:lang w:val="en-GB"/>
        </w:rPr>
        <w:t xml:space="preserve">a real change of processes and structures, and not a </w:t>
      </w:r>
      <w:r>
        <w:rPr>
          <w:rFonts w:ascii="Times New Roman" w:cs="Times New Roman" w:hAnsi="Times New Roman"/>
          <w:lang w:val="en-GB"/>
        </w:rPr>
        <w:t>cosmetic change.</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But when it comes to the stage of refreezing, the Lewin model is a problem. The assumption of the non-change equilibrium post-change is not applicable to the UK retail environment, where consumer behaviour, technology, and competitive conditions keep changing fast. Trying to refreeze practices is a risk </w:t>
      </w:r>
      <w:r>
        <w:rPr>
          <w:rFonts w:ascii="Times New Roman" w:cs="Times New Roman" w:hAnsi="Times New Roman"/>
          <w:lang w:val="en-GB"/>
        </w:rPr>
        <w:t>of</w:t>
      </w:r>
      <w:r>
        <w:rPr>
          <w:rFonts w:ascii="Times New Roman" w:cs="Times New Roman" w:hAnsi="Times New Roman"/>
          <w:lang w:val="en-GB"/>
        </w:rPr>
        <w:t xml:space="preserve"> entrapping M&amp;S in the best practices that are not optimal and losing flexibility. In a constantly disrupted environment, Burnes (2017) </w:t>
      </w:r>
      <w:r>
        <w:rPr>
          <w:rFonts w:ascii="Times New Roman" w:cs="Times New Roman" w:hAnsi="Times New Roman"/>
          <w:lang w:val="en-GB"/>
        </w:rPr>
        <w:t>has</w:t>
      </w:r>
      <w:r>
        <w:rPr>
          <w:rFonts w:ascii="Times New Roman" w:cs="Times New Roman" w:hAnsi="Times New Roman"/>
          <w:lang w:val="en-GB"/>
        </w:rPr>
        <w:t xml:space="preserve"> suggested that the process of refreezing should be substituted by continuous renewal of capabilities.</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In the case of M&amp;S, </w:t>
      </w:r>
      <w:r>
        <w:rPr>
          <w:rFonts w:ascii="Times New Roman" w:cs="Times New Roman" w:hAnsi="Times New Roman"/>
          <w:lang w:val="en-GB"/>
        </w:rPr>
        <w:t>the Lewin model is thus most helpful as a diagnostic tool on why the legacy practices had to be destabilised, but not as a tool for</w:t>
      </w:r>
      <w:r>
        <w:rPr>
          <w:rFonts w:ascii="Times New Roman" w:cs="Times New Roman" w:hAnsi="Times New Roman"/>
          <w:lang w:val="en-GB"/>
        </w:rPr>
        <w:t xml:space="preserve"> the long-term maintenance of change</w:t>
      </w:r>
      <w:r>
        <w:rPr>
          <w:rFonts w:ascii="Times New Roman" w:cs="Times New Roman" w:hAnsi="Times New Roman"/>
          <w:lang w:val="en-GB"/>
        </w:rPr>
        <w:t>.</w:t>
      </w:r>
    </w:p>
    <w:bookmarkStart w:id="16" w:name="_Toc220369487"/>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2.3 Kotter’s Eight-Step Model:</w:t>
      </w:r>
      <w:bookmarkEnd w:id="16"/>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The Eight-Step Model by Kotter (2012) is a more focused </w:t>
      </w:r>
      <w:r>
        <w:rPr>
          <w:rFonts w:ascii="Times New Roman" w:cs="Times New Roman" w:hAnsi="Times New Roman"/>
          <w:lang w:val="en-GB"/>
        </w:rPr>
        <w:t>approach to leadership</w:t>
      </w:r>
      <w:r>
        <w:rPr>
          <w:rFonts w:ascii="Times New Roman" w:cs="Times New Roman" w:hAnsi="Times New Roman"/>
          <w:lang w:val="en-GB"/>
        </w:rPr>
        <w:t>, which is why it is especially applicable in the context of the recent change in M&amp;S. A number of the aspects of the model can be readily seen in practice.</w:t>
      </w:r>
    </w:p>
    <w:p>
      <w:pPr>
        <w:pStyle w:val="style94"/>
        <w:spacing w:lineRule="auto" w:line="360"/>
        <w:rPr>
          <w:rFonts w:ascii="Times New Roman" w:cs="Times New Roman" w:hAnsi="Times New Roman"/>
          <w:lang w:val="en-GB"/>
        </w:rPr>
      </w:pPr>
      <w:r>
        <w:rPr>
          <w:rFonts w:ascii="Times New Roman" w:cs="Times New Roman" w:hAnsi="Times New Roman"/>
          <w:lang w:val="en-GB"/>
        </w:rPr>
        <w:t>First</w:t>
      </w:r>
      <w:r>
        <w:rPr>
          <w:rFonts w:ascii="Times New Roman" w:cs="Times New Roman" w:hAnsi="Times New Roman"/>
          <w:lang w:val="en-GB"/>
        </w:rPr>
        <w:t xml:space="preserve">, a feeling of urgency was created by direct recognition of </w:t>
      </w:r>
      <w:r>
        <w:rPr>
          <w:rFonts w:ascii="Times New Roman" w:cs="Times New Roman" w:hAnsi="Times New Roman"/>
          <w:lang w:val="en-GB"/>
        </w:rPr>
        <w:t xml:space="preserve">the </w:t>
      </w:r>
      <w:r>
        <w:rPr>
          <w:rFonts w:ascii="Times New Roman" w:cs="Times New Roman" w:hAnsi="Times New Roman"/>
          <w:lang w:val="en-GB"/>
        </w:rPr>
        <w:t>structural deterioration of the traditional retail and the threat of doing nothing. Second, there was the emergence of a guiding coalition due to enhanced board control and a more stable senior staff. Third, the formulation of the strategy that is Reshape for Growth offered a clear vision on how operational change was tied to long-term viability.</w:t>
      </w:r>
    </w:p>
    <w:p>
      <w:pPr>
        <w:pStyle w:val="style94"/>
        <w:keepNext/>
        <w:spacing w:lineRule="auto" w:line="360"/>
        <w:rPr>
          <w:rFonts w:ascii="Times New Roman" w:cs="Times New Roman" w:hAnsi="Times New Roman"/>
          <w:lang w:val="en-GB"/>
        </w:rPr>
      </w:pPr>
      <w:r>
        <w:rPr>
          <w:rFonts w:ascii="Times New Roman" w:cs="Times New Roman" w:hAnsi="Times New Roman"/>
          <w:noProof/>
          <w:lang w:val="en-GB" w:eastAsia="en-GB"/>
        </w:rPr>
        <w:drawing>
          <wp:inline distL="0" distT="0" distB="0" distR="0">
            <wp:extent cx="5486400" cy="3200400"/>
            <wp:effectExtent l="0" t="19050" r="19050" b="19050"/>
            <wp:docPr id="1027" name="Diagram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pPr>
        <w:pStyle w:val="style34"/>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Figure </w:t>
      </w:r>
      <w:r>
        <w:rPr>
          <w:rFonts w:ascii="Times New Roman" w:cs="Times New Roman" w:hAnsi="Times New Roman"/>
          <w:sz w:val="24"/>
          <w:szCs w:val="24"/>
          <w:lang w:val="en-GB"/>
        </w:rPr>
        <w:fldChar w:fldCharType="begin"/>
      </w:r>
      <w:r>
        <w:rPr>
          <w:rFonts w:ascii="Times New Roman" w:cs="Times New Roman" w:hAnsi="Times New Roman"/>
          <w:sz w:val="24"/>
          <w:szCs w:val="24"/>
          <w:lang w:val="en-GB"/>
        </w:rPr>
        <w:instrText xml:space="preserve"> SEQ Figure \* ARABIC </w:instrText>
      </w:r>
      <w:r>
        <w:rPr>
          <w:rFonts w:ascii="Times New Roman" w:cs="Times New Roman" w:hAnsi="Times New Roman"/>
          <w:sz w:val="24"/>
          <w:szCs w:val="24"/>
          <w:lang w:val="en-GB"/>
        </w:rPr>
        <w:fldChar w:fldCharType="separate"/>
      </w:r>
      <w:r>
        <w:rPr>
          <w:rFonts w:ascii="Times New Roman" w:cs="Times New Roman" w:hAnsi="Times New Roman"/>
          <w:sz w:val="24"/>
          <w:szCs w:val="24"/>
          <w:lang w:val="en-GB"/>
        </w:rPr>
        <w:t>2</w:t>
      </w:r>
      <w:r>
        <w:rPr>
          <w:rFonts w:ascii="Times New Roman" w:cs="Times New Roman" w:hAnsi="Times New Roman"/>
          <w:sz w:val="24"/>
          <w:szCs w:val="24"/>
          <w:lang w:val="en-GB"/>
        </w:rPr>
        <w:fldChar w:fldCharType="end"/>
      </w:r>
      <w:r>
        <w:rPr>
          <w:rFonts w:ascii="Times New Roman" w:cs="Times New Roman" w:hAnsi="Times New Roman"/>
          <w:sz w:val="24"/>
          <w:szCs w:val="24"/>
          <w:lang w:val="en-GB"/>
        </w:rPr>
        <w:t>: Application of Kotter's Model</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Another example of short-term wins by M&amp;S was the increase in profitability and the performance of the Food business, which contributed to the restoration of stakeholder </w:t>
      </w:r>
      <w:r>
        <w:rPr>
          <w:rFonts w:ascii="Times New Roman" w:cs="Times New Roman" w:hAnsi="Times New Roman"/>
          <w:lang w:val="en-GB"/>
        </w:rPr>
        <w:t>confidence. These results are in conformity with the concepts of Kotter</w:t>
      </w:r>
      <w:r>
        <w:rPr>
          <w:rFonts w:ascii="Times New Roman" w:cs="Times New Roman" w:hAnsi="Times New Roman"/>
          <w:lang w:val="en-GB"/>
        </w:rPr>
        <w:t>, which involve</w:t>
      </w:r>
      <w:r>
        <w:rPr>
          <w:rFonts w:ascii="Times New Roman" w:cs="Times New Roman" w:hAnsi="Times New Roman"/>
          <w:lang w:val="en-GB"/>
        </w:rPr>
        <w:t xml:space="preserve"> momentum-building.</w:t>
      </w:r>
    </w:p>
    <w:p>
      <w:pPr>
        <w:pStyle w:val="style94"/>
        <w:spacing w:lineRule="auto" w:line="360"/>
        <w:rPr>
          <w:rFonts w:ascii="Times New Roman" w:cs="Times New Roman" w:hAnsi="Times New Roman"/>
          <w:lang w:val="en-GB"/>
        </w:rPr>
      </w:pPr>
      <w:r>
        <w:rPr>
          <w:rFonts w:ascii="Times New Roman" w:cs="Times New Roman" w:hAnsi="Times New Roman"/>
          <w:lang w:val="en-GB"/>
        </w:rPr>
        <w:t>Nevertheless, the later stages of the model, especially the establishment of new behavioural patterns within the organisational culture</w:t>
      </w:r>
      <w:r>
        <w:rPr>
          <w:rFonts w:ascii="Times New Roman" w:cs="Times New Roman" w:hAnsi="Times New Roman"/>
          <w:lang w:val="en-GB"/>
        </w:rPr>
        <w:t>, are poorly adopted at M&amp;S,</w:t>
      </w:r>
      <w:r>
        <w:rPr>
          <w:rFonts w:ascii="Times New Roman" w:cs="Times New Roman" w:hAnsi="Times New Roman"/>
          <w:lang w:val="en-GB"/>
        </w:rPr>
        <w:t xml:space="preserve"> with resistance to change, lack of skill and uneven adoption across functions showing</w:t>
      </w:r>
      <w:r>
        <w:rPr>
          <w:rFonts w:ascii="Times New Roman" w:cs="Times New Roman" w:hAnsi="Times New Roman"/>
          <w:lang w:val="en-GB"/>
        </w:rPr>
        <w:t xml:space="preserve"> that behavioural change is incompletely </w:t>
      </w:r>
      <w:r>
        <w:rPr>
          <w:rFonts w:ascii="Times New Roman" w:cs="Times New Roman" w:hAnsi="Times New Roman"/>
          <w:lang w:val="en-GB"/>
        </w:rPr>
        <w:t>integrated. Kotter (2012) insists that the inability to make change a part of normal routines and systems will cause regression as soon as the initial pressure is released.</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Performance management and reward systems at M&amp;S have been less responsive to new strategic priorities in the form of experimentation, cross-functional teamwork and digital innovation. Consequently, the Kotter model serves as the reason why </w:t>
      </w:r>
      <w:r>
        <w:rPr>
          <w:rFonts w:ascii="Times New Roman" w:cs="Times New Roman" w:hAnsi="Times New Roman"/>
          <w:lang w:val="en-GB"/>
        </w:rPr>
        <w:t xml:space="preserve">the </w:t>
      </w:r>
      <w:r>
        <w:rPr>
          <w:rFonts w:ascii="Times New Roman" w:cs="Times New Roman" w:hAnsi="Times New Roman"/>
          <w:lang w:val="en-GB"/>
        </w:rPr>
        <w:t>change championed by the leadership has stabilised the performance</w:t>
      </w:r>
      <w:r>
        <w:rPr>
          <w:rFonts w:ascii="Times New Roman" w:cs="Times New Roman" w:hAnsi="Times New Roman"/>
          <w:lang w:val="en-GB"/>
        </w:rPr>
        <w:t>,</w:t>
      </w:r>
      <w:r>
        <w:rPr>
          <w:rFonts w:ascii="Times New Roman" w:cs="Times New Roman" w:hAnsi="Times New Roman"/>
          <w:lang w:val="en-GB"/>
        </w:rPr>
        <w:t xml:space="preserve"> but has yet to bring profound organisational change</w:t>
      </w:r>
      <w:r>
        <w:rPr>
          <w:rFonts w:ascii="Times New Roman" w:cs="Times New Roman" w:hAnsi="Times New Roman"/>
          <w:lang w:val="en-GB"/>
        </w:rPr>
        <w:t>.</w:t>
      </w:r>
    </w:p>
    <w:bookmarkStart w:id="17" w:name="_Toc220369488"/>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2.4 ADKAR Model:</w:t>
      </w:r>
      <w:bookmarkEnd w:id="17"/>
      <w:r>
        <w:rPr>
          <w:rStyle w:val="style87"/>
          <w:rFonts w:ascii="Times New Roman" w:cs="Times New Roman" w:hAnsi="Times New Roman"/>
          <w:b/>
          <w:bCs/>
          <w:sz w:val="24"/>
          <w:szCs w:val="24"/>
          <w:lang w:val="en-GB"/>
        </w:rPr>
        <w:t xml:space="preserve"> </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The ADKAR model (Hiatt, 2006) </w:t>
      </w:r>
      <w:r>
        <w:rPr>
          <w:rFonts w:ascii="Times New Roman" w:cs="Times New Roman" w:hAnsi="Times New Roman"/>
          <w:lang w:val="en-GB"/>
        </w:rPr>
        <w:t>provides a useful perspective in terms of analysing change adoption at the individual level, which is pivotal, particularly in a labour-intensive</w:t>
      </w:r>
      <w:r>
        <w:rPr>
          <w:rFonts w:ascii="Times New Roman" w:cs="Times New Roman" w:hAnsi="Times New Roman"/>
          <w:lang w:val="en-GB"/>
        </w:rPr>
        <w:t xml:space="preserve"> organisation like M&amp;S. Although Lewin and Kotter are more concerned with organisational and leadership dynamics.</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M&amp;S have a high awareness of the necessity of change. Internal communications, financial disclosures and media coverage of retail decline and </w:t>
      </w:r>
      <w:r>
        <w:rPr>
          <w:rFonts w:ascii="Times New Roman" w:cs="Times New Roman" w:hAnsi="Times New Roman"/>
          <w:lang w:val="en-GB"/>
        </w:rPr>
        <w:t xml:space="preserve">the </w:t>
      </w:r>
      <w:r>
        <w:rPr>
          <w:rFonts w:ascii="Times New Roman" w:cs="Times New Roman" w:hAnsi="Times New Roman"/>
          <w:lang w:val="en-GB"/>
        </w:rPr>
        <w:t>2025 cyber incident have made the risks of inaction conspicuous to employees. Nonetheless, the willingness to embrace the change among the employees is very different. Grass-roots employees and store supervisors can find digitalisation and automation as a source of job loss instead of a developmental opportunity.</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The </w:t>
      </w:r>
      <w:r>
        <w:rPr>
          <w:rFonts w:ascii="Times New Roman" w:cs="Times New Roman" w:hAnsi="Times New Roman"/>
          <w:lang w:val="en-GB"/>
        </w:rPr>
        <w:t>implementation</w:t>
      </w:r>
      <w:r>
        <w:rPr>
          <w:rFonts w:ascii="Times New Roman" w:cs="Times New Roman" w:hAnsi="Times New Roman"/>
          <w:lang w:val="en-GB"/>
        </w:rPr>
        <w:t xml:space="preserve"> gaps are further brought out in the knowledge and ability levels. Although M&amp;S has invested in training, the scale and rate of reskilling needed is beyond what is currently provided, especially to middle managers tasked with </w:t>
      </w:r>
      <w:r>
        <w:rPr>
          <w:rFonts w:ascii="Times New Roman" w:cs="Times New Roman" w:hAnsi="Times New Roman"/>
          <w:lang w:val="en-GB"/>
        </w:rPr>
        <w:t>the role of translating strategy into operational</w:t>
      </w:r>
      <w:r>
        <w:rPr>
          <w:rFonts w:ascii="Times New Roman" w:cs="Times New Roman" w:hAnsi="Times New Roman"/>
          <w:lang w:val="en-GB"/>
        </w:rPr>
        <w:t xml:space="preserve"> practice. CIPD </w:t>
      </w:r>
      <w:r>
        <w:rPr>
          <w:rFonts w:ascii="Times New Roman" w:cs="Times New Roman" w:hAnsi="Times New Roman"/>
          <w:lang w:val="en-GB"/>
        </w:rPr>
        <w:t>(2023) hypothesis</w:t>
      </w:r>
      <w:r>
        <w:rPr>
          <w:rFonts w:ascii="Times New Roman" w:cs="Times New Roman" w:hAnsi="Times New Roman"/>
          <w:lang w:val="en-GB"/>
        </w:rPr>
        <w:t xml:space="preserve">es that time, coaching, and reinforcement </w:t>
      </w:r>
      <w:r>
        <w:rPr>
          <w:rFonts w:ascii="Times New Roman" w:cs="Times New Roman" w:hAnsi="Times New Roman"/>
          <w:lang w:val="en-GB"/>
        </w:rPr>
        <w:t xml:space="preserve">are </w:t>
      </w:r>
      <w:r>
        <w:rPr>
          <w:rFonts w:ascii="Times New Roman" w:cs="Times New Roman" w:hAnsi="Times New Roman"/>
          <w:lang w:val="en-GB"/>
        </w:rPr>
        <w:t xml:space="preserve">lacking, which are vital in reinforcing behavioural change, and </w:t>
      </w:r>
      <w:r>
        <w:rPr>
          <w:rFonts w:ascii="Times New Roman" w:cs="Times New Roman" w:hAnsi="Times New Roman"/>
          <w:lang w:val="en-GB"/>
        </w:rPr>
        <w:t>impact the training despite formal training being available.</w:t>
      </w:r>
    </w:p>
    <w:p>
      <w:pPr>
        <w:pStyle w:val="style94"/>
        <w:spacing w:lineRule="auto" w:line="360"/>
        <w:rPr>
          <w:rFonts w:ascii="Times New Roman" w:cs="Times New Roman" w:hAnsi="Times New Roman"/>
          <w:lang w:val="en-GB"/>
        </w:rPr>
      </w:pPr>
      <w:r>
        <w:rPr>
          <w:rFonts w:ascii="Times New Roman" w:cs="Times New Roman" w:hAnsi="Times New Roman"/>
          <w:lang w:val="en-GB"/>
        </w:rPr>
        <w:t>ADKAR thus describes the reason behind the resistance that M&amp;S has faced</w:t>
      </w:r>
      <w:r>
        <w:rPr>
          <w:rFonts w:ascii="Times New Roman" w:cs="Times New Roman" w:hAnsi="Times New Roman"/>
          <w:lang w:val="en-GB"/>
        </w:rPr>
        <w:t>, not due to poor understanding of the change by employees, but rather as a result of the inability and unwillingness</w:t>
      </w:r>
      <w:r>
        <w:rPr>
          <w:rFonts w:ascii="Times New Roman" w:cs="Times New Roman" w:hAnsi="Times New Roman"/>
          <w:lang w:val="en-GB"/>
        </w:rPr>
        <w:t xml:space="preserve"> of the employees to implement it repeatedly</w:t>
      </w:r>
      <w:r>
        <w:rPr>
          <w:rFonts w:ascii="Times New Roman" w:cs="Times New Roman" w:hAnsi="Times New Roman"/>
          <w:lang w:val="en-GB"/>
        </w:rPr>
        <w:t>.</w:t>
      </w:r>
    </w:p>
    <w:bookmarkStart w:id="18" w:name="_Toc220369489"/>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2.5 Dynamic Capabilities Perspective: Strategic Integration of Change</w:t>
      </w:r>
      <w:bookmarkEnd w:id="18"/>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In addition to prescriptive change models, the dynamic capabilities framework provides a change process in the context of </w:t>
      </w:r>
      <w:r>
        <w:rPr>
          <w:rFonts w:ascii="Times New Roman" w:cs="Times New Roman" w:hAnsi="Times New Roman"/>
          <w:lang w:val="en-GB"/>
        </w:rPr>
        <w:t xml:space="preserve">the </w:t>
      </w:r>
      <w:r>
        <w:rPr>
          <w:rFonts w:ascii="Times New Roman" w:cs="Times New Roman" w:hAnsi="Times New Roman"/>
          <w:lang w:val="en-GB"/>
        </w:rPr>
        <w:t>strategy of M&amp;S. Dynamic capabilities are the capability of an organisation to feel the change in the environment, grasp opportunities, and dynamically rearrange resources to do it (Teece, 2018).</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M&amp;S has increased its sensing ability by increasing its market analysis and monitoring appropriations. It has also exhibited taking behaviour using digital alliances, supply chain investment and rationalisation of portfolios. Nevertheless, reconfiguration is the most immature capability. The old systems, cultural and skills barriers drag down </w:t>
      </w:r>
      <w:r>
        <w:rPr>
          <w:rFonts w:ascii="Times New Roman" w:cs="Times New Roman" w:hAnsi="Times New Roman"/>
          <w:lang w:val="en-GB"/>
        </w:rPr>
        <w:t xml:space="preserve">the </w:t>
      </w:r>
      <w:r>
        <w:rPr>
          <w:rFonts w:ascii="Times New Roman" w:cs="Times New Roman" w:hAnsi="Times New Roman"/>
          <w:lang w:val="en-GB"/>
        </w:rPr>
        <w:t>redeployment of resources and restrict the ability to be agile by organisations.</w:t>
      </w:r>
    </w:p>
    <w:p>
      <w:pPr>
        <w:pStyle w:val="style94"/>
        <w:spacing w:lineRule="auto" w:line="360"/>
        <w:rPr>
          <w:rFonts w:ascii="Times New Roman" w:cs="Times New Roman" w:hAnsi="Times New Roman"/>
          <w:lang w:val="en-GB"/>
        </w:rPr>
      </w:pPr>
      <w:r>
        <w:rPr>
          <w:rFonts w:ascii="Times New Roman" w:cs="Times New Roman" w:hAnsi="Times New Roman"/>
          <w:lang w:val="en-GB"/>
        </w:rPr>
        <w:t>In this sense, the problem faced by M&amp;S is not the inability to realise that change is necessary, but the institutionalisation of the processes that take place to ensure the continuous adaptation. Dynamic capabilities thus supplement the traditional change models through focus on the long-term organisational learning as opposed to a one-time transformation</w:t>
      </w:r>
      <w:r>
        <w:rPr>
          <w:rFonts w:ascii="Times New Roman" w:cs="Times New Roman" w:hAnsi="Times New Roman"/>
          <w:lang w:val="en-GB"/>
        </w:rPr>
        <w:t>.</w:t>
      </w:r>
    </w:p>
    <w:bookmarkStart w:id="19" w:name="_Toc220369490"/>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2.6 Comparative Evaluation and Synthesis</w:t>
      </w:r>
      <w:bookmarkEnd w:id="19"/>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There is no change management model that would be able to capture the complexity of change at Marks and Spencer. Lewin </w:t>
      </w:r>
      <w:r>
        <w:rPr>
          <w:rFonts w:ascii="Times New Roman" w:cs="Times New Roman" w:hAnsi="Times New Roman"/>
          <w:lang w:val="en-GB"/>
        </w:rPr>
        <w:t>offers a useful starting point for understanding the necessity of change; Kotter has elaborated on the importance of leadership and momentum; and ADKAR has shown that individual adoption barriers and dynamic capabilities provide</w:t>
      </w:r>
      <w:r>
        <w:rPr>
          <w:rFonts w:ascii="Times New Roman" w:cs="Times New Roman" w:hAnsi="Times New Roman"/>
          <w:lang w:val="en-GB"/>
        </w:rPr>
        <w:t xml:space="preserve"> a perspective on the strategic sustainability of change.</w:t>
      </w:r>
    </w:p>
    <w:p>
      <w:pPr>
        <w:pStyle w:val="style94"/>
        <w:spacing w:lineRule="auto" w:line="360"/>
        <w:rPr>
          <w:rFonts w:ascii="Times New Roman" w:cs="Times New Roman" w:hAnsi="Times New Roman"/>
          <w:lang w:val="en-GB"/>
        </w:rPr>
      </w:pPr>
      <w:r>
        <w:rPr>
          <w:rFonts w:ascii="Times New Roman" w:cs="Times New Roman" w:hAnsi="Times New Roman"/>
          <w:lang w:val="en-GB"/>
        </w:rPr>
        <w:t>The constraints of the change initiatives of M&amp;S are not related to the choice of models</w:t>
      </w:r>
      <w:r>
        <w:rPr>
          <w:rFonts w:ascii="Times New Roman" w:cs="Times New Roman" w:hAnsi="Times New Roman"/>
          <w:lang w:val="en-GB"/>
        </w:rPr>
        <w:t>;</w:t>
      </w:r>
      <w:r>
        <w:rPr>
          <w:rFonts w:ascii="Times New Roman" w:cs="Times New Roman" w:hAnsi="Times New Roman"/>
          <w:lang w:val="en-GB"/>
        </w:rPr>
        <w:t xml:space="preserve"> it is a partial and fragmented implementation thereof. The urgency and structure </w:t>
      </w:r>
      <w:r>
        <w:rPr>
          <w:rFonts w:ascii="Times New Roman" w:cs="Times New Roman" w:hAnsi="Times New Roman"/>
          <w:lang w:val="en-GB"/>
        </w:rPr>
        <w:t>have</w:t>
      </w:r>
      <w:r>
        <w:rPr>
          <w:rFonts w:ascii="Times New Roman" w:cs="Times New Roman" w:hAnsi="Times New Roman"/>
          <w:lang w:val="en-GB"/>
        </w:rPr>
        <w:t xml:space="preserve"> been motivated by leadership, and the lack of focus has been on employee capability, cultural reinforcement, and the constant reconfiguration.</w:t>
      </w:r>
    </w:p>
    <w:p>
      <w:pPr>
        <w:pStyle w:val="style94"/>
        <w:spacing w:lineRule="auto" w:line="360"/>
        <w:rPr>
          <w:rFonts w:ascii="Times New Roman" w:cs="Times New Roman" w:hAnsi="Times New Roman"/>
          <w:lang w:val="en-GB"/>
        </w:rPr>
      </w:pPr>
      <w:r>
        <w:rPr>
          <w:rFonts w:ascii="Times New Roman" w:cs="Times New Roman" w:hAnsi="Times New Roman"/>
          <w:lang w:val="en-GB"/>
        </w:rPr>
        <w:t>This overview indicates that a comprehensive change strategy is required to include the elements of both leadership direction and individual support and capability building, which will be the foundation of the intended change management plan</w:t>
      </w:r>
      <w:r>
        <w:rPr>
          <w:rFonts w:ascii="Times New Roman" w:cs="Times New Roman" w:hAnsi="Times New Roman"/>
          <w:lang w:val="en-GB"/>
        </w:rPr>
        <w:t>.</w:t>
      </w:r>
    </w:p>
    <w:bookmarkStart w:id="20" w:name="_Toc220369491"/>
    <w:p>
      <w:pPr>
        <w:pStyle w:val="style1"/>
        <w:spacing w:lineRule="auto" w:line="360"/>
        <w:rPr>
          <w:rFonts w:ascii="Times New Roman" w:hAnsi="Times New Roman"/>
          <w:sz w:val="24"/>
          <w:szCs w:val="24"/>
          <w:lang w:val="en-GB"/>
        </w:rPr>
      </w:pPr>
      <w:r>
        <w:rPr>
          <w:rStyle w:val="style87"/>
          <w:rFonts w:ascii="Times New Roman" w:hAnsi="Times New Roman"/>
          <w:b/>
          <w:bCs/>
          <w:sz w:val="24"/>
          <w:szCs w:val="24"/>
          <w:lang w:val="en-GB"/>
        </w:rPr>
        <w:t>3: LEADERSHIP, ORGANISATIONAL CULTURE, AND CHANGE IMPLEMENTATION AT MARKS &amp; SPENCER</w:t>
      </w:r>
      <w:bookmarkEnd w:id="20"/>
    </w:p>
    <w:bookmarkStart w:id="21" w:name="_Toc220369492"/>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3.1 Leadership Approach and Strategic Direction at Marks &amp; Spencer</w:t>
      </w:r>
      <w:bookmarkEnd w:id="21"/>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Marks and Spencer has been experiencing a change agenda since, most </w:t>
      </w:r>
      <w:r>
        <w:rPr>
          <w:rFonts w:ascii="Times New Roman" w:cs="Times New Roman" w:hAnsi="Times New Roman"/>
          <w:lang w:val="en-GB"/>
        </w:rPr>
        <w:t>recently</w:t>
      </w:r>
      <w:r>
        <w:rPr>
          <w:rFonts w:ascii="Times New Roman" w:cs="Times New Roman" w:hAnsi="Times New Roman"/>
          <w:lang w:val="en-GB"/>
        </w:rPr>
        <w:t xml:space="preserve">, leadership has played a decisive role in stabilising the organisation and the process of change within M. and S. After the long history of lack of strategic direction, M&amp;S has enjoyed a renewed sense of coherence in its leadership through </w:t>
      </w:r>
      <w:r>
        <w:rPr>
          <w:rFonts w:ascii="Times New Roman" w:cs="Times New Roman" w:hAnsi="Times New Roman"/>
          <w:lang w:val="en-GB"/>
        </w:rPr>
        <w:t xml:space="preserve">a </w:t>
      </w:r>
      <w:r>
        <w:rPr>
          <w:rFonts w:ascii="Times New Roman" w:cs="Times New Roman" w:hAnsi="Times New Roman"/>
          <w:lang w:val="en-GB"/>
        </w:rPr>
        <w:t xml:space="preserve">less shaky senior management team and an enhanced oversight of the board. This movement made it possible to have more accountability, better capital discipline and a single strategic story through the programme of Reshape for Growth </w:t>
      </w:r>
      <w:r>
        <w:rPr>
          <w:rFonts w:ascii="Times New Roman" w:cs="Times New Roman" w:hAnsi="Times New Roman"/>
          <w:lang w:val="en-GB"/>
        </w:rPr>
        <w:t>(Marks</w:t>
      </w:r>
      <w:r>
        <w:rPr>
          <w:rFonts w:ascii="Times New Roman" w:cs="Times New Roman" w:hAnsi="Times New Roman"/>
          <w:lang w:val="en-GB"/>
        </w:rPr>
        <w:t xml:space="preserve"> and Spencer, 2025a).</w:t>
      </w:r>
    </w:p>
    <w:p>
      <w:pPr>
        <w:pStyle w:val="style94"/>
        <w:spacing w:lineRule="auto" w:line="360"/>
        <w:rPr>
          <w:rStyle w:val="style88"/>
          <w:rFonts w:ascii="Times New Roman" w:cs="Times New Roman" w:hAnsi="Times New Roman"/>
          <w:lang w:val="en-GB"/>
        </w:rPr>
      </w:pPr>
      <w:r>
        <w:rPr>
          <w:rFonts w:ascii="Times New Roman" w:cs="Times New Roman" w:hAnsi="Times New Roman"/>
          <w:lang w:val="en-GB"/>
        </w:rPr>
        <w:t xml:space="preserve">Theoretically, leadership at M&amp;S can be described as a hybrid model, as it consists of both components of transformational leadership (proclaiming an impressive recovery vision) and transactional leadership (performance objectives, cost management, and operational KPIs) (Bass and Riggio, 2006). </w:t>
      </w:r>
      <w:r>
        <w:rPr>
          <w:rStyle w:val="style88"/>
          <w:rFonts w:ascii="Times New Roman" w:cs="Times New Roman" w:hAnsi="Times New Roman"/>
          <w:lang w:val="en-GB"/>
        </w:rPr>
        <w:t>This combination leadership style aligns with the modern leadership theory, as it focuses on the contextual fusion of transformational and transactional behaviours (Northouse, 2025). This mixed strategy has succeeded in regaining financial credibility and dealing with short-term performance mismatch</w:t>
      </w:r>
      <w:r>
        <w:rPr>
          <w:rStyle w:val="style88"/>
          <w:rFonts w:ascii="Times New Roman" w:cs="Times New Roman" w:hAnsi="Times New Roman"/>
          <w:lang w:val="en-GB"/>
        </w:rPr>
        <w:t>,</w:t>
      </w:r>
      <w:r>
        <w:rPr>
          <w:rStyle w:val="style88"/>
          <w:rFonts w:ascii="Times New Roman" w:cs="Times New Roman" w:hAnsi="Times New Roman"/>
          <w:lang w:val="en-GB"/>
        </w:rPr>
        <w:t xml:space="preserve"> especially in the Food segment.</w:t>
      </w:r>
    </w:p>
    <w:p>
      <w:pPr>
        <w:pStyle w:val="style94"/>
        <w:spacing w:lineRule="auto" w:line="360"/>
        <w:rPr>
          <w:rFonts w:ascii="Times New Roman" w:cs="Times New Roman" w:hAnsi="Times New Roman"/>
          <w:lang w:val="en-GB"/>
        </w:rPr>
      </w:pPr>
      <w:r>
        <w:rPr>
          <w:rStyle w:val="style88"/>
          <w:rFonts w:ascii="Times New Roman" w:cs="Times New Roman" w:hAnsi="Times New Roman"/>
          <w:lang w:val="en-GB"/>
        </w:rPr>
        <w:t>Structural weakness is</w:t>
      </w:r>
      <w:r>
        <w:rPr>
          <w:rStyle w:val="style88"/>
          <w:rFonts w:ascii="Times New Roman" w:cs="Times New Roman" w:hAnsi="Times New Roman"/>
          <w:lang w:val="en-GB"/>
        </w:rPr>
        <w:t>, however,</w:t>
      </w:r>
      <w:r>
        <w:rPr>
          <w:rStyle w:val="style88"/>
          <w:rFonts w:ascii="Times New Roman" w:cs="Times New Roman" w:hAnsi="Times New Roman"/>
          <w:lang w:val="en-GB"/>
        </w:rPr>
        <w:t xml:space="preserve"> also manifested in the dependency on the nature of transactional controls. Over-reliance on short-term financial indicators may inhibit trial and error</w:t>
      </w:r>
      <w:r>
        <w:rPr>
          <w:rStyle w:val="style88"/>
          <w:rFonts w:ascii="Times New Roman" w:cs="Times New Roman" w:hAnsi="Times New Roman"/>
          <w:lang w:val="en-GB"/>
        </w:rPr>
        <w:t xml:space="preserve"> and risk-taking</w:t>
      </w:r>
      <w:r>
        <w:rPr>
          <w:rStyle w:val="style88"/>
          <w:rFonts w:ascii="Times New Roman" w:cs="Times New Roman" w:hAnsi="Times New Roman"/>
          <w:lang w:val="en-GB"/>
        </w:rPr>
        <w:t xml:space="preserve">, which is imperative to digitally disrupted retail settings. Such tension can </w:t>
      </w:r>
      <w:r>
        <w:rPr>
          <w:rStyle w:val="style88"/>
          <w:rFonts w:ascii="Times New Roman" w:cs="Times New Roman" w:hAnsi="Times New Roman"/>
          <w:lang w:val="en-GB"/>
        </w:rPr>
        <w:t xml:space="preserve">be traced in Clothing &amp; Home, where the processes of innovation and digital merchandising should be more autonomous and tolerant </w:t>
      </w:r>
      <w:r>
        <w:rPr>
          <w:rStyle w:val="style88"/>
          <w:rFonts w:ascii="Times New Roman" w:cs="Times New Roman" w:hAnsi="Times New Roman"/>
          <w:lang w:val="en-GB"/>
        </w:rPr>
        <w:t>of</w:t>
      </w:r>
      <w:r>
        <w:rPr>
          <w:rStyle w:val="style88"/>
          <w:rFonts w:ascii="Times New Roman" w:cs="Times New Roman" w:hAnsi="Times New Roman"/>
          <w:lang w:val="en-GB"/>
        </w:rPr>
        <w:t xml:space="preserve"> failure. Consequently, the effectiveness of leadership at M&amp;S has been more effective in stabilisation than </w:t>
      </w:r>
      <w:r>
        <w:rPr>
          <w:rStyle w:val="style88"/>
          <w:rFonts w:ascii="Times New Roman" w:cs="Times New Roman" w:hAnsi="Times New Roman"/>
          <w:lang w:val="en-GB"/>
        </w:rPr>
        <w:t xml:space="preserve">in </w:t>
      </w:r>
      <w:r>
        <w:rPr>
          <w:rStyle w:val="style88"/>
          <w:rFonts w:ascii="Times New Roman" w:cs="Times New Roman" w:hAnsi="Times New Roman"/>
          <w:lang w:val="en-GB"/>
        </w:rPr>
        <w:t>enabling a profound behavioural change</w:t>
      </w:r>
      <w:r>
        <w:rPr>
          <w:rFonts w:ascii="Times New Roman" w:cs="Times New Roman" w:hAnsi="Times New Roman"/>
          <w:lang w:val="en-GB"/>
        </w:rPr>
        <w:t>.</w:t>
      </w:r>
    </w:p>
    <w:bookmarkStart w:id="22" w:name="_Toc220369493"/>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3.2 Role of the Board and Senior Management in Change Governance</w:t>
      </w:r>
      <w:bookmarkEnd w:id="22"/>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The Board of Directors has been progressively involved in the management of strategic change, more than ever since the 2025 cyber incident. Corporate disclosures signify an increase in board-level oversight of risk and risk management, digital governance, and Business Continuity Planning (Marks and Spencer, 2025b). In line with this, Adeniran et al. (2024) reasoned that boards in </w:t>
      </w:r>
      <w:r>
        <w:rPr>
          <w:rFonts w:ascii="Times New Roman" w:cs="Times New Roman" w:hAnsi="Times New Roman"/>
          <w:lang w:val="en-GB"/>
        </w:rPr>
        <w:t>high-disruption</w:t>
      </w:r>
      <w:r>
        <w:rPr>
          <w:rFonts w:ascii="Times New Roman" w:cs="Times New Roman" w:hAnsi="Times New Roman"/>
          <w:lang w:val="en-GB"/>
        </w:rPr>
        <w:t xml:space="preserve"> sectors needed to shift their focus </w:t>
      </w:r>
      <w:r>
        <w:rPr>
          <w:rFonts w:ascii="Times New Roman" w:cs="Times New Roman" w:hAnsi="Times New Roman"/>
          <w:lang w:val="en-GB"/>
        </w:rPr>
        <w:t>from</w:t>
      </w:r>
      <w:r>
        <w:rPr>
          <w:rFonts w:ascii="Times New Roman" w:cs="Times New Roman" w:hAnsi="Times New Roman"/>
          <w:lang w:val="en-GB"/>
        </w:rPr>
        <w:t xml:space="preserve"> compliance oversight to active participation in strategic risk management.</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In senior management, </w:t>
      </w:r>
      <w:r>
        <w:rPr>
          <w:rFonts w:ascii="Times New Roman" w:cs="Times New Roman" w:hAnsi="Times New Roman"/>
          <w:lang w:val="en-GB"/>
        </w:rPr>
        <w:t xml:space="preserve">a </w:t>
      </w:r>
      <w:r>
        <w:rPr>
          <w:rFonts w:ascii="Times New Roman" w:cs="Times New Roman" w:hAnsi="Times New Roman"/>
          <w:lang w:val="en-GB"/>
        </w:rPr>
        <w:t>better definition of roles and performance responsibility has enhanced discipline in performance. Leadership visibility has</w:t>
      </w:r>
      <w:r>
        <w:rPr>
          <w:rFonts w:ascii="Times New Roman" w:cs="Times New Roman" w:hAnsi="Times New Roman"/>
          <w:lang w:val="en-GB"/>
        </w:rPr>
        <w:t>, however,</w:t>
      </w:r>
      <w:r>
        <w:rPr>
          <w:rFonts w:ascii="Times New Roman" w:cs="Times New Roman" w:hAnsi="Times New Roman"/>
          <w:lang w:val="en-GB"/>
        </w:rPr>
        <w:t xml:space="preserve"> not been even within the organisational levels. Although the strategic intent is well articulated at the upper level, it is not translated into local action, so there is a lack of alignment between strategic governance and operational leadership</w:t>
      </w:r>
      <w:r>
        <w:rPr>
          <w:rFonts w:ascii="Times New Roman" w:cs="Times New Roman" w:hAnsi="Times New Roman"/>
          <w:lang w:val="en-GB"/>
        </w:rPr>
        <w:t>.</w:t>
      </w:r>
    </w:p>
    <w:bookmarkStart w:id="23" w:name="_Toc220369494"/>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3.3 Middle Management as Change Enablers and Bottlenecks</w:t>
      </w:r>
      <w:bookmarkEnd w:id="23"/>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Middle managers are an important yet never fully developed element of change capability in M&amp;S. They are tasked with closing stores, process re-engineering, re-skilling of the workforce, and going digital and frequently with limited headcount and an expanded </w:t>
      </w:r>
      <w:r>
        <w:rPr>
          <w:rFonts w:ascii="Times New Roman" w:cs="Times New Roman" w:hAnsi="Times New Roman"/>
          <w:sz w:val="24"/>
          <w:szCs w:val="24"/>
          <w:lang w:val="en-GB"/>
        </w:rPr>
        <w:t>workload</w:t>
      </w:r>
      <w:r>
        <w:rPr>
          <w:rFonts w:ascii="Times New Roman" w:cs="Times New Roman" w:hAnsi="Times New Roman"/>
          <w:sz w:val="24"/>
          <w:szCs w:val="24"/>
          <w:lang w:val="en-GB"/>
        </w:rPr>
        <w:t>. Balogun and Johnson (2004) show that the middle managers</w:t>
      </w:r>
      <w:r>
        <w:rPr>
          <w:rFonts w:ascii="Times New Roman" w:cs="Times New Roman" w:hAnsi="Times New Roman"/>
          <w:sz w:val="24"/>
          <w:szCs w:val="24"/>
          <w:lang w:val="en-GB"/>
        </w:rPr>
        <w:t>, as sense-makers in the change process,</w:t>
      </w:r>
      <w:r>
        <w:rPr>
          <w:rFonts w:ascii="Times New Roman" w:cs="Times New Roman" w:hAnsi="Times New Roman"/>
          <w:sz w:val="24"/>
          <w:szCs w:val="24"/>
          <w:lang w:val="en-GB"/>
        </w:rPr>
        <w:t xml:space="preserve"> influence the way in which strategy is perceived and implemented in the frontline.</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Inadequate funding of </w:t>
      </w:r>
      <w:r>
        <w:rPr>
          <w:rFonts w:ascii="Times New Roman" w:cs="Times New Roman" w:hAnsi="Times New Roman"/>
          <w:sz w:val="24"/>
          <w:szCs w:val="24"/>
          <w:lang w:val="en-GB"/>
        </w:rPr>
        <w:t xml:space="preserve">the development of middle management at M&amp;S has limited the </w:t>
      </w:r>
      <w:r>
        <w:rPr>
          <w:rFonts w:ascii="Times New Roman" w:cs="Times New Roman" w:hAnsi="Times New Roman"/>
          <w:sz w:val="24"/>
          <w:szCs w:val="24"/>
          <w:lang w:val="en-GB"/>
        </w:rPr>
        <w:t xml:space="preserve">effectiveness of change. Although middle managers may not have the authority, resources, or training to </w:t>
      </w:r>
      <w:r>
        <w:rPr>
          <w:rFonts w:ascii="Times New Roman" w:cs="Times New Roman" w:hAnsi="Times New Roman"/>
          <w:sz w:val="24"/>
          <w:szCs w:val="24"/>
          <w:lang w:val="en-GB"/>
        </w:rPr>
        <w:t>localise</w:t>
      </w:r>
      <w:r>
        <w:rPr>
          <w:rFonts w:ascii="Times New Roman" w:cs="Times New Roman" w:hAnsi="Times New Roman"/>
          <w:sz w:val="24"/>
          <w:szCs w:val="24"/>
          <w:lang w:val="en-GB"/>
        </w:rPr>
        <w:t xml:space="preserve"> initiatives to local contexts, strategy is defined by senior leaders. </w:t>
      </w:r>
      <w:r>
        <w:rPr>
          <w:rFonts w:ascii="Times New Roman" w:cs="Times New Roman" w:hAnsi="Times New Roman"/>
          <w:sz w:val="24"/>
          <w:szCs w:val="24"/>
          <w:lang w:val="en-GB"/>
        </w:rPr>
        <w:t xml:space="preserve">With respect to </w:t>
      </w:r>
      <w:r>
        <w:rPr>
          <w:rFonts w:ascii="Times New Roman" w:cs="Times New Roman" w:hAnsi="Times New Roman"/>
          <w:color w:val="222222"/>
          <w:sz w:val="24"/>
          <w:szCs w:val="24"/>
          <w:shd w:val="clear" w:color="auto" w:fill="ffffff"/>
          <w:lang w:val="en-GB"/>
        </w:rPr>
        <w:t>Drasin and Holliday</w:t>
      </w:r>
      <w:r>
        <w:rPr>
          <w:rFonts w:ascii="Times New Roman" w:cs="Times New Roman" w:hAnsi="Times New Roman"/>
          <w:sz w:val="24"/>
          <w:szCs w:val="24"/>
          <w:lang w:val="en-GB"/>
        </w:rPr>
        <w:t xml:space="preserve"> (2024), i</w:t>
      </w:r>
      <w:r>
        <w:rPr>
          <w:rFonts w:ascii="Times New Roman" w:cs="Times New Roman" w:hAnsi="Times New Roman"/>
          <w:sz w:val="24"/>
          <w:szCs w:val="24"/>
          <w:lang w:val="en-GB"/>
        </w:rPr>
        <w:t>t leads to a situation where the implementation is done by compliance instead of through actual engagement, which strengthens employee resistance and change fatigue.</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Middle managers became overworked after the cyber incident of 2025, which demanded quick operational changes and the management of the crisis on the frontline. Lack of proper support systems means such pressure may result in burnout and lack of interest, which negatively affect the sustainability of long-term change</w:t>
      </w:r>
      <w:r>
        <w:rPr>
          <w:rFonts w:ascii="Times New Roman" w:cs="Times New Roman" w:hAnsi="Times New Roman"/>
          <w:sz w:val="24"/>
          <w:szCs w:val="24"/>
          <w:lang w:val="en-GB"/>
        </w:rPr>
        <w:t>.</w:t>
      </w:r>
    </w:p>
    <w:bookmarkStart w:id="24" w:name="_Toc220369495"/>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3.4 Organisational Culture and Its Impact on Change</w:t>
      </w:r>
      <w:bookmarkEnd w:id="24"/>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The </w:t>
      </w:r>
      <w:r>
        <w:rPr>
          <w:rFonts w:ascii="Times New Roman" w:cs="Times New Roman" w:hAnsi="Times New Roman"/>
          <w:lang w:val="en-GB"/>
        </w:rPr>
        <w:t>organisational culture</w:t>
      </w:r>
      <w:r>
        <w:rPr>
          <w:rFonts w:ascii="Times New Roman" w:cs="Times New Roman" w:hAnsi="Times New Roman"/>
          <w:lang w:val="en-GB"/>
        </w:rPr>
        <w:t xml:space="preserve"> has long been one of the characteristics of </w:t>
      </w:r>
      <w:r>
        <w:rPr>
          <w:rFonts w:ascii="Times New Roman" w:cs="Times New Roman" w:hAnsi="Times New Roman"/>
          <w:lang w:val="en-GB"/>
        </w:rPr>
        <w:t>M&amp;S</w:t>
      </w:r>
      <w:r>
        <w:rPr>
          <w:rFonts w:ascii="Times New Roman" w:cs="Times New Roman" w:hAnsi="Times New Roman"/>
          <w:lang w:val="en-GB"/>
        </w:rPr>
        <w:t>. This culture has been based on values of quality, stability and long-term employment</w:t>
      </w:r>
      <w:r>
        <w:rPr>
          <w:rFonts w:ascii="Times New Roman" w:cs="Times New Roman" w:hAnsi="Times New Roman"/>
          <w:lang w:val="en-GB"/>
        </w:rPr>
        <w:t>,</w:t>
      </w:r>
      <w:r>
        <w:rPr>
          <w:rFonts w:ascii="Times New Roman" w:cs="Times New Roman" w:hAnsi="Times New Roman"/>
          <w:lang w:val="en-GB"/>
        </w:rPr>
        <w:t xml:space="preserve"> which have helped in brand trust as well as operational stability. The same cultural attributes</w:t>
      </w:r>
      <w:r>
        <w:rPr>
          <w:rFonts w:ascii="Times New Roman" w:cs="Times New Roman" w:hAnsi="Times New Roman"/>
          <w:lang w:val="en-GB"/>
        </w:rPr>
        <w:t>,</w:t>
      </w:r>
      <w:r>
        <w:rPr>
          <w:rFonts w:ascii="Times New Roman" w:cs="Times New Roman" w:hAnsi="Times New Roman"/>
          <w:lang w:val="en-GB"/>
        </w:rPr>
        <w:t xml:space="preserve"> however, may hamper agility and innovation in a volatile retail environment.</w:t>
      </w:r>
    </w:p>
    <w:p>
      <w:pPr>
        <w:pStyle w:val="style94"/>
        <w:spacing w:lineRule="auto" w:line="360"/>
        <w:rPr>
          <w:rFonts w:ascii="Times New Roman" w:cs="Times New Roman" w:hAnsi="Times New Roman"/>
          <w:lang w:val="en-GB"/>
        </w:rPr>
      </w:pPr>
      <w:r>
        <w:rPr>
          <w:rFonts w:ascii="Times New Roman" w:cs="Times New Roman" w:hAnsi="Times New Roman"/>
          <w:lang w:val="en-GB"/>
        </w:rPr>
        <w:t>The model of organisational culture developed by Schein (2010) emphasises that the behaviour is determined by the strongly held assumptions, including an aversion to risk and preference to certainty, more greatly than the official strategies do. Such assumptions at M&amp;S have slowed the pace of digital experimentation and postponed the switch to data-driven decision-making, especially in Clothing &amp; Home.</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Cultural change has been engaged through leadership communication and updated strategic priorities. However, cultural change is not </w:t>
      </w:r>
      <w:r>
        <w:rPr>
          <w:rFonts w:ascii="Times New Roman" w:cs="Times New Roman" w:hAnsi="Times New Roman"/>
          <w:lang w:val="en-GB"/>
        </w:rPr>
        <w:t xml:space="preserve">yet complete </w:t>
      </w:r>
      <w:r>
        <w:rPr>
          <w:rFonts w:ascii="Times New Roman" w:cs="Times New Roman" w:hAnsi="Times New Roman"/>
          <w:lang w:val="en-GB"/>
        </w:rPr>
        <w:t xml:space="preserve">since the mechanisms of reinforcement (i.e. reward systems, promotion criteria and performance evaluation) have not been completely aligned to the new behavioural expectations. This can also cause employees to be given ambivalent messages, with innovation being encouraged </w:t>
      </w:r>
      <w:r>
        <w:rPr>
          <w:rFonts w:ascii="Times New Roman" w:cs="Times New Roman" w:hAnsi="Times New Roman"/>
          <w:lang w:val="en-GB"/>
        </w:rPr>
        <w:t>in</w:t>
      </w:r>
      <w:r>
        <w:rPr>
          <w:rFonts w:ascii="Times New Roman" w:cs="Times New Roman" w:hAnsi="Times New Roman"/>
          <w:lang w:val="en-GB"/>
        </w:rPr>
        <w:t xml:space="preserve"> rhetoric only but being limited in practice</w:t>
      </w:r>
      <w:r>
        <w:rPr>
          <w:rFonts w:ascii="Times New Roman" w:cs="Times New Roman" w:hAnsi="Times New Roman"/>
          <w:lang w:val="en-GB"/>
        </w:rPr>
        <w:t>.</w:t>
      </w:r>
    </w:p>
    <w:bookmarkStart w:id="25" w:name="_Toc220369496"/>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3.5 Resistance to Change and Change Fatigue</w:t>
      </w:r>
      <w:bookmarkEnd w:id="25"/>
    </w:p>
    <w:p>
      <w:pPr>
        <w:pStyle w:val="style94"/>
        <w:spacing w:lineRule="auto" w:line="360"/>
        <w:rPr>
          <w:rFonts w:ascii="Times New Roman" w:cs="Times New Roman" w:hAnsi="Times New Roman"/>
          <w:lang w:val="en-GB"/>
        </w:rPr>
      </w:pPr>
      <w:r>
        <w:rPr>
          <w:rFonts w:ascii="Times New Roman" w:cs="Times New Roman" w:hAnsi="Times New Roman"/>
          <w:lang w:val="en-GB"/>
        </w:rPr>
        <w:t>The resistance</w:t>
      </w:r>
      <w:r>
        <w:rPr>
          <w:rFonts w:ascii="Times New Roman" w:cs="Times New Roman" w:hAnsi="Times New Roman"/>
          <w:lang w:val="en-GB"/>
        </w:rPr>
        <w:t xml:space="preserve"> concept</w:t>
      </w:r>
      <w:r>
        <w:rPr>
          <w:rFonts w:ascii="Times New Roman" w:cs="Times New Roman" w:hAnsi="Times New Roman"/>
          <w:lang w:val="en-GB"/>
        </w:rPr>
        <w:t xml:space="preserve"> at M&amp;S needs to be interpreted as a logical reaction to the extended state of uncertainty instead of the unwillingness of the staff to change. Numerous restructurings, shutdowns of stores, and changing roles throughout the last decade have led to change fatigue, which minimised trust in long-term organisational commitments (Burnes, 2017).</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The cyber event of 2025 also took a toll on </w:t>
      </w:r>
      <w:r>
        <w:rPr>
          <w:rFonts w:ascii="Times New Roman" w:cs="Times New Roman" w:hAnsi="Times New Roman"/>
          <w:lang w:val="en-GB"/>
        </w:rPr>
        <w:t xml:space="preserve">the </w:t>
      </w:r>
      <w:r>
        <w:rPr>
          <w:rFonts w:ascii="Times New Roman" w:cs="Times New Roman" w:hAnsi="Times New Roman"/>
          <w:lang w:val="en-GB"/>
        </w:rPr>
        <w:t>confidence of the workers as they exposed the vulnerability of the operations and put more pressure on employees in terms of workload during the recovery. According to Cameron and Green (2020), inadequately handled crisis situations can undermine trust in organisations when the employees view the responses of the leadership as being reactive instead of supportive.</w:t>
      </w:r>
    </w:p>
    <w:p>
      <w:pPr>
        <w:pStyle w:val="style94"/>
        <w:spacing w:lineRule="auto" w:line="360"/>
        <w:rPr>
          <w:rFonts w:ascii="Times New Roman" w:cs="Times New Roman" w:hAnsi="Times New Roman"/>
          <w:lang w:val="en-GB"/>
        </w:rPr>
      </w:pPr>
      <w:r>
        <w:rPr>
          <w:rFonts w:ascii="Times New Roman" w:cs="Times New Roman" w:hAnsi="Times New Roman"/>
          <w:lang w:val="en-GB"/>
        </w:rPr>
        <w:t>Resistance at M&amp;S has been experienced by way of decreased engagement, low rates of adopting new processes and the insistence on old processes. To overcome this resistance, it is essential to have visible leadership empathy, believable reskilling streams and engage employees in designing change</w:t>
      </w:r>
      <w:r>
        <w:rPr>
          <w:rFonts w:ascii="Times New Roman" w:cs="Times New Roman" w:hAnsi="Times New Roman"/>
          <w:lang w:val="en-GB"/>
        </w:rPr>
        <w:t xml:space="preserve"> (</w:t>
      </w:r>
      <w:r>
        <w:rPr>
          <w:rFonts w:ascii="Times New Roman" w:cs="Times New Roman" w:hAnsi="Times New Roman"/>
          <w:color w:val="222222"/>
          <w:shd w:val="clear" w:color="auto" w:fill="ffffff"/>
          <w:lang w:val="en-GB"/>
        </w:rPr>
        <w:t>Stäuber, 2024)</w:t>
      </w:r>
      <w:r>
        <w:rPr>
          <w:rFonts w:ascii="Times New Roman" w:cs="Times New Roman" w:hAnsi="Times New Roman"/>
          <w:lang w:val="en-GB"/>
        </w:rPr>
        <w:t>.</w:t>
      </w:r>
    </w:p>
    <w:bookmarkStart w:id="26" w:name="_Toc220369497"/>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3.6 Leadership, Culture, and Change Outcomes: A Critical Assessment</w:t>
      </w:r>
      <w:bookmarkEnd w:id="26"/>
    </w:p>
    <w:p>
      <w:pPr>
        <w:pStyle w:val="style94"/>
        <w:spacing w:lineRule="auto" w:line="360"/>
        <w:rPr>
          <w:rFonts w:ascii="Times New Roman" w:cs="Times New Roman" w:hAnsi="Times New Roman"/>
          <w:lang w:val="en-GB"/>
        </w:rPr>
      </w:pPr>
      <w:r>
        <w:rPr>
          <w:rFonts w:ascii="Times New Roman" w:cs="Times New Roman" w:hAnsi="Times New Roman"/>
          <w:lang w:val="en-GB"/>
        </w:rPr>
        <w:t>The leadership and culture interaction has resulted in both positive and negative change effects in Marks and Spencer. Better congruence in leadership has led to increased financial security and clarity of purpose, though cultural stasis and ability disparities still restrict the level of change.</w:t>
      </w:r>
    </w:p>
    <w:p>
      <w:pPr>
        <w:pStyle w:val="style94"/>
        <w:spacing w:lineRule="auto" w:line="360"/>
        <w:rPr>
          <w:rFonts w:ascii="Times New Roman" w:cs="Times New Roman" w:hAnsi="Times New Roman"/>
          <w:lang w:val="en-GB"/>
        </w:rPr>
      </w:pPr>
      <w:r>
        <w:rPr>
          <w:rFonts w:ascii="Times New Roman" w:cs="Times New Roman" w:hAnsi="Times New Roman"/>
          <w:lang w:val="en-GB"/>
        </w:rPr>
        <w:t>Most importantly, the effectiveness of leadership at M&amp;S has been more in facilitating compliance rather than commitment building. A long-lasting transformation necessitates the transition of the control-based leadership to the empowerment model</w:t>
      </w:r>
      <w:r>
        <w:rPr>
          <w:rFonts w:ascii="Times New Roman" w:cs="Times New Roman" w:hAnsi="Times New Roman"/>
          <w:lang w:val="en-GB"/>
        </w:rPr>
        <w:t>,</w:t>
      </w:r>
      <w:r>
        <w:rPr>
          <w:rFonts w:ascii="Times New Roman" w:cs="Times New Roman" w:hAnsi="Times New Roman"/>
          <w:lang w:val="en-GB"/>
        </w:rPr>
        <w:t xml:space="preserve"> where employees are empowered and encouraged to make contributions towards the continuous enhancement. This requires a conscious investment in leadership development, cultural strengthening and employee involvement systems. Analysis suggests that change in M&amp;S in the future has to focus on the following points</w:t>
      </w:r>
      <w:r>
        <w:rPr>
          <w:rFonts w:ascii="Times New Roman" w:cs="Times New Roman" w:hAnsi="Times New Roman"/>
          <w:lang w:val="en-GB"/>
        </w:rPr>
        <w:t>: (1) Enhancing the capacity of the middle management, (2) balancing the cultural reinforcement processes with strategic goals, and (3) combining</w:t>
      </w:r>
      <w:r>
        <w:rPr>
          <w:rFonts w:ascii="Times New Roman" w:cs="Times New Roman" w:hAnsi="Times New Roman"/>
          <w:lang w:val="en-GB"/>
        </w:rPr>
        <w:t xml:space="preserve"> people-based change practices with operational reform</w:t>
      </w:r>
      <w:r>
        <w:rPr>
          <w:rFonts w:ascii="Times New Roman" w:cs="Times New Roman" w:hAnsi="Times New Roman"/>
          <w:lang w:val="en-GB"/>
        </w:rPr>
        <w:t>.</w:t>
      </w:r>
    </w:p>
    <w:bookmarkStart w:id="27" w:name="_Toc220369498"/>
    <w:p>
      <w:pPr>
        <w:pStyle w:val="style1"/>
        <w:spacing w:lineRule="auto" w:line="360"/>
        <w:rPr>
          <w:rFonts w:ascii="Times New Roman" w:hAnsi="Times New Roman"/>
          <w:sz w:val="24"/>
          <w:szCs w:val="24"/>
          <w:lang w:val="en-GB"/>
        </w:rPr>
      </w:pPr>
      <w:r>
        <w:rPr>
          <w:rStyle w:val="style87"/>
          <w:rFonts w:ascii="Times New Roman" w:hAnsi="Times New Roman"/>
          <w:b/>
          <w:bCs/>
          <w:sz w:val="24"/>
          <w:szCs w:val="24"/>
          <w:lang w:val="en-GB"/>
        </w:rPr>
        <w:t>4: PROPOSED STRATEGIC CHANGE MANAGEMENT PLAN FOR MARKS &amp; SPENCER</w:t>
      </w:r>
      <w:bookmarkEnd w:id="27"/>
    </w:p>
    <w:bookmarkStart w:id="28" w:name="_Toc220369499"/>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4.1 Justification for the Proposed Change</w:t>
      </w:r>
      <w:bookmarkEnd w:id="28"/>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Although it has shown some financial improvement in recent times, </w:t>
      </w:r>
      <w:r>
        <w:rPr>
          <w:rFonts w:ascii="Times New Roman" w:cs="Times New Roman" w:hAnsi="Times New Roman"/>
          <w:sz w:val="24"/>
          <w:szCs w:val="24"/>
          <w:lang w:val="en-GB"/>
        </w:rPr>
        <w:t>M&amp;S</w:t>
      </w:r>
      <w:r>
        <w:rPr>
          <w:rFonts w:ascii="Times New Roman" w:cs="Times New Roman" w:hAnsi="Times New Roman"/>
          <w:sz w:val="24"/>
          <w:szCs w:val="24"/>
          <w:lang w:val="en-GB"/>
        </w:rPr>
        <w:t xml:space="preserve"> is still tactically vulnerable. The Food division has contributed significantly to the enhanced performance of the organisation during FY2024/25, whereas Clothing and Home still struggles with </w:t>
      </w:r>
      <w:r>
        <w:rPr>
          <w:rFonts w:ascii="Times New Roman" w:cs="Times New Roman" w:hAnsi="Times New Roman"/>
          <w:sz w:val="24"/>
          <w:szCs w:val="24"/>
          <w:lang w:val="en-GB"/>
        </w:rPr>
        <w:t>structural</w:t>
      </w:r>
      <w:r>
        <w:rPr>
          <w:rFonts w:ascii="Times New Roman" w:cs="Times New Roman" w:hAnsi="Times New Roman"/>
          <w:sz w:val="24"/>
          <w:szCs w:val="24"/>
          <w:lang w:val="en-GB"/>
        </w:rPr>
        <w:t xml:space="preserve"> issues with respect to digital capability, speed-to-market, and customer conversion (Marks and Spencer, 2025a). Besides, the 2025 cyber incident indicated that operational resilience did not even keep up with digital reliance</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leaving the business to systemic risk (Marks and Spencer, 2025b; Reuters, 2025).</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In change management terms, this means that structural and financial stabilisation has been the key aspect of prior initiatives, not the instillation of adaptive organisational capacity. Unless it continues to undergo a process of strategic change, M&amp;S will find itself in a vicious circle of reactive change</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in which the immediate benefit will be squandered by future shocks. As such, the proposed change plan will focus on consolidating recovery through the enhancement of the </w:t>
      </w:r>
      <w:r>
        <w:rPr>
          <w:rFonts w:ascii="Times New Roman" w:cs="Times New Roman" w:hAnsi="Times New Roman"/>
          <w:sz w:val="24"/>
          <w:szCs w:val="24"/>
          <w:lang w:val="en-GB"/>
        </w:rPr>
        <w:t>omnichannel</w:t>
      </w:r>
      <w:r>
        <w:rPr>
          <w:rFonts w:ascii="Times New Roman" w:cs="Times New Roman" w:hAnsi="Times New Roman"/>
          <w:sz w:val="24"/>
          <w:szCs w:val="24"/>
          <w:lang w:val="en-GB"/>
        </w:rPr>
        <w:t xml:space="preserve"> capability, people capability, and organisational resilience in line with strategic outcomes as well as environmental needs identified earlier</w:t>
      </w:r>
      <w:r>
        <w:rPr>
          <w:rFonts w:ascii="Times New Roman" w:cs="Times New Roman" w:hAnsi="Times New Roman"/>
          <w:sz w:val="24"/>
          <w:szCs w:val="24"/>
          <w:lang w:val="en-GB"/>
        </w:rPr>
        <w:t>.</w:t>
      </w:r>
    </w:p>
    <w:bookmarkStart w:id="29" w:name="_Toc220369500"/>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4.2 Strategic Change Objectives</w:t>
      </w:r>
      <w:bookmarkEnd w:id="29"/>
    </w:p>
    <w:p>
      <w:pPr>
        <w:pStyle w:val="style94"/>
        <w:spacing w:lineRule="auto" w:line="360"/>
        <w:rPr>
          <w:rFonts w:ascii="Times New Roman" w:cs="Times New Roman" w:hAnsi="Times New Roman"/>
          <w:lang w:val="en-GB"/>
        </w:rPr>
      </w:pPr>
      <w:r>
        <w:rPr>
          <w:rFonts w:ascii="Times New Roman" w:cs="Times New Roman" w:hAnsi="Times New Roman"/>
          <w:lang w:val="en-GB"/>
        </w:rPr>
        <w:t>The proposed change programme is structured around four interdependent objectives:</w:t>
      </w:r>
    </w:p>
    <w:p>
      <w:pPr>
        <w:pStyle w:val="style179"/>
        <w:numPr>
          <w:ilvl w:val="0"/>
          <w:numId w:val="1"/>
        </w:numPr>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Increase the performance of </w:t>
      </w:r>
      <w:r>
        <w:rPr>
          <w:rFonts w:ascii="Times New Roman" w:cs="Times New Roman" w:hAnsi="Times New Roman"/>
          <w:sz w:val="24"/>
          <w:szCs w:val="24"/>
          <w:lang w:val="en-GB"/>
        </w:rPr>
        <w:t>omnichannel</w:t>
      </w:r>
      <w:r>
        <w:rPr>
          <w:rFonts w:ascii="Times New Roman" w:cs="Times New Roman" w:hAnsi="Times New Roman"/>
          <w:sz w:val="24"/>
          <w:szCs w:val="24"/>
          <w:lang w:val="en-GB"/>
        </w:rPr>
        <w:t xml:space="preserve"> through the improvement of the integration of stores, web platforms, </w:t>
      </w:r>
      <w:r>
        <w:rPr>
          <w:rFonts w:ascii="Times New Roman" w:cs="Times New Roman" w:hAnsi="Times New Roman"/>
          <w:sz w:val="24"/>
          <w:szCs w:val="24"/>
          <w:lang w:val="en-GB"/>
        </w:rPr>
        <w:t>and supply chains, and prioritis</w:t>
      </w:r>
      <w:r>
        <w:rPr>
          <w:rFonts w:ascii="Times New Roman" w:cs="Times New Roman" w:hAnsi="Times New Roman"/>
          <w:sz w:val="24"/>
          <w:szCs w:val="24"/>
          <w:lang w:val="en-GB"/>
        </w:rPr>
        <w:t>e Clothing and Home.</w:t>
      </w:r>
    </w:p>
    <w:p>
      <w:pPr>
        <w:pStyle w:val="style179"/>
        <w:numPr>
          <w:ilvl w:val="0"/>
          <w:numId w:val="1"/>
        </w:numPr>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Build human resource and management capacity, especially among the middle managers, to facilitate the stability in implementing change.</w:t>
      </w:r>
    </w:p>
    <w:p>
      <w:pPr>
        <w:pStyle w:val="style179"/>
        <w:numPr>
          <w:ilvl w:val="0"/>
          <w:numId w:val="1"/>
        </w:numPr>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Digitise and cyber resilience to minimise disruption of operations and safeguard customer confidence.</w:t>
      </w:r>
    </w:p>
    <w:p>
      <w:pPr>
        <w:pStyle w:val="style179"/>
        <w:numPr>
          <w:ilvl w:val="0"/>
          <w:numId w:val="1"/>
        </w:numPr>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Instagram </w:t>
      </w:r>
      <w:r>
        <w:rPr>
          <w:rFonts w:ascii="Times New Roman" w:cs="Times New Roman" w:hAnsi="Times New Roman"/>
          <w:sz w:val="24"/>
          <w:szCs w:val="24"/>
          <w:lang w:val="en-GB"/>
        </w:rPr>
        <w:t>is a culture of ongoing progress, lessening resistance and change fatigue by having the employees participate and develop their capabilities</w:t>
      </w:r>
      <w:r>
        <w:rPr>
          <w:rFonts w:ascii="Times New Roman" w:cs="Times New Roman" w:hAnsi="Times New Roman"/>
          <w:sz w:val="24"/>
          <w:szCs w:val="24"/>
          <w:lang w:val="en-GB"/>
        </w:rPr>
        <w:t>.</w:t>
      </w:r>
    </w:p>
    <w:bookmarkStart w:id="30" w:name="_Toc220369501"/>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4.3 Change Implementation Framework</w:t>
      </w:r>
      <w:bookmarkEnd w:id="30"/>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The implementation framework combines the Eight-Step Model of Kotter on the organisational level with the ADKAR on the individual level</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with dynamic capabilities orientation (Appendix B)</w:t>
      </w:r>
      <w:r>
        <w:rPr>
          <w:rFonts w:ascii="Times New Roman" w:cs="Times New Roman" w:hAnsi="Times New Roman"/>
          <w:sz w:val="24"/>
          <w:szCs w:val="24"/>
          <w:lang w:val="en-GB"/>
        </w:rPr>
        <w:t>.</w:t>
      </w:r>
    </w:p>
    <w:bookmarkStart w:id="31" w:name="_Toc220369502"/>
    <w:p>
      <w:pPr>
        <w:pStyle w:val="style3"/>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Phase 1: Leadership Alignment and Urgency (Months 1–2)</w:t>
      </w:r>
      <w:bookmarkEnd w:id="31"/>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The urgency will be enforced by top management through the open communication of the strategic risks that the cyber incident and Clothing and Home underperformance exposed the company to. Implementation will be done by a cross-functional Change Steering Group </w:t>
      </w:r>
      <w:r>
        <w:rPr>
          <w:rFonts w:ascii="Times New Roman" w:cs="Times New Roman" w:hAnsi="Times New Roman"/>
          <w:sz w:val="24"/>
          <w:szCs w:val="24"/>
          <w:lang w:val="en-GB"/>
        </w:rPr>
        <w:t>that</w:t>
      </w:r>
      <w:r>
        <w:rPr>
          <w:rFonts w:ascii="Times New Roman" w:cs="Times New Roman" w:hAnsi="Times New Roman"/>
          <w:sz w:val="24"/>
          <w:szCs w:val="24"/>
          <w:lang w:val="en-GB"/>
        </w:rPr>
        <w:t xml:space="preserve"> reports to the board. This directly responds to identified gaps in governance.</w:t>
      </w:r>
    </w:p>
    <w:bookmarkStart w:id="32" w:name="_Toc220369503"/>
    <w:p>
      <w:pPr>
        <w:pStyle w:val="style3"/>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Phase 2: Capability and Resilience Building (Months 3–18)</w:t>
      </w:r>
      <w:bookmarkEnd w:id="32"/>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An organised Digital and Change Capability Programme will be introduced, and it will address about 6000 employees, such as store managers, supply chain leaders, and digital teams. </w:t>
      </w:r>
      <w:r>
        <w:rPr>
          <w:rFonts w:ascii="Times New Roman" w:cs="Times New Roman" w:hAnsi="Times New Roman"/>
          <w:color w:val="222222"/>
          <w:sz w:val="24"/>
          <w:szCs w:val="24"/>
          <w:shd w:val="clear" w:color="auto" w:fill="ffffff"/>
          <w:lang w:val="en-GB"/>
        </w:rPr>
        <w:t>Akter</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et al. (2025</w:t>
      </w:r>
      <w:r>
        <w:rPr>
          <w:rFonts w:ascii="Times New Roman" w:cs="Times New Roman" w:hAnsi="Times New Roman"/>
          <w:sz w:val="24"/>
          <w:szCs w:val="24"/>
          <w:lang w:val="en-GB"/>
        </w:rPr>
        <w:t>) noted that t</w:t>
      </w:r>
      <w:r>
        <w:rPr>
          <w:rFonts w:ascii="Times New Roman" w:cs="Times New Roman" w:hAnsi="Times New Roman"/>
          <w:sz w:val="24"/>
          <w:szCs w:val="24"/>
          <w:lang w:val="en-GB"/>
        </w:rPr>
        <w:t xml:space="preserve">he training will be based on data literacy, digital merchandising, cyber awareness and change leadership. According to McKinsey (2022), organisations committing 12 </w:t>
      </w:r>
      <w:r>
        <w:rPr>
          <w:rFonts w:ascii="Times New Roman" w:cs="Times New Roman" w:hAnsi="Times New Roman"/>
          <w:sz w:val="24"/>
          <w:szCs w:val="24"/>
          <w:lang w:val="en-GB"/>
        </w:rPr>
        <w:t>per cent of payroll to</w:t>
      </w:r>
      <w:r>
        <w:rPr>
          <w:rFonts w:ascii="Times New Roman" w:cs="Times New Roman" w:hAnsi="Times New Roman"/>
          <w:sz w:val="24"/>
          <w:szCs w:val="24"/>
          <w:lang w:val="en-GB"/>
        </w:rPr>
        <w:t xml:space="preserve"> reskilling in the course of transformation get better adoption and reduced resistance.</w:t>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Simultaneously, M&amp;S will become more resilient to cyber-attacks by improving incident response procedures and penetration testing and making their employees more aware of firewalls and incident mitigation strategies, which will help decrease the mean time to recovery (MTTR) after an attack (Majumdar, 2025).</w:t>
      </w:r>
    </w:p>
    <w:bookmarkStart w:id="33" w:name="_Toc220369504"/>
    <w:p>
      <w:pPr>
        <w:pStyle w:val="style3"/>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Phase 3: Embedding and Reinforcement (Months 12–36)</w:t>
      </w:r>
      <w:bookmarkEnd w:id="33"/>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It will integrate change by changing the performance management systems</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whereby rewards and progression will be tied to collaboration, innovation and developing capabilities. Learning and adaptation will be strengthened by continuous feedback loops and quarterly reviews</w:t>
      </w:r>
      <w:r>
        <w:rPr>
          <w:rFonts w:ascii="Times New Roman" w:cs="Times New Roman" w:hAnsi="Times New Roman"/>
          <w:sz w:val="24"/>
          <w:szCs w:val="24"/>
          <w:lang w:val="en-GB"/>
        </w:rPr>
        <w:t>.</w:t>
      </w:r>
    </w:p>
    <w:bookmarkStart w:id="34" w:name="_Toc220369505"/>
    <w:p>
      <w:pPr>
        <w:pStyle w:val="style2"/>
        <w:numPr>
          <w:ilvl w:val="1"/>
          <w:numId w:val="19"/>
        </w:numPr>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Financial and Resource Plan</w:t>
      </w:r>
      <w:bookmarkEnd w:id="34"/>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The change plan proposed puts more emphasis on reallocation as opposed to increasing capital expenditure. M&amp;S has had capital spending of over 500 million in FY2024/25, which was mainly on store renewal, supply chain and technology (Marks &amp; Spencer, 2025a). It is estimated in the change programme that about 0.4-0.6% of the annual revenue, amounting to about 60-80 million over 2 years</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will be allocated to workforce reskilling and leadership development, cyber resilience and digital governance, and change communication and engagement infrastructure. The investment is small compared to the costs of the cyber disruption expected in 2025 and is in line with empirical findings that people-centric investment is highly effective in enhancing the success of transformations (McKinsey, 2022). The anticipated financial gains include the enhancement of online rates of conversion, a decrease in the disruption costs, and </w:t>
      </w:r>
      <w:r>
        <w:rPr>
          <w:rFonts w:ascii="Times New Roman" w:cs="Times New Roman" w:hAnsi="Times New Roman"/>
          <w:sz w:val="24"/>
          <w:szCs w:val="24"/>
          <w:lang w:val="en-GB"/>
        </w:rPr>
        <w:t>a</w:t>
      </w:r>
      <w:r>
        <w:rPr>
          <w:rFonts w:ascii="Times New Roman" w:cs="Times New Roman" w:hAnsi="Times New Roman"/>
          <w:sz w:val="24"/>
          <w:szCs w:val="24"/>
          <w:lang w:val="en-GB"/>
        </w:rPr>
        <w:t xml:space="preserve"> decrease in employee turnover</w:t>
      </w:r>
      <w:r>
        <w:rPr>
          <w:rFonts w:ascii="Times New Roman" w:cs="Times New Roman" w:hAnsi="Times New Roman"/>
          <w:sz w:val="24"/>
          <w:szCs w:val="24"/>
          <w:lang w:val="en-GB"/>
        </w:rPr>
        <w:t>.</w:t>
      </w:r>
    </w:p>
    <w:bookmarkStart w:id="35" w:name="_Toc220369506"/>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4.5 Communication Strategy</w:t>
      </w:r>
      <w:bookmarkEnd w:id="35"/>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Communication is the key to diminishing the opposition and maintaining engagement. The communication strategy is multi-directional in nature, it is consistent </w:t>
      </w:r>
      <w:r>
        <w:rPr>
          <w:rFonts w:ascii="Times New Roman" w:cs="Times New Roman" w:hAnsi="Times New Roman"/>
          <w:lang w:val="en-GB"/>
        </w:rPr>
        <w:t>and</w:t>
      </w:r>
      <w:r>
        <w:rPr>
          <w:rFonts w:ascii="Times New Roman" w:cs="Times New Roman" w:hAnsi="Times New Roman"/>
          <w:lang w:val="en-GB"/>
        </w:rPr>
        <w:t xml:space="preserve"> </w:t>
      </w:r>
      <w:r>
        <w:rPr>
          <w:rFonts w:ascii="Times New Roman" w:cs="Times New Roman" w:hAnsi="Times New Roman"/>
          <w:lang w:val="en-GB"/>
        </w:rPr>
        <w:t>allows</w:t>
      </w:r>
      <w:r>
        <w:rPr>
          <w:rFonts w:ascii="Times New Roman" w:cs="Times New Roman" w:hAnsi="Times New Roman"/>
          <w:lang w:val="en-GB"/>
        </w:rPr>
        <w:t xml:space="preserve"> employee voice (Appendix A)</w:t>
      </w:r>
      <w:r>
        <w:rPr>
          <w:rFonts w:ascii="Times New Roman" w:cs="Times New Roman" w:hAnsi="Times New Roman"/>
          <w:lang w:val="en-GB"/>
        </w:rPr>
        <w:t>.</w:t>
      </w:r>
    </w:p>
    <w:tbl>
      <w:tblPr>
        <w:tblStyle w:val="style4106"/>
        <w:tblW w:w="0" w:type="auto"/>
        <w:tblLook w:val="04A0" w:firstRow="1" w:lastRow="0" w:firstColumn="1" w:lastColumn="0" w:noHBand="0" w:noVBand="1"/>
      </w:tblPr>
      <w:tblGrid>
        <w:gridCol w:w="3192"/>
        <w:gridCol w:w="6096"/>
      </w:tblGrid>
      <w:tr>
        <w:trPr/>
        <w:tc>
          <w:tcPr>
            <w:tcW w:w="3192" w:type="dxa"/>
            <w:tcBorders/>
          </w:tcPr>
          <w:p>
            <w:pPr>
              <w:pStyle w:val="style94"/>
              <w:spacing w:lineRule="auto" w:line="360"/>
              <w:rPr>
                <w:rFonts w:ascii="Times New Roman" w:cs="Times New Roman" w:hAnsi="Times New Roman"/>
                <w:b w:val="false"/>
                <w:bCs w:val="false"/>
                <w:lang w:val="en-GB"/>
              </w:rPr>
            </w:pPr>
            <w:r>
              <w:rPr>
                <w:rFonts w:ascii="Times New Roman" w:cs="Times New Roman" w:hAnsi="Times New Roman"/>
                <w:b w:val="false"/>
                <w:bCs w:val="false"/>
                <w:lang w:val="en-GB"/>
              </w:rPr>
              <w:t>Stakeholder</w:t>
            </w:r>
          </w:p>
        </w:tc>
        <w:tc>
          <w:tcPr>
            <w:tcW w:w="6096" w:type="dxa"/>
            <w:tcBorders/>
          </w:tcPr>
          <w:p>
            <w:pPr>
              <w:pStyle w:val="style94"/>
              <w:spacing w:lineRule="auto" w:line="360"/>
              <w:rPr>
                <w:rFonts w:ascii="Times New Roman" w:cs="Times New Roman" w:hAnsi="Times New Roman"/>
                <w:b w:val="false"/>
                <w:bCs w:val="false"/>
                <w:lang w:val="en-GB"/>
              </w:rPr>
            </w:pPr>
            <w:r>
              <w:rPr>
                <w:rFonts w:ascii="Times New Roman" w:cs="Times New Roman" w:hAnsi="Times New Roman"/>
                <w:b w:val="false"/>
                <w:bCs w:val="false"/>
                <w:lang w:val="en-GB"/>
              </w:rPr>
              <w:t>Strategy</w:t>
            </w:r>
          </w:p>
        </w:tc>
      </w:tr>
      <w:tr>
        <w:tblPrEx/>
        <w:trPr/>
        <w:tc>
          <w:tcPr>
            <w:tcW w:w="3192" w:type="dxa"/>
            <w:tcBorders/>
          </w:tcPr>
          <w:p>
            <w:pPr>
              <w:pStyle w:val="style94"/>
              <w:spacing w:lineRule="auto" w:line="360"/>
              <w:rPr>
                <w:rFonts w:ascii="Times New Roman" w:cs="Times New Roman" w:hAnsi="Times New Roman"/>
                <w:lang w:val="en-GB"/>
              </w:rPr>
            </w:pPr>
            <w:r>
              <w:rPr>
                <w:rStyle w:val="style87"/>
                <w:rFonts w:ascii="Times New Roman" w:cs="Times New Roman" w:hAnsi="Times New Roman"/>
                <w:lang w:val="en-GB"/>
              </w:rPr>
              <w:t>Board and investors</w:t>
            </w:r>
          </w:p>
        </w:tc>
        <w:tc>
          <w:tcPr>
            <w:tcW w:w="6096" w:type="dxa"/>
            <w:tcBorders/>
          </w:tcPr>
          <w:p>
            <w:pPr>
              <w:pStyle w:val="style94"/>
              <w:spacing w:lineRule="auto" w:line="360"/>
              <w:rPr>
                <w:rFonts w:ascii="Times New Roman" w:cs="Times New Roman" w:hAnsi="Times New Roman"/>
                <w:lang w:val="en-GB"/>
              </w:rPr>
            </w:pPr>
            <w:r>
              <w:rPr>
                <w:rFonts w:ascii="Times New Roman" w:cs="Times New Roman" w:hAnsi="Times New Roman"/>
                <w:lang w:val="en-GB"/>
              </w:rPr>
              <w:t>Quarterly reports on the change performance, resilience measure, and ROI</w:t>
            </w:r>
          </w:p>
        </w:tc>
      </w:tr>
      <w:tr>
        <w:tblPrEx/>
        <w:trPr/>
        <w:tc>
          <w:tcPr>
            <w:tcW w:w="3192" w:type="dxa"/>
            <w:tcBorders/>
          </w:tcPr>
          <w:p>
            <w:pPr>
              <w:pStyle w:val="style94"/>
              <w:spacing w:lineRule="auto" w:line="360"/>
              <w:rPr>
                <w:rFonts w:ascii="Times New Roman" w:cs="Times New Roman" w:hAnsi="Times New Roman"/>
                <w:lang w:val="en-GB"/>
              </w:rPr>
            </w:pPr>
            <w:r>
              <w:rPr>
                <w:rStyle w:val="style87"/>
                <w:rFonts w:ascii="Times New Roman" w:cs="Times New Roman" w:hAnsi="Times New Roman"/>
                <w:lang w:val="en-GB"/>
              </w:rPr>
              <w:t>Employees</w:t>
            </w:r>
          </w:p>
        </w:tc>
        <w:tc>
          <w:tcPr>
            <w:tcW w:w="6096" w:type="dxa"/>
            <w:tcBorders/>
          </w:tcPr>
          <w:p>
            <w:pPr>
              <w:pStyle w:val="style94"/>
              <w:spacing w:lineRule="auto" w:line="360"/>
              <w:rPr>
                <w:rFonts w:ascii="Times New Roman" w:cs="Times New Roman" w:hAnsi="Times New Roman"/>
                <w:lang w:val="en-GB"/>
              </w:rPr>
            </w:pPr>
            <w:r>
              <w:rPr>
                <w:rFonts w:ascii="Times New Roman" w:cs="Times New Roman" w:hAnsi="Times New Roman"/>
                <w:lang w:val="en-GB"/>
              </w:rPr>
              <w:t>Change champions, digital dashboards and store-level forums to support two-way communication</w:t>
            </w:r>
          </w:p>
        </w:tc>
      </w:tr>
      <w:tr>
        <w:tblPrEx/>
        <w:trPr/>
        <w:tc>
          <w:tcPr>
            <w:tcW w:w="3192" w:type="dxa"/>
            <w:tcBorders/>
          </w:tcPr>
          <w:p>
            <w:pPr>
              <w:pStyle w:val="style94"/>
              <w:spacing w:lineRule="auto" w:line="360"/>
              <w:rPr>
                <w:rFonts w:ascii="Times New Roman" w:cs="Times New Roman" w:hAnsi="Times New Roman"/>
                <w:lang w:val="en-GB"/>
              </w:rPr>
            </w:pPr>
            <w:r>
              <w:rPr>
                <w:rStyle w:val="style87"/>
                <w:rFonts w:ascii="Times New Roman" w:cs="Times New Roman" w:hAnsi="Times New Roman"/>
                <w:lang w:val="en-GB"/>
              </w:rPr>
              <w:t>Customers</w:t>
            </w:r>
          </w:p>
        </w:tc>
        <w:tc>
          <w:tcPr>
            <w:tcW w:w="6096" w:type="dxa"/>
            <w:tcBorders/>
          </w:tcPr>
          <w:p>
            <w:pPr>
              <w:pStyle w:val="style94"/>
              <w:spacing w:lineRule="auto" w:line="360"/>
              <w:rPr>
                <w:rFonts w:ascii="Times New Roman" w:cs="Times New Roman" w:hAnsi="Times New Roman"/>
                <w:lang w:val="en-GB"/>
              </w:rPr>
            </w:pPr>
            <w:r>
              <w:rPr>
                <w:rFonts w:ascii="Times New Roman" w:cs="Times New Roman" w:hAnsi="Times New Roman"/>
                <w:lang w:val="en-GB"/>
              </w:rPr>
              <w:t>Open communications about the improvements of the services and the protection of data after the cyber incident</w:t>
            </w:r>
          </w:p>
        </w:tc>
      </w:tr>
      <w:tr>
        <w:tblPrEx/>
        <w:trPr/>
        <w:tc>
          <w:tcPr>
            <w:tcW w:w="3192" w:type="dxa"/>
            <w:tcBorders/>
          </w:tcPr>
          <w:p>
            <w:pPr>
              <w:pStyle w:val="style94"/>
              <w:spacing w:lineRule="auto" w:line="360"/>
              <w:rPr>
                <w:rFonts w:ascii="Times New Roman" w:cs="Times New Roman" w:hAnsi="Times New Roman"/>
                <w:lang w:val="en-GB"/>
              </w:rPr>
            </w:pPr>
            <w:r>
              <w:rPr>
                <w:rStyle w:val="style87"/>
                <w:rFonts w:ascii="Times New Roman" w:cs="Times New Roman" w:hAnsi="Times New Roman"/>
                <w:lang w:val="en-GB"/>
              </w:rPr>
              <w:t>External stakeholders</w:t>
            </w:r>
          </w:p>
        </w:tc>
        <w:tc>
          <w:tcPr>
            <w:tcW w:w="6096" w:type="dxa"/>
            <w:tcBorders/>
          </w:tcPr>
          <w:p>
            <w:pPr>
              <w:pStyle w:val="style94"/>
              <w:spacing w:lineRule="auto" w:line="360"/>
              <w:rPr>
                <w:rFonts w:ascii="Times New Roman" w:cs="Times New Roman" w:hAnsi="Times New Roman"/>
                <w:lang w:val="en-GB"/>
              </w:rPr>
            </w:pPr>
            <w:r>
              <w:rPr>
                <w:rFonts w:ascii="Times New Roman" w:cs="Times New Roman" w:hAnsi="Times New Roman"/>
                <w:lang w:val="en-GB"/>
              </w:rPr>
              <w:t>Continued interaction with regulators and suppliers to coordinate resilience and sustainability activities</w:t>
            </w:r>
          </w:p>
        </w:tc>
      </w:tr>
      <w:tr>
        <w:tblPrEx/>
        <w:trPr/>
        <w:tc>
          <w:tcPr>
            <w:tcW w:w="3192" w:type="dxa"/>
            <w:tcBorders/>
          </w:tcPr>
          <w:p>
            <w:pPr>
              <w:pStyle w:val="style94"/>
              <w:spacing w:lineRule="auto" w:line="360"/>
              <w:rPr>
                <w:rFonts w:ascii="Times New Roman" w:cs="Times New Roman" w:hAnsi="Times New Roman"/>
                <w:lang w:val="en-GB"/>
              </w:rPr>
            </w:pPr>
          </w:p>
        </w:tc>
        <w:tc>
          <w:tcPr>
            <w:tcW w:w="6096" w:type="dxa"/>
            <w:tcBorders/>
          </w:tcPr>
          <w:p>
            <w:pPr>
              <w:pStyle w:val="style94"/>
              <w:spacing w:lineRule="auto" w:line="360"/>
              <w:rPr>
                <w:rFonts w:ascii="Times New Roman" w:cs="Times New Roman" w:hAnsi="Times New Roman"/>
                <w:lang w:val="en-GB"/>
              </w:rPr>
            </w:pPr>
          </w:p>
        </w:tc>
      </w:tr>
      <w:bookmarkStart w:id="36" w:name="_Toc220369507"/>
    </w:tbl>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4.6 Evaluation and Control Mechanisms</w:t>
      </w:r>
      <w:bookmarkEnd w:id="36"/>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The effectiveness of the change will be measured using a balanced scorecard, which will comprise operational, people, and resilience indicators. The main metrics are online conversion rate, wastage speed, employee involvement, training attainment, voluntary turnover, and mean time to recovery (MTTR) after the occurrence of a digital incident. Corrective action and accountability will be supported by </w:t>
      </w:r>
      <w:r>
        <w:rPr>
          <w:rFonts w:ascii="Times New Roman" w:cs="Times New Roman" w:hAnsi="Times New Roman"/>
          <w:sz w:val="24"/>
          <w:szCs w:val="24"/>
          <w:lang w:val="en-GB"/>
        </w:rPr>
        <w:t>quarterly performance</w:t>
      </w:r>
      <w:r>
        <w:rPr>
          <w:rFonts w:ascii="Times New Roman" w:cs="Times New Roman" w:hAnsi="Times New Roman"/>
          <w:sz w:val="24"/>
          <w:szCs w:val="24"/>
          <w:lang w:val="en-GB"/>
        </w:rPr>
        <w:t xml:space="preserve"> reviews, and key risks observed in terms of the risk register identified in Appendix C.</w:t>
      </w:r>
    </w:p>
    <w:bookmarkStart w:id="37" w:name="_Toc220369508"/>
    <w:p>
      <w:pPr>
        <w:pStyle w:val="style2"/>
        <w:spacing w:lineRule="auto" w:line="360"/>
        <w:rPr>
          <w:rFonts w:ascii="Times New Roman" w:cs="Times New Roman" w:hAnsi="Times New Roman"/>
          <w:sz w:val="24"/>
          <w:szCs w:val="24"/>
          <w:lang w:val="en-GB"/>
        </w:rPr>
      </w:pPr>
      <w:r>
        <w:rPr>
          <w:rStyle w:val="style87"/>
          <w:rFonts w:ascii="Times New Roman" w:cs="Times New Roman" w:hAnsi="Times New Roman"/>
          <w:b/>
          <w:bCs/>
          <w:sz w:val="24"/>
          <w:szCs w:val="24"/>
          <w:lang w:val="en-GB"/>
        </w:rPr>
        <w:t>4.7 Conclusion</w:t>
      </w:r>
      <w:bookmarkEnd w:id="37"/>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Recent recovery of </w:t>
      </w:r>
      <w:r>
        <w:rPr>
          <w:rFonts w:ascii="Times New Roman" w:cs="Times New Roman" w:hAnsi="Times New Roman"/>
          <w:lang w:val="en-GB"/>
        </w:rPr>
        <w:t>M&amp;S</w:t>
      </w:r>
      <w:r>
        <w:rPr>
          <w:rFonts w:ascii="Times New Roman" w:cs="Times New Roman" w:hAnsi="Times New Roman"/>
          <w:lang w:val="en-GB"/>
        </w:rPr>
        <w:t xml:space="preserve"> proves that alignment and clarity of leadership can </w:t>
      </w:r>
      <w:r>
        <w:rPr>
          <w:rFonts w:ascii="Times New Roman" w:cs="Times New Roman" w:hAnsi="Times New Roman"/>
          <w:lang w:val="en-GB"/>
        </w:rPr>
        <w:t>stabilise</w:t>
      </w:r>
      <w:r>
        <w:rPr>
          <w:rFonts w:ascii="Times New Roman" w:cs="Times New Roman" w:hAnsi="Times New Roman"/>
          <w:lang w:val="en-GB"/>
        </w:rPr>
        <w:t xml:space="preserve"> the performance. This report has</w:t>
      </w:r>
      <w:r>
        <w:rPr>
          <w:rFonts w:ascii="Times New Roman" w:cs="Times New Roman" w:hAnsi="Times New Roman"/>
          <w:lang w:val="en-GB"/>
        </w:rPr>
        <w:t>, however,</w:t>
      </w:r>
      <w:r>
        <w:rPr>
          <w:rFonts w:ascii="Times New Roman" w:cs="Times New Roman" w:hAnsi="Times New Roman"/>
          <w:lang w:val="en-GB"/>
        </w:rPr>
        <w:t xml:space="preserve"> revealed that stability is not synonymous with sustainability. The organisation is still vulnerable to strategic risk due to persistent environmental volatility, dependence on digital and cultural inertia.</w:t>
      </w:r>
    </w:p>
    <w:p>
      <w:pPr>
        <w:pStyle w:val="style94"/>
        <w:spacing w:lineRule="auto" w:line="360"/>
        <w:rPr>
          <w:rFonts w:ascii="Times New Roman" w:cs="Times New Roman" w:hAnsi="Times New Roman"/>
          <w:lang w:val="en-GB"/>
        </w:rPr>
      </w:pPr>
      <w:r>
        <w:rPr>
          <w:rFonts w:ascii="Times New Roman" w:cs="Times New Roman" w:hAnsi="Times New Roman"/>
          <w:lang w:val="en-GB"/>
        </w:rPr>
        <w:t xml:space="preserve">The suggested strategic change management plan goes beyond the intermittent restructuring approaches by inculcating the adaptive capability both at </w:t>
      </w:r>
      <w:r>
        <w:rPr>
          <w:rFonts w:ascii="Times New Roman" w:cs="Times New Roman" w:hAnsi="Times New Roman"/>
          <w:lang w:val="en-GB"/>
        </w:rPr>
        <w:t xml:space="preserve">the </w:t>
      </w:r>
      <w:r>
        <w:rPr>
          <w:rFonts w:ascii="Times New Roman" w:cs="Times New Roman" w:hAnsi="Times New Roman"/>
          <w:lang w:val="en-GB"/>
        </w:rPr>
        <w:t xml:space="preserve">organisational and individual levels. M&amp;S will be able to translate short-term benefits into </w:t>
      </w:r>
      <w:r>
        <w:rPr>
          <w:rFonts w:ascii="Times New Roman" w:cs="Times New Roman" w:hAnsi="Times New Roman"/>
          <w:lang w:val="en-GB"/>
        </w:rPr>
        <w:t>a</w:t>
      </w:r>
      <w:r>
        <w:rPr>
          <w:rFonts w:ascii="Times New Roman" w:cs="Times New Roman" w:hAnsi="Times New Roman"/>
          <w:lang w:val="en-GB"/>
        </w:rPr>
        <w:t xml:space="preserve"> long-term competitive edge by matching leadership behaviour, workforce capability, and resilience investment. More importantly, the plan acknowledges that sustainable change is about strategy, systems, and people, their perception, experience, and implementation of change in the organisation</w:t>
      </w:r>
      <w:r>
        <w:rPr>
          <w:rFonts w:ascii="Times New Roman" w:cs="Times New Roman" w:hAnsi="Times New Roman"/>
          <w:lang w:val="en-GB"/>
        </w:rPr>
        <w:t>.</w:t>
      </w:r>
    </w:p>
    <w:p>
      <w:pPr>
        <w:pStyle w:val="style0"/>
        <w:spacing w:lineRule="auto" w:line="360"/>
        <w:rPr>
          <w:rFonts w:ascii="Times New Roman" w:cs="Times New Roman" w:eastAsia="Times New Roman" w:hAnsi="Times New Roman"/>
          <w:sz w:val="24"/>
          <w:szCs w:val="24"/>
          <w:lang w:val="en-GB"/>
        </w:rPr>
      </w:pPr>
      <w:r>
        <w:rPr>
          <w:rFonts w:ascii="Times New Roman" w:cs="Times New Roman" w:hAnsi="Times New Roman"/>
          <w:sz w:val="24"/>
          <w:szCs w:val="24"/>
          <w:lang w:val="en-GB"/>
        </w:rPr>
        <w:br w:type="page"/>
      </w:r>
    </w:p>
    <w:p>
      <w:pPr>
        <w:pStyle w:val="style1"/>
        <w:spacing w:lineRule="auto" w:line="360"/>
        <w:jc w:val="center"/>
        <w:rPr>
          <w:rFonts w:ascii="Times New Roman" w:hAnsi="Times New Roman"/>
          <w:sz w:val="24"/>
          <w:szCs w:val="24"/>
          <w:lang w:val="en-GB"/>
        </w:rPr>
      </w:pPr>
      <w:r>
        <w:rPr>
          <w:rFonts w:ascii="Times New Roman" w:hAnsi="Times New Roman"/>
          <w:sz w:val="24"/>
          <w:szCs w:val="24"/>
          <w:lang w:val="en-GB"/>
        </w:rPr>
        <w:t>References</w:t>
      </w:r>
    </w:p>
    <w:p>
      <w:pPr>
        <w:pStyle w:val="style0"/>
        <w:spacing w:before="100" w:beforeAutospacing="true" w:after="100" w:afterAutospacing="true" w:lineRule="auto" w:line="360"/>
        <w:ind w:left="720" w:hanging="720"/>
        <w:rPr>
          <w:rFonts w:ascii="Times New Roman" w:cs="Times New Roman" w:hAnsi="Times New Roman"/>
          <w:color w:val="222222"/>
          <w:sz w:val="24"/>
          <w:szCs w:val="24"/>
          <w:shd w:val="clear" w:color="auto" w:fill="ffffff"/>
          <w:lang w:val="en-GB"/>
        </w:rPr>
      </w:pPr>
      <w:r>
        <w:rPr>
          <w:rFonts w:ascii="Times New Roman" w:cs="Times New Roman" w:hAnsi="Times New Roman"/>
          <w:color w:val="222222"/>
          <w:sz w:val="24"/>
          <w:szCs w:val="24"/>
          <w:shd w:val="clear" w:color="auto" w:fill="ffffff"/>
          <w:lang w:val="en-GB"/>
        </w:rPr>
        <w:t>Adeniran, I. A., Abhulimen, A. O., Obiki-Osafiele, A. N., Osundare, O. S., Agu, E. E., and Efunniyi, C. P. (2024). Strategic risk management in financial institutions: Ensuring robust regulatory compliance. </w:t>
      </w:r>
      <w:r>
        <w:rPr>
          <w:rFonts w:ascii="Times New Roman" w:cs="Times New Roman" w:hAnsi="Times New Roman"/>
          <w:i/>
          <w:iCs/>
          <w:color w:val="222222"/>
          <w:sz w:val="24"/>
          <w:szCs w:val="24"/>
          <w:shd w:val="clear" w:color="auto" w:fill="ffffff"/>
          <w:lang w:val="en-GB"/>
        </w:rPr>
        <w:t>Finance &amp; Accounting Research Journal</w:t>
      </w:r>
      <w:r>
        <w:rPr>
          <w:rFonts w:ascii="Times New Roman" w:cs="Times New Roman" w:hAnsi="Times New Roman"/>
          <w:color w:val="222222"/>
          <w:sz w:val="24"/>
          <w:szCs w:val="24"/>
          <w:shd w:val="clear" w:color="auto" w:fill="ffffff"/>
          <w:lang w:val="en-GB"/>
        </w:rPr>
        <w:t>, </w:t>
      </w:r>
      <w:r>
        <w:rPr>
          <w:rFonts w:ascii="Times New Roman" w:cs="Times New Roman" w:hAnsi="Times New Roman"/>
          <w:i/>
          <w:iCs/>
          <w:color w:val="222222"/>
          <w:sz w:val="24"/>
          <w:szCs w:val="24"/>
          <w:shd w:val="clear" w:color="auto" w:fill="ffffff"/>
          <w:lang w:val="en-GB"/>
        </w:rPr>
        <w:t>6</w:t>
      </w:r>
      <w:r>
        <w:rPr>
          <w:rFonts w:ascii="Times New Roman" w:cs="Times New Roman" w:hAnsi="Times New Roman"/>
          <w:color w:val="222222"/>
          <w:sz w:val="24"/>
          <w:szCs w:val="24"/>
          <w:shd w:val="clear" w:color="auto" w:fill="ffffff"/>
          <w:lang w:val="en-GB"/>
        </w:rPr>
        <w:t>(8), 1582-1596.</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Akter, S., Uddin, M. R., Sajib, S., Lee, W. J. T., Michael, K., and Hossain, M. A. (2025). </w:t>
      </w:r>
      <w:r>
        <w:rPr>
          <w:rFonts w:ascii="Times New Roman" w:cs="Times New Roman" w:eastAsia="Times New Roman" w:hAnsi="Times New Roman"/>
          <w:sz w:val="24"/>
          <w:szCs w:val="24"/>
          <w:lang w:val="en-GB"/>
        </w:rPr>
        <w:t>Reconceptualising</w:t>
      </w:r>
      <w:r>
        <w:rPr>
          <w:rFonts w:ascii="Times New Roman" w:cs="Times New Roman" w:eastAsia="Times New Roman" w:hAnsi="Times New Roman"/>
          <w:sz w:val="24"/>
          <w:szCs w:val="24"/>
          <w:lang w:val="en-GB"/>
        </w:rPr>
        <w:t xml:space="preserve"> cybersecurity awareness capability in the data-driven digital economy. Annals of </w:t>
      </w:r>
      <w:r>
        <w:rPr>
          <w:rFonts w:ascii="Times New Roman" w:cs="Times New Roman" w:eastAsia="Times New Roman" w:hAnsi="Times New Roman"/>
          <w:sz w:val="24"/>
          <w:szCs w:val="24"/>
          <w:lang w:val="en-GB"/>
        </w:rPr>
        <w:t>Operations Research</w:t>
      </w:r>
      <w:r>
        <w:rPr>
          <w:rFonts w:ascii="Times New Roman" w:cs="Times New Roman" w:eastAsia="Times New Roman" w:hAnsi="Times New Roman"/>
          <w:sz w:val="24"/>
          <w:szCs w:val="24"/>
          <w:lang w:val="en-GB"/>
        </w:rPr>
        <w:t>, 350(2), 673-698.</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Armenakis, A.A. and Bedeian, A.G. (1999) ‘Organizational change: A review of theory and research’, </w:t>
      </w:r>
      <w:r>
        <w:rPr>
          <w:rFonts w:ascii="Times New Roman" w:cs="Times New Roman" w:eastAsia="Times New Roman" w:hAnsi="Times New Roman"/>
          <w:i/>
          <w:iCs/>
          <w:sz w:val="24"/>
          <w:szCs w:val="24"/>
          <w:lang w:val="en-GB"/>
        </w:rPr>
        <w:t>Journal of Management</w:t>
      </w:r>
      <w:r>
        <w:rPr>
          <w:rFonts w:ascii="Times New Roman" w:cs="Times New Roman" w:eastAsia="Times New Roman" w:hAnsi="Times New Roman"/>
          <w:sz w:val="24"/>
          <w:szCs w:val="24"/>
          <w:lang w:val="en-GB"/>
        </w:rPr>
        <w:t>, 25(3), pp. 293–315.</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Associated Press (AP News) (2025) ‘UK retailer Marks &amp; Spencer puts cyberattack cost at $400 million with disruptions ongoing’, 21 May. Available at: https://apnews.com/article/britain-cyberattack-cybersecurity-marks-spencer-fef28bc0947576903cf83c3f42afc1e8 (Accessed: 21 January 2026).</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Balogun, J. and Johnson, G. (2004) ‘Organizational restructuring and middle manager sensemaking’, </w:t>
      </w:r>
      <w:r>
        <w:rPr>
          <w:rFonts w:ascii="Times New Roman" w:cs="Times New Roman" w:eastAsia="Times New Roman" w:hAnsi="Times New Roman"/>
          <w:i/>
          <w:iCs/>
          <w:sz w:val="24"/>
          <w:szCs w:val="24"/>
          <w:lang w:val="en-GB"/>
        </w:rPr>
        <w:t>Academy of Management Journal</w:t>
      </w:r>
      <w:r>
        <w:rPr>
          <w:rFonts w:ascii="Times New Roman" w:cs="Times New Roman" w:eastAsia="Times New Roman" w:hAnsi="Times New Roman"/>
          <w:sz w:val="24"/>
          <w:szCs w:val="24"/>
          <w:lang w:val="en-GB"/>
        </w:rPr>
        <w:t>, 47(4), pp. 523–549.</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Bass, B.M. and Riggio, R.E. (2006)</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iCs/>
          <w:sz w:val="24"/>
          <w:szCs w:val="24"/>
          <w:lang w:val="en-GB"/>
        </w:rPr>
        <w:t>Transformational Leadership</w:t>
      </w:r>
      <w:r>
        <w:rPr>
          <w:rFonts w:ascii="Times New Roman" w:cs="Times New Roman" w:eastAsia="Times New Roman" w:hAnsi="Times New Roman"/>
          <w:sz w:val="24"/>
          <w:szCs w:val="24"/>
          <w:lang w:val="en-GB"/>
        </w:rPr>
        <w:t>. 2nd edn. Mahwah, NJ: Lawrence Erlbaum.</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British Retail Consortium (BRC) (2024) </w:t>
      </w:r>
      <w:r>
        <w:rPr>
          <w:rFonts w:ascii="Times New Roman" w:cs="Times New Roman" w:eastAsia="Times New Roman" w:hAnsi="Times New Roman"/>
          <w:i/>
          <w:iCs/>
          <w:sz w:val="24"/>
          <w:szCs w:val="24"/>
          <w:lang w:val="en-GB"/>
        </w:rPr>
        <w:t>Cost of living drives return to cash. https://brc.org.uk/news-and-events/news/corporate-affairs/2024/cost-of-living-drives-return-to-cash/</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Burnes, B. (2017)</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iCs/>
          <w:sz w:val="24"/>
          <w:szCs w:val="24"/>
          <w:lang w:val="en-GB"/>
        </w:rPr>
        <w:t>Managing Change</w:t>
      </w:r>
      <w:r>
        <w:rPr>
          <w:rFonts w:ascii="Times New Roman" w:cs="Times New Roman" w:eastAsia="Times New Roman" w:hAnsi="Times New Roman"/>
          <w:sz w:val="24"/>
          <w:szCs w:val="24"/>
          <w:lang w:val="en-GB"/>
        </w:rPr>
        <w:t>. 7th edn. Harlow: Pearson Education.</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Burnes, B. and Cooke, B. (2013) ‘Kurt Lewin’s field theory: A review and re-evaluation’, </w:t>
      </w:r>
      <w:r>
        <w:rPr>
          <w:rFonts w:ascii="Times New Roman" w:cs="Times New Roman" w:eastAsia="Times New Roman" w:hAnsi="Times New Roman"/>
          <w:i/>
          <w:iCs/>
          <w:sz w:val="24"/>
          <w:szCs w:val="24"/>
          <w:lang w:val="en-GB"/>
        </w:rPr>
        <w:t>International Journal of Management Reviews</w:t>
      </w:r>
      <w:r>
        <w:rPr>
          <w:rFonts w:ascii="Times New Roman" w:cs="Times New Roman" w:eastAsia="Times New Roman" w:hAnsi="Times New Roman"/>
          <w:sz w:val="24"/>
          <w:szCs w:val="24"/>
          <w:lang w:val="en-GB"/>
        </w:rPr>
        <w:t>, 15(4), pp. 408–425.</w:t>
      </w:r>
    </w:p>
    <w:p>
      <w:pPr>
        <w:pStyle w:val="style0"/>
        <w:spacing w:before="100" w:beforeAutospacing="true" w:after="100" w:afterAutospacing="true" w:lineRule="auto" w:line="360"/>
        <w:ind w:left="720" w:hanging="720"/>
        <w:rPr>
          <w:rFonts w:ascii="Times New Roman" w:cs="Times New Roman" w:hAnsi="Times New Roman"/>
          <w:color w:val="222222"/>
          <w:sz w:val="24"/>
          <w:szCs w:val="24"/>
          <w:shd w:val="clear" w:color="auto" w:fill="ffffff"/>
          <w:lang w:val="en-GB"/>
        </w:rPr>
      </w:pPr>
      <w:r>
        <w:rPr>
          <w:rFonts w:ascii="Times New Roman" w:cs="Times New Roman" w:hAnsi="Times New Roman"/>
          <w:color w:val="222222"/>
          <w:sz w:val="24"/>
          <w:szCs w:val="24"/>
          <w:shd w:val="clear" w:color="auto" w:fill="ffffff"/>
          <w:lang w:val="en-GB"/>
        </w:rPr>
        <w:t>Cameron, E., and Green, M. (2020). </w:t>
      </w:r>
      <w:r>
        <w:rPr>
          <w:rFonts w:ascii="Times New Roman" w:cs="Times New Roman" w:hAnsi="Times New Roman"/>
          <w:i/>
          <w:iCs/>
          <w:color w:val="222222"/>
          <w:sz w:val="24"/>
          <w:szCs w:val="24"/>
          <w:shd w:val="clear" w:color="auto" w:fill="ffffff"/>
          <w:lang w:val="en-GB"/>
        </w:rPr>
        <w:t>Making sense of change management: A complete guide to the models, tools and techniques of organizational change</w:t>
      </w:r>
      <w:r>
        <w:rPr>
          <w:rFonts w:ascii="Times New Roman" w:cs="Times New Roman" w:hAnsi="Times New Roman"/>
          <w:color w:val="222222"/>
          <w:sz w:val="24"/>
          <w:szCs w:val="24"/>
          <w:shd w:val="clear" w:color="auto" w:fill="ffffff"/>
          <w:lang w:val="en-GB"/>
        </w:rPr>
        <w:t>. Kogan Page Publishers.</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Chartered Institute of Personnel and Development (CIPD) (2023) </w:t>
      </w:r>
      <w:r>
        <w:rPr>
          <w:rFonts w:ascii="Times New Roman" w:cs="Times New Roman" w:eastAsia="Times New Roman" w:hAnsi="Times New Roman"/>
          <w:i/>
          <w:iCs/>
          <w:sz w:val="24"/>
          <w:szCs w:val="24"/>
          <w:lang w:val="en-GB"/>
        </w:rPr>
        <w:t>Enabling organisations to adapt, evolve and deliver transformation successfully</w:t>
      </w:r>
      <w:r>
        <w:rPr>
          <w:rFonts w:ascii="Times New Roman" w:cs="Times New Roman" w:eastAsia="Times New Roman" w:hAnsi="Times New Roman"/>
          <w:sz w:val="24"/>
          <w:szCs w:val="24"/>
          <w:lang w:val="en-GB"/>
        </w:rPr>
        <w:t>. https://events.cipd.co.uk/change-management?gad_source=1&amp;gad_campaignid=23313450201&amp;gbraid=0AAAAACnptRBk9hoHlJmcG0xv1hQcBkqUy&amp;gclid=Cj0KCQiAvtzLBhCPARIsALwhxdo4gXcqSCEp3HCh-dlkNKOPQDtFwDj2sDqkbfKYDKWAFjiZVEY8B4YaAieBEALw_wcB</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Drasin, J., and Holliday, T. (2024). Navigating Change Fatigue: The Energy-Commitment Model for Organizational Change. EDUCAUSE Review (Online).</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Feng, T., Qamruzzaman, M., Sharmin, S. S., &amp; Karim, S. (2024). Bridging environmental sustainability and organizational performance: The role of green supply chain management in the manufacturing industry. Sustainability, 16(14), 5918.</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Hiatt, J. (2006)</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iCs/>
          <w:sz w:val="24"/>
          <w:szCs w:val="24"/>
          <w:lang w:val="en-GB"/>
        </w:rPr>
        <w:t>ADKAR: A Model for Change in Business, Government and Our Community</w:t>
      </w:r>
      <w:r>
        <w:rPr>
          <w:rFonts w:ascii="Times New Roman" w:cs="Times New Roman" w:eastAsia="Times New Roman" w:hAnsi="Times New Roman"/>
          <w:sz w:val="24"/>
          <w:szCs w:val="24"/>
          <w:lang w:val="en-GB"/>
        </w:rPr>
        <w:t>. Loveland, CO: Prosci.</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Kotter, J. P. (2012). Leadership and leading change; Harvard Business Review Press.</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Lestari, S. D., Muhdaliha, E., Firdaus, P. M., Suhendra, E. S., and Brabo, N. A. (2024). Financial literacy at work: enhancing </w:t>
      </w:r>
      <w:r>
        <w:rPr>
          <w:rFonts w:ascii="Times New Roman" w:cs="Times New Roman" w:eastAsia="Times New Roman" w:hAnsi="Times New Roman"/>
          <w:sz w:val="24"/>
          <w:szCs w:val="24"/>
          <w:lang w:val="en-GB"/>
        </w:rPr>
        <w:t>organisational</w:t>
      </w:r>
      <w:r>
        <w:rPr>
          <w:rFonts w:ascii="Times New Roman" w:cs="Times New Roman" w:eastAsia="Times New Roman" w:hAnsi="Times New Roman"/>
          <w:sz w:val="24"/>
          <w:szCs w:val="24"/>
          <w:lang w:val="en-GB"/>
        </w:rPr>
        <w:t xml:space="preserve"> performance through employee training investments. Atestasi: Jurnal Ilmiah Akuntansi, 7(2), 721-741.</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Lewin, K. (1951)</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iCs/>
          <w:sz w:val="24"/>
          <w:szCs w:val="24"/>
          <w:lang w:val="en-GB"/>
        </w:rPr>
        <w:t>Field Theory in Social Science</w:t>
      </w:r>
      <w:r>
        <w:rPr>
          <w:rFonts w:ascii="Times New Roman" w:cs="Times New Roman" w:eastAsia="Times New Roman" w:hAnsi="Times New Roman"/>
          <w:sz w:val="24"/>
          <w:szCs w:val="24"/>
          <w:lang w:val="en-GB"/>
        </w:rPr>
        <w:t>. New York: Harper &amp; Row.</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Majumdar, P. (2025). Case Study: How T&amp;S Survived a Ransomware Attack.</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Marks &amp; Spencer plc (2024) </w:t>
      </w:r>
      <w:r>
        <w:rPr>
          <w:rFonts w:ascii="Times New Roman" w:cs="Times New Roman" w:eastAsia="Times New Roman" w:hAnsi="Times New Roman"/>
          <w:i/>
          <w:iCs/>
          <w:sz w:val="24"/>
          <w:szCs w:val="24"/>
          <w:lang w:val="en-GB"/>
        </w:rPr>
        <w:t>Plan A: Our Sustainability Strategy</w:t>
      </w:r>
      <w:r>
        <w:rPr>
          <w:rFonts w:ascii="Times New Roman" w:cs="Times New Roman" w:eastAsia="Times New Roman" w:hAnsi="Times New Roman"/>
          <w:sz w:val="24"/>
          <w:szCs w:val="24"/>
          <w:lang w:val="en-GB"/>
        </w:rPr>
        <w:t xml:space="preserve">. Available at: </w:t>
      </w:r>
      <w:r>
        <w:rPr/>
        <w:fldChar w:fldCharType="begin"/>
      </w:r>
      <w:r>
        <w:instrText xml:space="preserve"> HYPERLINK "https://corporate.marksandspencer.com/sustainability" \t "_new" </w:instrText>
      </w:r>
      <w:r>
        <w:rPr/>
        <w:fldChar w:fldCharType="separate"/>
      </w:r>
      <w:r>
        <w:rPr>
          <w:rFonts w:ascii="Times New Roman" w:cs="Times New Roman" w:eastAsia="Times New Roman" w:hAnsi="Times New Roman"/>
          <w:color w:val="0000ff"/>
          <w:sz w:val="24"/>
          <w:szCs w:val="24"/>
          <w:u w:val="single"/>
          <w:lang w:val="en-GB"/>
        </w:rPr>
        <w:t>https://corporate.marksandspencer.com/sustainability</w:t>
      </w:r>
      <w:r>
        <w:rPr/>
        <w:fldChar w:fldCharType="end"/>
      </w:r>
      <w:r>
        <w:rPr>
          <w:rFonts w:ascii="Times New Roman" w:cs="Times New Roman" w:eastAsia="Times New Roman" w:hAnsi="Times New Roman"/>
          <w:sz w:val="24"/>
          <w:szCs w:val="24"/>
          <w:lang w:val="en-GB"/>
        </w:rPr>
        <w:t xml:space="preserve"> (Accessed: 20 January 2026).</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Marks &amp; Spencer plc (2025a) </w:t>
      </w:r>
      <w:r>
        <w:rPr>
          <w:rFonts w:ascii="Times New Roman" w:cs="Times New Roman" w:eastAsia="Times New Roman" w:hAnsi="Times New Roman"/>
          <w:i/>
          <w:iCs/>
          <w:sz w:val="24"/>
          <w:szCs w:val="24"/>
          <w:lang w:val="en-GB"/>
        </w:rPr>
        <w:t>Annual Report and Financial Statements 2024/25</w:t>
      </w:r>
      <w:r>
        <w:rPr>
          <w:rFonts w:ascii="Times New Roman" w:cs="Times New Roman" w:eastAsia="Times New Roman" w:hAnsi="Times New Roman"/>
          <w:sz w:val="24"/>
          <w:szCs w:val="24"/>
          <w:lang w:val="en-GB"/>
        </w:rPr>
        <w:t xml:space="preserve">. London: Marks &amp; Spencer Group plc. Available at: </w:t>
      </w:r>
      <w:r>
        <w:rPr>
          <w:rFonts w:ascii="Times New Roman" w:cs="Times New Roman" w:eastAsia="Times New Roman" w:hAnsi="Times New Roman"/>
          <w:sz w:val="24"/>
          <w:szCs w:val="24"/>
          <w:lang w:val="en-GB"/>
        </w:rPr>
        <w:t>https://corporate.marksandspencer.com/sites/marksandspencer/files/2025-05/Marks-and-Spencer-Group-plc-Annual-Report-and-Financial-Statements-2025_INTERACTIVE_FINAL.pdf (Accessed: 20 January 2026).</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Marks &amp; Spencer plc (2025b) </w:t>
      </w:r>
      <w:r>
        <w:rPr>
          <w:rFonts w:ascii="Times New Roman" w:cs="Times New Roman" w:eastAsia="Times New Roman" w:hAnsi="Times New Roman"/>
          <w:i/>
          <w:iCs/>
          <w:sz w:val="24"/>
          <w:szCs w:val="24"/>
          <w:lang w:val="en-GB"/>
        </w:rPr>
        <w:t>Strategic Report 2025</w:t>
      </w:r>
      <w:r>
        <w:rPr>
          <w:rFonts w:ascii="Times New Roman" w:cs="Times New Roman" w:eastAsia="Times New Roman" w:hAnsi="Times New Roman"/>
          <w:sz w:val="24"/>
          <w:szCs w:val="24"/>
          <w:lang w:val="en-GB"/>
        </w:rPr>
        <w:t>. London: Marks &amp; Spencer Group plc. Available at: https://corporate.marksandspencer.com/sites/marksandspencer/files/2025-05/M-and-S-Strategic-Report-2025.pdf (Accessed: 20 January 2026).</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Marks &amp; Spencer plc (2025c) ‘Cyber incident: further update’, </w:t>
      </w:r>
      <w:r>
        <w:rPr>
          <w:rFonts w:ascii="Times New Roman" w:cs="Times New Roman" w:eastAsia="Times New Roman" w:hAnsi="Times New Roman"/>
          <w:i/>
          <w:iCs/>
          <w:sz w:val="24"/>
          <w:szCs w:val="24"/>
          <w:lang w:val="en-GB"/>
        </w:rPr>
        <w:t>Press Release</w:t>
      </w:r>
      <w:r>
        <w:rPr>
          <w:rFonts w:ascii="Times New Roman" w:cs="Times New Roman" w:eastAsia="Times New Roman" w:hAnsi="Times New Roman"/>
          <w:sz w:val="24"/>
          <w:szCs w:val="24"/>
          <w:lang w:val="en-GB"/>
        </w:rPr>
        <w:t>, 23 April. Available at: https://corporate.marksandspencer.com/newsroom/press-releases/cyber-incident-further-update (Accessed: 21 January 2026).</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McKinsey &amp; Company (2022)</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i/>
          <w:iCs/>
          <w:sz w:val="24"/>
          <w:szCs w:val="24"/>
          <w:lang w:val="en-GB"/>
        </w:rPr>
        <w:t>The People Power of Transformations</w:t>
      </w:r>
      <w:r>
        <w:rPr>
          <w:rFonts w:ascii="Times New Roman" w:cs="Times New Roman" w:eastAsia="Times New Roman" w:hAnsi="Times New Roman"/>
          <w:sz w:val="24"/>
          <w:szCs w:val="24"/>
          <w:lang w:val="en-GB"/>
        </w:rPr>
        <w:t>. Available at: https://www.mckinsey.com/~/media/mckinsey/business%20functions/people%20and%20organizational%20performance/our%20insights/the%20people%20power%20of%20transformations/the-people-power-of-transformations.pdf (Accessed: 18 January 2026).</w:t>
      </w:r>
    </w:p>
    <w:p>
      <w:pPr>
        <w:pStyle w:val="style0"/>
        <w:spacing w:before="100" w:beforeAutospacing="true" w:after="100" w:afterAutospacing="true" w:lineRule="auto" w:line="360"/>
        <w:ind w:left="720" w:hanging="720"/>
        <w:rPr>
          <w:rFonts w:ascii="Times New Roman" w:cs="Times New Roman" w:hAnsi="Times New Roman"/>
          <w:color w:val="222222"/>
          <w:sz w:val="24"/>
          <w:szCs w:val="24"/>
          <w:shd w:val="clear" w:color="auto" w:fill="ffffff"/>
          <w:lang w:val="en-GB"/>
        </w:rPr>
      </w:pPr>
      <w:r>
        <w:rPr>
          <w:rFonts w:ascii="Times New Roman" w:cs="Times New Roman" w:hAnsi="Times New Roman"/>
          <w:color w:val="222222"/>
          <w:sz w:val="24"/>
          <w:szCs w:val="24"/>
          <w:shd w:val="clear" w:color="auto" w:fill="ffffff"/>
          <w:lang w:val="en-GB"/>
        </w:rPr>
        <w:t>Northouse, P. G. (2025). </w:t>
      </w:r>
      <w:r>
        <w:rPr>
          <w:rFonts w:ascii="Times New Roman" w:cs="Times New Roman" w:hAnsi="Times New Roman"/>
          <w:i/>
          <w:iCs/>
          <w:color w:val="222222"/>
          <w:sz w:val="24"/>
          <w:szCs w:val="24"/>
          <w:shd w:val="clear" w:color="auto" w:fill="ffffff"/>
          <w:lang w:val="en-GB"/>
        </w:rPr>
        <w:t xml:space="preserve">Leadership: Theory and </w:t>
      </w:r>
      <w:r>
        <w:rPr>
          <w:rFonts w:ascii="Times New Roman" w:cs="Times New Roman" w:hAnsi="Times New Roman"/>
          <w:i/>
          <w:iCs/>
          <w:color w:val="222222"/>
          <w:sz w:val="24"/>
          <w:szCs w:val="24"/>
          <w:shd w:val="clear" w:color="auto" w:fill="ffffff"/>
          <w:lang w:val="en-GB"/>
        </w:rPr>
        <w:t>Practice</w:t>
      </w:r>
      <w:r>
        <w:rPr>
          <w:rFonts w:ascii="Times New Roman" w:cs="Times New Roman" w:hAnsi="Times New Roman"/>
          <w:color w:val="222222"/>
          <w:sz w:val="24"/>
          <w:szCs w:val="24"/>
          <w:shd w:val="clear" w:color="auto" w:fill="ffffff"/>
          <w:lang w:val="en-GB"/>
        </w:rPr>
        <w:t xml:space="preserve">. Sage </w:t>
      </w:r>
      <w:r>
        <w:rPr>
          <w:rFonts w:ascii="Times New Roman" w:cs="Times New Roman" w:hAnsi="Times New Roman"/>
          <w:color w:val="222222"/>
          <w:sz w:val="24"/>
          <w:szCs w:val="24"/>
          <w:shd w:val="clear" w:color="auto" w:fill="ffffff"/>
          <w:lang w:val="en-GB"/>
        </w:rPr>
        <w:t>Publications</w:t>
      </w:r>
      <w:r>
        <w:rPr>
          <w:rFonts w:ascii="Times New Roman" w:cs="Times New Roman" w:eastAsia="Times New Roman" w:hAnsi="Times New Roman"/>
          <w:sz w:val="24"/>
          <w:szCs w:val="24"/>
          <w:lang w:val="en-GB"/>
        </w:rPr>
        <w:t>.</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Office for National Statistics (ONS) (2025) </w:t>
      </w:r>
      <w:r>
        <w:rPr>
          <w:rFonts w:ascii="Times New Roman" w:cs="Times New Roman" w:eastAsia="Times New Roman" w:hAnsi="Times New Roman"/>
          <w:i/>
          <w:iCs/>
          <w:sz w:val="24"/>
          <w:szCs w:val="24"/>
          <w:lang w:val="en-GB"/>
        </w:rPr>
        <w:t>Internet sales as a percentage of total retail sales (ratio)</w:t>
      </w:r>
      <w:r>
        <w:rPr>
          <w:rFonts w:ascii="Times New Roman" w:cs="Times New Roman" w:eastAsia="Times New Roman" w:hAnsi="Times New Roman"/>
          <w:sz w:val="24"/>
          <w:szCs w:val="24"/>
          <w:lang w:val="en-GB"/>
        </w:rPr>
        <w:t xml:space="preserve">. Available at: </w:t>
      </w:r>
      <w:r>
        <w:rPr/>
        <w:fldChar w:fldCharType="begin"/>
      </w:r>
      <w:r>
        <w:instrText xml:space="preserve"> HYPERLINK "https://www.ons.gov.uk/businessindustryandtrade/retailindustry/timeseries/j4mc/drsi" </w:instrText>
      </w:r>
      <w:r>
        <w:rPr/>
        <w:fldChar w:fldCharType="separate"/>
      </w:r>
      <w:r>
        <w:rPr>
          <w:rStyle w:val="style85"/>
          <w:rFonts w:ascii="Times New Roman" w:cs="Times New Roman" w:eastAsia="Times New Roman" w:hAnsi="Times New Roman"/>
          <w:sz w:val="24"/>
          <w:szCs w:val="24"/>
          <w:lang w:val="en-GB"/>
        </w:rPr>
        <w:t>https://www.ons.gov.uk/businessindustryandtrade/retailindustry/timeseries/j4mc/drsi</w:t>
      </w:r>
      <w:r>
        <w:rPr/>
        <w:fldChar w:fldCharType="end"/>
      </w:r>
      <w:r>
        <w:rPr>
          <w:rFonts w:ascii="Times New Roman" w:cs="Times New Roman" w:eastAsia="Times New Roman" w:hAnsi="Times New Roman"/>
          <w:sz w:val="24"/>
          <w:szCs w:val="24"/>
          <w:lang w:val="en-GB"/>
        </w:rPr>
        <w:tab/>
      </w:r>
      <w:r>
        <w:rPr>
          <w:rFonts w:ascii="Times New Roman" w:cs="Times New Roman" w:eastAsia="Times New Roman" w:hAnsi="Times New Roman"/>
          <w:sz w:val="24"/>
          <w:szCs w:val="24"/>
          <w:lang w:val="en-GB"/>
        </w:rPr>
        <w:t>` (Accessed: 19 January 2026).</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Reuters (2025) ‘M&amp;S' $400 million cyberattack upheaval to linger into July. Available at: https://www.reuters.com/business/media-telecom/britains-ms-says-cyberattack-cost-400-million-2025-05-21 (Accessed: 21 January 2026).</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Rigby, D., Sutherland, J. and Takeuchi, H. (2016) ‘Embracing Agile’, </w:t>
      </w:r>
      <w:r>
        <w:rPr>
          <w:rFonts w:ascii="Times New Roman" w:cs="Times New Roman" w:eastAsia="Times New Roman" w:hAnsi="Times New Roman"/>
          <w:i/>
          <w:iCs/>
          <w:sz w:val="24"/>
          <w:szCs w:val="24"/>
          <w:lang w:val="en-GB"/>
        </w:rPr>
        <w:t>Harvard Business Review</w:t>
      </w:r>
      <w:r>
        <w:rPr>
          <w:rFonts w:ascii="Times New Roman" w:cs="Times New Roman" w:eastAsia="Times New Roman" w:hAnsi="Times New Roman"/>
          <w:sz w:val="24"/>
          <w:szCs w:val="24"/>
          <w:lang w:val="en-GB"/>
        </w:rPr>
        <w:t>, 94(5), pp. 40–50.</w:t>
      </w:r>
    </w:p>
    <w:p>
      <w:pPr>
        <w:pStyle w:val="style0"/>
        <w:spacing w:after="0" w:lineRule="auto" w:line="360"/>
        <w:ind w:left="720" w:hanging="720"/>
        <w:rPr>
          <w:rFonts w:ascii="Times New Roman" w:cs="Times New Roman" w:eastAsia="Times New Roman" w:hAnsi="Times New Roman"/>
          <w:sz w:val="24"/>
          <w:szCs w:val="24"/>
          <w:lang w:val="en-GB"/>
        </w:rPr>
      </w:pPr>
      <w:r>
        <w:rPr>
          <w:rFonts w:ascii="Times New Roman" w:cs="Times New Roman" w:hAnsi="Times New Roman"/>
          <w:color w:val="222222"/>
          <w:sz w:val="24"/>
          <w:szCs w:val="24"/>
          <w:shd w:val="clear" w:color="auto" w:fill="ffffff"/>
          <w:lang w:val="en-GB"/>
        </w:rPr>
        <w:t>Schein, E. H. (2010). </w:t>
      </w:r>
      <w:r>
        <w:rPr>
          <w:rFonts w:ascii="Times New Roman" w:cs="Times New Roman" w:hAnsi="Times New Roman"/>
          <w:i/>
          <w:iCs/>
          <w:color w:val="222222"/>
          <w:sz w:val="24"/>
          <w:szCs w:val="24"/>
          <w:shd w:val="clear" w:color="auto" w:fill="ffffff"/>
          <w:lang w:val="en-GB"/>
        </w:rPr>
        <w:t>Organisational</w:t>
      </w:r>
      <w:r>
        <w:rPr>
          <w:rFonts w:ascii="Times New Roman" w:cs="Times New Roman" w:hAnsi="Times New Roman"/>
          <w:i/>
          <w:iCs/>
          <w:color w:val="222222"/>
          <w:sz w:val="24"/>
          <w:szCs w:val="24"/>
          <w:shd w:val="clear" w:color="auto" w:fill="ffffff"/>
          <w:lang w:val="en-GB"/>
        </w:rPr>
        <w:t xml:space="preserve"> culture and leadership</w:t>
      </w:r>
      <w:r>
        <w:rPr>
          <w:rFonts w:ascii="Times New Roman" w:cs="Times New Roman" w:hAnsi="Times New Roman"/>
          <w:color w:val="222222"/>
          <w:sz w:val="24"/>
          <w:szCs w:val="24"/>
          <w:shd w:val="clear" w:color="auto" w:fill="ffffff"/>
          <w:lang w:val="en-GB"/>
        </w:rPr>
        <w:t> (Vol. 2). John Wiley &amp; Sons.</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Stäuber, S. (2024). Navigating Change: </w:t>
      </w:r>
      <w:r>
        <w:rPr>
          <w:rFonts w:ascii="Times New Roman" w:cs="Times New Roman" w:eastAsia="Times New Roman" w:hAnsi="Times New Roman"/>
          <w:sz w:val="24"/>
          <w:szCs w:val="24"/>
          <w:lang w:val="en-GB"/>
        </w:rPr>
        <w:t>Managing</w:t>
      </w:r>
      <w:r>
        <w:rPr>
          <w:rFonts w:ascii="Times New Roman" w:cs="Times New Roman" w:eastAsia="Times New Roman" w:hAnsi="Times New Roman"/>
          <w:sz w:val="24"/>
          <w:szCs w:val="24"/>
          <w:lang w:val="en-GB"/>
        </w:rPr>
        <w:t xml:space="preserve"> Resistance and Implementation in Prime Time Television.</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Teece, D.J. (2018) ‘Business models and dynamic capabilities’, </w:t>
      </w:r>
      <w:r>
        <w:rPr>
          <w:rFonts w:ascii="Times New Roman" w:cs="Times New Roman" w:eastAsia="Times New Roman" w:hAnsi="Times New Roman"/>
          <w:i/>
          <w:iCs/>
          <w:sz w:val="24"/>
          <w:szCs w:val="24"/>
          <w:lang w:val="en-GB"/>
        </w:rPr>
        <w:t>Long Range Planning</w:t>
      </w:r>
      <w:r>
        <w:rPr>
          <w:rFonts w:ascii="Times New Roman" w:cs="Times New Roman" w:eastAsia="Times New Roman" w:hAnsi="Times New Roman"/>
          <w:sz w:val="24"/>
          <w:szCs w:val="24"/>
          <w:lang w:val="en-GB"/>
        </w:rPr>
        <w:t>, 51(1), pp. 40–49.</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Guardian (2025) ‘Marks &amp; Spencer cyber-attack: products run short in some stores. Available at: </w:t>
      </w:r>
      <w:r>
        <w:rPr/>
        <w:fldChar w:fldCharType="begin"/>
      </w:r>
      <w:r>
        <w:instrText xml:space="preserve"> HYPERLINK "%20https://www.theguardian.com/business/2025/apr/30/marks-and-spencer-cyber-attack-products-run-short-in-some-stores" </w:instrText>
      </w:r>
      <w:r>
        <w:rPr/>
        <w:fldChar w:fldCharType="separate"/>
      </w:r>
      <w:r>
        <w:rPr>
          <w:rStyle w:val="style85"/>
          <w:rFonts w:ascii="Times New Roman" w:cs="Times New Roman" w:hAnsi="Times New Roman"/>
          <w:sz w:val="24"/>
          <w:szCs w:val="24"/>
          <w:lang w:val="en-GB"/>
        </w:rPr>
        <w:t xml:space="preserve"> </w:t>
      </w:r>
      <w:r>
        <w:rPr>
          <w:rStyle w:val="style85"/>
          <w:rFonts w:ascii="Times New Roman" w:cs="Times New Roman" w:eastAsia="Times New Roman" w:hAnsi="Times New Roman"/>
          <w:sz w:val="24"/>
          <w:szCs w:val="24"/>
          <w:lang w:val="en-GB"/>
        </w:rPr>
        <w:t>https://www.theguardian.com/business/2025/apr/30/marks-and-spencer-cyber-attack-products-run-short-in-some-stores</w:t>
      </w:r>
      <w:r>
        <w:rPr/>
        <w:fldChar w:fldCharType="end"/>
      </w:r>
      <w:r>
        <w:rPr>
          <w:rFonts w:ascii="Times New Roman" w:cs="Times New Roman" w:eastAsia="Times New Roman" w:hAnsi="Times New Roman"/>
          <w:sz w:val="24"/>
          <w:szCs w:val="24"/>
          <w:lang w:val="en-GB"/>
        </w:rPr>
        <w:t xml:space="preserve"> (Accessed: 21 January 2026).</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UK Government (2023) </w:t>
      </w:r>
      <w:r>
        <w:rPr>
          <w:rFonts w:ascii="Times New Roman" w:cs="Times New Roman" w:eastAsia="Times New Roman" w:hAnsi="Times New Roman"/>
          <w:i/>
          <w:iCs/>
          <w:sz w:val="24"/>
          <w:szCs w:val="24"/>
          <w:lang w:val="en-GB"/>
        </w:rPr>
        <w:t>Streamlined Energy and Carbon Reporting (SECR): Guidance</w:t>
      </w:r>
      <w:r>
        <w:rPr>
          <w:rFonts w:ascii="Times New Roman" w:cs="Times New Roman" w:eastAsia="Times New Roman" w:hAnsi="Times New Roman"/>
          <w:sz w:val="24"/>
          <w:szCs w:val="24"/>
          <w:lang w:val="en-GB"/>
        </w:rPr>
        <w:t>. London: Department for Energy Security and Net Zero.</w:t>
      </w:r>
      <w:r>
        <w:rPr>
          <w:rFonts w:ascii="Times New Roman" w:cs="Times New Roman" w:hAnsi="Times New Roman"/>
          <w:sz w:val="24"/>
          <w:szCs w:val="24"/>
          <w:lang w:val="en-GB"/>
        </w:rPr>
        <w:t xml:space="preserve"> </w:t>
      </w:r>
      <w:r>
        <w:rPr>
          <w:rFonts w:ascii="Times New Roman" w:cs="Times New Roman" w:eastAsia="Times New Roman" w:hAnsi="Times New Roman"/>
          <w:sz w:val="24"/>
          <w:szCs w:val="24"/>
          <w:lang w:val="en-GB"/>
        </w:rPr>
        <w:t>https://www.gov.uk/government/publications/environmental-reporting-guidelines-including-mandatory-greenhouse-gas-emissions-reporting-guidance</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Van de Ven, A.H. and Poole, M.S. (1995) ‘Explaining development and change in organizations’, </w:t>
      </w:r>
      <w:r>
        <w:rPr>
          <w:rFonts w:ascii="Times New Roman" w:cs="Times New Roman" w:eastAsia="Times New Roman" w:hAnsi="Times New Roman"/>
          <w:i/>
          <w:iCs/>
          <w:sz w:val="24"/>
          <w:szCs w:val="24"/>
          <w:lang w:val="en-GB"/>
        </w:rPr>
        <w:t>Academy of Management Review</w:t>
      </w:r>
      <w:r>
        <w:rPr>
          <w:rFonts w:ascii="Times New Roman" w:cs="Times New Roman" w:eastAsia="Times New Roman" w:hAnsi="Times New Roman"/>
          <w:sz w:val="24"/>
          <w:szCs w:val="24"/>
          <w:lang w:val="en-GB"/>
        </w:rPr>
        <w:t>, 20(3), pp. 510–540.</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Verhoef, P.C., Kannan, P.K. and Inman, J.J. (2015) ‘From multi-channel retailing to omni-channel retailing’, </w:t>
      </w:r>
      <w:r>
        <w:rPr>
          <w:rFonts w:ascii="Times New Roman" w:cs="Times New Roman" w:eastAsia="Times New Roman" w:hAnsi="Times New Roman"/>
          <w:i/>
          <w:iCs/>
          <w:sz w:val="24"/>
          <w:szCs w:val="24"/>
          <w:lang w:val="en-GB"/>
        </w:rPr>
        <w:t>Journal of Retailing</w:t>
      </w:r>
      <w:r>
        <w:rPr>
          <w:rFonts w:ascii="Times New Roman" w:cs="Times New Roman" w:eastAsia="Times New Roman" w:hAnsi="Times New Roman"/>
          <w:sz w:val="24"/>
          <w:szCs w:val="24"/>
          <w:lang w:val="en-GB"/>
        </w:rPr>
        <w:t>, 91(2), pp. 174–181.</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Westerman, G., Bonnet, D. and McAfee, A. (2014) </w:t>
      </w:r>
      <w:r>
        <w:rPr>
          <w:rFonts w:ascii="Times New Roman" w:cs="Times New Roman" w:eastAsia="Times New Roman" w:hAnsi="Times New Roman"/>
          <w:i/>
          <w:iCs/>
          <w:sz w:val="24"/>
          <w:szCs w:val="24"/>
          <w:lang w:val="en-GB"/>
        </w:rPr>
        <w:t>Leading Digital</w:t>
      </w:r>
      <w:r>
        <w:rPr>
          <w:rFonts w:ascii="Times New Roman" w:cs="Times New Roman" w:eastAsia="Times New Roman" w:hAnsi="Times New Roman"/>
          <w:sz w:val="24"/>
          <w:szCs w:val="24"/>
          <w:lang w:val="en-GB"/>
        </w:rPr>
        <w:t>. Boston: Harvard Business Review Press.</w:t>
      </w:r>
    </w:p>
    <w:p>
      <w:pPr>
        <w:pStyle w:val="style0"/>
        <w:spacing w:before="100" w:beforeAutospacing="true" w:after="100" w:afterAutospacing="true" w:lineRule="auto" w:line="360"/>
        <w:ind w:left="720" w:hanging="720"/>
        <w:rPr>
          <w:rFonts w:ascii="Times New Roman" w:cs="Times New Roman" w:eastAsia="Times New Roman" w:hAnsi="Times New Roman"/>
          <w:sz w:val="24"/>
          <w:szCs w:val="24"/>
          <w:lang w:val="en-GB"/>
        </w:rPr>
      </w:pP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br w:type="page"/>
      </w:r>
    </w:p>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Appendices</w:t>
      </w:r>
    </w:p>
    <w:bookmarkStart w:id="38" w:name="_Toc220369509"/>
    <w:p>
      <w:pPr>
        <w:pStyle w:val="style0"/>
        <w:spacing w:before="100" w:beforeAutospacing="true" w:after="100" w:afterAutospacing="true" w:lineRule="auto" w:line="360"/>
        <w:outlineLvl w:val="1"/>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Appendix A: Stakeholder Communication Matrix</w:t>
      </w:r>
      <w:bookmarkEnd w:id="38"/>
    </w:p>
    <w:tbl>
      <w:tblPr>
        <w:tblStyle w:val="style154"/>
        <w:tblW w:w="0" w:type="auto"/>
        <w:tblLook w:val="04A0" w:firstRow="1" w:lastRow="0" w:firstColumn="1" w:lastColumn="0" w:noHBand="0" w:noVBand="1"/>
      </w:tblPr>
      <w:tblGrid>
        <w:gridCol w:w="1520"/>
        <w:gridCol w:w="1089"/>
        <w:gridCol w:w="1692"/>
        <w:gridCol w:w="1758"/>
        <w:gridCol w:w="1948"/>
        <w:gridCol w:w="1351"/>
      </w:tblGrid>
      <w:tr>
        <w:trPr/>
        <w:tc>
          <w:tcPr>
            <w:tcW w:w="0" w:type="auto"/>
            <w:tcBorders/>
            <w:hideMark/>
          </w:tcPr>
          <w:p>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Stakeholder Group</w:t>
            </w:r>
          </w:p>
        </w:tc>
        <w:tc>
          <w:tcPr>
            <w:tcW w:w="0" w:type="auto"/>
            <w:tcBorders/>
            <w:hideMark/>
          </w:tcPr>
          <w:p>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Interest in Change</w:t>
            </w:r>
          </w:p>
        </w:tc>
        <w:tc>
          <w:tcPr>
            <w:tcW w:w="0" w:type="auto"/>
            <w:tcBorders/>
            <w:hideMark/>
          </w:tcPr>
          <w:p>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Influence</w:t>
            </w:r>
          </w:p>
        </w:tc>
        <w:tc>
          <w:tcPr>
            <w:tcW w:w="0" w:type="auto"/>
            <w:tcBorders/>
            <w:hideMark/>
          </w:tcPr>
          <w:p>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Key Concerns</w:t>
            </w:r>
          </w:p>
        </w:tc>
        <w:tc>
          <w:tcPr>
            <w:tcW w:w="0" w:type="auto"/>
            <w:tcBorders/>
            <w:hideMark/>
          </w:tcPr>
          <w:p>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Communication Method</w:t>
            </w:r>
          </w:p>
        </w:tc>
        <w:tc>
          <w:tcPr>
            <w:tcW w:w="0" w:type="auto"/>
            <w:tcBorders/>
            <w:hideMark/>
          </w:tcPr>
          <w:p>
            <w:pPr>
              <w:pStyle w:val="style0"/>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Frequency</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Board of Directors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Very High</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Very High</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Strategic risk, ROI, cyber resilience</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Board papers, formal briefings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Quarterly</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Senior Leadership Team</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Very High</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High</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Execution, accountability, performance</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Executive meetings, dashboards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Monthly</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Middle Managers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High</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Medium</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Workload, capability, role clarity</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Workshops, leadership forums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Monthly</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Store &amp; Frontline Employees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Medium</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Low–Medium</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Job security, skills, workload</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Town halls, intranet updates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Fortnightly</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Customers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Medium</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Medium</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Service reliability, data security</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Website notices, email comms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As required</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Suppliers &amp; Partners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Medium</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Medium</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Continuity, system integration</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Supplier briefings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Quarterly</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Regulators (e.g. NCSC, FCA</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 where relevant)</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High</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High</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Cyber resilience, compliance</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Formal reports, audits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As required</w:t>
            </w:r>
          </w:p>
        </w:tc>
      </w:tr>
    </w:tbl>
    <w:p>
      <w:pPr>
        <w:pStyle w:val="style0"/>
        <w:spacing w:before="100" w:beforeAutospacing="true" w:after="100" w:afterAutospacing="true" w:lineRule="auto" w:line="360"/>
        <w:rPr>
          <w:rFonts w:ascii="Times New Roman" w:cs="Times New Roman" w:eastAsia="Times New Roman" w:hAnsi="Times New Roman"/>
          <w:sz w:val="24"/>
          <w:szCs w:val="24"/>
          <w:lang w:val="en-GB"/>
        </w:rPr>
      </w:pPr>
    </w:p>
    <w:bookmarkStart w:id="39" w:name="_Toc220369510"/>
    <w:p>
      <w:pPr>
        <w:pStyle w:val="style0"/>
        <w:spacing w:before="100" w:beforeAutospacing="true" w:after="100" w:afterAutospacing="true" w:lineRule="auto" w:line="360"/>
        <w:outlineLvl w:val="1"/>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Appendix B: High-Level Strategic Change Timeline (36 Months)</w:t>
      </w:r>
      <w:bookmarkEnd w:id="39"/>
    </w:p>
    <w:tbl>
      <w:tblPr>
        <w:tblStyle w:val="style4104"/>
        <w:tblW w:w="0" w:type="auto"/>
        <w:tblLook w:val="04A0" w:firstRow="1" w:lastRow="0" w:firstColumn="1" w:lastColumn="0" w:noHBand="0" w:noVBand="1"/>
      </w:tblPr>
      <w:tblGrid>
        <w:gridCol w:w="2460"/>
        <w:gridCol w:w="1489"/>
        <w:gridCol w:w="3464"/>
        <w:gridCol w:w="1945"/>
      </w:tblGrid>
      <w:tr>
        <w:trPr/>
        <w:tc>
          <w:tcPr>
            <w:tcW w:w="0" w:type="auto"/>
            <w:tcBorders/>
            <w:hideMark/>
          </w:tcPr>
          <w:p>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Phase</w:t>
            </w:r>
          </w:p>
        </w:tc>
        <w:tc>
          <w:tcPr>
            <w:tcW w:w="0" w:type="auto"/>
            <w:tcBorders/>
            <w:hideMark/>
          </w:tcPr>
          <w:p>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Timeframe</w:t>
            </w:r>
          </w:p>
        </w:tc>
        <w:tc>
          <w:tcPr>
            <w:tcW w:w="0" w:type="auto"/>
            <w:tcBorders/>
            <w:hideMark/>
          </w:tcPr>
          <w:p>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Key Activities</w:t>
            </w:r>
          </w:p>
        </w:tc>
        <w:tc>
          <w:tcPr>
            <w:tcW w:w="0" w:type="auto"/>
            <w:tcBorders/>
            <w:hideMark/>
          </w:tcPr>
          <w:p>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Primary Responsibility</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Phase 1: Urgency &amp; Alignment</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Months 1–2</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Board alignment, risk communication, </w:t>
            </w:r>
            <w:r>
              <w:rPr>
                <w:rFonts w:ascii="Times New Roman" w:cs="Times New Roman" w:eastAsia="Times New Roman" w:hAnsi="Times New Roman"/>
                <w:sz w:val="24"/>
                <w:szCs w:val="24"/>
                <w:lang w:val="en-GB"/>
              </w:rPr>
              <w:t xml:space="preserve">and </w:t>
            </w:r>
            <w:r>
              <w:rPr>
                <w:rFonts w:ascii="Times New Roman" w:cs="Times New Roman" w:eastAsia="Times New Roman" w:hAnsi="Times New Roman"/>
                <w:sz w:val="24"/>
                <w:szCs w:val="24"/>
                <w:lang w:val="en-GB"/>
              </w:rPr>
              <w:t>change governance setup</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CEO &amp; Board</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Phase 2: Capability &amp; Resilience Build</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Months 3–18</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Digital &amp; leadership reskilling, cyber resilience upgrades, process redesign</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HR, IT, Ops</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Phase 3: Integration &amp; Embedding</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Months 12–24</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Performance system alignment, cultural reinforcement</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Senior &amp; Middle Mgmt</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Phase 4: Review &amp; Continuous Improvement</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Months 24–36</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KPI review, learning loops, refinement</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Change Steering Group</w:t>
            </w:r>
          </w:p>
        </w:tc>
      </w:tr>
      <w:bookmarkStart w:id="40" w:name="_Toc220369511"/>
    </w:tbl>
    <w:p>
      <w:pPr>
        <w:pStyle w:val="style0"/>
        <w:spacing w:before="100" w:beforeAutospacing="true" w:after="100" w:afterAutospacing="true" w:lineRule="auto" w:line="360"/>
        <w:outlineLvl w:val="1"/>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Appendix C: Risk Register and Mitigation Plan</w:t>
      </w:r>
      <w:bookmarkEnd w:id="40"/>
    </w:p>
    <w:tbl>
      <w:tblPr>
        <w:tblStyle w:val="style4104"/>
        <w:tblW w:w="0" w:type="auto"/>
        <w:tblLook w:val="04A0" w:firstRow="1" w:lastRow="0" w:firstColumn="1" w:lastColumn="0" w:noHBand="0" w:noVBand="1"/>
      </w:tblPr>
      <w:tblGrid>
        <w:gridCol w:w="1525"/>
        <w:gridCol w:w="2525"/>
        <w:gridCol w:w="1111"/>
        <w:gridCol w:w="1308"/>
        <w:gridCol w:w="2890"/>
      </w:tblGrid>
      <w:tr>
        <w:trPr/>
        <w:tc>
          <w:tcPr>
            <w:tcW w:w="0" w:type="auto"/>
            <w:tcBorders/>
            <w:hideMark/>
          </w:tcPr>
          <w:p>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Risk Category</w:t>
            </w:r>
          </w:p>
        </w:tc>
        <w:tc>
          <w:tcPr>
            <w:tcW w:w="0" w:type="auto"/>
            <w:tcBorders/>
            <w:hideMark/>
          </w:tcPr>
          <w:p>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Description</w:t>
            </w:r>
          </w:p>
        </w:tc>
        <w:tc>
          <w:tcPr>
            <w:tcW w:w="0" w:type="auto"/>
            <w:tcBorders/>
            <w:hideMark/>
          </w:tcPr>
          <w:p>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Impact</w:t>
            </w:r>
          </w:p>
        </w:tc>
        <w:tc>
          <w:tcPr>
            <w:tcW w:w="0" w:type="auto"/>
            <w:tcBorders/>
            <w:hideMark/>
          </w:tcPr>
          <w:p>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Likelihood</w:t>
            </w:r>
          </w:p>
        </w:tc>
        <w:tc>
          <w:tcPr>
            <w:tcW w:w="0" w:type="auto"/>
            <w:tcBorders/>
            <w:hideMark/>
          </w:tcPr>
          <w:p>
            <w:pPr>
              <w:pStyle w:val="style0"/>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Mitigation Strategy</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Cyber Risk</w:t>
            </w:r>
          </w:p>
        </w:tc>
        <w:tc>
          <w:tcPr>
            <w:tcW w:w="0" w:type="auto"/>
            <w:tcBorders/>
            <w:hideMark/>
          </w:tcPr>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Ransomware </w:t>
            </w:r>
            <w:r>
              <w:rPr>
                <w:rFonts w:ascii="Times New Roman" w:cs="Times New Roman" w:hAnsi="Times New Roman"/>
                <w:sz w:val="24"/>
                <w:szCs w:val="24"/>
                <w:lang w:val="en-GB"/>
              </w:rPr>
              <w:t>attacks are</w:t>
            </w:r>
            <w:r>
              <w:rPr>
                <w:rFonts w:ascii="Times New Roman" w:cs="Times New Roman" w:hAnsi="Times New Roman"/>
                <w:sz w:val="24"/>
                <w:szCs w:val="24"/>
                <w:lang w:val="en-GB"/>
              </w:rPr>
              <w:t xml:space="preserve"> interfering with online users.</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Very High</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Medium</w:t>
            </w:r>
          </w:p>
        </w:tc>
        <w:tc>
          <w:tcPr>
            <w:tcW w:w="0" w:type="auto"/>
            <w:tcBorders/>
            <w:hideMark/>
          </w:tcPr>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Cyber training of staff, penetration testing, </w:t>
            </w:r>
            <w:r>
              <w:rPr>
                <w:rFonts w:ascii="Times New Roman" w:cs="Times New Roman" w:hAnsi="Times New Roman"/>
                <w:sz w:val="24"/>
                <w:szCs w:val="24"/>
                <w:lang w:val="en-GB"/>
              </w:rPr>
              <w:t xml:space="preserve">and </w:t>
            </w:r>
            <w:r>
              <w:rPr>
                <w:rFonts w:ascii="Times New Roman" w:cs="Times New Roman" w:hAnsi="Times New Roman"/>
                <w:sz w:val="24"/>
                <w:szCs w:val="24"/>
                <w:lang w:val="en-GB"/>
              </w:rPr>
              <w:t>better response to incidents.</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People Risk</w:t>
            </w:r>
          </w:p>
        </w:tc>
        <w:tc>
          <w:tcPr>
            <w:tcW w:w="0" w:type="auto"/>
            <w:tcBorders/>
            <w:hideMark/>
          </w:tcPr>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Resistance and fatigue to change.</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High</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High</w:t>
            </w:r>
          </w:p>
        </w:tc>
        <w:tc>
          <w:tcPr>
            <w:tcW w:w="0" w:type="auto"/>
            <w:tcBorders/>
            <w:hideMark/>
          </w:tcPr>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Reskilling directions, two-way communication, </w:t>
            </w:r>
            <w:r>
              <w:rPr>
                <w:rFonts w:ascii="Times New Roman" w:cs="Times New Roman" w:hAnsi="Times New Roman"/>
                <w:sz w:val="24"/>
                <w:szCs w:val="24"/>
                <w:lang w:val="en-GB"/>
              </w:rPr>
              <w:t xml:space="preserve">and </w:t>
            </w:r>
            <w:r>
              <w:rPr>
                <w:rFonts w:ascii="Times New Roman" w:cs="Times New Roman" w:hAnsi="Times New Roman"/>
                <w:sz w:val="24"/>
                <w:szCs w:val="24"/>
                <w:lang w:val="en-GB"/>
              </w:rPr>
              <w:t>manager coaching.</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Capability Risk</w:t>
            </w:r>
          </w:p>
        </w:tc>
        <w:tc>
          <w:tcPr>
            <w:tcW w:w="0" w:type="auto"/>
            <w:tcBorders/>
            <w:hideMark/>
          </w:tcPr>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Inadequate digital and data proficiency.</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High</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Medium</w:t>
            </w:r>
          </w:p>
        </w:tc>
        <w:tc>
          <w:tcPr>
            <w:tcW w:w="0" w:type="auto"/>
            <w:tcBorders/>
            <w:hideMark/>
          </w:tcPr>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Specific training, joint ventures.</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Operational Risk</w:t>
            </w:r>
          </w:p>
        </w:tc>
        <w:tc>
          <w:tcPr>
            <w:tcW w:w="0" w:type="auto"/>
            <w:tcBorders/>
            <w:hideMark/>
          </w:tcPr>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Supply </w:t>
            </w:r>
            <w:r>
              <w:rPr>
                <w:rFonts w:ascii="Times New Roman" w:cs="Times New Roman" w:hAnsi="Times New Roman"/>
                <w:sz w:val="24"/>
                <w:szCs w:val="24"/>
                <w:lang w:val="en-GB"/>
              </w:rPr>
              <w:t>chain/fulfilment</w:t>
            </w:r>
            <w:r>
              <w:rPr>
                <w:rFonts w:ascii="Times New Roman" w:cs="Times New Roman" w:hAnsi="Times New Roman"/>
                <w:sz w:val="24"/>
                <w:szCs w:val="24"/>
                <w:lang w:val="en-GB"/>
              </w:rPr>
              <w:t xml:space="preserve"> failure.</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Medium</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Medium</w:t>
            </w:r>
          </w:p>
        </w:tc>
        <w:tc>
          <w:tcPr>
            <w:tcW w:w="0" w:type="auto"/>
            <w:tcBorders/>
            <w:hideMark/>
          </w:tcPr>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Supplier diversification, integration.</w:t>
            </w:r>
          </w:p>
        </w:tc>
      </w:tr>
      <w:tr>
        <w:tblPrEx/>
        <w:trPr/>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Financial Risk</w:t>
            </w:r>
          </w:p>
        </w:tc>
        <w:tc>
          <w:tcPr>
            <w:tcW w:w="0" w:type="auto"/>
            <w:tcBorders/>
            <w:hideMark/>
          </w:tcPr>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 xml:space="preserve">Change costs exceed </w:t>
            </w:r>
            <w:r>
              <w:rPr>
                <w:rFonts w:ascii="Times New Roman" w:cs="Times New Roman" w:hAnsi="Times New Roman"/>
                <w:sz w:val="24"/>
                <w:szCs w:val="24"/>
                <w:lang w:val="en-GB"/>
              </w:rPr>
              <w:t xml:space="preserve">the </w:t>
            </w:r>
            <w:r>
              <w:rPr>
                <w:rFonts w:ascii="Times New Roman" w:cs="Times New Roman" w:hAnsi="Times New Roman"/>
                <w:sz w:val="24"/>
                <w:szCs w:val="24"/>
                <w:lang w:val="en-GB"/>
              </w:rPr>
              <w:t>budget</w:t>
            </w:r>
            <w:r>
              <w:rPr>
                <w:rFonts w:ascii="Times New Roman" w:cs="Times New Roman" w:hAnsi="Times New Roman"/>
                <w:sz w:val="24"/>
                <w:szCs w:val="24"/>
                <w:lang w:val="en-GB"/>
              </w:rPr>
              <w:t>.</w:t>
            </w:r>
          </w:p>
          <w:p>
            <w:pPr>
              <w:pStyle w:val="style0"/>
              <w:spacing w:lineRule="auto" w:line="360"/>
              <w:rPr>
                <w:rFonts w:ascii="Times New Roman" w:cs="Times New Roman" w:eastAsia="Times New Roman" w:hAnsi="Times New Roman"/>
                <w:sz w:val="24"/>
                <w:szCs w:val="24"/>
                <w:highlight w:val="yellow"/>
                <w:lang w:val="en-GB"/>
              </w:rPr>
            </w:pP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Medium</w:t>
            </w:r>
          </w:p>
        </w:tc>
        <w:tc>
          <w:tcPr>
            <w:tcW w:w="0" w:type="auto"/>
            <w:tcBorders/>
            <w:hideMark/>
          </w:tcPr>
          <w:p>
            <w:pPr>
              <w:pStyle w:val="style0"/>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Low</w:t>
            </w:r>
          </w:p>
        </w:tc>
        <w:tc>
          <w:tcPr>
            <w:tcW w:w="0" w:type="auto"/>
            <w:tcBorders/>
            <w:hideMark/>
          </w:tcPr>
          <w:p>
            <w:pPr>
              <w:pStyle w:val="style0"/>
              <w:spacing w:lineRule="auto" w:line="360"/>
              <w:rPr>
                <w:rFonts w:ascii="Times New Roman" w:cs="Times New Roman" w:hAnsi="Times New Roman"/>
                <w:sz w:val="24"/>
                <w:szCs w:val="24"/>
                <w:lang w:val="en-GB"/>
              </w:rPr>
            </w:pPr>
            <w:r>
              <w:rPr>
                <w:rFonts w:ascii="Times New Roman" w:cs="Times New Roman" w:hAnsi="Times New Roman"/>
                <w:sz w:val="24"/>
                <w:szCs w:val="24"/>
                <w:lang w:val="en-GB"/>
              </w:rPr>
              <w:t>Staged investment, Funding disbursement, based on KPI.</w:t>
            </w:r>
          </w:p>
          <w:p>
            <w:pPr>
              <w:pStyle w:val="style0"/>
              <w:spacing w:lineRule="auto" w:line="360"/>
              <w:rPr>
                <w:rFonts w:ascii="Times New Roman" w:cs="Times New Roman" w:eastAsia="Times New Roman" w:hAnsi="Times New Roman"/>
                <w:sz w:val="24"/>
                <w:szCs w:val="24"/>
                <w:highlight w:val="yellow"/>
                <w:lang w:val="en-GB"/>
              </w:rPr>
            </w:pPr>
          </w:p>
        </w:tc>
      </w:tr>
    </w:tbl>
    <w:p>
      <w:pPr>
        <w:pStyle w:val="style0"/>
        <w:spacing w:lineRule="auto" w:line="360"/>
        <w:rPr>
          <w:rFonts w:ascii="Times New Roman" w:cs="Times New Roman" w:hAnsi="Times New Roman"/>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Tahoma">
    <w:altName w:val="Tahoma"/>
    <w:panose1 w:val="020b0604030005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3D34566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64688A6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6748B7E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multilevel"/>
    <w:tmpl w:val="B04AAE5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multilevel"/>
    <w:tmpl w:val="FB6C1DD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multilevel"/>
    <w:tmpl w:val="91D41BA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
    <w:nsid w:val="00000006"/>
    <w:multiLevelType w:val="multilevel"/>
    <w:tmpl w:val="5C140428"/>
    <w:lvl w:ilvl="0">
      <w:start w:val="3"/>
      <w:numFmt w:val="decimal"/>
      <w:lvlText w:val="%1"/>
      <w:lvlJc w:val="left"/>
      <w:pPr>
        <w:ind w:left="450" w:hanging="450"/>
      </w:pPr>
      <w:rPr>
        <w:rFonts w:hint="default"/>
      </w:rPr>
    </w:lvl>
    <w:lvl w:ilvl="1">
      <w:start w:val="7"/>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nsid w:val="00000007"/>
    <w:multiLevelType w:val="multilevel"/>
    <w:tmpl w:val="2B4C891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8">
    <w:nsid w:val="00000008"/>
    <w:multiLevelType w:val="multilevel"/>
    <w:tmpl w:val="F88A7CB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multilevel"/>
    <w:tmpl w:val="455C43C6"/>
    <w:lvl w:ilvl="0">
      <w:start w:val="4"/>
      <w:numFmt w:val="decimal"/>
      <w:lvlText w:val="%1"/>
      <w:lvlJc w:val="left"/>
      <w:pPr>
        <w:ind w:left="450" w:hanging="450"/>
      </w:pPr>
      <w:rPr>
        <w:rFonts w:hint="default"/>
      </w:rPr>
    </w:lvl>
    <w:lvl w:ilvl="1">
      <w:start w:val="4"/>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0000000A"/>
    <w:multiLevelType w:val="multilevel"/>
    <w:tmpl w:val="497ED66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1">
    <w:nsid w:val="0000000B"/>
    <w:multiLevelType w:val="multilevel"/>
    <w:tmpl w:val="7F8CC39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2">
    <w:nsid w:val="0000000C"/>
    <w:multiLevelType w:val="multilevel"/>
    <w:tmpl w:val="D9F6431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multilevel"/>
    <w:tmpl w:val="403812D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4">
    <w:nsid w:val="0000000E"/>
    <w:multiLevelType w:val="multilevel"/>
    <w:tmpl w:val="E74CF0D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5">
    <w:nsid w:val="0000000F"/>
    <w:multiLevelType w:val="multilevel"/>
    <w:tmpl w:val="90408F20"/>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6">
    <w:nsid w:val="00000010"/>
    <w:multiLevelType w:val="multilevel"/>
    <w:tmpl w:val="BE5E99E6"/>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7">
    <w:nsid w:val="00000011"/>
    <w:multiLevelType w:val="multilevel"/>
    <w:tmpl w:val="EB00EA4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8">
    <w:nsid w:val="00000012"/>
    <w:multiLevelType w:val="multilevel"/>
    <w:tmpl w:val="4C26DCE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15"/>
  </w:num>
  <w:num w:numId="2">
    <w:abstractNumId w:val="5"/>
  </w:num>
  <w:num w:numId="3">
    <w:abstractNumId w:val="14"/>
  </w:num>
  <w:num w:numId="4">
    <w:abstractNumId w:val="3"/>
  </w:num>
  <w:num w:numId="5">
    <w:abstractNumId w:val="16"/>
  </w:num>
  <w:num w:numId="6">
    <w:abstractNumId w:val="10"/>
  </w:num>
  <w:num w:numId="7">
    <w:abstractNumId w:val="13"/>
  </w:num>
  <w:num w:numId="8">
    <w:abstractNumId w:val="11"/>
  </w:num>
  <w:num w:numId="9">
    <w:abstractNumId w:val="0"/>
  </w:num>
  <w:num w:numId="10">
    <w:abstractNumId w:val="1"/>
  </w:num>
  <w:num w:numId="11">
    <w:abstractNumId w:val="8"/>
  </w:num>
  <w:num w:numId="12">
    <w:abstractNumId w:val="4"/>
  </w:num>
  <w:num w:numId="13">
    <w:abstractNumId w:val="17"/>
  </w:num>
  <w:num w:numId="14">
    <w:abstractNumId w:val="2"/>
  </w:num>
  <w:num w:numId="15">
    <w:abstractNumId w:val="6"/>
  </w:num>
  <w:num w:numId="16">
    <w:abstractNumId w:val="18"/>
  </w:num>
  <w:num w:numId="17">
    <w:abstractNumId w:val="7"/>
  </w:num>
  <w:num w:numId="18">
    <w:abstractNumId w:val="12"/>
  </w:num>
  <w:num w:numId="19">
    <w:abstractNumId w:val="9"/>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6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Calibri" w:hAnsi="Calibri"/>
        <w:sz w:val="22"/>
        <w:szCs w:val="22"/>
        <w:lang w:val="en-US" w:bidi="ar-SA" w:eastAsia="en-US"/>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0"/>
    <w:link w:val="style4100"/>
    <w:qFormat/>
    <w:uiPriority w:val="9"/>
    <w:pPr>
      <w:keepNext/>
      <w:keepLines/>
      <w:spacing w:before="480" w:after="0"/>
      <w:outlineLvl w:val="0"/>
    </w:pPr>
    <w:rPr>
      <w:rFonts w:ascii="Cambria" w:cs="Times New Roman" w:eastAsia="宋体" w:hAnsi="Cambria"/>
      <w:b/>
      <w:bCs/>
      <w:color w:val="365f91"/>
      <w:sz w:val="28"/>
      <w:szCs w:val="28"/>
    </w:rPr>
  </w:style>
  <w:style w:type="paragraph" w:styleId="style2">
    <w:name w:val="heading 2"/>
    <w:basedOn w:val="style0"/>
    <w:next w:val="style2"/>
    <w:link w:val="style4098"/>
    <w:qFormat/>
    <w:uiPriority w:val="9"/>
    <w:pPr>
      <w:spacing w:before="100" w:beforeAutospacing="true" w:after="100" w:afterAutospacing="true" w:lineRule="auto" w:line="240"/>
      <w:outlineLvl w:val="1"/>
    </w:pPr>
    <w:rPr>
      <w:rFonts w:ascii="Times New Roman" w:cs="Times New Roman" w:eastAsia="Times New Roman" w:hAnsi="Times New Roman"/>
      <w:b/>
      <w:bCs/>
      <w:sz w:val="36"/>
      <w:szCs w:val="36"/>
    </w:rPr>
  </w:style>
  <w:style w:type="paragraph" w:styleId="style3">
    <w:name w:val="heading 3"/>
    <w:basedOn w:val="style0"/>
    <w:next w:val="style3"/>
    <w:link w:val="style4099"/>
    <w:qFormat/>
    <w:uiPriority w:val="9"/>
    <w:pPr>
      <w:spacing w:before="100" w:beforeAutospacing="true" w:after="100" w:afterAutospacing="true" w:lineRule="auto" w:line="240"/>
      <w:outlineLvl w:val="2"/>
    </w:pPr>
    <w:rPr>
      <w:rFonts w:ascii="Times New Roman" w:cs="Times New Roman" w:eastAsia="Times New Roman" w:hAnsi="Times New Roman"/>
      <w:b/>
      <w:bCs/>
      <w:sz w:val="27"/>
      <w:szCs w:val="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53">
    <w:name w:val="Balloon Text"/>
    <w:basedOn w:val="style0"/>
    <w:next w:val="style153"/>
    <w:link w:val="style4097"/>
    <w:uiPriority w:val="99"/>
    <w:pPr>
      <w:spacing w:after="0" w:lineRule="auto" w:line="240"/>
    </w:pPr>
    <w:rPr>
      <w:rFonts w:ascii="Tahoma" w:cs="Tahoma" w:hAnsi="Tahoma"/>
      <w:sz w:val="16"/>
      <w:szCs w:val="16"/>
    </w:rPr>
  </w:style>
  <w:style w:type="character" w:customStyle="1" w:styleId="style4097">
    <w:name w:val="Balloon Text Char"/>
    <w:basedOn w:val="style65"/>
    <w:next w:val="style4097"/>
    <w:link w:val="style153"/>
    <w:uiPriority w:val="99"/>
    <w:rPr>
      <w:rFonts w:ascii="Tahoma" w:cs="Tahoma" w:hAnsi="Tahoma"/>
      <w:sz w:val="16"/>
      <w:szCs w:val="16"/>
    </w:rPr>
  </w:style>
  <w:style w:type="character" w:customStyle="1" w:styleId="style4098">
    <w:name w:val="Heading 2 Char_c0ea5857-8acd-47a7-b060-e38f7442752f"/>
    <w:basedOn w:val="style65"/>
    <w:next w:val="style4098"/>
    <w:link w:val="style2"/>
    <w:uiPriority w:val="9"/>
    <w:rPr>
      <w:rFonts w:ascii="Times New Roman" w:cs="Times New Roman" w:eastAsia="Times New Roman" w:hAnsi="Times New Roman"/>
      <w:b/>
      <w:bCs/>
      <w:sz w:val="36"/>
      <w:szCs w:val="36"/>
    </w:rPr>
  </w:style>
  <w:style w:type="character" w:customStyle="1" w:styleId="style4099">
    <w:name w:val="Heading 3 Char_e2a14943-3860-407f-b21f-eb5d504874af"/>
    <w:basedOn w:val="style65"/>
    <w:next w:val="style4099"/>
    <w:link w:val="style3"/>
    <w:uiPriority w:val="9"/>
    <w:rPr>
      <w:rFonts w:ascii="Times New Roman" w:cs="Times New Roman" w:eastAsia="Times New Roman" w:hAnsi="Times New Roman"/>
      <w:b/>
      <w:bCs/>
      <w:sz w:val="27"/>
      <w:szCs w:val="27"/>
    </w:rPr>
  </w:style>
  <w:style w:type="character" w:styleId="style87">
    <w:name w:val="Strong"/>
    <w:basedOn w:val="style65"/>
    <w:next w:val="style87"/>
    <w:qFormat/>
    <w:uiPriority w:val="22"/>
    <w:rPr>
      <w:b/>
      <w:bCs/>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character" w:styleId="style88">
    <w:name w:val="Emphasis"/>
    <w:basedOn w:val="style65"/>
    <w:next w:val="style88"/>
    <w:qFormat/>
    <w:uiPriority w:val="20"/>
    <w:rPr>
      <w:i/>
      <w:iCs/>
    </w:rPr>
  </w:style>
  <w:style w:type="character" w:customStyle="1" w:styleId="style4100">
    <w:name w:val="Heading 1 Char_e9db1f5d-5864-4453-b7cd-96171caa7737"/>
    <w:basedOn w:val="style65"/>
    <w:next w:val="style4100"/>
    <w:link w:val="style1"/>
    <w:uiPriority w:val="9"/>
    <w:rPr>
      <w:rFonts w:ascii="Cambria" w:cs="Times New Roman" w:eastAsia="宋体" w:hAnsi="Cambria"/>
      <w:b/>
      <w:bCs/>
      <w:color w:val="365f91"/>
      <w:sz w:val="28"/>
      <w:szCs w:val="28"/>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01"/>
    <w:uiPriority w:val="99"/>
    <w:pPr>
      <w:tabs>
        <w:tab w:val="center" w:leader="none" w:pos="4680"/>
        <w:tab w:val="right" w:leader="none" w:pos="9360"/>
      </w:tabs>
      <w:spacing w:after="0" w:lineRule="auto" w:line="240"/>
    </w:pPr>
    <w:rPr/>
  </w:style>
  <w:style w:type="character" w:customStyle="1" w:styleId="style4101">
    <w:name w:val="Header Char_13e578e5-217d-4e92-905e-d3d49ce11dd4"/>
    <w:basedOn w:val="style65"/>
    <w:next w:val="style4101"/>
    <w:link w:val="style31"/>
    <w:uiPriority w:val="99"/>
  </w:style>
  <w:style w:type="paragraph" w:styleId="style32">
    <w:name w:val="footer"/>
    <w:basedOn w:val="style0"/>
    <w:next w:val="style32"/>
    <w:link w:val="style4102"/>
    <w:uiPriority w:val="99"/>
    <w:pPr>
      <w:tabs>
        <w:tab w:val="center" w:leader="none" w:pos="4680"/>
        <w:tab w:val="right" w:leader="none" w:pos="9360"/>
      </w:tabs>
      <w:spacing w:after="0" w:lineRule="auto" w:line="240"/>
    </w:pPr>
    <w:rPr/>
  </w:style>
  <w:style w:type="character" w:customStyle="1" w:styleId="style4102">
    <w:name w:val="Footer Char_5314f6fb-134c-434c-aff6-3d06588e1f64"/>
    <w:basedOn w:val="style65"/>
    <w:next w:val="style4102"/>
    <w:link w:val="style32"/>
    <w:uiPriority w:val="99"/>
  </w:style>
  <w:style w:type="table" w:customStyle="1" w:styleId="style4103">
    <w:name w:val="Light Shading - Accent 11"/>
    <w:basedOn w:val="style105"/>
    <w:next w:val="style4103"/>
    <w:uiPriority w:val="60"/>
    <w:pPr>
      <w:spacing w:after="0" w:lineRule="auto" w:line="240"/>
    </w:pPr>
    <w:rPr>
      <w:color w:val="365f91"/>
    </w:rPr>
    <w:tblPr>
      <w:tblStyleRowBandSize w:val="1"/>
      <w:tblStyleColBandSize w:val="1"/>
      <w:tblBorders>
        <w:top w:val="single" w:sz="8" w:space="0" w:color="4f81bd"/>
        <w:bottom w:val="single" w:sz="8" w:space="0" w:color="4f81bd"/>
      </w:tblBorders>
    </w:tblPr>
    <w:tblStylePr w:type="firstRow">
      <w:pPr>
        <w:spacing w:before="0" w:after="0" w:lineRule="auto" w:line="240"/>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Rule="auto" w:line="240"/>
      </w:pPr>
      <w:rPr>
        <w:b/>
        <w:bCs/>
      </w:rPr>
      <w:tblPr/>
      <w:tcPr>
        <w:tcBorders>
          <w:top w:val="single" w:sz="8" w:space="0" w:color="4f81bd"/>
          <w:left w:val="nil"/>
          <w:bottom w:val="single" w:sz="8" w:space="0" w:color="4f81bd"/>
          <w:right w:val="nil"/>
          <w:insideH w:val="nil"/>
          <w:insideV w:val="nil"/>
        </w:tcBorders>
      </w:tcPr>
    </w:tblStylePr>
    <w:tblStylePr w:type="band1Horz">
      <w:pPr/>
      <w:tblPr/>
      <w:tcPr>
        <w:tcBorders>
          <w:left w:val="nil"/>
          <w:right w:val="nil"/>
          <w:insideH w:val="nil"/>
          <w:insideV w:val="nil"/>
        </w:tcBorders>
        <w:shd w:val="clear" w:color="auto" w:fill="d3dfee"/>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d3dfee"/>
      </w:tcPr>
    </w:tblStylePr>
    <w:tcPr>
      <w:tcBorders/>
    </w:tcPr>
  </w:style>
  <w:style w:type="table" w:customStyle="1" w:styleId="style4104">
    <w:name w:val="Medium Shading 2 - Accent 11"/>
    <w:basedOn w:val="style105"/>
    <w:next w:val="style4104"/>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4f81bd"/>
      </w:tcPr>
    </w:tblStylePr>
    <w:tblStylePr w:type="lastCol">
      <w:pPr/>
      <w:rPr>
        <w:b/>
        <w:bCs/>
        <w:color w:val="ffffff"/>
      </w:rPr>
      <w:tblPr/>
      <w:tcPr>
        <w:tcBorders>
          <w:left w:val="nil"/>
          <w:right w:val="nil"/>
          <w:insideH w:val="nil"/>
          <w:insideV w:val="nil"/>
        </w:tcBorders>
        <w:shd w:val="clear" w:color="auto" w:fill="4f81bd"/>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customStyle="1" w:styleId="style4105">
    <w:name w:val="Medium Shading 21"/>
    <w:basedOn w:val="style105"/>
    <w:next w:val="style4105"/>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000000"/>
      </w:tcPr>
    </w:tblStylePr>
    <w:tblStylePr w:type="lastCol">
      <w:pPr/>
      <w:rPr>
        <w:b/>
        <w:bCs/>
        <w:color w:val="ffffff"/>
      </w:rPr>
      <w:tblPr/>
      <w:tcPr>
        <w:tcBorders>
          <w:left w:val="nil"/>
          <w:right w:val="nil"/>
          <w:insideH w:val="nil"/>
          <w:insideV w:val="nil"/>
        </w:tcBorders>
        <w:shd w:val="clear" w:color="auto" w:fill="000000"/>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154">
    <w:name w:val="Table Grid"/>
    <w:basedOn w:val="style105"/>
    <w:next w:val="style154"/>
    <w:uiPriority w:val="59"/>
    <w:pPr>
      <w:spacing w:after="0" w:lineRule="auto" w:line="240"/>
    </w:pPr>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tcPr>
      <w:tcBorders/>
    </w:tcPr>
  </w:style>
  <w:style w:type="paragraph" w:styleId="style179">
    <w:name w:val="List Paragraph"/>
    <w:basedOn w:val="style0"/>
    <w:next w:val="style179"/>
    <w:qFormat/>
    <w:uiPriority w:val="34"/>
    <w:pPr>
      <w:ind w:left="720"/>
      <w:contextualSpacing/>
    </w:pPr>
    <w:rPr/>
  </w:style>
  <w:style w:type="paragraph" w:styleId="style34">
    <w:name w:val="caption"/>
    <w:basedOn w:val="style0"/>
    <w:next w:val="style0"/>
    <w:qFormat/>
    <w:uiPriority w:val="35"/>
    <w:pPr>
      <w:spacing w:lineRule="auto" w:line="240"/>
    </w:pPr>
    <w:rPr>
      <w:b/>
      <w:bCs/>
      <w:color w:val="4f81bd"/>
      <w:sz w:val="18"/>
      <w:szCs w:val="18"/>
    </w:rPr>
  </w:style>
  <w:style w:type="paragraph" w:styleId="style266">
    <w:name w:val="TOC Heading"/>
    <w:basedOn w:val="style1"/>
    <w:next w:val="style0"/>
    <w:qFormat/>
    <w:uiPriority w:val="39"/>
    <w:pPr>
      <w:outlineLvl w:val="9"/>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 w:type="table" w:customStyle="1" w:styleId="style4106">
    <w:name w:val="Light List - Accent 11"/>
    <w:basedOn w:val="style105"/>
    <w:next w:val="style4106"/>
    <w:uiPriority w:val="61"/>
    <w:pPr>
      <w:spacing w:after="0" w:lineRule="auto" w:line="240"/>
    </w:pPr>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Rule="auto" w:line="240"/>
      </w:pPr>
      <w:rPr>
        <w:b/>
        <w:bCs/>
        <w:color w:val="ffffff"/>
      </w:rPr>
      <w:tblPr/>
      <w:tcPr>
        <w:tcBorders/>
        <w:shd w:val="clear" w:color="auto" w:fill="4f81bd"/>
      </w:tcPr>
    </w:tblStylePr>
    <w:tblStylePr w:type="lastRow">
      <w:pPr>
        <w:spacing w:before="0" w:after="0" w:lineRule="auto" w:line="240"/>
      </w:pPr>
      <w:rPr>
        <w:b/>
        <w:bCs/>
      </w:rPr>
      <w:tblPr/>
      <w:tcPr>
        <w:tcBorders>
          <w:top w:val="double" w:sz="6" w:space="0" w:color="4f81bd"/>
          <w:left w:val="single" w:sz="8" w:space="0" w:color="4f81bd"/>
          <w:bottom w:val="single" w:sz="8" w:space="0" w:color="4f81bd"/>
          <w:right w:val="single" w:sz="8" w:space="0" w:color="4f81bd"/>
        </w:tcBorders>
      </w:tcPr>
    </w:tblStylePr>
    <w:tblStylePr w:type="band1Horz">
      <w:pPr/>
      <w:tblPr/>
      <w:tcPr>
        <w:tcBorders>
          <w:top w:val="single" w:sz="8" w:space="0" w:color="4f81bd"/>
          <w:left w:val="single" w:sz="8" w:space="0" w:color="4f81bd"/>
          <w:bottom w:val="single" w:sz="8" w:space="0" w:color="4f81bd"/>
          <w:right w:val="single" w:sz="8" w:space="0" w:color="4f81bd"/>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4f81bd"/>
          <w:left w:val="single" w:sz="8" w:space="0" w:color="4f81bd"/>
          <w:bottom w:val="single" w:sz="8" w:space="0" w:color="4f81bd"/>
          <w:right w:val="single" w:sz="8" w:space="0" w:color="4f81bd"/>
        </w:tcBorders>
      </w:tcPr>
    </w:tblStylePr>
    <w:tcPr>
      <w:tcBorders/>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4" Type="http://schemas.openxmlformats.org/officeDocument/2006/relationships/diagramData" Target="diagrams/data1.xml"/><Relationship Id="rId11" Type="http://schemas.openxmlformats.org/officeDocument/2006/relationships/theme" Target="theme/theme1.xml"/><Relationship Id="rId10" Type="http://schemas.openxmlformats.org/officeDocument/2006/relationships/settings" Target="settings.xml"/><Relationship Id="rId13" Type="http://schemas.microsoft.com/office/2007/relationships/diagramDrawing" Target="diagrams/drawing1.xml"/><Relationship Id="rId12" Type="http://schemas.openxmlformats.org/officeDocument/2006/relationships/customXml" Target="../customXml/item1.xml"/><Relationship Id="rId9" Type="http://schemas.openxmlformats.org/officeDocument/2006/relationships/fontTable" Target="fontTable.xml"/><Relationship Id="rId5" Type="http://schemas.openxmlformats.org/officeDocument/2006/relationships/diagramLayout" Target="diagrams/layout1.xml"/><Relationship Id="rId6" Type="http://schemas.openxmlformats.org/officeDocument/2006/relationships/diagramQuickStyle" Target="diagrams/quickStyle1.xml"/><Relationship Id="rId7" Type="http://schemas.openxmlformats.org/officeDocument/2006/relationships/diagramColors" Target="diagrams/colors1.xml"/><Relationship Id="rId8"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45F182-44B3-474A-AA00-31EA63DCB006}" type="doc">
      <dgm:prSet loTypeId="urn:microsoft.com/office/officeart/2005/8/layout/vList6" loCatId="process" qsTypeId="urn:microsoft.com/office/officeart/2005/8/quickstyle/simple1" qsCatId="simple" csTypeId="urn:microsoft.com/office/officeart/2005/8/colors/accent1_1" csCatId="accent1" phldr="1"/>
      <dgm:spPr/>
      <dgm:t>
        <a:bodyPr/>
        <a:lstStyle/>
        <a:p>
          <a:endParaRPr lang="en-US"/>
        </a:p>
      </dgm:t>
    </dgm:pt>
    <dgm:pt modelId="{A662B943-7C43-4AED-AC08-CBE05345019E}">
      <dgm:prSet phldrT="[Text]"/>
      <dgm:spPr/>
      <dgm:t>
        <a:bodyPr/>
        <a:lstStyle/>
        <a:p>
          <a:r>
            <a:rPr lang="en-US" b="1"/>
            <a:t>Create Urgency</a:t>
          </a:r>
          <a:endParaRPr lang="en-US"/>
        </a:p>
      </dgm:t>
    </dgm:pt>
    <dgm:pt modelId="{CCC58645-2B78-4439-BD48-7A04C34913C7}" type="parTrans" cxnId="{181A5BA9-8958-4C91-860E-1EE4F6B7DD66}">
      <dgm:prSet/>
      <dgm:spPr/>
      <dgm:t>
        <a:bodyPr/>
        <a:lstStyle/>
        <a:p>
          <a:endParaRPr lang="en-US"/>
        </a:p>
      </dgm:t>
    </dgm:pt>
    <dgm:pt modelId="{BEECB653-E9C4-4A6A-9435-B66E317FC01B}" type="sibTrans" cxnId="{181A5BA9-8958-4C91-860E-1EE4F6B7DD66}">
      <dgm:prSet/>
      <dgm:spPr/>
      <dgm:t>
        <a:bodyPr/>
        <a:lstStyle/>
        <a:p>
          <a:endParaRPr lang="en-US"/>
        </a:p>
      </dgm:t>
    </dgm:pt>
    <dgm:pt modelId="{CC3C54FC-AF8E-49FD-B5C7-589961BAAECE}">
      <dgm:prSet/>
      <dgm:spPr/>
      <dgm:t>
        <a:bodyPr/>
        <a:lstStyle/>
        <a:p>
          <a:r>
            <a:rPr lang="en-US" b="1"/>
            <a:t>Form Guiding Coalition</a:t>
          </a:r>
          <a:endParaRPr lang="en-US"/>
        </a:p>
      </dgm:t>
    </dgm:pt>
    <dgm:pt modelId="{D7E29D8D-DD1A-4BBC-9D28-96287A4351EF}" type="parTrans" cxnId="{8A64DE42-78C0-4E55-9B68-25E2403E0514}">
      <dgm:prSet/>
      <dgm:spPr/>
      <dgm:t>
        <a:bodyPr/>
        <a:lstStyle/>
        <a:p>
          <a:endParaRPr lang="en-US"/>
        </a:p>
      </dgm:t>
    </dgm:pt>
    <dgm:pt modelId="{BBE8A1AD-59B7-4868-8789-841C0E28C719}" type="sibTrans" cxnId="{8A64DE42-78C0-4E55-9B68-25E2403E0514}">
      <dgm:prSet/>
      <dgm:spPr/>
      <dgm:t>
        <a:bodyPr/>
        <a:lstStyle/>
        <a:p>
          <a:endParaRPr lang="en-US"/>
        </a:p>
      </dgm:t>
    </dgm:pt>
    <dgm:pt modelId="{13F7B835-1797-41FF-B198-8A73B111AF7A}">
      <dgm:prSet/>
      <dgm:spPr/>
      <dgm:t>
        <a:bodyPr/>
        <a:lstStyle/>
        <a:p>
          <a:r>
            <a:rPr lang="en-US" b="1"/>
            <a:t>Develop Vision</a:t>
          </a:r>
          <a:endParaRPr lang="en-US"/>
        </a:p>
      </dgm:t>
    </dgm:pt>
    <dgm:pt modelId="{3E87327D-2CD3-47D7-A95F-1F4FDBDFD284}" type="parTrans" cxnId="{A84FA8E8-FD87-4DD7-8786-2BC8BFC9701B}">
      <dgm:prSet/>
      <dgm:spPr/>
      <dgm:t>
        <a:bodyPr/>
        <a:lstStyle/>
        <a:p>
          <a:endParaRPr lang="en-US"/>
        </a:p>
      </dgm:t>
    </dgm:pt>
    <dgm:pt modelId="{4CF436DC-58B3-438D-ABD1-109469D73CE1}" type="sibTrans" cxnId="{A84FA8E8-FD87-4DD7-8786-2BC8BFC9701B}">
      <dgm:prSet/>
      <dgm:spPr/>
      <dgm:t>
        <a:bodyPr/>
        <a:lstStyle/>
        <a:p>
          <a:endParaRPr lang="en-US"/>
        </a:p>
      </dgm:t>
    </dgm:pt>
    <dgm:pt modelId="{C839A9DA-9059-4F20-9F54-AA688547EF2D}">
      <dgm:prSet/>
      <dgm:spPr/>
      <dgm:t>
        <a:bodyPr/>
        <a:lstStyle/>
        <a:p>
          <a:r>
            <a:rPr lang="en-US" b="1"/>
            <a:t>Communicate the Vision</a:t>
          </a:r>
          <a:endParaRPr lang="en-US"/>
        </a:p>
      </dgm:t>
    </dgm:pt>
    <dgm:pt modelId="{3C0A3712-9F7B-4F40-B97E-2E6DCE600831}" type="parTrans" cxnId="{CC7DFE62-6448-4FE5-81C4-CD5EA2EAB550}">
      <dgm:prSet/>
      <dgm:spPr/>
      <dgm:t>
        <a:bodyPr/>
        <a:lstStyle/>
        <a:p>
          <a:endParaRPr lang="en-US"/>
        </a:p>
      </dgm:t>
    </dgm:pt>
    <dgm:pt modelId="{ADE95A6C-1256-4C58-9DA2-7DBFCE2D1148}" type="sibTrans" cxnId="{CC7DFE62-6448-4FE5-81C4-CD5EA2EAB550}">
      <dgm:prSet/>
      <dgm:spPr/>
      <dgm:t>
        <a:bodyPr/>
        <a:lstStyle/>
        <a:p>
          <a:endParaRPr lang="en-US"/>
        </a:p>
      </dgm:t>
    </dgm:pt>
    <dgm:pt modelId="{E1F4EC38-7E34-4C7B-9B99-933C50967FFC}">
      <dgm:prSet/>
      <dgm:spPr/>
      <dgm:t>
        <a:bodyPr/>
        <a:lstStyle/>
        <a:p>
          <a:r>
            <a:rPr lang="en-US" b="1"/>
            <a:t>Empower Action</a:t>
          </a:r>
          <a:endParaRPr lang="en-US"/>
        </a:p>
      </dgm:t>
    </dgm:pt>
    <dgm:pt modelId="{49A28882-22F6-4B9A-9A88-B922E131987D}" type="parTrans" cxnId="{A3033369-93EF-4D1E-A3FA-D97031B89036}">
      <dgm:prSet/>
      <dgm:spPr/>
      <dgm:t>
        <a:bodyPr/>
        <a:lstStyle/>
        <a:p>
          <a:endParaRPr lang="en-US"/>
        </a:p>
      </dgm:t>
    </dgm:pt>
    <dgm:pt modelId="{3BA4D653-EE1F-47B1-87AE-74F37B13F9AA}" type="sibTrans" cxnId="{A3033369-93EF-4D1E-A3FA-D97031B89036}">
      <dgm:prSet/>
      <dgm:spPr/>
      <dgm:t>
        <a:bodyPr/>
        <a:lstStyle/>
        <a:p>
          <a:endParaRPr lang="en-US"/>
        </a:p>
      </dgm:t>
    </dgm:pt>
    <dgm:pt modelId="{4D6858BF-1CE2-4419-8B5D-7A6CCE209B01}">
      <dgm:prSet/>
      <dgm:spPr/>
      <dgm:t>
        <a:bodyPr/>
        <a:lstStyle/>
        <a:p>
          <a:r>
            <a:rPr lang="en-US" b="1"/>
            <a:t>Generate Short-Term Wins</a:t>
          </a:r>
          <a:endParaRPr lang="en-US"/>
        </a:p>
      </dgm:t>
    </dgm:pt>
    <dgm:pt modelId="{FE96FFD4-72EF-40FE-87FC-4DDABEC0A664}" type="parTrans" cxnId="{C289B0BC-E002-4F59-9496-31E7B7FC101A}">
      <dgm:prSet/>
      <dgm:spPr/>
      <dgm:t>
        <a:bodyPr/>
        <a:lstStyle/>
        <a:p>
          <a:endParaRPr lang="en-US"/>
        </a:p>
      </dgm:t>
    </dgm:pt>
    <dgm:pt modelId="{804E7240-B1AC-424E-BF33-90163CA2AA96}" type="sibTrans" cxnId="{C289B0BC-E002-4F59-9496-31E7B7FC101A}">
      <dgm:prSet/>
      <dgm:spPr/>
      <dgm:t>
        <a:bodyPr/>
        <a:lstStyle/>
        <a:p>
          <a:endParaRPr lang="en-US"/>
        </a:p>
      </dgm:t>
    </dgm:pt>
    <dgm:pt modelId="{1867CEEC-BA47-46D3-BF2F-E71CE22F89E5}">
      <dgm:prSet/>
      <dgm:spPr/>
      <dgm:t>
        <a:bodyPr/>
        <a:lstStyle/>
        <a:p>
          <a:r>
            <a:rPr lang="en-US" b="1"/>
            <a:t>Sustain Momentum</a:t>
          </a:r>
          <a:endParaRPr lang="en-US"/>
        </a:p>
      </dgm:t>
    </dgm:pt>
    <dgm:pt modelId="{5E340B22-F2B8-4D3F-BC9F-A929CFA4F88C}" type="parTrans" cxnId="{3B1EC0F8-ED3A-4144-8FAB-C0E6ACE5E352}">
      <dgm:prSet/>
      <dgm:spPr/>
      <dgm:t>
        <a:bodyPr/>
        <a:lstStyle/>
        <a:p>
          <a:endParaRPr lang="en-US"/>
        </a:p>
      </dgm:t>
    </dgm:pt>
    <dgm:pt modelId="{B4B87CE3-4B7A-4EBA-AD22-18D5770CC4E4}" type="sibTrans" cxnId="{3B1EC0F8-ED3A-4144-8FAB-C0E6ACE5E352}">
      <dgm:prSet/>
      <dgm:spPr/>
      <dgm:t>
        <a:bodyPr/>
        <a:lstStyle/>
        <a:p>
          <a:endParaRPr lang="en-US"/>
        </a:p>
      </dgm:t>
    </dgm:pt>
    <dgm:pt modelId="{96A9934A-AC09-478B-9109-687787128DAB}">
      <dgm:prSet/>
      <dgm:spPr/>
      <dgm:t>
        <a:bodyPr/>
        <a:lstStyle/>
        <a:p>
          <a:r>
            <a:rPr lang="en-US" b="1"/>
            <a:t>Anchor Change</a:t>
          </a:r>
          <a:endParaRPr lang="en-US"/>
        </a:p>
      </dgm:t>
    </dgm:pt>
    <dgm:pt modelId="{9C370F3E-8B9A-4DC5-92A0-5E7AB12572AC}" type="parTrans" cxnId="{6887967C-B998-4E0E-A73B-2224D19AE6AE}">
      <dgm:prSet/>
      <dgm:spPr/>
      <dgm:t>
        <a:bodyPr/>
        <a:lstStyle/>
        <a:p>
          <a:endParaRPr lang="en-US"/>
        </a:p>
      </dgm:t>
    </dgm:pt>
    <dgm:pt modelId="{E940D14D-D6BA-4BEF-B0C0-11AB04CC6C32}" type="sibTrans" cxnId="{6887967C-B998-4E0E-A73B-2224D19AE6AE}">
      <dgm:prSet/>
      <dgm:spPr/>
      <dgm:t>
        <a:bodyPr/>
        <a:lstStyle/>
        <a:p>
          <a:endParaRPr lang="en-US"/>
        </a:p>
      </dgm:t>
    </dgm:pt>
    <dgm:pt modelId="{4954D613-FB12-46B2-95CC-2ADA3E90E1F8}">
      <dgm:prSet phldrT="[Text]"/>
      <dgm:spPr/>
      <dgm:t>
        <a:bodyPr/>
        <a:lstStyle/>
        <a:p>
          <a:r>
            <a:rPr lang="en-US"/>
            <a:t>Structural decline in traditional retail and digital disruption recognised</a:t>
          </a:r>
        </a:p>
      </dgm:t>
    </dgm:pt>
    <dgm:pt modelId="{068204ED-0AA4-4BE1-9E33-EF8EF83450E1}" type="parTrans" cxnId="{F18D1855-B918-49D4-9FD8-8C4F34FEB840}">
      <dgm:prSet/>
      <dgm:spPr/>
      <dgm:t>
        <a:bodyPr/>
        <a:lstStyle/>
        <a:p>
          <a:endParaRPr lang="en-US"/>
        </a:p>
      </dgm:t>
    </dgm:pt>
    <dgm:pt modelId="{08F9CCD0-BFFA-40E2-B3C7-2F338BA26559}" type="sibTrans" cxnId="{F18D1855-B918-49D4-9FD8-8C4F34FEB840}">
      <dgm:prSet/>
      <dgm:spPr/>
      <dgm:t>
        <a:bodyPr/>
        <a:lstStyle/>
        <a:p>
          <a:endParaRPr lang="en-US"/>
        </a:p>
      </dgm:t>
    </dgm:pt>
    <dgm:pt modelId="{07B1EE29-A613-4814-96DE-582900B800C1}">
      <dgm:prSet/>
      <dgm:spPr/>
      <dgm:t>
        <a:bodyPr/>
        <a:lstStyle/>
        <a:p>
          <a:r>
            <a:rPr lang="en-US"/>
            <a:t>Stronger board oversight and stable senior leadership team</a:t>
          </a:r>
        </a:p>
      </dgm:t>
    </dgm:pt>
    <dgm:pt modelId="{CD7D1CEF-B846-45CF-8C96-F4EF33925991}" type="parTrans" cxnId="{D80CE1CA-5C1C-492B-A0D6-9131EE2AB6CF}">
      <dgm:prSet/>
      <dgm:spPr/>
      <dgm:t>
        <a:bodyPr/>
        <a:lstStyle/>
        <a:p>
          <a:endParaRPr lang="en-US"/>
        </a:p>
      </dgm:t>
    </dgm:pt>
    <dgm:pt modelId="{106ABC15-AEC0-4A2D-BBEC-987D9A5A08D1}" type="sibTrans" cxnId="{D80CE1CA-5C1C-492B-A0D6-9131EE2AB6CF}">
      <dgm:prSet/>
      <dgm:spPr/>
      <dgm:t>
        <a:bodyPr/>
        <a:lstStyle/>
        <a:p>
          <a:endParaRPr lang="en-US"/>
        </a:p>
      </dgm:t>
    </dgm:pt>
    <dgm:pt modelId="{16975CA6-99A3-48C0-B819-D23D3365F00D}">
      <dgm:prSet/>
      <dgm:spPr/>
      <dgm:t>
        <a:bodyPr/>
        <a:lstStyle/>
        <a:p>
          <a:r>
            <a:rPr lang="en-US" i="1"/>
            <a:t>Reshape for Growth</a:t>
          </a:r>
          <a:r>
            <a:rPr lang="en-US"/>
            <a:t> links operational change to long-term viability</a:t>
          </a:r>
        </a:p>
      </dgm:t>
    </dgm:pt>
    <dgm:pt modelId="{E96F19C8-EC81-4B83-A801-53F8B04A9F0D}" type="parTrans" cxnId="{FBBC5396-AE44-48F7-A62E-4657834B8DC6}">
      <dgm:prSet/>
      <dgm:spPr/>
      <dgm:t>
        <a:bodyPr/>
        <a:lstStyle/>
        <a:p>
          <a:endParaRPr lang="en-US"/>
        </a:p>
      </dgm:t>
    </dgm:pt>
    <dgm:pt modelId="{92AA9D88-3912-4DC2-8860-680F6D30A7F4}" type="sibTrans" cxnId="{FBBC5396-AE44-48F7-A62E-4657834B8DC6}">
      <dgm:prSet/>
      <dgm:spPr/>
      <dgm:t>
        <a:bodyPr/>
        <a:lstStyle/>
        <a:p>
          <a:endParaRPr lang="en-US"/>
        </a:p>
      </dgm:t>
    </dgm:pt>
    <dgm:pt modelId="{9945F674-9143-497A-8F8A-9E954FCB3A26}">
      <dgm:prSet/>
      <dgm:spPr/>
      <dgm:t>
        <a:bodyPr/>
        <a:lstStyle/>
        <a:p>
          <a:r>
            <a:rPr lang="en-US"/>
            <a:t>Consistent messaging across leadership and business units</a:t>
          </a:r>
        </a:p>
      </dgm:t>
    </dgm:pt>
    <dgm:pt modelId="{B859BA8A-A285-4EB9-9AC8-DC7C3CD9BF0E}" type="parTrans" cxnId="{8E8BF644-349B-463D-9934-5AF055C202D7}">
      <dgm:prSet/>
      <dgm:spPr/>
      <dgm:t>
        <a:bodyPr/>
        <a:lstStyle/>
        <a:p>
          <a:endParaRPr lang="en-US"/>
        </a:p>
      </dgm:t>
    </dgm:pt>
    <dgm:pt modelId="{408FDA38-32FC-4432-BEC3-C18563CCF114}" type="sibTrans" cxnId="{8E8BF644-349B-463D-9934-5AF055C202D7}">
      <dgm:prSet/>
      <dgm:spPr/>
      <dgm:t>
        <a:bodyPr/>
        <a:lstStyle/>
        <a:p>
          <a:endParaRPr lang="en-US"/>
        </a:p>
      </dgm:t>
    </dgm:pt>
    <dgm:pt modelId="{4AA7F4BE-6236-4A9C-832B-CF3D6C60812D}">
      <dgm:prSet/>
      <dgm:spPr/>
      <dgm:t>
        <a:bodyPr/>
        <a:lstStyle/>
        <a:p>
          <a:r>
            <a:rPr lang="en-US"/>
            <a:t>Store rationalisation, digital investment, supply chain reform</a:t>
          </a:r>
        </a:p>
      </dgm:t>
    </dgm:pt>
    <dgm:pt modelId="{55A0114D-B7B4-4E38-9B1E-3218554555E0}" type="parTrans" cxnId="{941407AA-2078-4B13-85A7-6CF954FB7114}">
      <dgm:prSet/>
      <dgm:spPr/>
      <dgm:t>
        <a:bodyPr/>
        <a:lstStyle/>
        <a:p>
          <a:endParaRPr lang="en-US"/>
        </a:p>
      </dgm:t>
    </dgm:pt>
    <dgm:pt modelId="{646EB3E6-2BB0-41EA-A124-F2E5FA9DD700}" type="sibTrans" cxnId="{941407AA-2078-4B13-85A7-6CF954FB7114}">
      <dgm:prSet/>
      <dgm:spPr/>
      <dgm:t>
        <a:bodyPr/>
        <a:lstStyle/>
        <a:p>
          <a:endParaRPr lang="en-US"/>
        </a:p>
      </dgm:t>
    </dgm:pt>
    <dgm:pt modelId="{4231D84C-426A-418B-A7C3-3C0CB609CA14}">
      <dgm:prSet/>
      <dgm:spPr/>
      <dgm:t>
        <a:bodyPr/>
        <a:lstStyle/>
        <a:p>
          <a:r>
            <a:rPr lang="en-US"/>
            <a:t>Improved profitability and strong Food division performance</a:t>
          </a:r>
        </a:p>
      </dgm:t>
    </dgm:pt>
    <dgm:pt modelId="{5B577F6E-BFFA-48FC-8D07-5F01A589585D}" type="parTrans" cxnId="{66A90564-2EB7-4299-AFD8-CEDBBB3F41F7}">
      <dgm:prSet/>
      <dgm:spPr/>
      <dgm:t>
        <a:bodyPr/>
        <a:lstStyle/>
        <a:p>
          <a:endParaRPr lang="en-US"/>
        </a:p>
      </dgm:t>
    </dgm:pt>
    <dgm:pt modelId="{12D2E2D1-057F-4C90-979F-03D5F9C540FC}" type="sibTrans" cxnId="{66A90564-2EB7-4299-AFD8-CEDBBB3F41F7}">
      <dgm:prSet/>
      <dgm:spPr/>
      <dgm:t>
        <a:bodyPr/>
        <a:lstStyle/>
        <a:p>
          <a:endParaRPr lang="en-US"/>
        </a:p>
      </dgm:t>
    </dgm:pt>
    <dgm:pt modelId="{600B9F38-AC82-42CF-B3A8-77386C69A230}">
      <dgm:prSet/>
      <dgm:spPr/>
      <dgm:t>
        <a:bodyPr/>
        <a:lstStyle/>
        <a:p>
          <a:r>
            <a:rPr lang="en-US"/>
            <a:t>Ongoing restructuring and operational discipline</a:t>
          </a:r>
        </a:p>
      </dgm:t>
    </dgm:pt>
    <dgm:pt modelId="{30EB964C-6351-4BAD-BF52-5FE87A6EFD70}" type="parTrans" cxnId="{F08EC645-DC08-4211-8943-02FCCF4350F7}">
      <dgm:prSet/>
      <dgm:spPr/>
      <dgm:t>
        <a:bodyPr/>
        <a:lstStyle/>
        <a:p>
          <a:endParaRPr lang="en-US"/>
        </a:p>
      </dgm:t>
    </dgm:pt>
    <dgm:pt modelId="{C5BADB11-DDEC-4CBE-9FDD-03005EF3CAAF}" type="sibTrans" cxnId="{F08EC645-DC08-4211-8943-02FCCF4350F7}">
      <dgm:prSet/>
      <dgm:spPr/>
      <dgm:t>
        <a:bodyPr/>
        <a:lstStyle/>
        <a:p>
          <a:endParaRPr lang="en-US"/>
        </a:p>
      </dgm:t>
    </dgm:pt>
    <dgm:pt modelId="{B72C0DED-A54E-4CF3-946F-43FF9D515FB1}">
      <dgm:prSet/>
      <dgm:spPr/>
      <dgm:t>
        <a:bodyPr/>
        <a:lstStyle/>
        <a:p>
          <a:pPr rtl="0"/>
          <a:r>
            <a:rPr lang="en-US" b="1"/>
            <a:t>Partially achieved</a:t>
          </a:r>
          <a:r>
            <a:rPr lang="en-US"/>
            <a:t> – resistance, skills gaps, weak reward alignment</a:t>
          </a:r>
        </a:p>
      </dgm:t>
    </dgm:pt>
    <dgm:pt modelId="{A4B5FFD7-B11E-44C7-94F5-FE765D587CB8}" type="parTrans" cxnId="{8DDC11E1-6592-4606-9083-1C7571912127}">
      <dgm:prSet/>
      <dgm:spPr/>
      <dgm:t>
        <a:bodyPr/>
        <a:lstStyle/>
        <a:p>
          <a:endParaRPr lang="en-US"/>
        </a:p>
      </dgm:t>
    </dgm:pt>
    <dgm:pt modelId="{D4844648-A8F4-4C53-A0BB-C3DED586D450}" type="sibTrans" cxnId="{8DDC11E1-6592-4606-9083-1C7571912127}">
      <dgm:prSet/>
      <dgm:spPr/>
      <dgm:t>
        <a:bodyPr/>
        <a:lstStyle/>
        <a:p>
          <a:endParaRPr lang="en-US"/>
        </a:p>
      </dgm:t>
    </dgm:pt>
    <dgm:pt modelId="{E3700684-281B-403D-926E-EEA6E392C9F9}" type="pres">
      <dgm:prSet presAssocID="{A545F182-44B3-474A-AA00-31EA63DCB006}" presName="Name0" presStyleCnt="0">
        <dgm:presLayoutVars>
          <dgm:dir/>
          <dgm:animLvl val="lvl"/>
          <dgm:resizeHandles/>
        </dgm:presLayoutVars>
      </dgm:prSet>
      <dgm:spPr/>
      <dgm:t>
        <a:bodyPr/>
        <a:lstStyle/>
        <a:p>
          <a:endParaRPr lang="en-US"/>
        </a:p>
      </dgm:t>
    </dgm:pt>
    <dgm:pt modelId="{F6222960-9485-44EC-B077-4F1D31235350}" type="pres">
      <dgm:prSet presAssocID="{A662B943-7C43-4AED-AC08-CBE05345019E}" presName="linNode" presStyleCnt="0"/>
      <dgm:spPr/>
    </dgm:pt>
    <dgm:pt modelId="{A6D1E958-75B2-49FF-A8B1-99EFF8F57214}" type="pres">
      <dgm:prSet presAssocID="{A662B943-7C43-4AED-AC08-CBE05345019E}" presName="parentShp" presStyleLbl="node1" presStyleIdx="0" presStyleCnt="8">
        <dgm:presLayoutVars>
          <dgm:bulletEnabled val="1"/>
        </dgm:presLayoutVars>
      </dgm:prSet>
      <dgm:spPr/>
      <dgm:t>
        <a:bodyPr/>
        <a:lstStyle/>
        <a:p>
          <a:endParaRPr lang="en-US"/>
        </a:p>
      </dgm:t>
    </dgm:pt>
    <dgm:pt modelId="{8BED1967-3DD5-4A16-BA41-3FA3AED048D8}" type="pres">
      <dgm:prSet presAssocID="{A662B943-7C43-4AED-AC08-CBE05345019E}" presName="childShp" presStyleLbl="bgAccFollowNode1" presStyleIdx="0" presStyleCnt="8">
        <dgm:presLayoutVars>
          <dgm:bulletEnabled val="1"/>
        </dgm:presLayoutVars>
      </dgm:prSet>
      <dgm:spPr/>
      <dgm:t>
        <a:bodyPr/>
        <a:lstStyle/>
        <a:p>
          <a:endParaRPr lang="en-US"/>
        </a:p>
      </dgm:t>
    </dgm:pt>
    <dgm:pt modelId="{F588F96C-0B51-4976-9EC1-45968EC89B96}" type="pres">
      <dgm:prSet presAssocID="{BEECB653-E9C4-4A6A-9435-B66E317FC01B}" presName="spacing" presStyleCnt="0"/>
      <dgm:spPr/>
    </dgm:pt>
    <dgm:pt modelId="{B493D1A2-43E4-4EA1-A5DE-6538412F53D1}" type="pres">
      <dgm:prSet presAssocID="{CC3C54FC-AF8E-49FD-B5C7-589961BAAECE}" presName="linNode" presStyleCnt="0"/>
      <dgm:spPr/>
    </dgm:pt>
    <dgm:pt modelId="{29E7B8F9-3B28-4156-8FD8-A266A64AA21C}" type="pres">
      <dgm:prSet presAssocID="{CC3C54FC-AF8E-49FD-B5C7-589961BAAECE}" presName="parentShp" presStyleLbl="node1" presStyleIdx="1" presStyleCnt="8">
        <dgm:presLayoutVars>
          <dgm:bulletEnabled val="1"/>
        </dgm:presLayoutVars>
      </dgm:prSet>
      <dgm:spPr/>
      <dgm:t>
        <a:bodyPr/>
        <a:lstStyle/>
        <a:p>
          <a:endParaRPr lang="en-US"/>
        </a:p>
      </dgm:t>
    </dgm:pt>
    <dgm:pt modelId="{9AAE2956-E1DD-4BD3-BF68-B5F7E6B1C547}" type="pres">
      <dgm:prSet presAssocID="{CC3C54FC-AF8E-49FD-B5C7-589961BAAECE}" presName="childShp" presStyleLbl="bgAccFollowNode1" presStyleIdx="1" presStyleCnt="8">
        <dgm:presLayoutVars>
          <dgm:bulletEnabled val="1"/>
        </dgm:presLayoutVars>
      </dgm:prSet>
      <dgm:spPr/>
      <dgm:t>
        <a:bodyPr/>
        <a:lstStyle/>
        <a:p>
          <a:endParaRPr lang="en-US"/>
        </a:p>
      </dgm:t>
    </dgm:pt>
    <dgm:pt modelId="{FC10227A-BEFC-4F43-9AC1-758236A58E7B}" type="pres">
      <dgm:prSet presAssocID="{BBE8A1AD-59B7-4868-8789-841C0E28C719}" presName="spacing" presStyleCnt="0"/>
      <dgm:spPr/>
    </dgm:pt>
    <dgm:pt modelId="{AF72DF3B-0E13-4E1D-BEE8-36390C26197F}" type="pres">
      <dgm:prSet presAssocID="{13F7B835-1797-41FF-B198-8A73B111AF7A}" presName="linNode" presStyleCnt="0"/>
      <dgm:spPr/>
    </dgm:pt>
    <dgm:pt modelId="{6D08BF0A-A9B2-4349-B427-931E452ED31B}" type="pres">
      <dgm:prSet presAssocID="{13F7B835-1797-41FF-B198-8A73B111AF7A}" presName="parentShp" presStyleLbl="node1" presStyleIdx="2" presStyleCnt="8">
        <dgm:presLayoutVars>
          <dgm:bulletEnabled val="1"/>
        </dgm:presLayoutVars>
      </dgm:prSet>
      <dgm:spPr/>
      <dgm:t>
        <a:bodyPr/>
        <a:lstStyle/>
        <a:p>
          <a:endParaRPr lang="en-US"/>
        </a:p>
      </dgm:t>
    </dgm:pt>
    <dgm:pt modelId="{A8F7EADA-048C-4473-9B41-C9273E6B9530}" type="pres">
      <dgm:prSet presAssocID="{13F7B835-1797-41FF-B198-8A73B111AF7A}" presName="childShp" presStyleLbl="bgAccFollowNode1" presStyleIdx="2" presStyleCnt="8">
        <dgm:presLayoutVars>
          <dgm:bulletEnabled val="1"/>
        </dgm:presLayoutVars>
      </dgm:prSet>
      <dgm:spPr/>
      <dgm:t>
        <a:bodyPr/>
        <a:lstStyle/>
        <a:p>
          <a:endParaRPr lang="en-US"/>
        </a:p>
      </dgm:t>
    </dgm:pt>
    <dgm:pt modelId="{522B6E54-FD68-4D44-B9A0-CAC1AB329AAF}" type="pres">
      <dgm:prSet presAssocID="{4CF436DC-58B3-438D-ABD1-109469D73CE1}" presName="spacing" presStyleCnt="0"/>
      <dgm:spPr/>
    </dgm:pt>
    <dgm:pt modelId="{CBE78941-C310-4064-AF48-16087BDB2B5D}" type="pres">
      <dgm:prSet presAssocID="{C839A9DA-9059-4F20-9F54-AA688547EF2D}" presName="linNode" presStyleCnt="0"/>
      <dgm:spPr/>
    </dgm:pt>
    <dgm:pt modelId="{51B9C2A6-54B3-43F7-9DE7-293BBB0C0F4A}" type="pres">
      <dgm:prSet presAssocID="{C839A9DA-9059-4F20-9F54-AA688547EF2D}" presName="parentShp" presStyleLbl="node1" presStyleIdx="3" presStyleCnt="8">
        <dgm:presLayoutVars>
          <dgm:bulletEnabled val="1"/>
        </dgm:presLayoutVars>
      </dgm:prSet>
      <dgm:spPr/>
      <dgm:t>
        <a:bodyPr/>
        <a:lstStyle/>
        <a:p>
          <a:endParaRPr lang="en-US"/>
        </a:p>
      </dgm:t>
    </dgm:pt>
    <dgm:pt modelId="{51ECD6F1-4BD9-4717-90CA-80AE67380F33}" type="pres">
      <dgm:prSet presAssocID="{C839A9DA-9059-4F20-9F54-AA688547EF2D}" presName="childShp" presStyleLbl="bgAccFollowNode1" presStyleIdx="3" presStyleCnt="8">
        <dgm:presLayoutVars>
          <dgm:bulletEnabled val="1"/>
        </dgm:presLayoutVars>
      </dgm:prSet>
      <dgm:spPr/>
      <dgm:t>
        <a:bodyPr/>
        <a:lstStyle/>
        <a:p>
          <a:endParaRPr lang="en-US"/>
        </a:p>
      </dgm:t>
    </dgm:pt>
    <dgm:pt modelId="{4063F29C-A858-4A2A-A7AC-BEF745A7DF9E}" type="pres">
      <dgm:prSet presAssocID="{ADE95A6C-1256-4C58-9DA2-7DBFCE2D1148}" presName="spacing" presStyleCnt="0"/>
      <dgm:spPr/>
    </dgm:pt>
    <dgm:pt modelId="{8F5F2DB4-7FCD-4730-8495-D40DDB798348}" type="pres">
      <dgm:prSet presAssocID="{E1F4EC38-7E34-4C7B-9B99-933C50967FFC}" presName="linNode" presStyleCnt="0"/>
      <dgm:spPr/>
    </dgm:pt>
    <dgm:pt modelId="{6BDC7D21-7AF2-481A-BDA4-974939364B0B}" type="pres">
      <dgm:prSet presAssocID="{E1F4EC38-7E34-4C7B-9B99-933C50967FFC}" presName="parentShp" presStyleLbl="node1" presStyleIdx="4" presStyleCnt="8">
        <dgm:presLayoutVars>
          <dgm:bulletEnabled val="1"/>
        </dgm:presLayoutVars>
      </dgm:prSet>
      <dgm:spPr/>
      <dgm:t>
        <a:bodyPr/>
        <a:lstStyle/>
        <a:p>
          <a:endParaRPr lang="en-US"/>
        </a:p>
      </dgm:t>
    </dgm:pt>
    <dgm:pt modelId="{4322F8EC-EBC3-44E6-8D68-3F0E8C4E1E8C}" type="pres">
      <dgm:prSet presAssocID="{E1F4EC38-7E34-4C7B-9B99-933C50967FFC}" presName="childShp" presStyleLbl="bgAccFollowNode1" presStyleIdx="4" presStyleCnt="8">
        <dgm:presLayoutVars>
          <dgm:bulletEnabled val="1"/>
        </dgm:presLayoutVars>
      </dgm:prSet>
      <dgm:spPr/>
      <dgm:t>
        <a:bodyPr/>
        <a:lstStyle/>
        <a:p>
          <a:endParaRPr lang="en-US"/>
        </a:p>
      </dgm:t>
    </dgm:pt>
    <dgm:pt modelId="{5ABBDD85-B90B-4251-9B51-F8E574C96600}" type="pres">
      <dgm:prSet presAssocID="{3BA4D653-EE1F-47B1-87AE-74F37B13F9AA}" presName="spacing" presStyleCnt="0"/>
      <dgm:spPr/>
    </dgm:pt>
    <dgm:pt modelId="{EED2B62B-2661-4F02-B739-9286F7BE3DAF}" type="pres">
      <dgm:prSet presAssocID="{4D6858BF-1CE2-4419-8B5D-7A6CCE209B01}" presName="linNode" presStyleCnt="0"/>
      <dgm:spPr/>
    </dgm:pt>
    <dgm:pt modelId="{7E44851A-0FB6-4AE1-86C5-0413CF1FFB6B}" type="pres">
      <dgm:prSet presAssocID="{4D6858BF-1CE2-4419-8B5D-7A6CCE209B01}" presName="parentShp" presStyleLbl="node1" presStyleIdx="5" presStyleCnt="8">
        <dgm:presLayoutVars>
          <dgm:bulletEnabled val="1"/>
        </dgm:presLayoutVars>
      </dgm:prSet>
      <dgm:spPr/>
      <dgm:t>
        <a:bodyPr/>
        <a:lstStyle/>
        <a:p>
          <a:endParaRPr lang="en-US"/>
        </a:p>
      </dgm:t>
    </dgm:pt>
    <dgm:pt modelId="{04A25B25-AE68-4C9B-AAC5-0FA3E7ABD362}" type="pres">
      <dgm:prSet presAssocID="{4D6858BF-1CE2-4419-8B5D-7A6CCE209B01}" presName="childShp" presStyleLbl="bgAccFollowNode1" presStyleIdx="5" presStyleCnt="8">
        <dgm:presLayoutVars>
          <dgm:bulletEnabled val="1"/>
        </dgm:presLayoutVars>
      </dgm:prSet>
      <dgm:spPr/>
      <dgm:t>
        <a:bodyPr/>
        <a:lstStyle/>
        <a:p>
          <a:endParaRPr lang="en-US"/>
        </a:p>
      </dgm:t>
    </dgm:pt>
    <dgm:pt modelId="{29909E4B-FBDF-4E71-9C4D-475FE9C6FAE7}" type="pres">
      <dgm:prSet presAssocID="{804E7240-B1AC-424E-BF33-90163CA2AA96}" presName="spacing" presStyleCnt="0"/>
      <dgm:spPr/>
    </dgm:pt>
    <dgm:pt modelId="{F22AC29A-9C12-41BE-B6DE-C20807D1EADD}" type="pres">
      <dgm:prSet presAssocID="{1867CEEC-BA47-46D3-BF2F-E71CE22F89E5}" presName="linNode" presStyleCnt="0"/>
      <dgm:spPr/>
    </dgm:pt>
    <dgm:pt modelId="{355609AA-81B8-44A3-803F-DA2852815413}" type="pres">
      <dgm:prSet presAssocID="{1867CEEC-BA47-46D3-BF2F-E71CE22F89E5}" presName="parentShp" presStyleLbl="node1" presStyleIdx="6" presStyleCnt="8">
        <dgm:presLayoutVars>
          <dgm:bulletEnabled val="1"/>
        </dgm:presLayoutVars>
      </dgm:prSet>
      <dgm:spPr/>
      <dgm:t>
        <a:bodyPr/>
        <a:lstStyle/>
        <a:p>
          <a:endParaRPr lang="en-US"/>
        </a:p>
      </dgm:t>
    </dgm:pt>
    <dgm:pt modelId="{51D5A6BC-7EF5-4F0F-B943-7DCEF2B2CA3F}" type="pres">
      <dgm:prSet presAssocID="{1867CEEC-BA47-46D3-BF2F-E71CE22F89E5}" presName="childShp" presStyleLbl="bgAccFollowNode1" presStyleIdx="6" presStyleCnt="8">
        <dgm:presLayoutVars>
          <dgm:bulletEnabled val="1"/>
        </dgm:presLayoutVars>
      </dgm:prSet>
      <dgm:spPr/>
      <dgm:t>
        <a:bodyPr/>
        <a:lstStyle/>
        <a:p>
          <a:endParaRPr lang="en-US"/>
        </a:p>
      </dgm:t>
    </dgm:pt>
    <dgm:pt modelId="{CB544AE6-06F0-4810-86C4-4A434FB3F1F6}" type="pres">
      <dgm:prSet presAssocID="{B4B87CE3-4B7A-4EBA-AD22-18D5770CC4E4}" presName="spacing" presStyleCnt="0"/>
      <dgm:spPr/>
    </dgm:pt>
    <dgm:pt modelId="{18D77088-8778-4C43-96C0-E99176B0411A}" type="pres">
      <dgm:prSet presAssocID="{96A9934A-AC09-478B-9109-687787128DAB}" presName="linNode" presStyleCnt="0"/>
      <dgm:spPr/>
    </dgm:pt>
    <dgm:pt modelId="{70A39780-FE89-4DD0-8326-6E845340B65B}" type="pres">
      <dgm:prSet presAssocID="{96A9934A-AC09-478B-9109-687787128DAB}" presName="parentShp" presStyleLbl="node1" presStyleIdx="7" presStyleCnt="8">
        <dgm:presLayoutVars>
          <dgm:bulletEnabled val="1"/>
        </dgm:presLayoutVars>
      </dgm:prSet>
      <dgm:spPr/>
      <dgm:t>
        <a:bodyPr/>
        <a:lstStyle/>
        <a:p>
          <a:endParaRPr lang="en-US"/>
        </a:p>
      </dgm:t>
    </dgm:pt>
    <dgm:pt modelId="{19637465-ACF0-4A3C-B624-643968095A8C}" type="pres">
      <dgm:prSet presAssocID="{96A9934A-AC09-478B-9109-687787128DAB}" presName="childShp" presStyleLbl="bgAccFollowNode1" presStyleIdx="7" presStyleCnt="8">
        <dgm:presLayoutVars>
          <dgm:bulletEnabled val="1"/>
        </dgm:presLayoutVars>
      </dgm:prSet>
      <dgm:spPr/>
      <dgm:t>
        <a:bodyPr/>
        <a:lstStyle/>
        <a:p>
          <a:endParaRPr lang="en-US"/>
        </a:p>
      </dgm:t>
    </dgm:pt>
  </dgm:ptLst>
  <dgm:cxnLst>
    <dgm:cxn modelId="{D80CE1CA-5C1C-492B-A0D6-9131EE2AB6CF}" srcId="{CC3C54FC-AF8E-49FD-B5C7-589961BAAECE}" destId="{07B1EE29-A613-4814-96DE-582900B800C1}" srcOrd="0" destOrd="0" parTransId="{CD7D1CEF-B846-45CF-8C96-F4EF33925991}" sibTransId="{106ABC15-AEC0-4A2D-BBEC-987D9A5A08D1}"/>
    <dgm:cxn modelId="{CC7DFE62-6448-4FE5-81C4-CD5EA2EAB550}" srcId="{A545F182-44B3-474A-AA00-31EA63DCB006}" destId="{C839A9DA-9059-4F20-9F54-AA688547EF2D}" srcOrd="3" destOrd="0" parTransId="{3C0A3712-9F7B-4F40-B97E-2E6DCE600831}" sibTransId="{ADE95A6C-1256-4C58-9DA2-7DBFCE2D1148}"/>
    <dgm:cxn modelId="{181A5BA9-8958-4C91-860E-1EE4F6B7DD66}" srcId="{A545F182-44B3-474A-AA00-31EA63DCB006}" destId="{A662B943-7C43-4AED-AC08-CBE05345019E}" srcOrd="0" destOrd="0" parTransId="{CCC58645-2B78-4439-BD48-7A04C34913C7}" sibTransId="{BEECB653-E9C4-4A6A-9435-B66E317FC01B}"/>
    <dgm:cxn modelId="{3B1EC0F8-ED3A-4144-8FAB-C0E6ACE5E352}" srcId="{A545F182-44B3-474A-AA00-31EA63DCB006}" destId="{1867CEEC-BA47-46D3-BF2F-E71CE22F89E5}" srcOrd="6" destOrd="0" parTransId="{5E340B22-F2B8-4D3F-BC9F-A929CFA4F88C}" sibTransId="{B4B87CE3-4B7A-4EBA-AD22-18D5770CC4E4}"/>
    <dgm:cxn modelId="{6887967C-B998-4E0E-A73B-2224D19AE6AE}" srcId="{A545F182-44B3-474A-AA00-31EA63DCB006}" destId="{96A9934A-AC09-478B-9109-687787128DAB}" srcOrd="7" destOrd="0" parTransId="{9C370F3E-8B9A-4DC5-92A0-5E7AB12572AC}" sibTransId="{E940D14D-D6BA-4BEF-B0C0-11AB04CC6C32}"/>
    <dgm:cxn modelId="{E6AB59A1-24ED-4753-A63B-566201C9E484}" type="presOf" srcId="{96A9934A-AC09-478B-9109-687787128DAB}" destId="{70A39780-FE89-4DD0-8326-6E845340B65B}" srcOrd="0" destOrd="0" presId="urn:microsoft.com/office/officeart/2005/8/layout/vList6"/>
    <dgm:cxn modelId="{7678C717-C01E-43B0-935F-14E558947EFB}" type="presOf" srcId="{4954D613-FB12-46B2-95CC-2ADA3E90E1F8}" destId="{8BED1967-3DD5-4A16-BA41-3FA3AED048D8}" srcOrd="0" destOrd="0" presId="urn:microsoft.com/office/officeart/2005/8/layout/vList6"/>
    <dgm:cxn modelId="{3DB69029-2C7A-40C6-BF62-6ED9109689DE}" type="presOf" srcId="{1867CEEC-BA47-46D3-BF2F-E71CE22F89E5}" destId="{355609AA-81B8-44A3-803F-DA2852815413}" srcOrd="0" destOrd="0" presId="urn:microsoft.com/office/officeart/2005/8/layout/vList6"/>
    <dgm:cxn modelId="{8A64DE42-78C0-4E55-9B68-25E2403E0514}" srcId="{A545F182-44B3-474A-AA00-31EA63DCB006}" destId="{CC3C54FC-AF8E-49FD-B5C7-589961BAAECE}" srcOrd="1" destOrd="0" parTransId="{D7E29D8D-DD1A-4BBC-9D28-96287A4351EF}" sibTransId="{BBE8A1AD-59B7-4868-8789-841C0E28C719}"/>
    <dgm:cxn modelId="{B14B1F3A-35BA-44FE-A98E-B925CB21A1A6}" type="presOf" srcId="{B72C0DED-A54E-4CF3-946F-43FF9D515FB1}" destId="{19637465-ACF0-4A3C-B624-643968095A8C}" srcOrd="0" destOrd="0" presId="urn:microsoft.com/office/officeart/2005/8/layout/vList6"/>
    <dgm:cxn modelId="{FBBC5396-AE44-48F7-A62E-4657834B8DC6}" srcId="{13F7B835-1797-41FF-B198-8A73B111AF7A}" destId="{16975CA6-99A3-48C0-B819-D23D3365F00D}" srcOrd="0" destOrd="0" parTransId="{E96F19C8-EC81-4B83-A801-53F8B04A9F0D}" sibTransId="{92AA9D88-3912-4DC2-8860-680F6D30A7F4}"/>
    <dgm:cxn modelId="{941407AA-2078-4B13-85A7-6CF954FB7114}" srcId="{E1F4EC38-7E34-4C7B-9B99-933C50967FFC}" destId="{4AA7F4BE-6236-4A9C-832B-CF3D6C60812D}" srcOrd="0" destOrd="0" parTransId="{55A0114D-B7B4-4E38-9B1E-3218554555E0}" sibTransId="{646EB3E6-2BB0-41EA-A124-F2E5FA9DD700}"/>
    <dgm:cxn modelId="{DF4E35C8-2884-4D7C-9ADE-3EEB07DF441D}" type="presOf" srcId="{4AA7F4BE-6236-4A9C-832B-CF3D6C60812D}" destId="{4322F8EC-EBC3-44E6-8D68-3F0E8C4E1E8C}" srcOrd="0" destOrd="0" presId="urn:microsoft.com/office/officeart/2005/8/layout/vList6"/>
    <dgm:cxn modelId="{04DAB24F-2D2E-4A21-B5D3-FBE72815530F}" type="presOf" srcId="{4D6858BF-1CE2-4419-8B5D-7A6CCE209B01}" destId="{7E44851A-0FB6-4AE1-86C5-0413CF1FFB6B}" srcOrd="0" destOrd="0" presId="urn:microsoft.com/office/officeart/2005/8/layout/vList6"/>
    <dgm:cxn modelId="{C289B0BC-E002-4F59-9496-31E7B7FC101A}" srcId="{A545F182-44B3-474A-AA00-31EA63DCB006}" destId="{4D6858BF-1CE2-4419-8B5D-7A6CCE209B01}" srcOrd="5" destOrd="0" parTransId="{FE96FFD4-72EF-40FE-87FC-4DDABEC0A664}" sibTransId="{804E7240-B1AC-424E-BF33-90163CA2AA96}"/>
    <dgm:cxn modelId="{F18D1855-B918-49D4-9FD8-8C4F34FEB840}" srcId="{A662B943-7C43-4AED-AC08-CBE05345019E}" destId="{4954D613-FB12-46B2-95CC-2ADA3E90E1F8}" srcOrd="0" destOrd="0" parTransId="{068204ED-0AA4-4BE1-9E33-EF8EF83450E1}" sibTransId="{08F9CCD0-BFFA-40E2-B3C7-2F338BA26559}"/>
    <dgm:cxn modelId="{C62B7E31-DCDB-4CEB-887A-0F832CDC8BBD}" type="presOf" srcId="{9945F674-9143-497A-8F8A-9E954FCB3A26}" destId="{51ECD6F1-4BD9-4717-90CA-80AE67380F33}" srcOrd="0" destOrd="0" presId="urn:microsoft.com/office/officeart/2005/8/layout/vList6"/>
    <dgm:cxn modelId="{C7499340-0109-40D5-BA73-660B993FDFF8}" type="presOf" srcId="{CC3C54FC-AF8E-49FD-B5C7-589961BAAECE}" destId="{29E7B8F9-3B28-4156-8FD8-A266A64AA21C}" srcOrd="0" destOrd="0" presId="urn:microsoft.com/office/officeart/2005/8/layout/vList6"/>
    <dgm:cxn modelId="{A84FA8E8-FD87-4DD7-8786-2BC8BFC9701B}" srcId="{A545F182-44B3-474A-AA00-31EA63DCB006}" destId="{13F7B835-1797-41FF-B198-8A73B111AF7A}" srcOrd="2" destOrd="0" parTransId="{3E87327D-2CD3-47D7-A95F-1F4FDBDFD284}" sibTransId="{4CF436DC-58B3-438D-ABD1-109469D73CE1}"/>
    <dgm:cxn modelId="{C89385AF-84B4-4BFD-B43A-826AE923D098}" type="presOf" srcId="{A545F182-44B3-474A-AA00-31EA63DCB006}" destId="{E3700684-281B-403D-926E-EEA6E392C9F9}" srcOrd="0" destOrd="0" presId="urn:microsoft.com/office/officeart/2005/8/layout/vList6"/>
    <dgm:cxn modelId="{0CDE138A-B834-40A5-807A-50B1F7D4654D}" type="presOf" srcId="{E1F4EC38-7E34-4C7B-9B99-933C50967FFC}" destId="{6BDC7D21-7AF2-481A-BDA4-974939364B0B}" srcOrd="0" destOrd="0" presId="urn:microsoft.com/office/officeart/2005/8/layout/vList6"/>
    <dgm:cxn modelId="{A3033369-93EF-4D1E-A3FA-D97031B89036}" srcId="{A545F182-44B3-474A-AA00-31EA63DCB006}" destId="{E1F4EC38-7E34-4C7B-9B99-933C50967FFC}" srcOrd="4" destOrd="0" parTransId="{49A28882-22F6-4B9A-9A88-B922E131987D}" sibTransId="{3BA4D653-EE1F-47B1-87AE-74F37B13F9AA}"/>
    <dgm:cxn modelId="{095243A2-1DED-4B3F-8040-1F9D2C2A7412}" type="presOf" srcId="{13F7B835-1797-41FF-B198-8A73B111AF7A}" destId="{6D08BF0A-A9B2-4349-B427-931E452ED31B}" srcOrd="0" destOrd="0" presId="urn:microsoft.com/office/officeart/2005/8/layout/vList6"/>
    <dgm:cxn modelId="{E40FC905-5414-4A98-A9D5-05C2EEE06B93}" type="presOf" srcId="{4231D84C-426A-418B-A7C3-3C0CB609CA14}" destId="{04A25B25-AE68-4C9B-AAC5-0FA3E7ABD362}" srcOrd="0" destOrd="0" presId="urn:microsoft.com/office/officeart/2005/8/layout/vList6"/>
    <dgm:cxn modelId="{7A3BF246-DF8E-432A-9DD0-A1EA851FD16B}" type="presOf" srcId="{07B1EE29-A613-4814-96DE-582900B800C1}" destId="{9AAE2956-E1DD-4BD3-BF68-B5F7E6B1C547}" srcOrd="0" destOrd="0" presId="urn:microsoft.com/office/officeart/2005/8/layout/vList6"/>
    <dgm:cxn modelId="{1B646AE9-8AC3-421B-A8F1-06A3D512A50B}" type="presOf" srcId="{C839A9DA-9059-4F20-9F54-AA688547EF2D}" destId="{51B9C2A6-54B3-43F7-9DE7-293BBB0C0F4A}" srcOrd="0" destOrd="0" presId="urn:microsoft.com/office/officeart/2005/8/layout/vList6"/>
    <dgm:cxn modelId="{466E2029-B210-494C-AF7F-F2ACBDC4EE01}" type="presOf" srcId="{16975CA6-99A3-48C0-B819-D23D3365F00D}" destId="{A8F7EADA-048C-4473-9B41-C9273E6B9530}" srcOrd="0" destOrd="0" presId="urn:microsoft.com/office/officeart/2005/8/layout/vList6"/>
    <dgm:cxn modelId="{8E8BF644-349B-463D-9934-5AF055C202D7}" srcId="{C839A9DA-9059-4F20-9F54-AA688547EF2D}" destId="{9945F674-9143-497A-8F8A-9E954FCB3A26}" srcOrd="0" destOrd="0" parTransId="{B859BA8A-A285-4EB9-9AC8-DC7C3CD9BF0E}" sibTransId="{408FDA38-32FC-4432-BEC3-C18563CCF114}"/>
    <dgm:cxn modelId="{BD17C1FE-289C-4E15-886D-4910044D1AA2}" type="presOf" srcId="{600B9F38-AC82-42CF-B3A8-77386C69A230}" destId="{51D5A6BC-7EF5-4F0F-B943-7DCEF2B2CA3F}" srcOrd="0" destOrd="0" presId="urn:microsoft.com/office/officeart/2005/8/layout/vList6"/>
    <dgm:cxn modelId="{66A90564-2EB7-4299-AFD8-CEDBBB3F41F7}" srcId="{4D6858BF-1CE2-4419-8B5D-7A6CCE209B01}" destId="{4231D84C-426A-418B-A7C3-3C0CB609CA14}" srcOrd="0" destOrd="0" parTransId="{5B577F6E-BFFA-48FC-8D07-5F01A589585D}" sibTransId="{12D2E2D1-057F-4C90-979F-03D5F9C540FC}"/>
    <dgm:cxn modelId="{F957645B-60C6-46E8-8DDD-C6C2D2847053}" type="presOf" srcId="{A662B943-7C43-4AED-AC08-CBE05345019E}" destId="{A6D1E958-75B2-49FF-A8B1-99EFF8F57214}" srcOrd="0" destOrd="0" presId="urn:microsoft.com/office/officeart/2005/8/layout/vList6"/>
    <dgm:cxn modelId="{8DDC11E1-6592-4606-9083-1C7571912127}" srcId="{96A9934A-AC09-478B-9109-687787128DAB}" destId="{B72C0DED-A54E-4CF3-946F-43FF9D515FB1}" srcOrd="0" destOrd="0" parTransId="{A4B5FFD7-B11E-44C7-94F5-FE765D587CB8}" sibTransId="{D4844648-A8F4-4C53-A0BB-C3DED586D450}"/>
    <dgm:cxn modelId="{F08EC645-DC08-4211-8943-02FCCF4350F7}" srcId="{1867CEEC-BA47-46D3-BF2F-E71CE22F89E5}" destId="{600B9F38-AC82-42CF-B3A8-77386C69A230}" srcOrd="0" destOrd="0" parTransId="{30EB964C-6351-4BAD-BF52-5FE87A6EFD70}" sibTransId="{C5BADB11-DDEC-4CBE-9FDD-03005EF3CAAF}"/>
    <dgm:cxn modelId="{DFF07DC2-6C64-4CFB-8E68-310867B93700}" type="presParOf" srcId="{E3700684-281B-403D-926E-EEA6E392C9F9}" destId="{F6222960-9485-44EC-B077-4F1D31235350}" srcOrd="0" destOrd="0" presId="urn:microsoft.com/office/officeart/2005/8/layout/vList6"/>
    <dgm:cxn modelId="{3AB4911D-BBD0-469B-94A5-841820E51442}" type="presParOf" srcId="{F6222960-9485-44EC-B077-4F1D31235350}" destId="{A6D1E958-75B2-49FF-A8B1-99EFF8F57214}" srcOrd="0" destOrd="0" presId="urn:microsoft.com/office/officeart/2005/8/layout/vList6"/>
    <dgm:cxn modelId="{5F581E2E-CA3B-489A-96C5-79963F132FDC}" type="presParOf" srcId="{F6222960-9485-44EC-B077-4F1D31235350}" destId="{8BED1967-3DD5-4A16-BA41-3FA3AED048D8}" srcOrd="1" destOrd="0" presId="urn:microsoft.com/office/officeart/2005/8/layout/vList6"/>
    <dgm:cxn modelId="{2E0BBEC2-DEA0-455A-973C-442ECD00C110}" type="presParOf" srcId="{E3700684-281B-403D-926E-EEA6E392C9F9}" destId="{F588F96C-0B51-4976-9EC1-45968EC89B96}" srcOrd="1" destOrd="0" presId="urn:microsoft.com/office/officeart/2005/8/layout/vList6"/>
    <dgm:cxn modelId="{8DB3032A-48E1-43F0-B615-24D6A9732329}" type="presParOf" srcId="{E3700684-281B-403D-926E-EEA6E392C9F9}" destId="{B493D1A2-43E4-4EA1-A5DE-6538412F53D1}" srcOrd="2" destOrd="0" presId="urn:microsoft.com/office/officeart/2005/8/layout/vList6"/>
    <dgm:cxn modelId="{95207DF2-C526-4F51-A289-076C46334EB8}" type="presParOf" srcId="{B493D1A2-43E4-4EA1-A5DE-6538412F53D1}" destId="{29E7B8F9-3B28-4156-8FD8-A266A64AA21C}" srcOrd="0" destOrd="0" presId="urn:microsoft.com/office/officeart/2005/8/layout/vList6"/>
    <dgm:cxn modelId="{3E4D6FFB-094E-48E2-9ABA-99B01662515C}" type="presParOf" srcId="{B493D1A2-43E4-4EA1-A5DE-6538412F53D1}" destId="{9AAE2956-E1DD-4BD3-BF68-B5F7E6B1C547}" srcOrd="1" destOrd="0" presId="urn:microsoft.com/office/officeart/2005/8/layout/vList6"/>
    <dgm:cxn modelId="{3BC6BEE6-863B-4B99-8DD2-BDD5611DDF86}" type="presParOf" srcId="{E3700684-281B-403D-926E-EEA6E392C9F9}" destId="{FC10227A-BEFC-4F43-9AC1-758236A58E7B}" srcOrd="3" destOrd="0" presId="urn:microsoft.com/office/officeart/2005/8/layout/vList6"/>
    <dgm:cxn modelId="{A6FEDE21-A76F-4DFB-8F55-083EE8ACFF16}" type="presParOf" srcId="{E3700684-281B-403D-926E-EEA6E392C9F9}" destId="{AF72DF3B-0E13-4E1D-BEE8-36390C26197F}" srcOrd="4" destOrd="0" presId="urn:microsoft.com/office/officeart/2005/8/layout/vList6"/>
    <dgm:cxn modelId="{B038D75D-ECCD-4431-A86A-94FC9C2ED957}" type="presParOf" srcId="{AF72DF3B-0E13-4E1D-BEE8-36390C26197F}" destId="{6D08BF0A-A9B2-4349-B427-931E452ED31B}" srcOrd="0" destOrd="0" presId="urn:microsoft.com/office/officeart/2005/8/layout/vList6"/>
    <dgm:cxn modelId="{F8B391D3-CD3E-4CF0-B05D-A4E3A3A96FC9}" type="presParOf" srcId="{AF72DF3B-0E13-4E1D-BEE8-36390C26197F}" destId="{A8F7EADA-048C-4473-9B41-C9273E6B9530}" srcOrd="1" destOrd="0" presId="urn:microsoft.com/office/officeart/2005/8/layout/vList6"/>
    <dgm:cxn modelId="{E5E0611A-2D21-4ECB-BF59-F9DF22D4756B}" type="presParOf" srcId="{E3700684-281B-403D-926E-EEA6E392C9F9}" destId="{522B6E54-FD68-4D44-B9A0-CAC1AB329AAF}" srcOrd="5" destOrd="0" presId="urn:microsoft.com/office/officeart/2005/8/layout/vList6"/>
    <dgm:cxn modelId="{D2D26427-B28F-4E9F-AAAB-7E76987FE443}" type="presParOf" srcId="{E3700684-281B-403D-926E-EEA6E392C9F9}" destId="{CBE78941-C310-4064-AF48-16087BDB2B5D}" srcOrd="6" destOrd="0" presId="urn:microsoft.com/office/officeart/2005/8/layout/vList6"/>
    <dgm:cxn modelId="{57D64D5A-63C5-48AB-A2B4-82A76F55BC74}" type="presParOf" srcId="{CBE78941-C310-4064-AF48-16087BDB2B5D}" destId="{51B9C2A6-54B3-43F7-9DE7-293BBB0C0F4A}" srcOrd="0" destOrd="0" presId="urn:microsoft.com/office/officeart/2005/8/layout/vList6"/>
    <dgm:cxn modelId="{A1063082-AC0B-405D-92AF-18AE264D8992}" type="presParOf" srcId="{CBE78941-C310-4064-AF48-16087BDB2B5D}" destId="{51ECD6F1-4BD9-4717-90CA-80AE67380F33}" srcOrd="1" destOrd="0" presId="urn:microsoft.com/office/officeart/2005/8/layout/vList6"/>
    <dgm:cxn modelId="{9E7629A7-7C3E-4491-B519-091ADA54C8CD}" type="presParOf" srcId="{E3700684-281B-403D-926E-EEA6E392C9F9}" destId="{4063F29C-A858-4A2A-A7AC-BEF745A7DF9E}" srcOrd="7" destOrd="0" presId="urn:microsoft.com/office/officeart/2005/8/layout/vList6"/>
    <dgm:cxn modelId="{D3448892-30B1-4C11-8F10-6755BBA36EE6}" type="presParOf" srcId="{E3700684-281B-403D-926E-EEA6E392C9F9}" destId="{8F5F2DB4-7FCD-4730-8495-D40DDB798348}" srcOrd="8" destOrd="0" presId="urn:microsoft.com/office/officeart/2005/8/layout/vList6"/>
    <dgm:cxn modelId="{7B5BE90B-6E0A-4AC1-85B2-0DEFA812D91F}" type="presParOf" srcId="{8F5F2DB4-7FCD-4730-8495-D40DDB798348}" destId="{6BDC7D21-7AF2-481A-BDA4-974939364B0B}" srcOrd="0" destOrd="0" presId="urn:microsoft.com/office/officeart/2005/8/layout/vList6"/>
    <dgm:cxn modelId="{075D4249-F70B-47D5-8121-236D6F749518}" type="presParOf" srcId="{8F5F2DB4-7FCD-4730-8495-D40DDB798348}" destId="{4322F8EC-EBC3-44E6-8D68-3F0E8C4E1E8C}" srcOrd="1" destOrd="0" presId="urn:microsoft.com/office/officeart/2005/8/layout/vList6"/>
    <dgm:cxn modelId="{66FE40C5-54E4-49CF-BE4D-65E8F69893E6}" type="presParOf" srcId="{E3700684-281B-403D-926E-EEA6E392C9F9}" destId="{5ABBDD85-B90B-4251-9B51-F8E574C96600}" srcOrd="9" destOrd="0" presId="urn:microsoft.com/office/officeart/2005/8/layout/vList6"/>
    <dgm:cxn modelId="{FCF7C887-ED6E-4D62-9D08-2AD4CA969946}" type="presParOf" srcId="{E3700684-281B-403D-926E-EEA6E392C9F9}" destId="{EED2B62B-2661-4F02-B739-9286F7BE3DAF}" srcOrd="10" destOrd="0" presId="urn:microsoft.com/office/officeart/2005/8/layout/vList6"/>
    <dgm:cxn modelId="{A8E2A6E3-CF4C-4056-9F85-242DD48884D7}" type="presParOf" srcId="{EED2B62B-2661-4F02-B739-9286F7BE3DAF}" destId="{7E44851A-0FB6-4AE1-86C5-0413CF1FFB6B}" srcOrd="0" destOrd="0" presId="urn:microsoft.com/office/officeart/2005/8/layout/vList6"/>
    <dgm:cxn modelId="{988A2E48-5F1B-44F4-A88A-44EAB52C3270}" type="presParOf" srcId="{EED2B62B-2661-4F02-B739-9286F7BE3DAF}" destId="{04A25B25-AE68-4C9B-AAC5-0FA3E7ABD362}" srcOrd="1" destOrd="0" presId="urn:microsoft.com/office/officeart/2005/8/layout/vList6"/>
    <dgm:cxn modelId="{DCEEB5BD-E224-40C3-9C52-18744C6C2B0D}" type="presParOf" srcId="{E3700684-281B-403D-926E-EEA6E392C9F9}" destId="{29909E4B-FBDF-4E71-9C4D-475FE9C6FAE7}" srcOrd="11" destOrd="0" presId="urn:microsoft.com/office/officeart/2005/8/layout/vList6"/>
    <dgm:cxn modelId="{5223373C-C9D2-473A-80E3-32B0B7879574}" type="presParOf" srcId="{E3700684-281B-403D-926E-EEA6E392C9F9}" destId="{F22AC29A-9C12-41BE-B6DE-C20807D1EADD}" srcOrd="12" destOrd="0" presId="urn:microsoft.com/office/officeart/2005/8/layout/vList6"/>
    <dgm:cxn modelId="{90CA5A6D-2D9A-4BA9-8CC5-825792F51663}" type="presParOf" srcId="{F22AC29A-9C12-41BE-B6DE-C20807D1EADD}" destId="{355609AA-81B8-44A3-803F-DA2852815413}" srcOrd="0" destOrd="0" presId="urn:microsoft.com/office/officeart/2005/8/layout/vList6"/>
    <dgm:cxn modelId="{6EF21FFA-91AF-4204-AD6F-38A83F31245B}" type="presParOf" srcId="{F22AC29A-9C12-41BE-B6DE-C20807D1EADD}" destId="{51D5A6BC-7EF5-4F0F-B943-7DCEF2B2CA3F}" srcOrd="1" destOrd="0" presId="urn:microsoft.com/office/officeart/2005/8/layout/vList6"/>
    <dgm:cxn modelId="{E194F4F9-B68C-4A94-A14A-6B0880E0598D}" type="presParOf" srcId="{E3700684-281B-403D-926E-EEA6E392C9F9}" destId="{CB544AE6-06F0-4810-86C4-4A434FB3F1F6}" srcOrd="13" destOrd="0" presId="urn:microsoft.com/office/officeart/2005/8/layout/vList6"/>
    <dgm:cxn modelId="{B0EC32DF-CD9E-4F89-984B-0EFA975C0A4D}" type="presParOf" srcId="{E3700684-281B-403D-926E-EEA6E392C9F9}" destId="{18D77088-8778-4C43-96C0-E99176B0411A}" srcOrd="14" destOrd="0" presId="urn:microsoft.com/office/officeart/2005/8/layout/vList6"/>
    <dgm:cxn modelId="{7DAFDAA5-02AA-41AB-BEDB-B880980496B6}" type="presParOf" srcId="{18D77088-8778-4C43-96C0-E99176B0411A}" destId="{70A39780-FE89-4DD0-8326-6E845340B65B}" srcOrd="0" destOrd="0" presId="urn:microsoft.com/office/officeart/2005/8/layout/vList6"/>
    <dgm:cxn modelId="{87827178-332A-4C94-8A4F-1DC537BB1451}" type="presParOf" srcId="{18D77088-8778-4C43-96C0-E99176B0411A}" destId="{19637465-ACF0-4A3C-B624-643968095A8C}" srcOrd="1" destOrd="0" presId="urn:microsoft.com/office/officeart/2005/8/layout/vList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ED1967-3DD5-4A16-BA41-3FA3AED048D8}">
      <dsp:nvSpPr>
        <dsp:cNvPr id="0" name=""/>
        <dsp:cNvSpPr/>
      </dsp:nvSpPr>
      <dsp:spPr>
        <a:xfrm>
          <a:off x="2194559" y="1035"/>
          <a:ext cx="3291840" cy="367624"/>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accent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US" sz="900" kern="1200"/>
            <a:t>Structural decline in traditional retail and digital disruption recognised</a:t>
          </a:r>
        </a:p>
      </dsp:txBody>
      <dsp:txXfrm>
        <a:off x="2194559" y="46988"/>
        <a:ext cx="3153981" cy="275718"/>
      </dsp:txXfrm>
    </dsp:sp>
    <dsp:sp modelId="{A6D1E958-75B2-49FF-A8B1-99EFF8F57214}">
      <dsp:nvSpPr>
        <dsp:cNvPr id="0" name=""/>
        <dsp:cNvSpPr/>
      </dsp:nvSpPr>
      <dsp:spPr>
        <a:xfrm>
          <a:off x="0" y="1035"/>
          <a:ext cx="2194560" cy="367624"/>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b="1" kern="1200"/>
            <a:t>Create Urgency</a:t>
          </a:r>
          <a:endParaRPr lang="en-US" sz="1400" kern="1200"/>
        </a:p>
      </dsp:txBody>
      <dsp:txXfrm>
        <a:off x="17946" y="18981"/>
        <a:ext cx="2158668" cy="331732"/>
      </dsp:txXfrm>
    </dsp:sp>
    <dsp:sp modelId="{9AAE2956-E1DD-4BD3-BF68-B5F7E6B1C547}">
      <dsp:nvSpPr>
        <dsp:cNvPr id="0" name=""/>
        <dsp:cNvSpPr/>
      </dsp:nvSpPr>
      <dsp:spPr>
        <a:xfrm>
          <a:off x="2194559" y="405421"/>
          <a:ext cx="3291840" cy="367624"/>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accent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US" sz="900" kern="1200"/>
            <a:t>Stronger board oversight and stable senior leadership team</a:t>
          </a:r>
        </a:p>
      </dsp:txBody>
      <dsp:txXfrm>
        <a:off x="2194559" y="451374"/>
        <a:ext cx="3153981" cy="275718"/>
      </dsp:txXfrm>
    </dsp:sp>
    <dsp:sp modelId="{29E7B8F9-3B28-4156-8FD8-A266A64AA21C}">
      <dsp:nvSpPr>
        <dsp:cNvPr id="0" name=""/>
        <dsp:cNvSpPr/>
      </dsp:nvSpPr>
      <dsp:spPr>
        <a:xfrm>
          <a:off x="0" y="405421"/>
          <a:ext cx="2194560" cy="367624"/>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b="1" kern="1200"/>
            <a:t>Form Guiding Coalition</a:t>
          </a:r>
          <a:endParaRPr lang="en-US" sz="1400" kern="1200"/>
        </a:p>
      </dsp:txBody>
      <dsp:txXfrm>
        <a:off x="17946" y="423367"/>
        <a:ext cx="2158668" cy="331732"/>
      </dsp:txXfrm>
    </dsp:sp>
    <dsp:sp modelId="{A8F7EADA-048C-4473-9B41-C9273E6B9530}">
      <dsp:nvSpPr>
        <dsp:cNvPr id="0" name=""/>
        <dsp:cNvSpPr/>
      </dsp:nvSpPr>
      <dsp:spPr>
        <a:xfrm>
          <a:off x="2194559" y="809808"/>
          <a:ext cx="3291840" cy="367624"/>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accent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US" sz="900" i="1" kern="1200"/>
            <a:t>Reshape for Growth</a:t>
          </a:r>
          <a:r>
            <a:rPr lang="en-US" sz="900" kern="1200"/>
            <a:t> links operational change to long-term viability</a:t>
          </a:r>
        </a:p>
      </dsp:txBody>
      <dsp:txXfrm>
        <a:off x="2194559" y="855761"/>
        <a:ext cx="3153981" cy="275718"/>
      </dsp:txXfrm>
    </dsp:sp>
    <dsp:sp modelId="{6D08BF0A-A9B2-4349-B427-931E452ED31B}">
      <dsp:nvSpPr>
        <dsp:cNvPr id="0" name=""/>
        <dsp:cNvSpPr/>
      </dsp:nvSpPr>
      <dsp:spPr>
        <a:xfrm>
          <a:off x="0" y="809808"/>
          <a:ext cx="2194560" cy="367624"/>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b="1" kern="1200"/>
            <a:t>Develop Vision</a:t>
          </a:r>
          <a:endParaRPr lang="en-US" sz="1400" kern="1200"/>
        </a:p>
      </dsp:txBody>
      <dsp:txXfrm>
        <a:off x="17946" y="827754"/>
        <a:ext cx="2158668" cy="331732"/>
      </dsp:txXfrm>
    </dsp:sp>
    <dsp:sp modelId="{51ECD6F1-4BD9-4717-90CA-80AE67380F33}">
      <dsp:nvSpPr>
        <dsp:cNvPr id="0" name=""/>
        <dsp:cNvSpPr/>
      </dsp:nvSpPr>
      <dsp:spPr>
        <a:xfrm>
          <a:off x="2194559" y="1214194"/>
          <a:ext cx="3291840" cy="367624"/>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accent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US" sz="900" kern="1200"/>
            <a:t>Consistent messaging across leadership and business units</a:t>
          </a:r>
        </a:p>
      </dsp:txBody>
      <dsp:txXfrm>
        <a:off x="2194559" y="1260147"/>
        <a:ext cx="3153981" cy="275718"/>
      </dsp:txXfrm>
    </dsp:sp>
    <dsp:sp modelId="{51B9C2A6-54B3-43F7-9DE7-293BBB0C0F4A}">
      <dsp:nvSpPr>
        <dsp:cNvPr id="0" name=""/>
        <dsp:cNvSpPr/>
      </dsp:nvSpPr>
      <dsp:spPr>
        <a:xfrm>
          <a:off x="0" y="1214194"/>
          <a:ext cx="2194560" cy="367624"/>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b="1" kern="1200"/>
            <a:t>Communicate the Vision</a:t>
          </a:r>
          <a:endParaRPr lang="en-US" sz="1400" kern="1200"/>
        </a:p>
      </dsp:txBody>
      <dsp:txXfrm>
        <a:off x="17946" y="1232140"/>
        <a:ext cx="2158668" cy="331732"/>
      </dsp:txXfrm>
    </dsp:sp>
    <dsp:sp modelId="{4322F8EC-EBC3-44E6-8D68-3F0E8C4E1E8C}">
      <dsp:nvSpPr>
        <dsp:cNvPr id="0" name=""/>
        <dsp:cNvSpPr/>
      </dsp:nvSpPr>
      <dsp:spPr>
        <a:xfrm>
          <a:off x="2194559" y="1618581"/>
          <a:ext cx="3291840" cy="367624"/>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accent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US" sz="900" kern="1200"/>
            <a:t>Store rationalisation, digital investment, supply chain reform</a:t>
          </a:r>
        </a:p>
      </dsp:txBody>
      <dsp:txXfrm>
        <a:off x="2194559" y="1664534"/>
        <a:ext cx="3153981" cy="275718"/>
      </dsp:txXfrm>
    </dsp:sp>
    <dsp:sp modelId="{6BDC7D21-7AF2-481A-BDA4-974939364B0B}">
      <dsp:nvSpPr>
        <dsp:cNvPr id="0" name=""/>
        <dsp:cNvSpPr/>
      </dsp:nvSpPr>
      <dsp:spPr>
        <a:xfrm>
          <a:off x="0" y="1618581"/>
          <a:ext cx="2194560" cy="367624"/>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b="1" kern="1200"/>
            <a:t>Empower Action</a:t>
          </a:r>
          <a:endParaRPr lang="en-US" sz="1400" kern="1200"/>
        </a:p>
      </dsp:txBody>
      <dsp:txXfrm>
        <a:off x="17946" y="1636527"/>
        <a:ext cx="2158668" cy="331732"/>
      </dsp:txXfrm>
    </dsp:sp>
    <dsp:sp modelId="{04A25B25-AE68-4C9B-AAC5-0FA3E7ABD362}">
      <dsp:nvSpPr>
        <dsp:cNvPr id="0" name=""/>
        <dsp:cNvSpPr/>
      </dsp:nvSpPr>
      <dsp:spPr>
        <a:xfrm>
          <a:off x="2194559" y="2022967"/>
          <a:ext cx="3291840" cy="367624"/>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accent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US" sz="900" kern="1200"/>
            <a:t>Improved profitability and strong Food division performance</a:t>
          </a:r>
        </a:p>
      </dsp:txBody>
      <dsp:txXfrm>
        <a:off x="2194559" y="2068920"/>
        <a:ext cx="3153981" cy="275718"/>
      </dsp:txXfrm>
    </dsp:sp>
    <dsp:sp modelId="{7E44851A-0FB6-4AE1-86C5-0413CF1FFB6B}">
      <dsp:nvSpPr>
        <dsp:cNvPr id="0" name=""/>
        <dsp:cNvSpPr/>
      </dsp:nvSpPr>
      <dsp:spPr>
        <a:xfrm>
          <a:off x="0" y="2022967"/>
          <a:ext cx="2194560" cy="367624"/>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b="1" kern="1200"/>
            <a:t>Generate Short-Term Wins</a:t>
          </a:r>
          <a:endParaRPr lang="en-US" sz="1400" kern="1200"/>
        </a:p>
      </dsp:txBody>
      <dsp:txXfrm>
        <a:off x="17946" y="2040913"/>
        <a:ext cx="2158668" cy="331732"/>
      </dsp:txXfrm>
    </dsp:sp>
    <dsp:sp modelId="{51D5A6BC-7EF5-4F0F-B943-7DCEF2B2CA3F}">
      <dsp:nvSpPr>
        <dsp:cNvPr id="0" name=""/>
        <dsp:cNvSpPr/>
      </dsp:nvSpPr>
      <dsp:spPr>
        <a:xfrm>
          <a:off x="2194559" y="2427354"/>
          <a:ext cx="3291840" cy="367624"/>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accent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Char char="••"/>
          </a:pPr>
          <a:r>
            <a:rPr lang="en-US" sz="900" kern="1200"/>
            <a:t>Ongoing restructuring and operational discipline</a:t>
          </a:r>
        </a:p>
      </dsp:txBody>
      <dsp:txXfrm>
        <a:off x="2194559" y="2473307"/>
        <a:ext cx="3153981" cy="275718"/>
      </dsp:txXfrm>
    </dsp:sp>
    <dsp:sp modelId="{355609AA-81B8-44A3-803F-DA2852815413}">
      <dsp:nvSpPr>
        <dsp:cNvPr id="0" name=""/>
        <dsp:cNvSpPr/>
      </dsp:nvSpPr>
      <dsp:spPr>
        <a:xfrm>
          <a:off x="0" y="2427354"/>
          <a:ext cx="2194560" cy="367624"/>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b="1" kern="1200"/>
            <a:t>Sustain Momentum</a:t>
          </a:r>
          <a:endParaRPr lang="en-US" sz="1400" kern="1200"/>
        </a:p>
      </dsp:txBody>
      <dsp:txXfrm>
        <a:off x="17946" y="2445300"/>
        <a:ext cx="2158668" cy="331732"/>
      </dsp:txXfrm>
    </dsp:sp>
    <dsp:sp modelId="{19637465-ACF0-4A3C-B624-643968095A8C}">
      <dsp:nvSpPr>
        <dsp:cNvPr id="0" name=""/>
        <dsp:cNvSpPr/>
      </dsp:nvSpPr>
      <dsp:spPr>
        <a:xfrm>
          <a:off x="2194559" y="2831740"/>
          <a:ext cx="3291840" cy="367624"/>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accent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rtl="0">
            <a:lnSpc>
              <a:spcPct val="90000"/>
            </a:lnSpc>
            <a:spcBef>
              <a:spcPct val="0"/>
            </a:spcBef>
            <a:spcAft>
              <a:spcPct val="15000"/>
            </a:spcAft>
            <a:buChar char="••"/>
          </a:pPr>
          <a:r>
            <a:rPr lang="en-US" sz="900" b="1" kern="1200"/>
            <a:t>Partially achieved</a:t>
          </a:r>
          <a:r>
            <a:rPr lang="en-US" sz="900" kern="1200"/>
            <a:t> – resistance, skills gaps, weak reward alignment</a:t>
          </a:r>
        </a:p>
      </dsp:txBody>
      <dsp:txXfrm>
        <a:off x="2194559" y="2877693"/>
        <a:ext cx="3153981" cy="275718"/>
      </dsp:txXfrm>
    </dsp:sp>
    <dsp:sp modelId="{70A39780-FE89-4DD0-8326-6E845340B65B}">
      <dsp:nvSpPr>
        <dsp:cNvPr id="0" name=""/>
        <dsp:cNvSpPr/>
      </dsp:nvSpPr>
      <dsp:spPr>
        <a:xfrm>
          <a:off x="0" y="2831740"/>
          <a:ext cx="2194560" cy="367624"/>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lvl="0" algn="ctr" defTabSz="622300">
            <a:lnSpc>
              <a:spcPct val="90000"/>
            </a:lnSpc>
            <a:spcBef>
              <a:spcPct val="0"/>
            </a:spcBef>
            <a:spcAft>
              <a:spcPct val="35000"/>
            </a:spcAft>
          </a:pPr>
          <a:r>
            <a:rPr lang="en-US" sz="1400" b="1" kern="1200"/>
            <a:t>Anchor Change</a:t>
          </a:r>
          <a:endParaRPr lang="en-US" sz="1400" kern="1200"/>
        </a:p>
      </dsp:txBody>
      <dsp:txXfrm>
        <a:off x="17946" y="2849686"/>
        <a:ext cx="2158668" cy="331732"/>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D356C8-4A0D-41EC-A09D-E273F632C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1349</TotalTime>
  <Words>5995</Words>
  <Pages>1</Pages>
  <Characters>37102</Characters>
  <Application>WPS Office</Application>
  <DocSecurity>0</DocSecurity>
  <Paragraphs>365</Paragraphs>
  <ScaleCrop>false</ScaleCrop>
  <LinksUpToDate>false</LinksUpToDate>
  <CharactersWithSpaces>42772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2026-01-25T22:12:00Z</dcterms:created>
  <dc:creator>WPS Office</dc:creator>
  <lastModifiedBy>Infinix X6850</lastModifiedBy>
  <dcterms:modified xsi:type="dcterms:W3CDTF">2026-03-07T15:35:14Z</dcterms:modified>
  <revision>95</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6aab89bc-21cd-41b2-bcb5-bac829a77158</vt:lpwstr>
  </property>
  <property fmtid="{D5CDD505-2E9C-101B-9397-08002B2CF9AE}" pid="3" name="ICV">
    <vt:lpwstr>7ad8a3dbc5ba40fbbd553ff3fa6640c3</vt:lpwstr>
  </property>
</Properties>
</file>