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0124" w:rsidRDefault="0010396E" w:rsidP="00737405">
      <w:r>
        <w:t xml:space="preserve">                                  </w:t>
      </w:r>
    </w:p>
    <w:p w:rsidR="00EA0124" w:rsidRDefault="00EA0124" w:rsidP="00EA0124">
      <w:pPr>
        <w:pStyle w:val="Heading2"/>
      </w:pPr>
    </w:p>
    <w:p w:rsidR="00EA0124" w:rsidRDefault="00EA0124" w:rsidP="00EA0124">
      <w:pPr>
        <w:pStyle w:val="Heading2"/>
      </w:pPr>
    </w:p>
    <w:p w:rsidR="00C6094B" w:rsidRPr="00E322B3" w:rsidRDefault="0010396E" w:rsidP="00C6094B">
      <w:pPr>
        <w:jc w:val="center"/>
        <w:rPr>
          <w:b/>
          <w:bCs/>
          <w:sz w:val="32"/>
          <w:szCs w:val="32"/>
        </w:rPr>
      </w:pPr>
      <w:r w:rsidRPr="00E322B3">
        <w:rPr>
          <w:b/>
          <w:bCs/>
          <w:sz w:val="32"/>
          <w:szCs w:val="32"/>
        </w:rPr>
        <w:t>Management Accounting</w:t>
      </w:r>
    </w:p>
    <w:p w:rsidR="00EA0124" w:rsidRPr="00E322B3" w:rsidRDefault="0010396E" w:rsidP="00EA0124">
      <w:pPr>
        <w:jc w:val="center"/>
        <w:rPr>
          <w:sz w:val="28"/>
          <w:szCs w:val="28"/>
        </w:rPr>
      </w:pPr>
      <w:r w:rsidRPr="00E322B3">
        <w:rPr>
          <w:sz w:val="28"/>
          <w:szCs w:val="28"/>
        </w:rPr>
        <w:t>Name of the Student: Zhivka Beleva</w:t>
      </w:r>
    </w:p>
    <w:p w:rsidR="00EA0124" w:rsidRPr="00E322B3" w:rsidRDefault="0010396E" w:rsidP="00EA0124">
      <w:pPr>
        <w:jc w:val="center"/>
        <w:rPr>
          <w:sz w:val="28"/>
          <w:szCs w:val="28"/>
        </w:rPr>
      </w:pPr>
      <w:r w:rsidRPr="00E322B3">
        <w:rPr>
          <w:sz w:val="28"/>
          <w:szCs w:val="28"/>
        </w:rPr>
        <w:t>ID:1814703</w:t>
      </w:r>
    </w:p>
    <w:p w:rsidR="00EA0124" w:rsidRPr="00E322B3" w:rsidRDefault="0010396E" w:rsidP="00E322B3">
      <w:pPr>
        <w:jc w:val="center"/>
        <w:rPr>
          <w:sz w:val="28"/>
          <w:szCs w:val="28"/>
        </w:rPr>
      </w:pPr>
      <w:r w:rsidRPr="00E322B3">
        <w:rPr>
          <w:sz w:val="28"/>
          <w:szCs w:val="28"/>
        </w:rPr>
        <w:t>Name of the University</w:t>
      </w:r>
      <w:r w:rsidR="00E322B3" w:rsidRPr="00E322B3">
        <w:rPr>
          <w:sz w:val="28"/>
          <w:szCs w:val="28"/>
        </w:rPr>
        <w:t>:</w:t>
      </w:r>
      <w:r w:rsidR="00E322B3">
        <w:rPr>
          <w:sz w:val="28"/>
          <w:szCs w:val="28"/>
        </w:rPr>
        <w:t xml:space="preserve"> </w:t>
      </w:r>
      <w:r w:rsidR="00E322B3" w:rsidRPr="00E322B3">
        <w:rPr>
          <w:sz w:val="28"/>
          <w:szCs w:val="28"/>
        </w:rPr>
        <w:t>UWTSD</w:t>
      </w:r>
    </w:p>
    <w:p w:rsidR="000548C9" w:rsidRDefault="000548C9"/>
    <w:p w:rsidR="00810C52" w:rsidRDefault="00810C52" w:rsidP="00EA0124">
      <w:pPr>
        <w:jc w:val="center"/>
      </w:pPr>
    </w:p>
    <w:p w:rsidR="006A346B" w:rsidRPr="000F2024" w:rsidRDefault="0010396E" w:rsidP="00ED42CD">
      <w:pPr>
        <w:spacing w:line="259" w:lineRule="auto"/>
        <w:jc w:val="left"/>
      </w:pPr>
      <w:r w:rsidRPr="000F2024">
        <w:br w:type="page"/>
      </w:r>
    </w:p>
    <w:sdt>
      <w:sdtPr>
        <w:rPr>
          <w:rFonts w:ascii="Times New Roman" w:eastAsiaTheme="minorHAnsi" w:hAnsi="Times New Roman" w:cs="Times New Roman"/>
          <w:color w:val="000000" w:themeColor="text1"/>
          <w:sz w:val="20"/>
          <w:szCs w:val="20"/>
        </w:rPr>
        <w:id w:val="1602456729"/>
        <w:docPartObj>
          <w:docPartGallery w:val="Table of Contents"/>
          <w:docPartUnique/>
        </w:docPartObj>
      </w:sdtPr>
      <w:sdtEndPr>
        <w:rPr>
          <w:b/>
          <w:bCs/>
        </w:rPr>
      </w:sdtEndPr>
      <w:sdtContent>
        <w:p w:rsidR="0055424E" w:rsidRPr="000F2024" w:rsidRDefault="0010396E" w:rsidP="00F1502F">
          <w:pPr>
            <w:pStyle w:val="TOCHeading"/>
            <w:spacing w:line="360" w:lineRule="auto"/>
            <w:jc w:val="center"/>
            <w:rPr>
              <w:rFonts w:ascii="Times New Roman" w:hAnsi="Times New Roman" w:cs="Times New Roman"/>
              <w:color w:val="000000" w:themeColor="text1"/>
            </w:rPr>
          </w:pPr>
          <w:r w:rsidRPr="000F2024">
            <w:rPr>
              <w:rFonts w:ascii="Times New Roman" w:hAnsi="Times New Roman" w:cs="Times New Roman"/>
              <w:color w:val="000000" w:themeColor="text1"/>
              <w:sz w:val="24"/>
              <w:szCs w:val="24"/>
            </w:rPr>
            <w:t>Table</w:t>
          </w:r>
          <w:r w:rsidRPr="000F2024">
            <w:rPr>
              <w:rFonts w:ascii="Times New Roman" w:hAnsi="Times New Roman" w:cs="Times New Roman"/>
              <w:color w:val="000000" w:themeColor="text1"/>
            </w:rPr>
            <w:t xml:space="preserve"> </w:t>
          </w:r>
          <w:r w:rsidRPr="000F2024">
            <w:rPr>
              <w:rFonts w:ascii="Times New Roman" w:hAnsi="Times New Roman" w:cs="Times New Roman"/>
              <w:color w:val="000000" w:themeColor="text1"/>
              <w:sz w:val="24"/>
              <w:szCs w:val="24"/>
            </w:rPr>
            <w:t>of</w:t>
          </w:r>
          <w:r w:rsidR="008512C1" w:rsidRPr="000F2024">
            <w:rPr>
              <w:rFonts w:ascii="Times New Roman" w:hAnsi="Times New Roman" w:cs="Times New Roman"/>
              <w:color w:val="000000" w:themeColor="text1"/>
            </w:rPr>
            <w:t xml:space="preserve"> </w:t>
          </w:r>
          <w:r w:rsidRPr="000F2024">
            <w:rPr>
              <w:rFonts w:ascii="Times New Roman" w:hAnsi="Times New Roman" w:cs="Times New Roman"/>
              <w:color w:val="000000" w:themeColor="text1"/>
              <w:sz w:val="24"/>
              <w:szCs w:val="24"/>
            </w:rPr>
            <w:t>Contents</w:t>
          </w:r>
        </w:p>
        <w:p w:rsidR="006926EF" w:rsidRDefault="0010396E">
          <w:pPr>
            <w:pStyle w:val="TOC2"/>
            <w:tabs>
              <w:tab w:val="right" w:leader="dot" w:pos="9350"/>
            </w:tabs>
            <w:rPr>
              <w:rFonts w:asciiTheme="minorHAnsi" w:eastAsiaTheme="minorEastAsia" w:hAnsiTheme="minorHAnsi"/>
              <w:noProof/>
              <w:color w:val="auto"/>
              <w:sz w:val="22"/>
              <w:lang w:val="en-US"/>
            </w:rPr>
          </w:pPr>
          <w:r w:rsidRPr="000F2024">
            <w:rPr>
              <w:rFonts w:cs="Times New Roman"/>
              <w:b/>
              <w:bCs/>
              <w:sz w:val="20"/>
              <w:szCs w:val="20"/>
            </w:rPr>
            <w:fldChar w:fldCharType="begin"/>
          </w:r>
          <w:r w:rsidR="0055424E" w:rsidRPr="000F2024">
            <w:rPr>
              <w:rFonts w:cs="Times New Roman"/>
              <w:b/>
              <w:bCs/>
              <w:sz w:val="20"/>
              <w:szCs w:val="20"/>
            </w:rPr>
            <w:instrText xml:space="preserve"> TOC \o "1-3" \h \z \u </w:instrText>
          </w:r>
          <w:r w:rsidRPr="000F2024">
            <w:rPr>
              <w:rFonts w:cs="Times New Roman"/>
              <w:b/>
              <w:bCs/>
              <w:sz w:val="20"/>
              <w:szCs w:val="20"/>
            </w:rPr>
            <w:fldChar w:fldCharType="separate"/>
          </w:r>
          <w:hyperlink w:anchor="_Toc48152954" w:history="1">
            <w:r w:rsidRPr="00DB221F">
              <w:rPr>
                <w:rStyle w:val="Hyperlink"/>
                <w:noProof/>
              </w:rPr>
              <w:t>Introduction</w:t>
            </w:r>
            <w:r>
              <w:rPr>
                <w:noProof/>
                <w:webHidden/>
              </w:rPr>
              <w:tab/>
            </w:r>
            <w:r>
              <w:rPr>
                <w:noProof/>
                <w:webHidden/>
              </w:rPr>
              <w:fldChar w:fldCharType="begin"/>
            </w:r>
            <w:r>
              <w:rPr>
                <w:noProof/>
                <w:webHidden/>
              </w:rPr>
              <w:instrText xml:space="preserve"> PAGEREF _Toc48152954 \h </w:instrText>
            </w:r>
            <w:r>
              <w:rPr>
                <w:noProof/>
                <w:webHidden/>
              </w:rPr>
            </w:r>
            <w:r>
              <w:rPr>
                <w:noProof/>
                <w:webHidden/>
              </w:rPr>
              <w:fldChar w:fldCharType="separate"/>
            </w:r>
            <w:r>
              <w:rPr>
                <w:noProof/>
                <w:webHidden/>
              </w:rPr>
              <w:t>2</w:t>
            </w:r>
            <w:r>
              <w:rPr>
                <w:noProof/>
                <w:webHidden/>
              </w:rPr>
              <w:fldChar w:fldCharType="end"/>
            </w:r>
          </w:hyperlink>
        </w:p>
        <w:p w:rsidR="006926EF" w:rsidRDefault="00601FD7">
          <w:pPr>
            <w:pStyle w:val="TOC2"/>
            <w:tabs>
              <w:tab w:val="right" w:leader="dot" w:pos="9350"/>
            </w:tabs>
            <w:rPr>
              <w:rFonts w:asciiTheme="minorHAnsi" w:eastAsiaTheme="minorEastAsia" w:hAnsiTheme="minorHAnsi"/>
              <w:noProof/>
              <w:color w:val="auto"/>
              <w:sz w:val="22"/>
              <w:lang w:val="en-US"/>
            </w:rPr>
          </w:pPr>
          <w:hyperlink w:anchor="_Toc48152955" w:history="1">
            <w:r w:rsidR="0010396E" w:rsidRPr="00DB221F">
              <w:rPr>
                <w:rStyle w:val="Hyperlink"/>
                <w:noProof/>
              </w:rPr>
              <w:t>Static Budgets</w:t>
            </w:r>
            <w:r w:rsidR="0010396E">
              <w:rPr>
                <w:noProof/>
                <w:webHidden/>
              </w:rPr>
              <w:tab/>
            </w:r>
            <w:r w:rsidR="0010396E">
              <w:rPr>
                <w:noProof/>
                <w:webHidden/>
              </w:rPr>
              <w:fldChar w:fldCharType="begin"/>
            </w:r>
            <w:r w:rsidR="0010396E">
              <w:rPr>
                <w:noProof/>
                <w:webHidden/>
              </w:rPr>
              <w:instrText xml:space="preserve"> PAGEREF _Toc48152955 \h </w:instrText>
            </w:r>
            <w:r w:rsidR="0010396E">
              <w:rPr>
                <w:noProof/>
                <w:webHidden/>
              </w:rPr>
            </w:r>
            <w:r w:rsidR="0010396E">
              <w:rPr>
                <w:noProof/>
                <w:webHidden/>
              </w:rPr>
              <w:fldChar w:fldCharType="separate"/>
            </w:r>
            <w:r w:rsidR="0010396E">
              <w:rPr>
                <w:noProof/>
                <w:webHidden/>
              </w:rPr>
              <w:t>2</w:t>
            </w:r>
            <w:r w:rsidR="0010396E">
              <w:rPr>
                <w:noProof/>
                <w:webHidden/>
              </w:rPr>
              <w:fldChar w:fldCharType="end"/>
            </w:r>
          </w:hyperlink>
        </w:p>
        <w:p w:rsidR="006926EF" w:rsidRDefault="00601FD7">
          <w:pPr>
            <w:pStyle w:val="TOC2"/>
            <w:tabs>
              <w:tab w:val="right" w:leader="dot" w:pos="9350"/>
            </w:tabs>
            <w:rPr>
              <w:rFonts w:asciiTheme="minorHAnsi" w:eastAsiaTheme="minorEastAsia" w:hAnsiTheme="minorHAnsi"/>
              <w:noProof/>
              <w:color w:val="auto"/>
              <w:sz w:val="22"/>
              <w:lang w:val="en-US"/>
            </w:rPr>
          </w:pPr>
          <w:hyperlink w:anchor="_Toc48152956" w:history="1">
            <w:r w:rsidR="0010396E" w:rsidRPr="00DB221F">
              <w:rPr>
                <w:rStyle w:val="Hyperlink"/>
                <w:noProof/>
              </w:rPr>
              <w:t>Flexible Budget</w:t>
            </w:r>
            <w:r w:rsidR="0010396E">
              <w:rPr>
                <w:noProof/>
                <w:webHidden/>
              </w:rPr>
              <w:tab/>
            </w:r>
            <w:r w:rsidR="0010396E">
              <w:rPr>
                <w:noProof/>
                <w:webHidden/>
              </w:rPr>
              <w:fldChar w:fldCharType="begin"/>
            </w:r>
            <w:r w:rsidR="0010396E">
              <w:rPr>
                <w:noProof/>
                <w:webHidden/>
              </w:rPr>
              <w:instrText xml:space="preserve"> PAGEREF _Toc48152956 \h </w:instrText>
            </w:r>
            <w:r w:rsidR="0010396E">
              <w:rPr>
                <w:noProof/>
                <w:webHidden/>
              </w:rPr>
            </w:r>
            <w:r w:rsidR="0010396E">
              <w:rPr>
                <w:noProof/>
                <w:webHidden/>
              </w:rPr>
              <w:fldChar w:fldCharType="separate"/>
            </w:r>
            <w:r w:rsidR="0010396E">
              <w:rPr>
                <w:noProof/>
                <w:webHidden/>
              </w:rPr>
              <w:t>2</w:t>
            </w:r>
            <w:r w:rsidR="0010396E">
              <w:rPr>
                <w:noProof/>
                <w:webHidden/>
              </w:rPr>
              <w:fldChar w:fldCharType="end"/>
            </w:r>
          </w:hyperlink>
        </w:p>
        <w:p w:rsidR="006926EF" w:rsidRDefault="00601FD7">
          <w:pPr>
            <w:pStyle w:val="TOC2"/>
            <w:tabs>
              <w:tab w:val="right" w:leader="dot" w:pos="9350"/>
            </w:tabs>
            <w:rPr>
              <w:rFonts w:asciiTheme="minorHAnsi" w:eastAsiaTheme="minorEastAsia" w:hAnsiTheme="minorHAnsi"/>
              <w:noProof/>
              <w:color w:val="auto"/>
              <w:sz w:val="22"/>
              <w:lang w:val="en-US"/>
            </w:rPr>
          </w:pPr>
          <w:hyperlink w:anchor="_Toc48152957" w:history="1">
            <w:r w:rsidR="0010396E" w:rsidRPr="00DB221F">
              <w:rPr>
                <w:rStyle w:val="Hyperlink"/>
                <w:noProof/>
              </w:rPr>
              <w:t>Participative Budgeting</w:t>
            </w:r>
            <w:r w:rsidR="0010396E">
              <w:rPr>
                <w:noProof/>
                <w:webHidden/>
              </w:rPr>
              <w:tab/>
            </w:r>
            <w:r w:rsidR="0010396E">
              <w:rPr>
                <w:noProof/>
                <w:webHidden/>
              </w:rPr>
              <w:fldChar w:fldCharType="begin"/>
            </w:r>
            <w:r w:rsidR="0010396E">
              <w:rPr>
                <w:noProof/>
                <w:webHidden/>
              </w:rPr>
              <w:instrText xml:space="preserve"> PAGEREF _Toc48152957 \h </w:instrText>
            </w:r>
            <w:r w:rsidR="0010396E">
              <w:rPr>
                <w:noProof/>
                <w:webHidden/>
              </w:rPr>
            </w:r>
            <w:r w:rsidR="0010396E">
              <w:rPr>
                <w:noProof/>
                <w:webHidden/>
              </w:rPr>
              <w:fldChar w:fldCharType="separate"/>
            </w:r>
            <w:r w:rsidR="0010396E">
              <w:rPr>
                <w:noProof/>
                <w:webHidden/>
              </w:rPr>
              <w:t>3</w:t>
            </w:r>
            <w:r w:rsidR="0010396E">
              <w:rPr>
                <w:noProof/>
                <w:webHidden/>
              </w:rPr>
              <w:fldChar w:fldCharType="end"/>
            </w:r>
          </w:hyperlink>
        </w:p>
        <w:p w:rsidR="006926EF" w:rsidRDefault="00601FD7">
          <w:pPr>
            <w:pStyle w:val="TOC2"/>
            <w:tabs>
              <w:tab w:val="right" w:leader="dot" w:pos="9350"/>
            </w:tabs>
            <w:rPr>
              <w:rFonts w:asciiTheme="minorHAnsi" w:eastAsiaTheme="minorEastAsia" w:hAnsiTheme="minorHAnsi"/>
              <w:noProof/>
              <w:color w:val="auto"/>
              <w:sz w:val="22"/>
              <w:lang w:val="en-US"/>
            </w:rPr>
          </w:pPr>
          <w:hyperlink w:anchor="_Toc48152958" w:history="1">
            <w:r w:rsidR="0010396E" w:rsidRPr="00DB221F">
              <w:rPr>
                <w:rStyle w:val="Hyperlink"/>
                <w:noProof/>
              </w:rPr>
              <w:t>Relevance in Modern Day Business</w:t>
            </w:r>
            <w:r w:rsidR="0010396E">
              <w:rPr>
                <w:noProof/>
                <w:webHidden/>
              </w:rPr>
              <w:tab/>
            </w:r>
            <w:r w:rsidR="0010396E">
              <w:rPr>
                <w:noProof/>
                <w:webHidden/>
              </w:rPr>
              <w:fldChar w:fldCharType="begin"/>
            </w:r>
            <w:r w:rsidR="0010396E">
              <w:rPr>
                <w:noProof/>
                <w:webHidden/>
              </w:rPr>
              <w:instrText xml:space="preserve"> PAGEREF _Toc48152958 \h </w:instrText>
            </w:r>
            <w:r w:rsidR="0010396E">
              <w:rPr>
                <w:noProof/>
                <w:webHidden/>
              </w:rPr>
            </w:r>
            <w:r w:rsidR="0010396E">
              <w:rPr>
                <w:noProof/>
                <w:webHidden/>
              </w:rPr>
              <w:fldChar w:fldCharType="separate"/>
            </w:r>
            <w:r w:rsidR="0010396E">
              <w:rPr>
                <w:noProof/>
                <w:webHidden/>
              </w:rPr>
              <w:t>3</w:t>
            </w:r>
            <w:r w:rsidR="0010396E">
              <w:rPr>
                <w:noProof/>
                <w:webHidden/>
              </w:rPr>
              <w:fldChar w:fldCharType="end"/>
            </w:r>
          </w:hyperlink>
        </w:p>
        <w:p w:rsidR="006926EF" w:rsidRDefault="00601FD7">
          <w:pPr>
            <w:pStyle w:val="TOC2"/>
            <w:tabs>
              <w:tab w:val="right" w:leader="dot" w:pos="9350"/>
            </w:tabs>
            <w:rPr>
              <w:rFonts w:asciiTheme="minorHAnsi" w:eastAsiaTheme="minorEastAsia" w:hAnsiTheme="minorHAnsi"/>
              <w:noProof/>
              <w:color w:val="auto"/>
              <w:sz w:val="22"/>
              <w:lang w:val="en-US"/>
            </w:rPr>
          </w:pPr>
          <w:hyperlink w:anchor="_Toc48152959" w:history="1">
            <w:r w:rsidR="0010396E" w:rsidRPr="00DB221F">
              <w:rPr>
                <w:rStyle w:val="Hyperlink"/>
                <w:noProof/>
              </w:rPr>
              <w:t>Conclusion</w:t>
            </w:r>
            <w:r w:rsidR="0010396E">
              <w:rPr>
                <w:noProof/>
                <w:webHidden/>
              </w:rPr>
              <w:tab/>
            </w:r>
            <w:r w:rsidR="0010396E">
              <w:rPr>
                <w:noProof/>
                <w:webHidden/>
              </w:rPr>
              <w:fldChar w:fldCharType="begin"/>
            </w:r>
            <w:r w:rsidR="0010396E">
              <w:rPr>
                <w:noProof/>
                <w:webHidden/>
              </w:rPr>
              <w:instrText xml:space="preserve"> PAGEREF _Toc48152959 \h </w:instrText>
            </w:r>
            <w:r w:rsidR="0010396E">
              <w:rPr>
                <w:noProof/>
                <w:webHidden/>
              </w:rPr>
            </w:r>
            <w:r w:rsidR="0010396E">
              <w:rPr>
                <w:noProof/>
                <w:webHidden/>
              </w:rPr>
              <w:fldChar w:fldCharType="separate"/>
            </w:r>
            <w:r w:rsidR="0010396E">
              <w:rPr>
                <w:noProof/>
                <w:webHidden/>
              </w:rPr>
              <w:t>5</w:t>
            </w:r>
            <w:r w:rsidR="0010396E">
              <w:rPr>
                <w:noProof/>
                <w:webHidden/>
              </w:rPr>
              <w:fldChar w:fldCharType="end"/>
            </w:r>
          </w:hyperlink>
        </w:p>
        <w:p w:rsidR="006926EF" w:rsidRDefault="00601FD7">
          <w:pPr>
            <w:pStyle w:val="TOC2"/>
            <w:tabs>
              <w:tab w:val="right" w:leader="dot" w:pos="9350"/>
            </w:tabs>
            <w:rPr>
              <w:rFonts w:asciiTheme="minorHAnsi" w:eastAsiaTheme="minorEastAsia" w:hAnsiTheme="minorHAnsi"/>
              <w:noProof/>
              <w:color w:val="auto"/>
              <w:sz w:val="22"/>
              <w:lang w:val="en-US"/>
            </w:rPr>
          </w:pPr>
          <w:hyperlink w:anchor="_Toc48152960" w:history="1">
            <w:r w:rsidR="0010396E" w:rsidRPr="00DB221F">
              <w:rPr>
                <w:rStyle w:val="Hyperlink"/>
                <w:noProof/>
              </w:rPr>
              <w:t>References</w:t>
            </w:r>
            <w:r w:rsidR="0010396E">
              <w:rPr>
                <w:noProof/>
                <w:webHidden/>
              </w:rPr>
              <w:tab/>
            </w:r>
            <w:r w:rsidR="0010396E">
              <w:rPr>
                <w:noProof/>
                <w:webHidden/>
              </w:rPr>
              <w:fldChar w:fldCharType="begin"/>
            </w:r>
            <w:r w:rsidR="0010396E">
              <w:rPr>
                <w:noProof/>
                <w:webHidden/>
              </w:rPr>
              <w:instrText xml:space="preserve"> PAGEREF _Toc48152960 \h </w:instrText>
            </w:r>
            <w:r w:rsidR="0010396E">
              <w:rPr>
                <w:noProof/>
                <w:webHidden/>
              </w:rPr>
            </w:r>
            <w:r w:rsidR="0010396E">
              <w:rPr>
                <w:noProof/>
                <w:webHidden/>
              </w:rPr>
              <w:fldChar w:fldCharType="separate"/>
            </w:r>
            <w:r w:rsidR="0010396E">
              <w:rPr>
                <w:noProof/>
                <w:webHidden/>
              </w:rPr>
              <w:t>7</w:t>
            </w:r>
            <w:r w:rsidR="0010396E">
              <w:rPr>
                <w:noProof/>
                <w:webHidden/>
              </w:rPr>
              <w:fldChar w:fldCharType="end"/>
            </w:r>
          </w:hyperlink>
        </w:p>
        <w:p w:rsidR="0055424E" w:rsidRPr="000F2024" w:rsidRDefault="0010396E" w:rsidP="00F1502F">
          <w:pPr>
            <w:rPr>
              <w:rFonts w:cs="Times New Roman"/>
              <w:sz w:val="20"/>
              <w:szCs w:val="20"/>
            </w:rPr>
          </w:pPr>
          <w:r w:rsidRPr="000F2024">
            <w:rPr>
              <w:rFonts w:cs="Times New Roman"/>
              <w:b/>
              <w:bCs/>
              <w:sz w:val="20"/>
              <w:szCs w:val="20"/>
            </w:rPr>
            <w:fldChar w:fldCharType="end"/>
          </w:r>
        </w:p>
      </w:sdtContent>
    </w:sdt>
    <w:p w:rsidR="00655FAE" w:rsidRPr="000F2024" w:rsidRDefault="00655FAE" w:rsidP="008512C1">
      <w:pPr>
        <w:pStyle w:val="Heading1"/>
        <w:rPr>
          <w:rFonts w:cs="Times New Roman"/>
          <w:sz w:val="20"/>
          <w:szCs w:val="20"/>
        </w:rPr>
      </w:pPr>
    </w:p>
    <w:p w:rsidR="00655FAE" w:rsidRPr="000F2024" w:rsidRDefault="00655FAE" w:rsidP="008512C1">
      <w:pPr>
        <w:pStyle w:val="Heading1"/>
        <w:rPr>
          <w:rFonts w:cs="Times New Roman"/>
          <w:sz w:val="20"/>
          <w:szCs w:val="20"/>
        </w:rPr>
      </w:pPr>
    </w:p>
    <w:p w:rsidR="00655FAE" w:rsidRPr="000F2024" w:rsidRDefault="00655FAE" w:rsidP="008512C1">
      <w:pPr>
        <w:pStyle w:val="Heading1"/>
        <w:rPr>
          <w:rFonts w:cs="Times New Roman"/>
          <w:sz w:val="20"/>
          <w:szCs w:val="20"/>
        </w:rPr>
      </w:pPr>
    </w:p>
    <w:p w:rsidR="00655FAE" w:rsidRPr="000F2024" w:rsidRDefault="00655FAE" w:rsidP="008512C1">
      <w:pPr>
        <w:pStyle w:val="Heading1"/>
        <w:rPr>
          <w:rFonts w:cs="Times New Roman"/>
          <w:sz w:val="20"/>
          <w:szCs w:val="20"/>
        </w:rPr>
      </w:pPr>
    </w:p>
    <w:p w:rsidR="00AD73D8" w:rsidRDefault="0010396E" w:rsidP="002A14D9">
      <w:pPr>
        <w:pStyle w:val="Heading2"/>
      </w:pPr>
      <w:r>
        <w:br w:type="page"/>
      </w:r>
      <w:bookmarkStart w:id="0" w:name="_Toc48152954"/>
      <w:r w:rsidR="002A14D9">
        <w:lastRenderedPageBreak/>
        <w:t>Introduction</w:t>
      </w:r>
      <w:bookmarkEnd w:id="0"/>
    </w:p>
    <w:p w:rsidR="002A14D9" w:rsidRDefault="00CA7E4A" w:rsidP="002A14D9">
      <w:r>
        <w:t xml:space="preserve">    </w:t>
      </w:r>
      <w:r w:rsidR="0010396E">
        <w:t xml:space="preserve"> In Management Accounting, budgets are the tools used by the management to prepare a quantifiable tool for an entity's future. The guiding framework of a budget is to use the past experiences of the business to develop plans. Hence, any accounting data related to the company plays a crucial role in preparing the budget. However, the part of the management does not end with the preparation of the budget itself. The actual accounting data obtained by the business should be compared with the budgeted proj</w:t>
      </w:r>
      <w:r w:rsidR="00042017">
        <w:t>ections for a particular period to identify the variances. These should be used as a guide for preparing the budgets for the future period. The budgets are divided into two categories, namely static and flexible budgets.</w:t>
      </w:r>
    </w:p>
    <w:p w:rsidR="00042017" w:rsidRDefault="0010396E" w:rsidP="00042017">
      <w:pPr>
        <w:pStyle w:val="Heading2"/>
      </w:pPr>
      <w:bookmarkStart w:id="1" w:name="_Toc48152955"/>
      <w:r>
        <w:t>Static Budgets</w:t>
      </w:r>
      <w:bookmarkEnd w:id="1"/>
    </w:p>
    <w:p w:rsidR="00042017" w:rsidRDefault="00CA7E4A" w:rsidP="00042017">
      <w:r>
        <w:t xml:space="preserve">    </w:t>
      </w:r>
      <w:r w:rsidR="0010396E">
        <w:t xml:space="preserve"> A Static Budget is one that tends to incorporate anticipated values of </w:t>
      </w:r>
      <w:r w:rsidR="004B1739">
        <w:t>inputs as well as outputs that are conceived before the beginning of the operating period. Once prepared, the static budget remains constant despite the fluctuations occurring in the value of the sales and production costs</w:t>
      </w:r>
      <w:r w:rsidR="003C202E" w:rsidRPr="003C202E">
        <w:t xml:space="preserve"> </w:t>
      </w:r>
      <w:r w:rsidR="003C202E">
        <w:t>(</w:t>
      </w:r>
      <w:proofErr w:type="spellStart"/>
      <w:r w:rsidR="003C202E">
        <w:t>Alsharari</w:t>
      </w:r>
      <w:proofErr w:type="spellEnd"/>
      <w:r w:rsidR="004F3BE7">
        <w:t xml:space="preserve">, </w:t>
      </w:r>
      <w:r w:rsidR="003C202E" w:rsidRPr="003C202E">
        <w:t>2019</w:t>
      </w:r>
      <w:r w:rsidR="003C202E">
        <w:t>)</w:t>
      </w:r>
      <w:r w:rsidR="004B1739">
        <w:t>. The purpose of the static budget is to generally act as a target for the managers in reducing expenditure and values while also producing sufficient revenue for the usage of the business. Some of the benefits of a static budget are that it is the best estimate of the market.</w:t>
      </w:r>
    </w:p>
    <w:p w:rsidR="002C5C41" w:rsidRDefault="0010396E" w:rsidP="002C5C41">
      <w:pPr>
        <w:pStyle w:val="Heading2"/>
      </w:pPr>
      <w:bookmarkStart w:id="2" w:name="_Toc48152956"/>
      <w:r>
        <w:t>Flexible Budget</w:t>
      </w:r>
      <w:bookmarkEnd w:id="2"/>
    </w:p>
    <w:p w:rsidR="002C4125" w:rsidRDefault="00CA7E4A" w:rsidP="002C5C41">
      <w:r>
        <w:t xml:space="preserve">     </w:t>
      </w:r>
      <w:r w:rsidR="0010396E">
        <w:t xml:space="preserve"> Flexible Budgets tend to adjust themselves and be compliant with the change in the business's level of activity. There are more varied aspects in preparing a flexible budget than a static budget</w:t>
      </w:r>
      <w:r w:rsidR="003C202E" w:rsidRPr="003C202E">
        <w:t xml:space="preserve"> </w:t>
      </w:r>
      <w:r w:rsidR="003C202E">
        <w:t>(Ahmad</w:t>
      </w:r>
      <w:r w:rsidR="004F3BE7">
        <w:t>,</w:t>
      </w:r>
      <w:r w:rsidR="003C202E" w:rsidRPr="006926EF">
        <w:t xml:space="preserve"> 2017</w:t>
      </w:r>
      <w:r w:rsidR="003C202E">
        <w:t>)</w:t>
      </w:r>
      <w:r w:rsidR="0010396E">
        <w:t xml:space="preserve">. The main advantage is that it helps set the level for the managers' efficiency and effectiveness. The benchmarks of the business can be adjusted according to the level of activity of the company. Planning and control processes can be better accomplished with the help of flexible budgets. Many businesses tend to use these budgets to estimate the factory and operating costs of </w:t>
      </w:r>
      <w:r w:rsidR="0010396E">
        <w:lastRenderedPageBreak/>
        <w:t>a business. In reality, a flexible budget is preferred to a static budget because there is more emphasis on cost behavior based on different activity levels.</w:t>
      </w:r>
    </w:p>
    <w:p w:rsidR="00BB7E5F" w:rsidRDefault="0010396E" w:rsidP="00BB7E5F">
      <w:pPr>
        <w:pStyle w:val="Heading1"/>
      </w:pPr>
      <w:r>
        <w:t>Section 2</w:t>
      </w:r>
    </w:p>
    <w:p w:rsidR="00125875" w:rsidRDefault="0010396E" w:rsidP="00125875">
      <w:pPr>
        <w:pStyle w:val="Heading2"/>
      </w:pPr>
      <w:bookmarkStart w:id="3" w:name="_Toc48152957"/>
      <w:r>
        <w:t>Participative Budgeting</w:t>
      </w:r>
      <w:bookmarkEnd w:id="3"/>
    </w:p>
    <w:p w:rsidR="00125875" w:rsidRPr="00125875" w:rsidRDefault="0010396E" w:rsidP="00125875">
      <w:r>
        <w:t xml:space="preserve"> </w:t>
      </w:r>
      <w:r w:rsidR="00CA7E4A">
        <w:t xml:space="preserve">      </w:t>
      </w:r>
      <w:r>
        <w:t xml:space="preserve">The process of Participative Budgeting involves participation from all people who are impacted by its implementation. This approach results in the creation of budgets that are more achievable and are not enforced on the employees. However, there should be a </w:t>
      </w:r>
      <w:proofErr w:type="gramStart"/>
      <w:r>
        <w:t>sufficient</w:t>
      </w:r>
      <w:proofErr w:type="gramEnd"/>
      <w:r>
        <w:t xml:space="preserve"> balance between the business's strategic targets and the employees' requirements in preparing a participative budget</w:t>
      </w:r>
      <w:r w:rsidR="003C202E" w:rsidRPr="003C202E">
        <w:t xml:space="preserve"> </w:t>
      </w:r>
      <w:r w:rsidR="003C202E">
        <w:t>(</w:t>
      </w:r>
      <w:proofErr w:type="spellStart"/>
      <w:r w:rsidR="003C202E">
        <w:t>Yuliansyah</w:t>
      </w:r>
      <w:proofErr w:type="spellEnd"/>
      <w:r w:rsidR="003C202E">
        <w:t xml:space="preserve"> and Khan</w:t>
      </w:r>
      <w:r w:rsidR="000B6D30">
        <w:t>,</w:t>
      </w:r>
      <w:r w:rsidR="003C202E" w:rsidRPr="003C202E">
        <w:t xml:space="preserve"> 2017</w:t>
      </w:r>
      <w:r w:rsidR="003C202E">
        <w:t>)</w:t>
      </w:r>
      <w:r>
        <w:t>. The implementation of participative Budgeting involves creating various small budgets such as production, sales, utility, and the cost of goods sold budget. These are combined to form the master budget, which acts as an essential document for guiding the business. The participation of a large number of employees</w:t>
      </w:r>
      <w:r w:rsidR="00CF70E8">
        <w:t xml:space="preserve"> increases in the </w:t>
      </w:r>
      <w:proofErr w:type="gramStart"/>
      <w:r w:rsidR="00CF70E8">
        <w:t>time</w:t>
      </w:r>
      <w:r w:rsidR="000B6D30">
        <w:t xml:space="preserve"> </w:t>
      </w:r>
      <w:r w:rsidR="00CF70E8">
        <w:t>.required</w:t>
      </w:r>
      <w:proofErr w:type="gramEnd"/>
      <w:r w:rsidR="00CF70E8">
        <w:t xml:space="preserve"> to prepar</w:t>
      </w:r>
      <w:r w:rsidR="00701EA0">
        <w:t>e the budgets and the resources utilized in doing the same</w:t>
      </w:r>
      <w:r w:rsidR="003C202E" w:rsidRPr="003C202E">
        <w:t xml:space="preserve"> </w:t>
      </w:r>
      <w:r w:rsidR="003C202E">
        <w:t>(Chong</w:t>
      </w:r>
      <w:r w:rsidR="003C202E" w:rsidRPr="003C202E">
        <w:t xml:space="preserve"> and </w:t>
      </w:r>
      <w:r w:rsidR="003C202E">
        <w:t>Strauss</w:t>
      </w:r>
      <w:r w:rsidR="004F3BE7">
        <w:t xml:space="preserve">, </w:t>
      </w:r>
      <w:r w:rsidR="003C202E" w:rsidRPr="003C202E">
        <w:t>2017</w:t>
      </w:r>
      <w:r w:rsidR="003C202E">
        <w:t>)</w:t>
      </w:r>
      <w:r w:rsidR="00701EA0">
        <w:t xml:space="preserve">. </w:t>
      </w:r>
    </w:p>
    <w:p w:rsidR="00893C87" w:rsidRDefault="0010396E" w:rsidP="00893C87">
      <w:pPr>
        <w:pStyle w:val="Heading2"/>
      </w:pPr>
      <w:bookmarkStart w:id="4" w:name="_Toc48152958"/>
      <w:r>
        <w:t>Relevance in Modern Day Business</w:t>
      </w:r>
      <w:bookmarkEnd w:id="4"/>
    </w:p>
    <w:p w:rsidR="00893C87" w:rsidRDefault="00CA7E4A" w:rsidP="00893C87">
      <w:r>
        <w:t xml:space="preserve">      </w:t>
      </w:r>
      <w:r w:rsidR="0010396E">
        <w:t xml:space="preserve"> In the modern-day business, the usefulness of traditional Budgeting has been varying depending on its purpose. There are arguments for and against the regular budgeting use in the current scenario. The main factor which prevents the sustained use of traditional Budgeting in the modern-day business environment is the organizational culture. There has been an increased emphasis on implementing changes and performance management of various employees with the help of the budgeting tool</w:t>
      </w:r>
      <w:r w:rsidR="003C202E" w:rsidRPr="003C202E">
        <w:t xml:space="preserve"> </w:t>
      </w:r>
      <w:r w:rsidR="00BB7E5F">
        <w:t>(Kosov et al.,</w:t>
      </w:r>
      <w:r w:rsidR="003C202E" w:rsidRPr="003C202E">
        <w:t xml:space="preserve"> 2016</w:t>
      </w:r>
      <w:r w:rsidR="003C202E">
        <w:t>)</w:t>
      </w:r>
      <w:r w:rsidR="0010396E">
        <w:t xml:space="preserve">. </w:t>
      </w:r>
      <w:r w:rsidR="006F5A0B">
        <w:t xml:space="preserve">The budgeting process in the current organizations is not only limited to the preparation of budgets and analyzing the variances. It also includes enforcement of targets, control, and increased accountability among everyone involved within the </w:t>
      </w:r>
      <w:r w:rsidR="006F5A0B">
        <w:lastRenderedPageBreak/>
        <w:t>organization. The motivational spirit and the managerial direction provided by the traditional or static budgets should not be ignored by the managers and should be adopted as a part of the organizational culture (</w:t>
      </w:r>
      <w:proofErr w:type="spellStart"/>
      <w:r w:rsidR="006F5A0B">
        <w:t>Asogwa</w:t>
      </w:r>
      <w:proofErr w:type="spellEnd"/>
      <w:r w:rsidR="006F5A0B">
        <w:t xml:space="preserve"> and </w:t>
      </w:r>
      <w:proofErr w:type="spellStart"/>
      <w:r w:rsidR="006F5A0B">
        <w:t>Etim</w:t>
      </w:r>
      <w:proofErr w:type="spellEnd"/>
      <w:r w:rsidR="004F3BE7">
        <w:t xml:space="preserve">, </w:t>
      </w:r>
      <w:r w:rsidR="006F5A0B" w:rsidRPr="006F5A0B">
        <w:t>2017</w:t>
      </w:r>
      <w:r w:rsidR="006F5A0B">
        <w:t xml:space="preserve">). The recent changes in </w:t>
      </w:r>
      <w:r w:rsidR="000C0A38">
        <w:t xml:space="preserve">the budgeting activity have taken place in public sector organizations. These changes have been inspired by the Beyond Budgeting Process of the entities. Despite budgets being mandatory in some organizations, they have been changed altogether, and emphasis has been laid on creating forecasts that support efficiency, efficacy, and transparency among the business. The researchers suggest that </w:t>
      </w:r>
      <w:proofErr w:type="gramStart"/>
      <w:r w:rsidR="000C0A38">
        <w:t>a majority of</w:t>
      </w:r>
      <w:proofErr w:type="gramEnd"/>
      <w:r w:rsidR="000C0A38">
        <w:t xml:space="preserve"> the organizations implementing the Beyond Budgeting principles have succeeded in aligning areas such as goals, rewards, control, and governance of the organization</w:t>
      </w:r>
      <w:r w:rsidR="000E4D82" w:rsidRPr="000E4D82">
        <w:t xml:space="preserve"> </w:t>
      </w:r>
      <w:r w:rsidR="000E4D82">
        <w:t>(</w:t>
      </w:r>
      <w:proofErr w:type="spellStart"/>
      <w:r w:rsidR="000E4D82">
        <w:t>Madina</w:t>
      </w:r>
      <w:proofErr w:type="spellEnd"/>
      <w:r w:rsidR="004F3BE7">
        <w:t>,</w:t>
      </w:r>
      <w:r w:rsidR="000E4D82" w:rsidRPr="000E4D82">
        <w:t xml:space="preserve"> 2020</w:t>
      </w:r>
      <w:r w:rsidR="000E4D82">
        <w:t>)</w:t>
      </w:r>
      <w:r w:rsidR="000C0A38">
        <w:t>. However, some areas where these have failed include trust, transparency, and accountability among entities.</w:t>
      </w:r>
    </w:p>
    <w:p w:rsidR="003649C2" w:rsidRDefault="0010396E" w:rsidP="00893C87">
      <w:r>
        <w:t xml:space="preserve"> In the case of the modern-day companies such as the IT technology companies, the main factor which plays a vital role in their development is agility. These companies need to update themselves quickly to the changes occurring in the market. However, it has been found that the alignment between technology and Budgeting is not very common. </w:t>
      </w:r>
      <w:proofErr w:type="gramStart"/>
      <w:r>
        <w:t>The majority of</w:t>
      </w:r>
      <w:proofErr w:type="gramEnd"/>
      <w:r>
        <w:t xml:space="preserve"> these companies acknowledge the importance of Budgeting as a part of their decision-making</w:t>
      </w:r>
      <w:r w:rsidR="00BB7E5F">
        <w:t xml:space="preserve"> (Deloitte</w:t>
      </w:r>
      <w:r w:rsidR="004F3BE7">
        <w:t>,</w:t>
      </w:r>
      <w:r w:rsidR="00BB7E5F">
        <w:t xml:space="preserve"> 2020)</w:t>
      </w:r>
      <w:r>
        <w:t>. The traditional budgeting process is not entirely suitable for the development of an agile organization. Some of the functions of technology companies such as cross-functional teaming, iterative sprints, and customer-oriented mindset are all a norm among these companies</w:t>
      </w:r>
      <w:r w:rsidR="00BB7E5F">
        <w:t xml:space="preserve">. </w:t>
      </w:r>
      <w:r>
        <w:t xml:space="preserve">Fixed or static budgets tend to focus more on annual increases than the previous year's performances and inflexible requirements. The single goal focus of these budgets makes it difficult for the business to prepare a consistently useful budget. In these conditions, flexible Budgeting tends to more beneficial as it provides activities with the necessary accountability and creativity for meeting a specified target. </w:t>
      </w:r>
      <w:r>
        <w:lastRenderedPageBreak/>
        <w:t xml:space="preserve">A technology-oriented company like Apple is also renowned for its efficient cost management. </w:t>
      </w:r>
      <w:r w:rsidR="00FD154F">
        <w:t>Despite a significant increase in expenses like human resource costs, R &amp; D budgets, and other overhead costs, it has continuously kept control of its targets</w:t>
      </w:r>
      <w:r w:rsidR="003C202E" w:rsidRPr="003C202E">
        <w:t xml:space="preserve"> </w:t>
      </w:r>
      <w:r w:rsidR="00BB7E5F">
        <w:t>(</w:t>
      </w:r>
      <w:r w:rsidR="003C202E">
        <w:t>Lazaro</w:t>
      </w:r>
      <w:r w:rsidR="00BB7E5F">
        <w:t>,</w:t>
      </w:r>
      <w:r w:rsidR="003C202E" w:rsidRPr="003C202E">
        <w:t xml:space="preserve"> 2017</w:t>
      </w:r>
      <w:r w:rsidR="003C202E">
        <w:t>)</w:t>
      </w:r>
      <w:r w:rsidR="00FD154F">
        <w:t>.</w:t>
      </w:r>
    </w:p>
    <w:p w:rsidR="003649C2" w:rsidRDefault="0010396E" w:rsidP="003649C2">
      <w:pPr>
        <w:pStyle w:val="Heading2"/>
      </w:pPr>
      <w:r>
        <w:t>Changing the operating environment and Participative Budgeting</w:t>
      </w:r>
    </w:p>
    <w:p w:rsidR="003649C2" w:rsidRPr="003649C2" w:rsidRDefault="00CA7E4A" w:rsidP="003649C2">
      <w:r>
        <w:t xml:space="preserve">       </w:t>
      </w:r>
      <w:r w:rsidR="0010396E">
        <w:t xml:space="preserve"> It has been suggested that participative Budgeting tends to have low influence the budgetary commitment towards managerial performance. However, in many cases, it helps in obtaining a more positive performance from the managers. There is also no significant influence of budgetary commitment on participative Budgeting</w:t>
      </w:r>
      <w:r w:rsidR="0010396E" w:rsidRPr="003649C2">
        <w:t xml:space="preserve"> </w:t>
      </w:r>
      <w:r w:rsidR="0010396E">
        <w:t>(Kusuma</w:t>
      </w:r>
      <w:r w:rsidR="00A94D6E">
        <w:t>,</w:t>
      </w:r>
      <w:r w:rsidR="0010396E" w:rsidRPr="003649C2">
        <w:t xml:space="preserve"> 2017</w:t>
      </w:r>
      <w:r w:rsidR="0010396E">
        <w:t xml:space="preserve">). However, an analysis of the S&amp;P 1500 firms’ proxy statements suggests that using EPS performance goal is higher for participative budgeting firms than </w:t>
      </w:r>
      <w:r w:rsidR="00F122BE">
        <w:t>those with non-participative Budgeting. However, the analysis has not extended beyond this point. Some other aspects which need to be verified include the impact of participative Budgeting on incentive plans and target-setting measures undertaken by the businesses</w:t>
      </w:r>
      <w:r w:rsidR="00106180" w:rsidRPr="00106180">
        <w:t xml:space="preserve"> </w:t>
      </w:r>
      <w:r w:rsidR="00106180">
        <w:t>(Sokolov et al., 2018)</w:t>
      </w:r>
      <w:r w:rsidR="00F122BE">
        <w:t>.</w:t>
      </w:r>
      <w:r w:rsidR="00106180">
        <w:t xml:space="preserve"> Some of the advantages </w:t>
      </w:r>
    </w:p>
    <w:p w:rsidR="00A11049" w:rsidRDefault="0010396E" w:rsidP="00893C87">
      <w:r>
        <w:t xml:space="preserve"> Despite the criticism of traditional Budgeting in the modern business environment, it should be noted that the level of criticism is not valid for all types of organizations</w:t>
      </w:r>
      <w:r w:rsidR="006926EF" w:rsidRPr="006926EF">
        <w:t xml:space="preserve"> </w:t>
      </w:r>
      <w:r w:rsidR="006926EF">
        <w:t xml:space="preserve">(Weigel and </w:t>
      </w:r>
      <w:proofErr w:type="spellStart"/>
      <w:r w:rsidR="006926EF">
        <w:t>Hiebl</w:t>
      </w:r>
      <w:proofErr w:type="spellEnd"/>
      <w:r w:rsidR="00A94D6E">
        <w:t xml:space="preserve"> ,</w:t>
      </w:r>
      <w:r w:rsidR="006926EF" w:rsidRPr="006926EF">
        <w:t>2018</w:t>
      </w:r>
      <w:r w:rsidR="006926EF">
        <w:t>)</w:t>
      </w:r>
      <w:r>
        <w:t>. However, for the process of short-term goal setting, the approach towards planning and forecasting and coordination of resources should be better maintained. Despite an increased emphasis on the coordination of resources, many organizations have only improved the existing budgeting processes and have not entirely abandoned budgets.</w:t>
      </w:r>
      <w:r w:rsidR="00D71418">
        <w:t xml:space="preserve"> Participatory Budgeting helps the business managers in branching the employees with a sense of responsibility. The targets set by the business are done by keeping the best interests of the company in mind. They also become more realistic and achievable. The Maslow motivation theory suggests that human beings have a hierarchy of needs. Hence, to fulfill these requirements and needs, there is a need to let employees participate </w:t>
      </w:r>
      <w:r w:rsidR="00D71418">
        <w:lastRenderedPageBreak/>
        <w:t>in the budgeting process and set goals on their own. This also helps satisfy their securities and protects them from any perceived danger from the management</w:t>
      </w:r>
      <w:r w:rsidR="00D71418" w:rsidRPr="00D71418">
        <w:t xml:space="preserve"> </w:t>
      </w:r>
      <w:r w:rsidR="00D71418">
        <w:t>(Myint et al., 2019).</w:t>
      </w:r>
    </w:p>
    <w:p w:rsidR="00A11049" w:rsidRDefault="0010396E" w:rsidP="00A11049">
      <w:pPr>
        <w:pStyle w:val="Heading2"/>
      </w:pPr>
      <w:bookmarkStart w:id="5" w:name="_Toc48152959"/>
      <w:r>
        <w:t>Conclusion</w:t>
      </w:r>
      <w:bookmarkEnd w:id="5"/>
    </w:p>
    <w:p w:rsidR="00A11049" w:rsidRPr="00A11049" w:rsidRDefault="0010396E" w:rsidP="00A11049">
      <w:r>
        <w:tab/>
      </w:r>
      <w:r w:rsidR="006926EF">
        <w:t>Based on the above discussion, it can be suggested that budgets are becoming challenging to implement in modern-day businesses. However, they are incredibly relevant to the entities. Some of the concepts of fixed budgets, such as goal setting and obtaining optimal performance from the objects, are still relevant for organizations. Flexible Budgeting plays an essential role in helping the organization understand the number of available resources and adjust them accordingly. Using both static and flexible budgets can further improve the efficiency of an organization. One of the steps includes setting the overall objectives of the organization at the beginning of the year. The maximum limit for the usage of the resources should also be determined in this case. Using the flexible budgets on time would result in the entity adjusting itself to the conditions prevailing in the business environment. Participative Budgeting would also help the object reduce additional expenditure and reduce any potential wastage during the implementation of a budget.</w:t>
      </w:r>
    </w:p>
    <w:p w:rsidR="006F5A0B" w:rsidRDefault="0010396E">
      <w:pPr>
        <w:spacing w:line="259" w:lineRule="auto"/>
        <w:jc w:val="left"/>
      </w:pPr>
      <w:r>
        <w:br w:type="page"/>
      </w:r>
      <w:r w:rsidR="00D71418">
        <w:lastRenderedPageBreak/>
        <w:t>*</w:t>
      </w:r>
    </w:p>
    <w:p w:rsidR="00042017" w:rsidRDefault="0010396E" w:rsidP="006F5A0B">
      <w:pPr>
        <w:pStyle w:val="Heading2"/>
      </w:pPr>
      <w:bookmarkStart w:id="6" w:name="_Toc48152960"/>
      <w:r>
        <w:t>References</w:t>
      </w:r>
      <w:bookmarkEnd w:id="6"/>
      <w:r w:rsidR="00045BF7">
        <w:t xml:space="preserve"> and Bibliography</w:t>
      </w:r>
    </w:p>
    <w:p w:rsidR="00D71418" w:rsidRDefault="0010396E" w:rsidP="003C202E">
      <w:r w:rsidRPr="006926EF">
        <w:t>Ahm</w:t>
      </w:r>
      <w:bookmarkStart w:id="7" w:name="_GoBack"/>
      <w:bookmarkEnd w:id="7"/>
      <w:r w:rsidRPr="006926EF">
        <w:t xml:space="preserve">ad, K., </w:t>
      </w:r>
      <w:r w:rsidR="00C87351">
        <w:t>(</w:t>
      </w:r>
      <w:r w:rsidRPr="006926EF">
        <w:t>2017</w:t>
      </w:r>
      <w:r w:rsidR="00C87351">
        <w:t>)</w:t>
      </w:r>
      <w:r w:rsidRPr="006926EF">
        <w:t xml:space="preserve">. The implementation of management accounting practice and its relationship with performance in the Small and Medium Enterprises sector. </w:t>
      </w:r>
      <w:r w:rsidRPr="003C202E">
        <w:rPr>
          <w:i/>
          <w:iCs/>
        </w:rPr>
        <w:t>International Review of Management and Marketing</w:t>
      </w:r>
      <w:r w:rsidRPr="006926EF">
        <w:t>, </w:t>
      </w:r>
      <w:r w:rsidRPr="003C202E">
        <w:rPr>
          <w:i/>
          <w:iCs/>
        </w:rPr>
        <w:t>7</w:t>
      </w:r>
      <w:r w:rsidRPr="006926EF">
        <w:t>(1).</w:t>
      </w:r>
    </w:p>
    <w:p w:rsidR="00D71418" w:rsidRDefault="0010396E" w:rsidP="003C202E">
      <w:proofErr w:type="spellStart"/>
      <w:r w:rsidRPr="003C202E">
        <w:t>Alsharari</w:t>
      </w:r>
      <w:proofErr w:type="spellEnd"/>
      <w:r w:rsidRPr="003C202E">
        <w:t xml:space="preserve">, N.M., </w:t>
      </w:r>
      <w:r w:rsidR="00C87351">
        <w:t>(</w:t>
      </w:r>
      <w:r w:rsidRPr="003C202E">
        <w:t>2019</w:t>
      </w:r>
      <w:r w:rsidR="00C87351">
        <w:t>)</w:t>
      </w:r>
      <w:r w:rsidRPr="003C202E">
        <w:t>. Management accounting and organizational change: alternative perspectives. </w:t>
      </w:r>
      <w:r w:rsidRPr="003C202E">
        <w:rPr>
          <w:i/>
          <w:iCs/>
        </w:rPr>
        <w:t>International Journal of Organizational Analysis</w:t>
      </w:r>
      <w:r w:rsidRPr="003C202E">
        <w:t>.</w:t>
      </w:r>
    </w:p>
    <w:p w:rsidR="00D71418" w:rsidRDefault="0010396E" w:rsidP="003C202E">
      <w:proofErr w:type="spellStart"/>
      <w:r w:rsidRPr="006F5A0B">
        <w:t>Asogwa</w:t>
      </w:r>
      <w:proofErr w:type="spellEnd"/>
      <w:r w:rsidRPr="006F5A0B">
        <w:t xml:space="preserve">, I.E., and </w:t>
      </w:r>
      <w:proofErr w:type="spellStart"/>
      <w:r w:rsidRPr="006F5A0B">
        <w:t>Etim</w:t>
      </w:r>
      <w:proofErr w:type="spellEnd"/>
      <w:r w:rsidRPr="006F5A0B">
        <w:t>,</w:t>
      </w:r>
      <w:r w:rsidR="005F73D1">
        <w:t xml:space="preserve"> </w:t>
      </w:r>
      <w:r w:rsidRPr="006F5A0B">
        <w:t>OE,</w:t>
      </w:r>
      <w:r w:rsidR="005F73D1">
        <w:t xml:space="preserve"> </w:t>
      </w:r>
      <w:proofErr w:type="gramStart"/>
      <w:r w:rsidR="005F73D1">
        <w:t>(</w:t>
      </w:r>
      <w:r w:rsidRPr="006F5A0B">
        <w:t xml:space="preserve"> 2017</w:t>
      </w:r>
      <w:proofErr w:type="gramEnd"/>
      <w:r w:rsidR="005F73D1">
        <w:t>)</w:t>
      </w:r>
      <w:r w:rsidRPr="006F5A0B">
        <w:t xml:space="preserve">. Traditional Budgeting in Today's Business Environment. </w:t>
      </w:r>
      <w:r w:rsidRPr="003C202E">
        <w:rPr>
          <w:i/>
          <w:iCs/>
        </w:rPr>
        <w:t>Journal of Applied Finance and Banking</w:t>
      </w:r>
      <w:r w:rsidRPr="006F5A0B">
        <w:t>, </w:t>
      </w:r>
      <w:r w:rsidRPr="003C202E">
        <w:rPr>
          <w:i/>
          <w:iCs/>
        </w:rPr>
        <w:t>7</w:t>
      </w:r>
      <w:r w:rsidRPr="006F5A0B">
        <w:t>(3), p.111.</w:t>
      </w:r>
    </w:p>
    <w:p w:rsidR="00D71418" w:rsidRDefault="0010396E" w:rsidP="003C202E">
      <w:r w:rsidRPr="003C202E">
        <w:t xml:space="preserve">Datar, SM, and Rajan, </w:t>
      </w:r>
      <w:proofErr w:type="gramStart"/>
      <w:r w:rsidRPr="003C202E">
        <w:t>M.,</w:t>
      </w:r>
      <w:r w:rsidR="005F73D1">
        <w:t>(</w:t>
      </w:r>
      <w:proofErr w:type="gramEnd"/>
      <w:r w:rsidRPr="003C202E">
        <w:t xml:space="preserve"> 2018</w:t>
      </w:r>
      <w:r w:rsidR="005F73D1">
        <w:t>)</w:t>
      </w:r>
      <w:r w:rsidRPr="003C202E">
        <w:t>. Horngren's cost accounting: A managerial emphasis.</w:t>
      </w:r>
    </w:p>
    <w:p w:rsidR="00D71418" w:rsidRDefault="0010396E" w:rsidP="003C202E">
      <w:r w:rsidRPr="003C202E">
        <w:t xml:space="preserve">De Castilho Lazaro, M., </w:t>
      </w:r>
      <w:r w:rsidR="005F73D1">
        <w:t>(</w:t>
      </w:r>
      <w:r w:rsidRPr="003C202E">
        <w:t>2017</w:t>
      </w:r>
      <w:r w:rsidR="005F73D1">
        <w:t>)</w:t>
      </w:r>
      <w:r w:rsidRPr="003C202E">
        <w:t>. </w:t>
      </w:r>
      <w:r w:rsidRPr="003C202E">
        <w:rPr>
          <w:i/>
          <w:iCs/>
        </w:rPr>
        <w:t>Opportunities for improving corporate Budgeting and the financial forecasting process</w:t>
      </w:r>
      <w:r w:rsidRPr="003C202E">
        <w:t> (Doctoral dissertation, Massachusetts Institute of Technology).</w:t>
      </w:r>
    </w:p>
    <w:p w:rsidR="00D71418" w:rsidRDefault="0010396E" w:rsidP="003C202E">
      <w:r w:rsidRPr="003C202E">
        <w:t xml:space="preserve">K Chong, V., and Strauss, R., </w:t>
      </w:r>
      <w:r w:rsidR="005F73D1">
        <w:t>(</w:t>
      </w:r>
      <w:r w:rsidRPr="003C202E">
        <w:t>2017</w:t>
      </w:r>
      <w:r w:rsidR="005F73D1">
        <w:t>)</w:t>
      </w:r>
      <w:r w:rsidRPr="003C202E">
        <w:t xml:space="preserve">. Participative Budgeting: the effects of budget emphasis, information asymmetry, and procedural justice on slack-additional evidence. </w:t>
      </w:r>
      <w:r w:rsidRPr="003C202E">
        <w:rPr>
          <w:i/>
          <w:iCs/>
        </w:rPr>
        <w:t>Asia-Pacific Management Accounting Journal (APMAJ)</w:t>
      </w:r>
      <w:r w:rsidRPr="003C202E">
        <w:t>, </w:t>
      </w:r>
      <w:r w:rsidRPr="003C202E">
        <w:rPr>
          <w:i/>
          <w:iCs/>
        </w:rPr>
        <w:t>12</w:t>
      </w:r>
      <w:r w:rsidRPr="003C202E">
        <w:t>(1), pp.181-220.</w:t>
      </w:r>
    </w:p>
    <w:p w:rsidR="00D71418" w:rsidRDefault="0010396E" w:rsidP="003C202E">
      <w:proofErr w:type="spellStart"/>
      <w:r w:rsidRPr="003C202E">
        <w:t>Kosov</w:t>
      </w:r>
      <w:proofErr w:type="spellEnd"/>
      <w:r w:rsidRPr="003C202E">
        <w:t xml:space="preserve">, M.E., </w:t>
      </w:r>
      <w:proofErr w:type="spellStart"/>
      <w:r w:rsidRPr="003C202E">
        <w:t>Mashinistova</w:t>
      </w:r>
      <w:proofErr w:type="spellEnd"/>
      <w:r w:rsidRPr="003C202E">
        <w:t xml:space="preserve">, G.E., and </w:t>
      </w:r>
      <w:proofErr w:type="spellStart"/>
      <w:r w:rsidRPr="003C202E">
        <w:t>Kharakoz</w:t>
      </w:r>
      <w:proofErr w:type="spellEnd"/>
      <w:r w:rsidRPr="003C202E">
        <w:t>,</w:t>
      </w:r>
      <w:r w:rsidR="005F73D1">
        <w:t xml:space="preserve"> </w:t>
      </w:r>
      <w:r w:rsidRPr="003C202E">
        <w:t xml:space="preserve">Y.K., </w:t>
      </w:r>
      <w:r w:rsidR="005F73D1">
        <w:t>(</w:t>
      </w:r>
      <w:r w:rsidRPr="003C202E">
        <w:t>2016</w:t>
      </w:r>
      <w:r w:rsidR="005F73D1">
        <w:t>)</w:t>
      </w:r>
      <w:r w:rsidRPr="003C202E">
        <w:t>. Features of the organization of managerial cost accounting and cost management. </w:t>
      </w:r>
      <w:r w:rsidRPr="003C202E">
        <w:rPr>
          <w:i/>
          <w:iCs/>
        </w:rPr>
        <w:t>Мировая экономика: проблемы безопасности</w:t>
      </w:r>
      <w:r w:rsidRPr="003C202E">
        <w:t>, (1), pp.33-39.</w:t>
      </w:r>
    </w:p>
    <w:p w:rsidR="00D71418" w:rsidRDefault="0010396E" w:rsidP="003C202E">
      <w:r w:rsidRPr="003649C2">
        <w:t xml:space="preserve">Kusuma, BH, </w:t>
      </w:r>
      <w:r w:rsidR="00C87351">
        <w:t>(</w:t>
      </w:r>
      <w:r w:rsidRPr="003649C2">
        <w:t>2017, June</w:t>
      </w:r>
      <w:r w:rsidR="00C87351">
        <w:t>)</w:t>
      </w:r>
      <w:r w:rsidRPr="003649C2">
        <w:t xml:space="preserve">. THE INFLUENCE OF BUDGETARY COMMITMENT ON MANAGERIAL PERFORMANCE: PARTICIPATIVE BUDGETING AS AN INTERVENING VARIABLE. In </w:t>
      </w:r>
      <w:r w:rsidRPr="003649C2">
        <w:rPr>
          <w:i/>
          <w:iCs/>
        </w:rPr>
        <w:t>The 3rd PIABC (Parahyangan International Accounting and Business Conference</w:t>
      </w:r>
      <w:r w:rsidRPr="003649C2">
        <w:t>.</w:t>
      </w:r>
    </w:p>
    <w:p w:rsidR="00D71418" w:rsidRPr="006F5A0B" w:rsidRDefault="0010396E" w:rsidP="003C202E">
      <w:r w:rsidRPr="000E4D82">
        <w:lastRenderedPageBreak/>
        <w:t xml:space="preserve">Madina, E., </w:t>
      </w:r>
      <w:r w:rsidR="00C87351">
        <w:t>(</w:t>
      </w:r>
      <w:r w:rsidRPr="000E4D82">
        <w:t>2020</w:t>
      </w:r>
      <w:r w:rsidR="00C87351">
        <w:t>)</w:t>
      </w:r>
      <w:r w:rsidRPr="000E4D82">
        <w:t>. NEW APPROACHES IN PUBLIC BUDGETING AND ACCOUNTING. </w:t>
      </w:r>
      <w:r w:rsidRPr="000E4D82">
        <w:rPr>
          <w:i/>
          <w:iCs/>
        </w:rPr>
        <w:t>International Engineering Journal For Research &amp; Development</w:t>
      </w:r>
      <w:r w:rsidRPr="000E4D82">
        <w:t>, </w:t>
      </w:r>
      <w:r w:rsidRPr="000E4D82">
        <w:rPr>
          <w:i/>
          <w:iCs/>
        </w:rPr>
        <w:t>5</w:t>
      </w:r>
      <w:r w:rsidRPr="000E4D82">
        <w:t>(4), pp.5-5.</w:t>
      </w:r>
    </w:p>
    <w:p w:rsidR="00D71418" w:rsidRDefault="0010396E" w:rsidP="003C202E">
      <w:r w:rsidRPr="00D71418">
        <w:t xml:space="preserve">Myint, Y.Y., Mithunchakravarthy, D., Raju, V., and Bhaumik, A., 2019. Impact of budget participation on job performance in Myanmar private commercial banks with a mediation effect of budget goal commitment. </w:t>
      </w:r>
      <w:r w:rsidRPr="00D71418">
        <w:rPr>
          <w:i/>
          <w:iCs/>
        </w:rPr>
        <w:t>Int J Innov Technol Explore Eng</w:t>
      </w:r>
      <w:r w:rsidRPr="00D71418">
        <w:t>, </w:t>
      </w:r>
      <w:r w:rsidRPr="00D71418">
        <w:rPr>
          <w:i/>
          <w:iCs/>
        </w:rPr>
        <w:t>8</w:t>
      </w:r>
      <w:r w:rsidRPr="00D71418">
        <w:t>, pp.579-587.</w:t>
      </w:r>
    </w:p>
    <w:p w:rsidR="00D71418" w:rsidRPr="003C202E" w:rsidRDefault="0010396E" w:rsidP="003C202E">
      <w:pPr>
        <w:rPr>
          <w:lang w:val="en-US"/>
        </w:rPr>
      </w:pPr>
      <w:r w:rsidRPr="003C202E">
        <w:rPr>
          <w:i/>
          <w:iCs/>
          <w:lang w:val="en-US"/>
        </w:rPr>
        <w:t>Reinventing tech finance: The evolution from IT budgets to technology investments</w:t>
      </w:r>
      <w:r w:rsidRPr="003C202E">
        <w:rPr>
          <w:lang w:val="en-US"/>
        </w:rPr>
        <w:t> (2020). Available at: https://www2.deloitte.com/us/en/insights/focus/cio-insider-business-insights/tech-finance-technology-investment-budgeting-processes.html (Accessed: 12 August 2020).</w:t>
      </w:r>
    </w:p>
    <w:p w:rsidR="00D71418" w:rsidRPr="00BB7E5F" w:rsidRDefault="0010396E" w:rsidP="00BB7E5F">
      <w:pPr>
        <w:rPr>
          <w:lang w:val="en-US"/>
        </w:rPr>
      </w:pPr>
      <w:r w:rsidRPr="00BB7E5F">
        <w:rPr>
          <w:i/>
          <w:iCs/>
          <w:lang w:val="en-US"/>
        </w:rPr>
        <w:t>Reinventing tech finance: The evolution from IT budgets to technology investments</w:t>
      </w:r>
      <w:r w:rsidRPr="00BB7E5F">
        <w:rPr>
          <w:lang w:val="en-US"/>
        </w:rPr>
        <w:t> (2020). Available at: https://www2.deloitte.com/us/en/insights/focus/cio-insider-business-insights/tech-finance-technology-investment-budgeting-processes.html (Accessed: 19 August 2020).</w:t>
      </w:r>
    </w:p>
    <w:p w:rsidR="00D71418" w:rsidRDefault="0010396E" w:rsidP="003C202E">
      <w:r w:rsidRPr="00106180">
        <w:t>Sokolov, A.Y., Elsukova, T.V., and Snetkova, T.A., 2018, August. Developing Budgeting and control in a throughput accounting system. In</w:t>
      </w:r>
      <w:r w:rsidRPr="00106180">
        <w:rPr>
          <w:i/>
          <w:iCs/>
        </w:rPr>
        <w:t>ternational Conference" Economy in the modern world"(ICEMW 2018)</w:t>
      </w:r>
      <w:r w:rsidRPr="00106180">
        <w:t>. Atlantis Press.</w:t>
      </w:r>
    </w:p>
    <w:p w:rsidR="00D71418" w:rsidRDefault="0010396E" w:rsidP="003C202E">
      <w:r w:rsidRPr="006926EF">
        <w:t>Weigel, C., and Hiebl, M.R., 2018. Beyond budgeting: review and research agenda. </w:t>
      </w:r>
      <w:r w:rsidRPr="003C202E">
        <w:rPr>
          <w:i/>
          <w:iCs/>
        </w:rPr>
        <w:t>Journal of Accounting &amp; Organizational Change</w:t>
      </w:r>
      <w:r w:rsidRPr="006926EF">
        <w:t>.</w:t>
      </w:r>
    </w:p>
    <w:p w:rsidR="00D71418" w:rsidRDefault="0010396E" w:rsidP="003C202E">
      <w:r w:rsidRPr="003C202E">
        <w:t xml:space="preserve">Yuliansyah, Y. and Khan, A.A., </w:t>
      </w:r>
      <w:r w:rsidR="005F73D1">
        <w:t>(</w:t>
      </w:r>
      <w:r w:rsidRPr="003C202E">
        <w:t>2017</w:t>
      </w:r>
      <w:r w:rsidR="005F73D1">
        <w:t>)</w:t>
      </w:r>
      <w:r w:rsidRPr="003C202E">
        <w:t xml:space="preserve">. A revisit of the participative Budgeting and employees' self-efficacy interrelationship–empirical evidence from Indonesia's public sector. </w:t>
      </w:r>
      <w:r w:rsidRPr="003C202E">
        <w:rPr>
          <w:i/>
          <w:iCs/>
        </w:rPr>
        <w:t>International Review of Public Administration</w:t>
      </w:r>
      <w:r w:rsidRPr="003C202E">
        <w:t>, </w:t>
      </w:r>
      <w:r w:rsidRPr="003C202E">
        <w:rPr>
          <w:i/>
          <w:iCs/>
        </w:rPr>
        <w:t>22</w:t>
      </w:r>
      <w:r w:rsidRPr="003C202E">
        <w:t>(3), pp.213-230.</w:t>
      </w:r>
    </w:p>
    <w:p w:rsidR="00D71418" w:rsidRDefault="0010396E" w:rsidP="003C202E">
      <w:r w:rsidRPr="006F5A0B">
        <w:t xml:space="preserve">Zavrazhnyi, K., 2020. Automation of Budgeting of industrial enterprises as the basis for the digitalization of internal communication business processes. </w:t>
      </w:r>
      <w:r w:rsidRPr="003C202E">
        <w:rPr>
          <w:i/>
          <w:iCs/>
        </w:rPr>
        <w:t>VUZF Review</w:t>
      </w:r>
      <w:r w:rsidRPr="006F5A0B">
        <w:t>, </w:t>
      </w:r>
      <w:r w:rsidRPr="003C202E">
        <w:rPr>
          <w:i/>
          <w:iCs/>
        </w:rPr>
        <w:t>5</w:t>
      </w:r>
      <w:r w:rsidRPr="006F5A0B">
        <w:t>(1), pp.31-37.</w:t>
      </w:r>
    </w:p>
    <w:sectPr w:rsidR="00D71418" w:rsidSect="006A346B">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1FD7" w:rsidRDefault="00601FD7">
      <w:pPr>
        <w:spacing w:after="0" w:line="240" w:lineRule="auto"/>
      </w:pPr>
      <w:r>
        <w:separator/>
      </w:r>
    </w:p>
  </w:endnote>
  <w:endnote w:type="continuationSeparator" w:id="0">
    <w:p w:rsidR="00601FD7" w:rsidRDefault="00601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1FD7" w:rsidRDefault="00601FD7">
      <w:pPr>
        <w:spacing w:after="0" w:line="240" w:lineRule="auto"/>
      </w:pPr>
      <w:r>
        <w:separator/>
      </w:r>
    </w:p>
  </w:footnote>
  <w:footnote w:type="continuationSeparator" w:id="0">
    <w:p w:rsidR="00601FD7" w:rsidRDefault="00601F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581F" w:rsidRDefault="0010396E">
    <w:pPr>
      <w:pStyle w:val="Header"/>
    </w:pPr>
    <w:r>
      <w:rPr>
        <w:noProof/>
        <w:lang w:val="en-US"/>
      </w:rPr>
      <mc:AlternateContent>
        <mc:Choice Requires="wps">
          <w:drawing>
            <wp:anchor distT="0" distB="0" distL="114300" distR="114300" simplePos="0" relativeHeight="251658240" behindDoc="0" locked="0" layoutInCell="0" allowOverlap="1">
              <wp:simplePos x="0" y="0"/>
              <wp:positionH relativeFrom="page">
                <wp:align>right</wp:align>
              </wp:positionH>
              <wp:positionV relativeFrom="topMargin">
                <wp:align>center</wp:align>
              </wp:positionV>
              <wp:extent cx="914400" cy="175260"/>
              <wp:effectExtent l="0" t="0" r="0" b="0"/>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5260"/>
                      </a:xfrm>
                      <a:prstGeom prst="rect">
                        <a:avLst/>
                      </a:prstGeom>
                      <a:solidFill>
                        <a:schemeClr val="accent6">
                          <a:lumMod val="60000"/>
                          <a:lumOff val="40000"/>
                        </a:schemeClr>
                      </a:solidFill>
                      <a:ln>
                        <a:noFill/>
                      </a:ln>
                    </wps:spPr>
                    <wps:txbx>
                      <w:txbxContent>
                        <w:p w:rsidR="00D8581F" w:rsidRDefault="0010396E">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D71418" w:rsidRPr="00D71418">
                            <w:rPr>
                              <w:noProof/>
                              <w:color w:val="FFFFFF" w:themeColor="background1"/>
                            </w:rPr>
                            <w:t>8</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1" o:spid="_x0000_s1026" type="#_x0000_t202" style="position:absolute;left:0;text-align:left;margin-left:20.8pt;margin-top:0;width:1in;height:13.8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" o:allowincell="f" fillcolor="#a8d08d [1945]" stroked="f">
              <v:textbox style="mso-fit-shape-to-text:t" inset=",0,,0">
                <w:txbxContent>
                  <w:p w:rsidR="00D8581F" w:rsidRDefault="0010396E">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D71418" w:rsidRPr="00D71418">
                      <w:rPr>
                        <w:noProof/>
                        <w:color w:val="FFFFFF" w:themeColor="background1"/>
                      </w:rPr>
                      <w:t>8</w:t>
                    </w:r>
                    <w:r>
                      <w:rPr>
                        <w:noProof/>
                        <w:color w:val="FFFFFF" w:themeColor="background1"/>
                      </w:rPr>
                      <w:fldChar w:fldCharType="end"/>
                    </w:r>
                  </w:p>
                </w:txbxContent>
              </v:textbox>
              <w10:wrap anchorx="page" anchory="margin"/>
            </v:shape>
          </w:pict>
        </mc:Fallback>
      </mc:AlternateContent>
    </w:r>
    <w:r w:rsidR="002A14D9">
      <w:t>MANAGEMENT ACCOUNTING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00A2B"/>
    <w:multiLevelType w:val="hybridMultilevel"/>
    <w:tmpl w:val="990607BA"/>
    <w:lvl w:ilvl="0" w:tplc="F56E1376">
      <w:start w:val="1"/>
      <w:numFmt w:val="decimal"/>
      <w:lvlText w:val="%1."/>
      <w:lvlJc w:val="left"/>
      <w:pPr>
        <w:ind w:left="720" w:hanging="360"/>
      </w:pPr>
    </w:lvl>
    <w:lvl w:ilvl="1" w:tplc="0E260324" w:tentative="1">
      <w:start w:val="1"/>
      <w:numFmt w:val="lowerLetter"/>
      <w:lvlText w:val="%2."/>
      <w:lvlJc w:val="left"/>
      <w:pPr>
        <w:ind w:left="1440" w:hanging="360"/>
      </w:pPr>
    </w:lvl>
    <w:lvl w:ilvl="2" w:tplc="B8FC2B3E" w:tentative="1">
      <w:start w:val="1"/>
      <w:numFmt w:val="lowerRoman"/>
      <w:lvlText w:val="%3."/>
      <w:lvlJc w:val="right"/>
      <w:pPr>
        <w:ind w:left="2160" w:hanging="180"/>
      </w:pPr>
    </w:lvl>
    <w:lvl w:ilvl="3" w:tplc="466635BC" w:tentative="1">
      <w:start w:val="1"/>
      <w:numFmt w:val="decimal"/>
      <w:lvlText w:val="%4."/>
      <w:lvlJc w:val="left"/>
      <w:pPr>
        <w:ind w:left="2880" w:hanging="360"/>
      </w:pPr>
    </w:lvl>
    <w:lvl w:ilvl="4" w:tplc="DC30E098" w:tentative="1">
      <w:start w:val="1"/>
      <w:numFmt w:val="lowerLetter"/>
      <w:lvlText w:val="%5."/>
      <w:lvlJc w:val="left"/>
      <w:pPr>
        <w:ind w:left="3600" w:hanging="360"/>
      </w:pPr>
    </w:lvl>
    <w:lvl w:ilvl="5" w:tplc="E7C4EBF4" w:tentative="1">
      <w:start w:val="1"/>
      <w:numFmt w:val="lowerRoman"/>
      <w:lvlText w:val="%6."/>
      <w:lvlJc w:val="right"/>
      <w:pPr>
        <w:ind w:left="4320" w:hanging="180"/>
      </w:pPr>
    </w:lvl>
    <w:lvl w:ilvl="6" w:tplc="787A6418" w:tentative="1">
      <w:start w:val="1"/>
      <w:numFmt w:val="decimal"/>
      <w:lvlText w:val="%7."/>
      <w:lvlJc w:val="left"/>
      <w:pPr>
        <w:ind w:left="5040" w:hanging="360"/>
      </w:pPr>
    </w:lvl>
    <w:lvl w:ilvl="7" w:tplc="62248906" w:tentative="1">
      <w:start w:val="1"/>
      <w:numFmt w:val="lowerLetter"/>
      <w:lvlText w:val="%8."/>
      <w:lvlJc w:val="left"/>
      <w:pPr>
        <w:ind w:left="5760" w:hanging="360"/>
      </w:pPr>
    </w:lvl>
    <w:lvl w:ilvl="8" w:tplc="27122002" w:tentative="1">
      <w:start w:val="1"/>
      <w:numFmt w:val="lowerRoman"/>
      <w:lvlText w:val="%9."/>
      <w:lvlJc w:val="right"/>
      <w:pPr>
        <w:ind w:left="6480" w:hanging="180"/>
      </w:pPr>
    </w:lvl>
  </w:abstractNum>
  <w:abstractNum w:abstractNumId="1" w15:restartNumberingAfterBreak="0">
    <w:nsid w:val="18471208"/>
    <w:multiLevelType w:val="multilevel"/>
    <w:tmpl w:val="FF1CA1DE"/>
    <w:lvl w:ilvl="0">
      <w:start w:val="1"/>
      <w:numFmt w:val="decimal"/>
      <w:lvlText w:val="%1."/>
      <w:lvlJc w:val="left"/>
      <w:pPr>
        <w:ind w:left="36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5040" w:hanging="2160"/>
      </w:pPr>
      <w:rPr>
        <w:rFonts w:hint="default"/>
      </w:rPr>
    </w:lvl>
  </w:abstractNum>
  <w:abstractNum w:abstractNumId="2" w15:restartNumberingAfterBreak="0">
    <w:nsid w:val="19C72BEA"/>
    <w:multiLevelType w:val="hybridMultilevel"/>
    <w:tmpl w:val="CC8477CA"/>
    <w:lvl w:ilvl="0" w:tplc="8A7422A4">
      <w:start w:val="1"/>
      <w:numFmt w:val="bullet"/>
      <w:lvlText w:val=""/>
      <w:lvlJc w:val="left"/>
      <w:pPr>
        <w:ind w:left="720" w:hanging="360"/>
      </w:pPr>
      <w:rPr>
        <w:rFonts w:ascii="Symbol" w:hAnsi="Symbol" w:hint="default"/>
      </w:rPr>
    </w:lvl>
    <w:lvl w:ilvl="1" w:tplc="305EF404" w:tentative="1">
      <w:start w:val="1"/>
      <w:numFmt w:val="bullet"/>
      <w:lvlText w:val="o"/>
      <w:lvlJc w:val="left"/>
      <w:pPr>
        <w:ind w:left="1440" w:hanging="360"/>
      </w:pPr>
      <w:rPr>
        <w:rFonts w:ascii="Courier New" w:hAnsi="Courier New" w:cs="Courier New" w:hint="default"/>
      </w:rPr>
    </w:lvl>
    <w:lvl w:ilvl="2" w:tplc="DA7ED178" w:tentative="1">
      <w:start w:val="1"/>
      <w:numFmt w:val="bullet"/>
      <w:lvlText w:val=""/>
      <w:lvlJc w:val="left"/>
      <w:pPr>
        <w:ind w:left="2160" w:hanging="360"/>
      </w:pPr>
      <w:rPr>
        <w:rFonts w:ascii="Wingdings" w:hAnsi="Wingdings" w:hint="default"/>
      </w:rPr>
    </w:lvl>
    <w:lvl w:ilvl="3" w:tplc="99549998" w:tentative="1">
      <w:start w:val="1"/>
      <w:numFmt w:val="bullet"/>
      <w:lvlText w:val=""/>
      <w:lvlJc w:val="left"/>
      <w:pPr>
        <w:ind w:left="2880" w:hanging="360"/>
      </w:pPr>
      <w:rPr>
        <w:rFonts w:ascii="Symbol" w:hAnsi="Symbol" w:hint="default"/>
      </w:rPr>
    </w:lvl>
    <w:lvl w:ilvl="4" w:tplc="EAEE418A" w:tentative="1">
      <w:start w:val="1"/>
      <w:numFmt w:val="bullet"/>
      <w:lvlText w:val="o"/>
      <w:lvlJc w:val="left"/>
      <w:pPr>
        <w:ind w:left="3600" w:hanging="360"/>
      </w:pPr>
      <w:rPr>
        <w:rFonts w:ascii="Courier New" w:hAnsi="Courier New" w:cs="Courier New" w:hint="default"/>
      </w:rPr>
    </w:lvl>
    <w:lvl w:ilvl="5" w:tplc="B9CC736C" w:tentative="1">
      <w:start w:val="1"/>
      <w:numFmt w:val="bullet"/>
      <w:lvlText w:val=""/>
      <w:lvlJc w:val="left"/>
      <w:pPr>
        <w:ind w:left="4320" w:hanging="360"/>
      </w:pPr>
      <w:rPr>
        <w:rFonts w:ascii="Wingdings" w:hAnsi="Wingdings" w:hint="default"/>
      </w:rPr>
    </w:lvl>
    <w:lvl w:ilvl="6" w:tplc="65AE4054" w:tentative="1">
      <w:start w:val="1"/>
      <w:numFmt w:val="bullet"/>
      <w:lvlText w:val=""/>
      <w:lvlJc w:val="left"/>
      <w:pPr>
        <w:ind w:left="5040" w:hanging="360"/>
      </w:pPr>
      <w:rPr>
        <w:rFonts w:ascii="Symbol" w:hAnsi="Symbol" w:hint="default"/>
      </w:rPr>
    </w:lvl>
    <w:lvl w:ilvl="7" w:tplc="57F6F544" w:tentative="1">
      <w:start w:val="1"/>
      <w:numFmt w:val="bullet"/>
      <w:lvlText w:val="o"/>
      <w:lvlJc w:val="left"/>
      <w:pPr>
        <w:ind w:left="5760" w:hanging="360"/>
      </w:pPr>
      <w:rPr>
        <w:rFonts w:ascii="Courier New" w:hAnsi="Courier New" w:cs="Courier New" w:hint="default"/>
      </w:rPr>
    </w:lvl>
    <w:lvl w:ilvl="8" w:tplc="B6289FC8" w:tentative="1">
      <w:start w:val="1"/>
      <w:numFmt w:val="bullet"/>
      <w:lvlText w:val=""/>
      <w:lvlJc w:val="left"/>
      <w:pPr>
        <w:ind w:left="6480" w:hanging="360"/>
      </w:pPr>
      <w:rPr>
        <w:rFonts w:ascii="Wingdings" w:hAnsi="Wingdings" w:hint="default"/>
      </w:rPr>
    </w:lvl>
  </w:abstractNum>
  <w:abstractNum w:abstractNumId="3" w15:restartNumberingAfterBreak="0">
    <w:nsid w:val="2A2A3BD8"/>
    <w:multiLevelType w:val="hybridMultilevel"/>
    <w:tmpl w:val="F7701D3E"/>
    <w:lvl w:ilvl="0" w:tplc="404E582E">
      <w:start w:val="1"/>
      <w:numFmt w:val="bullet"/>
      <w:lvlText w:val=""/>
      <w:lvlJc w:val="left"/>
      <w:pPr>
        <w:ind w:left="720" w:hanging="360"/>
      </w:pPr>
      <w:rPr>
        <w:rFonts w:ascii="Symbol" w:hAnsi="Symbol" w:hint="default"/>
      </w:rPr>
    </w:lvl>
    <w:lvl w:ilvl="1" w:tplc="578864BC" w:tentative="1">
      <w:start w:val="1"/>
      <w:numFmt w:val="bullet"/>
      <w:lvlText w:val="o"/>
      <w:lvlJc w:val="left"/>
      <w:pPr>
        <w:ind w:left="1440" w:hanging="360"/>
      </w:pPr>
      <w:rPr>
        <w:rFonts w:ascii="Courier New" w:hAnsi="Courier New" w:cs="Courier New" w:hint="default"/>
      </w:rPr>
    </w:lvl>
    <w:lvl w:ilvl="2" w:tplc="1688D110" w:tentative="1">
      <w:start w:val="1"/>
      <w:numFmt w:val="bullet"/>
      <w:lvlText w:val=""/>
      <w:lvlJc w:val="left"/>
      <w:pPr>
        <w:ind w:left="2160" w:hanging="360"/>
      </w:pPr>
      <w:rPr>
        <w:rFonts w:ascii="Wingdings" w:hAnsi="Wingdings" w:hint="default"/>
      </w:rPr>
    </w:lvl>
    <w:lvl w:ilvl="3" w:tplc="EAC6628A" w:tentative="1">
      <w:start w:val="1"/>
      <w:numFmt w:val="bullet"/>
      <w:lvlText w:val=""/>
      <w:lvlJc w:val="left"/>
      <w:pPr>
        <w:ind w:left="2880" w:hanging="360"/>
      </w:pPr>
      <w:rPr>
        <w:rFonts w:ascii="Symbol" w:hAnsi="Symbol" w:hint="default"/>
      </w:rPr>
    </w:lvl>
    <w:lvl w:ilvl="4" w:tplc="D0ACD6BA" w:tentative="1">
      <w:start w:val="1"/>
      <w:numFmt w:val="bullet"/>
      <w:lvlText w:val="o"/>
      <w:lvlJc w:val="left"/>
      <w:pPr>
        <w:ind w:left="3600" w:hanging="360"/>
      </w:pPr>
      <w:rPr>
        <w:rFonts w:ascii="Courier New" w:hAnsi="Courier New" w:cs="Courier New" w:hint="default"/>
      </w:rPr>
    </w:lvl>
    <w:lvl w:ilvl="5" w:tplc="1FCE8466" w:tentative="1">
      <w:start w:val="1"/>
      <w:numFmt w:val="bullet"/>
      <w:lvlText w:val=""/>
      <w:lvlJc w:val="left"/>
      <w:pPr>
        <w:ind w:left="4320" w:hanging="360"/>
      </w:pPr>
      <w:rPr>
        <w:rFonts w:ascii="Wingdings" w:hAnsi="Wingdings" w:hint="default"/>
      </w:rPr>
    </w:lvl>
    <w:lvl w:ilvl="6" w:tplc="D6007A58" w:tentative="1">
      <w:start w:val="1"/>
      <w:numFmt w:val="bullet"/>
      <w:lvlText w:val=""/>
      <w:lvlJc w:val="left"/>
      <w:pPr>
        <w:ind w:left="5040" w:hanging="360"/>
      </w:pPr>
      <w:rPr>
        <w:rFonts w:ascii="Symbol" w:hAnsi="Symbol" w:hint="default"/>
      </w:rPr>
    </w:lvl>
    <w:lvl w:ilvl="7" w:tplc="FF0AF152" w:tentative="1">
      <w:start w:val="1"/>
      <w:numFmt w:val="bullet"/>
      <w:lvlText w:val="o"/>
      <w:lvlJc w:val="left"/>
      <w:pPr>
        <w:ind w:left="5760" w:hanging="360"/>
      </w:pPr>
      <w:rPr>
        <w:rFonts w:ascii="Courier New" w:hAnsi="Courier New" w:cs="Courier New" w:hint="default"/>
      </w:rPr>
    </w:lvl>
    <w:lvl w:ilvl="8" w:tplc="7F1CB1EC" w:tentative="1">
      <w:start w:val="1"/>
      <w:numFmt w:val="bullet"/>
      <w:lvlText w:val=""/>
      <w:lvlJc w:val="left"/>
      <w:pPr>
        <w:ind w:left="6480" w:hanging="360"/>
      </w:pPr>
      <w:rPr>
        <w:rFonts w:ascii="Wingdings" w:hAnsi="Wingdings" w:hint="default"/>
      </w:rPr>
    </w:lvl>
  </w:abstractNum>
  <w:abstractNum w:abstractNumId="4" w15:restartNumberingAfterBreak="0">
    <w:nsid w:val="4BBF1C6B"/>
    <w:multiLevelType w:val="hybridMultilevel"/>
    <w:tmpl w:val="C7267B10"/>
    <w:lvl w:ilvl="0" w:tplc="CCD0C780">
      <w:start w:val="1"/>
      <w:numFmt w:val="decimal"/>
      <w:lvlText w:val="%1."/>
      <w:lvlJc w:val="left"/>
      <w:pPr>
        <w:ind w:left="720" w:hanging="360"/>
      </w:pPr>
    </w:lvl>
    <w:lvl w:ilvl="1" w:tplc="0778D036" w:tentative="1">
      <w:start w:val="1"/>
      <w:numFmt w:val="lowerLetter"/>
      <w:lvlText w:val="%2."/>
      <w:lvlJc w:val="left"/>
      <w:pPr>
        <w:ind w:left="1440" w:hanging="360"/>
      </w:pPr>
    </w:lvl>
    <w:lvl w:ilvl="2" w:tplc="530C8488" w:tentative="1">
      <w:start w:val="1"/>
      <w:numFmt w:val="lowerRoman"/>
      <w:lvlText w:val="%3."/>
      <w:lvlJc w:val="right"/>
      <w:pPr>
        <w:ind w:left="2160" w:hanging="180"/>
      </w:pPr>
    </w:lvl>
    <w:lvl w:ilvl="3" w:tplc="D3BA3468" w:tentative="1">
      <w:start w:val="1"/>
      <w:numFmt w:val="decimal"/>
      <w:lvlText w:val="%4."/>
      <w:lvlJc w:val="left"/>
      <w:pPr>
        <w:ind w:left="2880" w:hanging="360"/>
      </w:pPr>
    </w:lvl>
    <w:lvl w:ilvl="4" w:tplc="F844FBDE" w:tentative="1">
      <w:start w:val="1"/>
      <w:numFmt w:val="lowerLetter"/>
      <w:lvlText w:val="%5."/>
      <w:lvlJc w:val="left"/>
      <w:pPr>
        <w:ind w:left="3600" w:hanging="360"/>
      </w:pPr>
    </w:lvl>
    <w:lvl w:ilvl="5" w:tplc="0F9E83A6" w:tentative="1">
      <w:start w:val="1"/>
      <w:numFmt w:val="lowerRoman"/>
      <w:lvlText w:val="%6."/>
      <w:lvlJc w:val="right"/>
      <w:pPr>
        <w:ind w:left="4320" w:hanging="180"/>
      </w:pPr>
    </w:lvl>
    <w:lvl w:ilvl="6" w:tplc="EE305A7A" w:tentative="1">
      <w:start w:val="1"/>
      <w:numFmt w:val="decimal"/>
      <w:lvlText w:val="%7."/>
      <w:lvlJc w:val="left"/>
      <w:pPr>
        <w:ind w:left="5040" w:hanging="360"/>
      </w:pPr>
    </w:lvl>
    <w:lvl w:ilvl="7" w:tplc="54CC6D06" w:tentative="1">
      <w:start w:val="1"/>
      <w:numFmt w:val="lowerLetter"/>
      <w:lvlText w:val="%8."/>
      <w:lvlJc w:val="left"/>
      <w:pPr>
        <w:ind w:left="5760" w:hanging="360"/>
      </w:pPr>
    </w:lvl>
    <w:lvl w:ilvl="8" w:tplc="F996AD72" w:tentative="1">
      <w:start w:val="1"/>
      <w:numFmt w:val="lowerRoman"/>
      <w:lvlText w:val="%9."/>
      <w:lvlJc w:val="right"/>
      <w:pPr>
        <w:ind w:left="6480" w:hanging="180"/>
      </w:pPr>
    </w:lvl>
  </w:abstractNum>
  <w:abstractNum w:abstractNumId="5" w15:restartNumberingAfterBreak="0">
    <w:nsid w:val="61EB3968"/>
    <w:multiLevelType w:val="hybridMultilevel"/>
    <w:tmpl w:val="31D29D4E"/>
    <w:lvl w:ilvl="0" w:tplc="0F02133E">
      <w:start w:val="1"/>
      <w:numFmt w:val="decimal"/>
      <w:lvlText w:val="%1."/>
      <w:lvlJc w:val="left"/>
      <w:pPr>
        <w:ind w:left="720" w:hanging="360"/>
      </w:pPr>
    </w:lvl>
    <w:lvl w:ilvl="1" w:tplc="856C2534" w:tentative="1">
      <w:start w:val="1"/>
      <w:numFmt w:val="lowerLetter"/>
      <w:lvlText w:val="%2."/>
      <w:lvlJc w:val="left"/>
      <w:pPr>
        <w:ind w:left="1440" w:hanging="360"/>
      </w:pPr>
    </w:lvl>
    <w:lvl w:ilvl="2" w:tplc="7F3CBDB8" w:tentative="1">
      <w:start w:val="1"/>
      <w:numFmt w:val="lowerRoman"/>
      <w:lvlText w:val="%3."/>
      <w:lvlJc w:val="right"/>
      <w:pPr>
        <w:ind w:left="2160" w:hanging="180"/>
      </w:pPr>
    </w:lvl>
    <w:lvl w:ilvl="3" w:tplc="E4123716" w:tentative="1">
      <w:start w:val="1"/>
      <w:numFmt w:val="decimal"/>
      <w:lvlText w:val="%4."/>
      <w:lvlJc w:val="left"/>
      <w:pPr>
        <w:ind w:left="2880" w:hanging="360"/>
      </w:pPr>
    </w:lvl>
    <w:lvl w:ilvl="4" w:tplc="CB3EAF4E" w:tentative="1">
      <w:start w:val="1"/>
      <w:numFmt w:val="lowerLetter"/>
      <w:lvlText w:val="%5."/>
      <w:lvlJc w:val="left"/>
      <w:pPr>
        <w:ind w:left="3600" w:hanging="360"/>
      </w:pPr>
    </w:lvl>
    <w:lvl w:ilvl="5" w:tplc="C3CC0F5E" w:tentative="1">
      <w:start w:val="1"/>
      <w:numFmt w:val="lowerRoman"/>
      <w:lvlText w:val="%6."/>
      <w:lvlJc w:val="right"/>
      <w:pPr>
        <w:ind w:left="4320" w:hanging="180"/>
      </w:pPr>
    </w:lvl>
    <w:lvl w:ilvl="6" w:tplc="FDE00BCA" w:tentative="1">
      <w:start w:val="1"/>
      <w:numFmt w:val="decimal"/>
      <w:lvlText w:val="%7."/>
      <w:lvlJc w:val="left"/>
      <w:pPr>
        <w:ind w:left="5040" w:hanging="360"/>
      </w:pPr>
    </w:lvl>
    <w:lvl w:ilvl="7" w:tplc="9F52B428" w:tentative="1">
      <w:start w:val="1"/>
      <w:numFmt w:val="lowerLetter"/>
      <w:lvlText w:val="%8."/>
      <w:lvlJc w:val="left"/>
      <w:pPr>
        <w:ind w:left="5760" w:hanging="360"/>
      </w:pPr>
    </w:lvl>
    <w:lvl w:ilvl="8" w:tplc="E51CE8D8" w:tentative="1">
      <w:start w:val="1"/>
      <w:numFmt w:val="lowerRoman"/>
      <w:lvlText w:val="%9."/>
      <w:lvlJc w:val="right"/>
      <w:pPr>
        <w:ind w:left="6480" w:hanging="180"/>
      </w:pPr>
    </w:lvl>
  </w:abstractNum>
  <w:abstractNum w:abstractNumId="6" w15:restartNumberingAfterBreak="0">
    <w:nsid w:val="793F3887"/>
    <w:multiLevelType w:val="hybridMultilevel"/>
    <w:tmpl w:val="F07A1092"/>
    <w:lvl w:ilvl="0" w:tplc="59242704">
      <w:start w:val="1"/>
      <w:numFmt w:val="lowerLetter"/>
      <w:lvlText w:val="%1)"/>
      <w:lvlJc w:val="left"/>
      <w:pPr>
        <w:ind w:left="720" w:hanging="360"/>
      </w:pPr>
      <w:rPr>
        <w:rFonts w:hint="default"/>
      </w:rPr>
    </w:lvl>
    <w:lvl w:ilvl="1" w:tplc="088AE242" w:tentative="1">
      <w:start w:val="1"/>
      <w:numFmt w:val="lowerLetter"/>
      <w:lvlText w:val="%2."/>
      <w:lvlJc w:val="left"/>
      <w:pPr>
        <w:ind w:left="1440" w:hanging="360"/>
      </w:pPr>
    </w:lvl>
    <w:lvl w:ilvl="2" w:tplc="7DC8DACE" w:tentative="1">
      <w:start w:val="1"/>
      <w:numFmt w:val="lowerRoman"/>
      <w:lvlText w:val="%3."/>
      <w:lvlJc w:val="right"/>
      <w:pPr>
        <w:ind w:left="2160" w:hanging="180"/>
      </w:pPr>
    </w:lvl>
    <w:lvl w:ilvl="3" w:tplc="A240F930" w:tentative="1">
      <w:start w:val="1"/>
      <w:numFmt w:val="decimal"/>
      <w:lvlText w:val="%4."/>
      <w:lvlJc w:val="left"/>
      <w:pPr>
        <w:ind w:left="2880" w:hanging="360"/>
      </w:pPr>
    </w:lvl>
    <w:lvl w:ilvl="4" w:tplc="7338A832" w:tentative="1">
      <w:start w:val="1"/>
      <w:numFmt w:val="lowerLetter"/>
      <w:lvlText w:val="%5."/>
      <w:lvlJc w:val="left"/>
      <w:pPr>
        <w:ind w:left="3600" w:hanging="360"/>
      </w:pPr>
    </w:lvl>
    <w:lvl w:ilvl="5" w:tplc="FF669462" w:tentative="1">
      <w:start w:val="1"/>
      <w:numFmt w:val="lowerRoman"/>
      <w:lvlText w:val="%6."/>
      <w:lvlJc w:val="right"/>
      <w:pPr>
        <w:ind w:left="4320" w:hanging="180"/>
      </w:pPr>
    </w:lvl>
    <w:lvl w:ilvl="6" w:tplc="050862C0" w:tentative="1">
      <w:start w:val="1"/>
      <w:numFmt w:val="decimal"/>
      <w:lvlText w:val="%7."/>
      <w:lvlJc w:val="left"/>
      <w:pPr>
        <w:ind w:left="5040" w:hanging="360"/>
      </w:pPr>
    </w:lvl>
    <w:lvl w:ilvl="7" w:tplc="E73EE5B2" w:tentative="1">
      <w:start w:val="1"/>
      <w:numFmt w:val="lowerLetter"/>
      <w:lvlText w:val="%8."/>
      <w:lvlJc w:val="left"/>
      <w:pPr>
        <w:ind w:left="5760" w:hanging="360"/>
      </w:pPr>
    </w:lvl>
    <w:lvl w:ilvl="8" w:tplc="89B46A1C"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6"/>
  </w:num>
  <w:num w:numId="5">
    <w:abstractNumId w:val="5"/>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0124"/>
    <w:rsid w:val="000052A9"/>
    <w:rsid w:val="0001316A"/>
    <w:rsid w:val="00015C1D"/>
    <w:rsid w:val="00023993"/>
    <w:rsid w:val="00031AC6"/>
    <w:rsid w:val="00031DFF"/>
    <w:rsid w:val="00032EC3"/>
    <w:rsid w:val="00034ED5"/>
    <w:rsid w:val="00036269"/>
    <w:rsid w:val="00040FF6"/>
    <w:rsid w:val="00042017"/>
    <w:rsid w:val="000452EA"/>
    <w:rsid w:val="00045BF7"/>
    <w:rsid w:val="0005204F"/>
    <w:rsid w:val="000546E1"/>
    <w:rsid w:val="000548C9"/>
    <w:rsid w:val="00062C83"/>
    <w:rsid w:val="000660ED"/>
    <w:rsid w:val="000708B2"/>
    <w:rsid w:val="00073597"/>
    <w:rsid w:val="00086A28"/>
    <w:rsid w:val="00090D4E"/>
    <w:rsid w:val="00097303"/>
    <w:rsid w:val="00097E16"/>
    <w:rsid w:val="000B3923"/>
    <w:rsid w:val="000B6D30"/>
    <w:rsid w:val="000B77F2"/>
    <w:rsid w:val="000C0A38"/>
    <w:rsid w:val="000C0F5E"/>
    <w:rsid w:val="000D2BC0"/>
    <w:rsid w:val="000E3A14"/>
    <w:rsid w:val="000E3B5B"/>
    <w:rsid w:val="000E4D82"/>
    <w:rsid w:val="000F2024"/>
    <w:rsid w:val="00102DB7"/>
    <w:rsid w:val="0010396E"/>
    <w:rsid w:val="00106180"/>
    <w:rsid w:val="00111827"/>
    <w:rsid w:val="00113359"/>
    <w:rsid w:val="00116400"/>
    <w:rsid w:val="00120071"/>
    <w:rsid w:val="00120845"/>
    <w:rsid w:val="00122E6E"/>
    <w:rsid w:val="00125875"/>
    <w:rsid w:val="00126045"/>
    <w:rsid w:val="00182703"/>
    <w:rsid w:val="00183897"/>
    <w:rsid w:val="00185BF7"/>
    <w:rsid w:val="001875D5"/>
    <w:rsid w:val="00191E36"/>
    <w:rsid w:val="00196463"/>
    <w:rsid w:val="001A36CC"/>
    <w:rsid w:val="001A5744"/>
    <w:rsid w:val="001B2296"/>
    <w:rsid w:val="001B4A67"/>
    <w:rsid w:val="001B7496"/>
    <w:rsid w:val="001C2BAF"/>
    <w:rsid w:val="001C3BD3"/>
    <w:rsid w:val="001D31A7"/>
    <w:rsid w:val="001E6792"/>
    <w:rsid w:val="001F023A"/>
    <w:rsid w:val="001F5B53"/>
    <w:rsid w:val="00200B28"/>
    <w:rsid w:val="002040F3"/>
    <w:rsid w:val="00204FDB"/>
    <w:rsid w:val="00210A0A"/>
    <w:rsid w:val="00212A8F"/>
    <w:rsid w:val="00231CFC"/>
    <w:rsid w:val="00235956"/>
    <w:rsid w:val="00250E5B"/>
    <w:rsid w:val="0025147B"/>
    <w:rsid w:val="002550C4"/>
    <w:rsid w:val="00262DC8"/>
    <w:rsid w:val="002639C4"/>
    <w:rsid w:val="00265443"/>
    <w:rsid w:val="002659D1"/>
    <w:rsid w:val="00271D01"/>
    <w:rsid w:val="00280846"/>
    <w:rsid w:val="002929C9"/>
    <w:rsid w:val="0029307A"/>
    <w:rsid w:val="002A06AF"/>
    <w:rsid w:val="002A14D9"/>
    <w:rsid w:val="002A33E8"/>
    <w:rsid w:val="002B3813"/>
    <w:rsid w:val="002C4125"/>
    <w:rsid w:val="002C5C41"/>
    <w:rsid w:val="002C6151"/>
    <w:rsid w:val="002C7A58"/>
    <w:rsid w:val="002D40FF"/>
    <w:rsid w:val="002D7509"/>
    <w:rsid w:val="002D783F"/>
    <w:rsid w:val="002E4DFD"/>
    <w:rsid w:val="002E5E36"/>
    <w:rsid w:val="002E664A"/>
    <w:rsid w:val="002F0909"/>
    <w:rsid w:val="002F324A"/>
    <w:rsid w:val="002F4808"/>
    <w:rsid w:val="00300274"/>
    <w:rsid w:val="003002F7"/>
    <w:rsid w:val="00301A9B"/>
    <w:rsid w:val="003038E9"/>
    <w:rsid w:val="003061BD"/>
    <w:rsid w:val="003075B3"/>
    <w:rsid w:val="003113E5"/>
    <w:rsid w:val="00313483"/>
    <w:rsid w:val="00314FB6"/>
    <w:rsid w:val="00315B71"/>
    <w:rsid w:val="00317A29"/>
    <w:rsid w:val="003210B8"/>
    <w:rsid w:val="003255AD"/>
    <w:rsid w:val="003316B9"/>
    <w:rsid w:val="003320A8"/>
    <w:rsid w:val="00334DE1"/>
    <w:rsid w:val="00334F5D"/>
    <w:rsid w:val="003413DD"/>
    <w:rsid w:val="0034765A"/>
    <w:rsid w:val="00351800"/>
    <w:rsid w:val="00351DC4"/>
    <w:rsid w:val="003649C2"/>
    <w:rsid w:val="00364BF4"/>
    <w:rsid w:val="00366082"/>
    <w:rsid w:val="00370F46"/>
    <w:rsid w:val="00374EDF"/>
    <w:rsid w:val="0038347A"/>
    <w:rsid w:val="00383904"/>
    <w:rsid w:val="003A2D2B"/>
    <w:rsid w:val="003A581B"/>
    <w:rsid w:val="003B28D6"/>
    <w:rsid w:val="003C202E"/>
    <w:rsid w:val="003C583B"/>
    <w:rsid w:val="003C5F60"/>
    <w:rsid w:val="003D213E"/>
    <w:rsid w:val="003D22C8"/>
    <w:rsid w:val="003D2FE6"/>
    <w:rsid w:val="003E2005"/>
    <w:rsid w:val="003E26B7"/>
    <w:rsid w:val="003E7878"/>
    <w:rsid w:val="003F0CBB"/>
    <w:rsid w:val="003F1AF0"/>
    <w:rsid w:val="003F31AD"/>
    <w:rsid w:val="00400FB0"/>
    <w:rsid w:val="00403491"/>
    <w:rsid w:val="00403A1F"/>
    <w:rsid w:val="00405381"/>
    <w:rsid w:val="00414795"/>
    <w:rsid w:val="00416D86"/>
    <w:rsid w:val="00421495"/>
    <w:rsid w:val="004230FC"/>
    <w:rsid w:val="00442EDE"/>
    <w:rsid w:val="00447E9C"/>
    <w:rsid w:val="00454C74"/>
    <w:rsid w:val="00455EB3"/>
    <w:rsid w:val="0045745B"/>
    <w:rsid w:val="004620B5"/>
    <w:rsid w:val="0046483A"/>
    <w:rsid w:val="00477F16"/>
    <w:rsid w:val="0048551A"/>
    <w:rsid w:val="00485B91"/>
    <w:rsid w:val="00487758"/>
    <w:rsid w:val="0049281F"/>
    <w:rsid w:val="004B1739"/>
    <w:rsid w:val="004B6E5F"/>
    <w:rsid w:val="004C053D"/>
    <w:rsid w:val="004C58EF"/>
    <w:rsid w:val="004C5D87"/>
    <w:rsid w:val="004C6775"/>
    <w:rsid w:val="004D44B2"/>
    <w:rsid w:val="004E0AC3"/>
    <w:rsid w:val="004F3BE7"/>
    <w:rsid w:val="00500690"/>
    <w:rsid w:val="00500FEF"/>
    <w:rsid w:val="00507053"/>
    <w:rsid w:val="005127A9"/>
    <w:rsid w:val="005163C7"/>
    <w:rsid w:val="00517423"/>
    <w:rsid w:val="005212A9"/>
    <w:rsid w:val="00523D63"/>
    <w:rsid w:val="005257DB"/>
    <w:rsid w:val="00533902"/>
    <w:rsid w:val="00547EEA"/>
    <w:rsid w:val="0055424E"/>
    <w:rsid w:val="00560170"/>
    <w:rsid w:val="00565907"/>
    <w:rsid w:val="00567760"/>
    <w:rsid w:val="00586257"/>
    <w:rsid w:val="00586E04"/>
    <w:rsid w:val="00595F14"/>
    <w:rsid w:val="00596029"/>
    <w:rsid w:val="005A30C2"/>
    <w:rsid w:val="005B0F7A"/>
    <w:rsid w:val="005C43CD"/>
    <w:rsid w:val="005C4CCD"/>
    <w:rsid w:val="005F47A4"/>
    <w:rsid w:val="005F575E"/>
    <w:rsid w:val="005F73D1"/>
    <w:rsid w:val="005F751B"/>
    <w:rsid w:val="00601FD7"/>
    <w:rsid w:val="006053FC"/>
    <w:rsid w:val="00610237"/>
    <w:rsid w:val="00611D14"/>
    <w:rsid w:val="0061301C"/>
    <w:rsid w:val="00613C62"/>
    <w:rsid w:val="00616EB6"/>
    <w:rsid w:val="0063092E"/>
    <w:rsid w:val="00632E5F"/>
    <w:rsid w:val="00635C65"/>
    <w:rsid w:val="00646252"/>
    <w:rsid w:val="00651B58"/>
    <w:rsid w:val="00655FAE"/>
    <w:rsid w:val="006623FD"/>
    <w:rsid w:val="006639F9"/>
    <w:rsid w:val="006926EF"/>
    <w:rsid w:val="00692A86"/>
    <w:rsid w:val="0069494F"/>
    <w:rsid w:val="006A346B"/>
    <w:rsid w:val="006B1620"/>
    <w:rsid w:val="006B4231"/>
    <w:rsid w:val="006B49F3"/>
    <w:rsid w:val="006C1D1C"/>
    <w:rsid w:val="006C4525"/>
    <w:rsid w:val="006D16A8"/>
    <w:rsid w:val="006D3AA4"/>
    <w:rsid w:val="006D75D9"/>
    <w:rsid w:val="006E00C7"/>
    <w:rsid w:val="006E6809"/>
    <w:rsid w:val="006F0170"/>
    <w:rsid w:val="006F3FC3"/>
    <w:rsid w:val="006F5A0B"/>
    <w:rsid w:val="00701EA0"/>
    <w:rsid w:val="00702842"/>
    <w:rsid w:val="00704364"/>
    <w:rsid w:val="007057B7"/>
    <w:rsid w:val="00712001"/>
    <w:rsid w:val="00712CE4"/>
    <w:rsid w:val="00736DAC"/>
    <w:rsid w:val="00737405"/>
    <w:rsid w:val="007477CB"/>
    <w:rsid w:val="007629BC"/>
    <w:rsid w:val="00763E53"/>
    <w:rsid w:val="007642F1"/>
    <w:rsid w:val="0077219F"/>
    <w:rsid w:val="007745D2"/>
    <w:rsid w:val="0078296B"/>
    <w:rsid w:val="00787062"/>
    <w:rsid w:val="00792D19"/>
    <w:rsid w:val="007931A6"/>
    <w:rsid w:val="00793899"/>
    <w:rsid w:val="00795E1B"/>
    <w:rsid w:val="00796A28"/>
    <w:rsid w:val="007A0E99"/>
    <w:rsid w:val="007B2B33"/>
    <w:rsid w:val="007B2D71"/>
    <w:rsid w:val="007B6CAF"/>
    <w:rsid w:val="007B770D"/>
    <w:rsid w:val="007C2CBE"/>
    <w:rsid w:val="007D1FE3"/>
    <w:rsid w:val="007E04DD"/>
    <w:rsid w:val="007E1174"/>
    <w:rsid w:val="007E2021"/>
    <w:rsid w:val="007E47F4"/>
    <w:rsid w:val="007F2E34"/>
    <w:rsid w:val="007F573B"/>
    <w:rsid w:val="00803990"/>
    <w:rsid w:val="00810C52"/>
    <w:rsid w:val="00813A68"/>
    <w:rsid w:val="008230AE"/>
    <w:rsid w:val="008246BA"/>
    <w:rsid w:val="008327F9"/>
    <w:rsid w:val="008414DD"/>
    <w:rsid w:val="00841F91"/>
    <w:rsid w:val="008437DC"/>
    <w:rsid w:val="00844062"/>
    <w:rsid w:val="00844759"/>
    <w:rsid w:val="008512C1"/>
    <w:rsid w:val="00853FF8"/>
    <w:rsid w:val="00861B21"/>
    <w:rsid w:val="0088171C"/>
    <w:rsid w:val="00883D45"/>
    <w:rsid w:val="0089200D"/>
    <w:rsid w:val="00893C87"/>
    <w:rsid w:val="008A2235"/>
    <w:rsid w:val="008B63E2"/>
    <w:rsid w:val="008C0F59"/>
    <w:rsid w:val="008C1B62"/>
    <w:rsid w:val="008C2E40"/>
    <w:rsid w:val="008C7FA3"/>
    <w:rsid w:val="008D3818"/>
    <w:rsid w:val="008E2AF7"/>
    <w:rsid w:val="008E5B9F"/>
    <w:rsid w:val="008F2C9C"/>
    <w:rsid w:val="00922711"/>
    <w:rsid w:val="009235AC"/>
    <w:rsid w:val="00925147"/>
    <w:rsid w:val="00936530"/>
    <w:rsid w:val="00941FA2"/>
    <w:rsid w:val="00943081"/>
    <w:rsid w:val="00945571"/>
    <w:rsid w:val="00946398"/>
    <w:rsid w:val="009467DA"/>
    <w:rsid w:val="009509BE"/>
    <w:rsid w:val="009558B1"/>
    <w:rsid w:val="0095607D"/>
    <w:rsid w:val="00960B4B"/>
    <w:rsid w:val="00961FFB"/>
    <w:rsid w:val="00963FE7"/>
    <w:rsid w:val="00964F2B"/>
    <w:rsid w:val="00980831"/>
    <w:rsid w:val="00982CD0"/>
    <w:rsid w:val="00985E7E"/>
    <w:rsid w:val="0099141D"/>
    <w:rsid w:val="009941A9"/>
    <w:rsid w:val="0099438A"/>
    <w:rsid w:val="00995EF8"/>
    <w:rsid w:val="00997C39"/>
    <w:rsid w:val="009A3D02"/>
    <w:rsid w:val="009B58E2"/>
    <w:rsid w:val="009C3450"/>
    <w:rsid w:val="009C3F37"/>
    <w:rsid w:val="009D0575"/>
    <w:rsid w:val="009D2FA3"/>
    <w:rsid w:val="009E02EF"/>
    <w:rsid w:val="009E08D6"/>
    <w:rsid w:val="009E6CFE"/>
    <w:rsid w:val="00A0065F"/>
    <w:rsid w:val="00A11049"/>
    <w:rsid w:val="00A11152"/>
    <w:rsid w:val="00A3317C"/>
    <w:rsid w:val="00A3557C"/>
    <w:rsid w:val="00A40A1B"/>
    <w:rsid w:val="00A417A8"/>
    <w:rsid w:val="00A41DAC"/>
    <w:rsid w:val="00A426E2"/>
    <w:rsid w:val="00A534F5"/>
    <w:rsid w:val="00A54078"/>
    <w:rsid w:val="00A63749"/>
    <w:rsid w:val="00A64A71"/>
    <w:rsid w:val="00A66A2C"/>
    <w:rsid w:val="00A70FC9"/>
    <w:rsid w:val="00A8696E"/>
    <w:rsid w:val="00A94D6E"/>
    <w:rsid w:val="00AA4D32"/>
    <w:rsid w:val="00AC262C"/>
    <w:rsid w:val="00AC7B2E"/>
    <w:rsid w:val="00AD21C2"/>
    <w:rsid w:val="00AD6085"/>
    <w:rsid w:val="00AD68E4"/>
    <w:rsid w:val="00AD6FEA"/>
    <w:rsid w:val="00AD73D8"/>
    <w:rsid w:val="00AE1B9C"/>
    <w:rsid w:val="00AE5EEB"/>
    <w:rsid w:val="00B0333A"/>
    <w:rsid w:val="00B05737"/>
    <w:rsid w:val="00B208D6"/>
    <w:rsid w:val="00B20DFA"/>
    <w:rsid w:val="00B211E4"/>
    <w:rsid w:val="00B21BD9"/>
    <w:rsid w:val="00B317F7"/>
    <w:rsid w:val="00B3599F"/>
    <w:rsid w:val="00B378A4"/>
    <w:rsid w:val="00B502D6"/>
    <w:rsid w:val="00B63C5D"/>
    <w:rsid w:val="00B6409A"/>
    <w:rsid w:val="00B64C59"/>
    <w:rsid w:val="00B74821"/>
    <w:rsid w:val="00B752AE"/>
    <w:rsid w:val="00B83B87"/>
    <w:rsid w:val="00B90BAD"/>
    <w:rsid w:val="00B94E26"/>
    <w:rsid w:val="00BA03F1"/>
    <w:rsid w:val="00BA44FA"/>
    <w:rsid w:val="00BB7E5F"/>
    <w:rsid w:val="00BC2F75"/>
    <w:rsid w:val="00BC5628"/>
    <w:rsid w:val="00BC59FD"/>
    <w:rsid w:val="00BF49EC"/>
    <w:rsid w:val="00BF6DE9"/>
    <w:rsid w:val="00C036CC"/>
    <w:rsid w:val="00C11FF5"/>
    <w:rsid w:val="00C20887"/>
    <w:rsid w:val="00C209E3"/>
    <w:rsid w:val="00C373A2"/>
    <w:rsid w:val="00C56841"/>
    <w:rsid w:val="00C57213"/>
    <w:rsid w:val="00C6094B"/>
    <w:rsid w:val="00C6220B"/>
    <w:rsid w:val="00C63081"/>
    <w:rsid w:val="00C635DD"/>
    <w:rsid w:val="00C6415D"/>
    <w:rsid w:val="00C7101C"/>
    <w:rsid w:val="00C74730"/>
    <w:rsid w:val="00C87351"/>
    <w:rsid w:val="00C93E91"/>
    <w:rsid w:val="00C950EF"/>
    <w:rsid w:val="00C973A4"/>
    <w:rsid w:val="00CA10FB"/>
    <w:rsid w:val="00CA6DA4"/>
    <w:rsid w:val="00CA7E4A"/>
    <w:rsid w:val="00CB164C"/>
    <w:rsid w:val="00CC6C77"/>
    <w:rsid w:val="00CE1A09"/>
    <w:rsid w:val="00CE2C27"/>
    <w:rsid w:val="00CF1BE9"/>
    <w:rsid w:val="00CF64A3"/>
    <w:rsid w:val="00CF70E8"/>
    <w:rsid w:val="00D0164F"/>
    <w:rsid w:val="00D02028"/>
    <w:rsid w:val="00D0524F"/>
    <w:rsid w:val="00D07008"/>
    <w:rsid w:val="00D14394"/>
    <w:rsid w:val="00D1769C"/>
    <w:rsid w:val="00D21D4A"/>
    <w:rsid w:val="00D30D77"/>
    <w:rsid w:val="00D32D6F"/>
    <w:rsid w:val="00D3333A"/>
    <w:rsid w:val="00D347C3"/>
    <w:rsid w:val="00D3522F"/>
    <w:rsid w:val="00D54105"/>
    <w:rsid w:val="00D54371"/>
    <w:rsid w:val="00D5545B"/>
    <w:rsid w:val="00D57CC9"/>
    <w:rsid w:val="00D63EE0"/>
    <w:rsid w:val="00D71418"/>
    <w:rsid w:val="00D72584"/>
    <w:rsid w:val="00D76841"/>
    <w:rsid w:val="00D775FF"/>
    <w:rsid w:val="00D80F6E"/>
    <w:rsid w:val="00D8581F"/>
    <w:rsid w:val="00D86E86"/>
    <w:rsid w:val="00D975B8"/>
    <w:rsid w:val="00DA05E0"/>
    <w:rsid w:val="00DA0BC5"/>
    <w:rsid w:val="00DA12EE"/>
    <w:rsid w:val="00DB1116"/>
    <w:rsid w:val="00DB221F"/>
    <w:rsid w:val="00DD25ED"/>
    <w:rsid w:val="00DE0772"/>
    <w:rsid w:val="00DE24FC"/>
    <w:rsid w:val="00DF3BF9"/>
    <w:rsid w:val="00DF6669"/>
    <w:rsid w:val="00E06787"/>
    <w:rsid w:val="00E1652A"/>
    <w:rsid w:val="00E203D9"/>
    <w:rsid w:val="00E3141B"/>
    <w:rsid w:val="00E322B3"/>
    <w:rsid w:val="00E32B87"/>
    <w:rsid w:val="00E33A91"/>
    <w:rsid w:val="00E37E02"/>
    <w:rsid w:val="00E44253"/>
    <w:rsid w:val="00E522DB"/>
    <w:rsid w:val="00E6063B"/>
    <w:rsid w:val="00E81BB1"/>
    <w:rsid w:val="00EA0124"/>
    <w:rsid w:val="00EC7D10"/>
    <w:rsid w:val="00EC7FC8"/>
    <w:rsid w:val="00ED0CB0"/>
    <w:rsid w:val="00ED13A2"/>
    <w:rsid w:val="00ED326D"/>
    <w:rsid w:val="00ED42CD"/>
    <w:rsid w:val="00ED42EB"/>
    <w:rsid w:val="00EE46B3"/>
    <w:rsid w:val="00EE4A50"/>
    <w:rsid w:val="00EE4CE7"/>
    <w:rsid w:val="00EF4210"/>
    <w:rsid w:val="00EF60D5"/>
    <w:rsid w:val="00EF7176"/>
    <w:rsid w:val="00F122BE"/>
    <w:rsid w:val="00F1502F"/>
    <w:rsid w:val="00F151CE"/>
    <w:rsid w:val="00F246B8"/>
    <w:rsid w:val="00F24D53"/>
    <w:rsid w:val="00F33F76"/>
    <w:rsid w:val="00F47AD3"/>
    <w:rsid w:val="00F55141"/>
    <w:rsid w:val="00F5570D"/>
    <w:rsid w:val="00F5742A"/>
    <w:rsid w:val="00F61040"/>
    <w:rsid w:val="00F61679"/>
    <w:rsid w:val="00F74A17"/>
    <w:rsid w:val="00F77735"/>
    <w:rsid w:val="00F77930"/>
    <w:rsid w:val="00F83F32"/>
    <w:rsid w:val="00F87FD1"/>
    <w:rsid w:val="00F9001A"/>
    <w:rsid w:val="00F96782"/>
    <w:rsid w:val="00FA70B6"/>
    <w:rsid w:val="00FB7884"/>
    <w:rsid w:val="00FC5EDA"/>
    <w:rsid w:val="00FD1455"/>
    <w:rsid w:val="00FD154F"/>
    <w:rsid w:val="00FD56FE"/>
    <w:rsid w:val="00FD68CD"/>
    <w:rsid w:val="00FE149F"/>
    <w:rsid w:val="00FE1BA2"/>
    <w:rsid w:val="00FE2724"/>
    <w:rsid w:val="00FF043A"/>
    <w:rsid w:val="00FF17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5C058"/>
  <w15:docId w15:val="{DA6FAFE3-8873-4D08-9396-F97A48302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D01"/>
    <w:pPr>
      <w:spacing w:line="480" w:lineRule="auto"/>
      <w:jc w:val="both"/>
    </w:pPr>
    <w:rPr>
      <w:rFonts w:ascii="Times New Roman" w:hAnsi="Times New Roman"/>
      <w:color w:val="000000" w:themeColor="text1"/>
      <w:sz w:val="24"/>
      <w:lang w:val="en-AU"/>
    </w:rPr>
  </w:style>
  <w:style w:type="paragraph" w:styleId="Heading1">
    <w:name w:val="heading 1"/>
    <w:basedOn w:val="Normal"/>
    <w:next w:val="Normal"/>
    <w:link w:val="Heading1Char"/>
    <w:uiPriority w:val="9"/>
    <w:qFormat/>
    <w:rsid w:val="003316B9"/>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316B9"/>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EA0124"/>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2D7509"/>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6B9"/>
    <w:rPr>
      <w:rFonts w:ascii="Times New Roman" w:eastAsiaTheme="majorEastAsia" w:hAnsi="Times New Roman" w:cstheme="majorBidi"/>
      <w:b/>
      <w:color w:val="000000" w:themeColor="text1"/>
      <w:sz w:val="24"/>
      <w:szCs w:val="32"/>
      <w:lang w:val="en-AU"/>
    </w:rPr>
  </w:style>
  <w:style w:type="character" w:customStyle="1" w:styleId="Heading2Char">
    <w:name w:val="Heading 2 Char"/>
    <w:basedOn w:val="DefaultParagraphFont"/>
    <w:link w:val="Heading2"/>
    <w:uiPriority w:val="9"/>
    <w:rsid w:val="003316B9"/>
    <w:rPr>
      <w:rFonts w:ascii="Times New Roman" w:eastAsiaTheme="majorEastAsia" w:hAnsi="Times New Roman" w:cstheme="majorBidi"/>
      <w:b/>
      <w:color w:val="000000" w:themeColor="text1"/>
      <w:sz w:val="24"/>
      <w:szCs w:val="26"/>
      <w:lang w:val="en-AU"/>
    </w:rPr>
  </w:style>
  <w:style w:type="character" w:customStyle="1" w:styleId="Heading3Char">
    <w:name w:val="Heading 3 Char"/>
    <w:basedOn w:val="DefaultParagraphFont"/>
    <w:link w:val="Heading3"/>
    <w:uiPriority w:val="9"/>
    <w:rsid w:val="00EA0124"/>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EA01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0124"/>
    <w:rPr>
      <w:color w:val="000000" w:themeColor="text1"/>
    </w:rPr>
  </w:style>
  <w:style w:type="paragraph" w:styleId="Footer">
    <w:name w:val="footer"/>
    <w:basedOn w:val="Normal"/>
    <w:link w:val="FooterChar"/>
    <w:uiPriority w:val="99"/>
    <w:unhideWhenUsed/>
    <w:rsid w:val="00EA01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0124"/>
    <w:rPr>
      <w:color w:val="000000" w:themeColor="text1"/>
    </w:rPr>
  </w:style>
  <w:style w:type="paragraph" w:styleId="TOCHeading">
    <w:name w:val="TOC Heading"/>
    <w:basedOn w:val="Heading1"/>
    <w:next w:val="Normal"/>
    <w:uiPriority w:val="39"/>
    <w:unhideWhenUsed/>
    <w:qFormat/>
    <w:rsid w:val="006A346B"/>
    <w:pPr>
      <w:spacing w:line="259" w:lineRule="auto"/>
      <w:outlineLvl w:val="9"/>
    </w:pPr>
    <w:rPr>
      <w:rFonts w:asciiTheme="majorHAnsi" w:hAnsiTheme="majorHAnsi"/>
      <w:b w:val="0"/>
      <w:color w:val="2E74B5" w:themeColor="accent1" w:themeShade="BF"/>
      <w:sz w:val="32"/>
    </w:rPr>
  </w:style>
  <w:style w:type="paragraph" w:styleId="TOC2">
    <w:name w:val="toc 2"/>
    <w:basedOn w:val="Normal"/>
    <w:next w:val="Normal"/>
    <w:autoRedefine/>
    <w:uiPriority w:val="39"/>
    <w:unhideWhenUsed/>
    <w:rsid w:val="006A346B"/>
    <w:pPr>
      <w:spacing w:after="100"/>
      <w:ind w:left="220"/>
    </w:pPr>
  </w:style>
  <w:style w:type="character" w:styleId="Hyperlink">
    <w:name w:val="Hyperlink"/>
    <w:basedOn w:val="DefaultParagraphFont"/>
    <w:uiPriority w:val="99"/>
    <w:unhideWhenUsed/>
    <w:rsid w:val="006A346B"/>
    <w:rPr>
      <w:color w:val="0563C1" w:themeColor="hyperlink"/>
      <w:u w:val="single"/>
    </w:rPr>
  </w:style>
  <w:style w:type="paragraph" w:styleId="TOC1">
    <w:name w:val="toc 1"/>
    <w:basedOn w:val="Normal"/>
    <w:next w:val="Normal"/>
    <w:autoRedefine/>
    <w:uiPriority w:val="39"/>
    <w:unhideWhenUsed/>
    <w:rsid w:val="0055424E"/>
    <w:pPr>
      <w:spacing w:after="100"/>
    </w:pPr>
  </w:style>
  <w:style w:type="paragraph" w:styleId="ListParagraph">
    <w:name w:val="List Paragraph"/>
    <w:basedOn w:val="Normal"/>
    <w:uiPriority w:val="34"/>
    <w:qFormat/>
    <w:rsid w:val="00C20887"/>
    <w:pPr>
      <w:ind w:left="720"/>
      <w:contextualSpacing/>
    </w:pPr>
  </w:style>
  <w:style w:type="character" w:styleId="CommentReference">
    <w:name w:val="annotation reference"/>
    <w:basedOn w:val="DefaultParagraphFont"/>
    <w:uiPriority w:val="99"/>
    <w:semiHidden/>
    <w:unhideWhenUsed/>
    <w:rsid w:val="00F33F76"/>
    <w:rPr>
      <w:sz w:val="16"/>
      <w:szCs w:val="16"/>
    </w:rPr>
  </w:style>
  <w:style w:type="paragraph" w:styleId="CommentText">
    <w:name w:val="annotation text"/>
    <w:basedOn w:val="Normal"/>
    <w:link w:val="CommentTextChar"/>
    <w:uiPriority w:val="99"/>
    <w:semiHidden/>
    <w:unhideWhenUsed/>
    <w:rsid w:val="00F33F76"/>
    <w:pPr>
      <w:spacing w:line="240" w:lineRule="auto"/>
    </w:pPr>
    <w:rPr>
      <w:sz w:val="20"/>
      <w:szCs w:val="20"/>
    </w:rPr>
  </w:style>
  <w:style w:type="character" w:customStyle="1" w:styleId="CommentTextChar">
    <w:name w:val="Comment Text Char"/>
    <w:basedOn w:val="DefaultParagraphFont"/>
    <w:link w:val="CommentText"/>
    <w:uiPriority w:val="99"/>
    <w:semiHidden/>
    <w:rsid w:val="00F33F76"/>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F33F76"/>
    <w:rPr>
      <w:b/>
      <w:bCs/>
    </w:rPr>
  </w:style>
  <w:style w:type="character" w:customStyle="1" w:styleId="CommentSubjectChar">
    <w:name w:val="Comment Subject Char"/>
    <w:basedOn w:val="CommentTextChar"/>
    <w:link w:val="CommentSubject"/>
    <w:uiPriority w:val="99"/>
    <w:semiHidden/>
    <w:rsid w:val="00F33F76"/>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F33F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3F76"/>
    <w:rPr>
      <w:rFonts w:ascii="Segoe UI" w:hAnsi="Segoe UI" w:cs="Segoe UI"/>
      <w:color w:val="000000" w:themeColor="text1"/>
      <w:sz w:val="18"/>
      <w:szCs w:val="18"/>
    </w:rPr>
  </w:style>
  <w:style w:type="character" w:customStyle="1" w:styleId="Heading4Char">
    <w:name w:val="Heading 4 Char"/>
    <w:basedOn w:val="DefaultParagraphFont"/>
    <w:link w:val="Heading4"/>
    <w:uiPriority w:val="9"/>
    <w:semiHidden/>
    <w:rsid w:val="002D7509"/>
    <w:rPr>
      <w:rFonts w:asciiTheme="majorHAnsi" w:eastAsiaTheme="majorEastAsia" w:hAnsiTheme="majorHAnsi" w:cstheme="majorBidi"/>
      <w:b/>
      <w:bCs/>
      <w:i/>
      <w:iCs/>
      <w:color w:val="5B9BD5" w:themeColor="accent1"/>
      <w:sz w:val="24"/>
      <w:lang w:val="en-AU"/>
    </w:rPr>
  </w:style>
  <w:style w:type="table" w:styleId="TableGrid">
    <w:name w:val="Table Grid"/>
    <w:basedOn w:val="TableNormal"/>
    <w:uiPriority w:val="39"/>
    <w:rsid w:val="005163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59D959-2F02-4119-8556-120322B92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TotalTime>
  <Pages>1</Pages>
  <Words>1971</Words>
  <Characters>11240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LAPTOP_PS0078</dc:creator>
  <cp:lastModifiedBy>boris</cp:lastModifiedBy>
  <cp:revision>15</cp:revision>
  <dcterms:created xsi:type="dcterms:W3CDTF">2020-08-06T03:29:00Z</dcterms:created>
  <dcterms:modified xsi:type="dcterms:W3CDTF">2020-08-23T18:37:00Z</dcterms:modified>
</cp:coreProperties>
</file>