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er"/>
        <w:tabs>
          <w:tab w:val="clear" w:pos="4153"/>
          <w:tab w:val="clear" w:pos="8306"/>
        </w:tabs>
        <w:jc w:val="right"/>
        <w:rPr>
          <w:rFonts w:ascii="Arial" w:cs="Arial" w:hAnsi="Arial" w:eastAsia="Arial"/>
          <w:b w:val="1"/>
          <w:bCs w:val="1"/>
          <w:sz w:val="28"/>
          <w:szCs w:val="28"/>
        </w:rPr>
      </w:pPr>
      <w:r>
        <w:rPr>
          <w:rFonts w:ascii="Arial" w:cs="Arial" w:hAnsi="Arial" w:eastAsia="Arial"/>
        </w:rPr>
        <w:drawing xmlns:a="http://schemas.openxmlformats.org/drawingml/2006/main">
          <wp:anchor distT="57150" distB="57150" distL="57150" distR="57150" simplePos="0" relativeHeight="251659264" behindDoc="0" locked="0" layoutInCell="1" allowOverlap="1">
            <wp:simplePos x="0" y="0"/>
            <wp:positionH relativeFrom="column">
              <wp:posOffset>0</wp:posOffset>
            </wp:positionH>
            <wp:positionV relativeFrom="line">
              <wp:posOffset>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r>
        <w:rPr>
          <w:rFonts w:ascii="Arial" w:hAnsi="Arial"/>
          <w:rtl w:val="0"/>
          <w:lang w:val="en-US"/>
        </w:rPr>
        <w:t xml:space="preserve"> </w:t>
        <w:br w:type="textWrapping"/>
      </w:r>
      <w:r>
        <w:rPr>
          <w:rFonts w:ascii="Arial" w:hAnsi="Arial"/>
          <w:b w:val="1"/>
          <w:bCs w:val="1"/>
          <w:sz w:val="28"/>
          <w:szCs w:val="28"/>
          <w:rtl w:val="0"/>
          <w:lang w:val="en-US"/>
        </w:rPr>
        <w:t>APPENDIX GA36a</w:t>
      </w:r>
    </w:p>
    <w:p>
      <w:pPr>
        <w:pStyle w:val="Body"/>
        <w:rPr>
          <w:rFonts w:ascii="Arial" w:cs="Arial" w:hAnsi="Arial" w:eastAsia="Arial"/>
        </w:rPr>
      </w:pPr>
    </w:p>
    <w:tbl>
      <w:tblPr>
        <w:tblW w:w="9922" w:type="dxa"/>
        <w:jc w:val="left"/>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2"/>
      </w:tblGrid>
      <w:tr>
        <w:tblPrEx>
          <w:shd w:val="clear" w:color="auto" w:fill="ced7e7"/>
        </w:tblPrEx>
        <w:trPr>
          <w:trHeight w:val="457" w:hRule="atLeast"/>
        </w:trPr>
        <w:tc>
          <w:tcPr>
            <w:tcW w:type="dxa" w:w="99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0c0c0"/>
            <w:tcMar>
              <w:top w:type="dxa" w:w="80"/>
              <w:left w:type="dxa" w:w="80"/>
              <w:bottom w:type="dxa" w:w="80"/>
              <w:right w:type="dxa" w:w="80"/>
            </w:tcMar>
            <w:vAlign w:val="top"/>
          </w:tcPr>
          <w:p>
            <w:pPr>
              <w:pStyle w:val="heading 4"/>
            </w:pPr>
            <w:r>
              <w:rPr>
                <w:rFonts w:ascii="Arial" w:hAnsi="Arial"/>
                <w:b w:val="1"/>
                <w:bCs w:val="1"/>
                <w:shd w:val="nil" w:color="auto" w:fill="auto"/>
                <w:rtl w:val="0"/>
                <w:lang w:val="en-US"/>
              </w:rPr>
              <w:t xml:space="preserve">LEVEL 4 ASSESSMENT SPECIFICATION </w:t>
            </w:r>
          </w:p>
        </w:tc>
      </w:tr>
    </w:tbl>
    <w:p>
      <w:pPr>
        <w:pStyle w:val="Body"/>
        <w:widowControl w:val="0"/>
        <w:ind w:left="392" w:hanging="392"/>
        <w:rPr>
          <w:rFonts w:ascii="Arial" w:cs="Arial" w:hAnsi="Arial" w:eastAsia="Arial"/>
        </w:rPr>
      </w:pPr>
    </w:p>
    <w:p>
      <w:pPr>
        <w:pStyle w:val="Body"/>
        <w:jc w:val="center"/>
        <w:rPr>
          <w:rFonts w:ascii="Arial" w:cs="Arial" w:hAnsi="Arial" w:eastAsia="Arial"/>
          <w:b w:val="1"/>
          <w:bCs w:val="1"/>
          <w:i w:val="1"/>
          <w:iCs w:val="1"/>
          <w:sz w:val="32"/>
          <w:szCs w:val="32"/>
        </w:rPr>
      </w:pPr>
    </w:p>
    <w:tbl>
      <w:tblPr>
        <w:tblW w:w="9922" w:type="dxa"/>
        <w:jc w:val="center"/>
        <w:tblInd w:w="50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93"/>
        <w:gridCol w:w="2613"/>
        <w:gridCol w:w="2835"/>
        <w:gridCol w:w="2381"/>
      </w:tblGrid>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name:</w:t>
            </w:r>
          </w:p>
        </w:tc>
        <w:tc>
          <w:tcPr>
            <w:tcW w:type="dxa" w:w="26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hint="default"/>
                <w:b w:val="1"/>
                <w:bCs w:val="1"/>
                <w:sz w:val="22"/>
                <w:szCs w:val="22"/>
                <w:shd w:val="nil" w:color="auto" w:fill="auto"/>
                <w:rtl w:val="0"/>
              </w:rPr>
              <w:t>     </w:t>
            </w:r>
            <w:r>
              <w:rPr>
                <w:rFonts w:ascii="Arial" w:hAnsi="Arial"/>
                <w:b w:val="1"/>
                <w:bCs w:val="1"/>
                <w:sz w:val="22"/>
                <w:szCs w:val="22"/>
                <w:shd w:val="nil" w:color="auto" w:fill="auto"/>
                <w:rtl w:val="0"/>
                <w:lang w:val="en-US"/>
              </w:rPr>
              <w:t>Jack Starkey</w:t>
            </w: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Student ID number:</w:t>
            </w:r>
          </w:p>
        </w:tc>
        <w:tc>
          <w:tcPr>
            <w:tcW w:type="dxa" w:w="23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240" w:lineRule="auto"/>
              <w:ind w:left="0" w:right="0" w:firstLine="0"/>
              <w:jc w:val="both"/>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2000916</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Programme: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 xml:space="preserve">BA Physical Education / BA Outdoor Adventure Education. </w:t>
            </w:r>
          </w:p>
        </w:tc>
      </w:tr>
      <w:tr>
        <w:tblPrEx>
          <w:shd w:val="clear" w:color="auto" w:fill="ced7e7"/>
        </w:tblPrEx>
        <w:trPr>
          <w:trHeight w:val="24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Facilitating Adventurous Activities</w:t>
            </w:r>
          </w:p>
        </w:tc>
      </w:tr>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Module code:</w:t>
            </w:r>
          </w:p>
        </w:tc>
        <w:tc>
          <w:tcPr>
            <w:tcW w:type="dxa" w:w="26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BMOE4003</w:t>
            </w: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Heading 2"/>
            </w:pPr>
            <w:r>
              <w:rPr>
                <w:rFonts w:ascii="Arial" w:hAnsi="Arial"/>
                <w:sz w:val="22"/>
                <w:szCs w:val="22"/>
                <w:shd w:val="nil" w:color="auto" w:fill="auto"/>
                <w:rtl w:val="0"/>
                <w:lang w:val="en-US"/>
              </w:rPr>
              <w:t>Contribution to Overall Module Assessment (%):</w:t>
            </w:r>
          </w:p>
        </w:tc>
        <w:tc>
          <w:tcPr>
            <w:tcW w:type="dxa" w:w="23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50%</w:t>
            </w:r>
          </w:p>
        </w:tc>
      </w:tr>
      <w:tr>
        <w:tblPrEx>
          <w:shd w:val="clear" w:color="auto" w:fill="ced7e7"/>
        </w:tblPrEx>
        <w:trPr>
          <w:trHeight w:val="6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Lecturer:</w:t>
            </w:r>
          </w:p>
        </w:tc>
        <w:tc>
          <w:tcPr>
            <w:tcW w:type="dxa" w:w="26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 xml:space="preserve">Jon Haylock &amp; </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Heddwen Davies</w:t>
            </w: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Internal Verifier:</w:t>
            </w:r>
          </w:p>
        </w:tc>
        <w:tc>
          <w:tcPr>
            <w:tcW w:type="dxa" w:w="23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pPr>
            <w:r>
              <w:rPr>
                <w:rFonts w:ascii="Arial" w:hAnsi="Arial"/>
                <w:b w:val="1"/>
                <w:bCs w:val="1"/>
                <w:sz w:val="22"/>
                <w:szCs w:val="22"/>
                <w:shd w:val="nil" w:color="auto" w:fill="auto"/>
                <w:rtl w:val="0"/>
                <w:lang w:val="en-US"/>
              </w:rPr>
              <w:t>Jon Haylock &amp; Heddwen Davies</w:t>
            </w:r>
          </w:p>
        </w:tc>
      </w:tr>
      <w:tr>
        <w:tblPrEx>
          <w:shd w:val="clear" w:color="auto" w:fill="ced7e7"/>
        </w:tblPrEx>
        <w:trPr>
          <w:trHeight w:val="48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Assignment Title:</w:t>
            </w:r>
          </w:p>
        </w:tc>
        <w:tc>
          <w:tcPr>
            <w:tcW w:type="dxa" w:w="26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pPr>
            <w:r>
              <w:rPr>
                <w:rFonts w:ascii="Arial" w:hAnsi="Arial"/>
                <w:sz w:val="22"/>
                <w:szCs w:val="22"/>
                <w:shd w:val="nil" w:color="auto" w:fill="auto"/>
                <w:rtl w:val="0"/>
                <w:lang w:val="en-US"/>
              </w:rPr>
              <w:t xml:space="preserve">Lesson plan and risk assessment. </w:t>
            </w: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Word count (or equivalent):</w:t>
            </w:r>
          </w:p>
        </w:tc>
        <w:tc>
          <w:tcPr>
            <w:tcW w:type="dxa" w:w="23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pPr>
            <w:r>
              <w:rPr>
                <w:rFonts w:ascii="Arial" w:hAnsi="Arial"/>
                <w:b w:val="1"/>
                <w:bCs w:val="1"/>
                <w:sz w:val="22"/>
                <w:szCs w:val="22"/>
                <w:shd w:val="nil" w:color="auto" w:fill="auto"/>
                <w:rtl w:val="0"/>
                <w:lang w:val="en-US"/>
              </w:rPr>
              <w:t>1,500 words equivalent</w:t>
            </w:r>
          </w:p>
        </w:tc>
      </w:tr>
      <w:tr>
        <w:tblPrEx>
          <w:shd w:val="clear" w:color="auto" w:fill="ced7e7"/>
        </w:tblPrEx>
        <w:trPr>
          <w:trHeight w:val="72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deadline:</w:t>
            </w:r>
          </w:p>
        </w:tc>
        <w:tc>
          <w:tcPr>
            <w:tcW w:type="dxa" w:w="26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3pm turnitin</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30</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April,  2021</w:t>
            </w:r>
          </w:p>
        </w:tc>
        <w:tc>
          <w:tcPr>
            <w:tcW w:type="dxa" w:w="28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Return date of provisional marks &amp; written feedback:</w:t>
            </w:r>
          </w:p>
        </w:tc>
        <w:tc>
          <w:tcPr>
            <w:tcW w:type="dxa" w:w="23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3pm Turnitin</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28</w:t>
            </w:r>
            <w:r>
              <w:rPr>
                <w:rFonts w:ascii="Arial" w:hAnsi="Arial"/>
                <w:b w:val="1"/>
                <w:bCs w:val="1"/>
                <w:sz w:val="22"/>
                <w:szCs w:val="22"/>
                <w:shd w:val="nil" w:color="auto" w:fill="auto"/>
                <w:vertAlign w:val="superscript"/>
                <w:rtl w:val="0"/>
                <w:lang w:val="en-US"/>
              </w:rPr>
              <w:t>th</w:t>
            </w:r>
            <w:r>
              <w:rPr>
                <w:rFonts w:ascii="Arial" w:hAnsi="Arial"/>
                <w:b w:val="1"/>
                <w:bCs w:val="1"/>
                <w:sz w:val="22"/>
                <w:szCs w:val="22"/>
                <w:shd w:val="nil" w:color="auto" w:fill="auto"/>
                <w:rtl w:val="0"/>
                <w:lang w:val="en-US"/>
              </w:rPr>
              <w:t xml:space="preserve"> May, 2021</w:t>
            </w:r>
          </w:p>
        </w:tc>
      </w:tr>
      <w:tr>
        <w:tblPrEx>
          <w:shd w:val="clear" w:color="auto" w:fill="ced7e7"/>
        </w:tblPrEx>
        <w:trPr>
          <w:trHeight w:val="240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jc w:val="both"/>
            </w:pPr>
            <w:r>
              <w:rPr>
                <w:rFonts w:ascii="Arial" w:hAnsi="Arial"/>
                <w:b w:val="1"/>
                <w:bCs w:val="1"/>
                <w:sz w:val="22"/>
                <w:szCs w:val="22"/>
                <w:shd w:val="nil" w:color="auto" w:fill="auto"/>
                <w:rtl w:val="0"/>
                <w:lang w:val="en-US"/>
              </w:rPr>
              <w:t>Submission method:</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All written assessments, where practical and possible, must be submitted via Turnitin unless otherwise instructed by the Lecturer. (Please DO NOT put this assessment specification into Turnitin or it will match many similarities with other students</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submissions.)</w:t>
            </w:r>
          </w:p>
          <w:p>
            <w:pPr>
              <w:pStyle w:val="Body"/>
              <w:bidi w:val="0"/>
              <w:spacing w:before="120" w:after="120"/>
              <w:ind w:left="0" w:right="0" w:firstLine="0"/>
              <w:jc w:val="both"/>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Alternative submission method (if applicable): </w:t>
            </w:r>
          </w:p>
          <w:p>
            <w:pPr>
              <w:pStyle w:val="Body"/>
              <w:bidi w:val="0"/>
              <w:spacing w:before="120" w:after="120"/>
              <w:ind w:left="0" w:right="0" w:firstLine="0"/>
              <w:jc w:val="both"/>
              <w:rPr>
                <w:rtl w:val="0"/>
              </w:rPr>
            </w:pPr>
            <w:r>
              <w:rPr>
                <w:rFonts w:ascii="Arial" w:hAnsi="Arial"/>
                <w:b w:val="1"/>
                <w:bCs w:val="1"/>
                <w:sz w:val="22"/>
                <w:szCs w:val="22"/>
                <w:shd w:val="nil" w:color="auto" w:fill="auto"/>
                <w:rtl w:val="0"/>
                <w:lang w:val="en-US"/>
              </w:rPr>
              <w:t xml:space="preserve">Late submission of the assessment will result in a late penalty mark.  </w:t>
            </w:r>
            <w:r>
              <w:rPr>
                <w:rFonts w:ascii="Arial" w:hAnsi="Arial"/>
                <w:b w:val="0"/>
                <w:bCs w:val="0"/>
                <w:sz w:val="22"/>
                <w:szCs w:val="22"/>
                <w:shd w:val="nil" w:color="auto" w:fill="auto"/>
                <w:rtl w:val="0"/>
                <w:lang w:val="en-US"/>
              </w:rPr>
              <w:t>Penalties for late submission: Up to one week late, maximum mark of 40%.  Over one week late, 0%.  Only the Extenuating Circumstances Panel may approve a change to submission dates.</w:t>
            </w:r>
          </w:p>
        </w:tc>
      </w:tr>
      <w:tr>
        <w:tblPrEx>
          <w:shd w:val="clear" w:color="auto" w:fill="ced7e7"/>
        </w:tblPrEx>
        <w:trPr>
          <w:trHeight w:val="963" w:hRule="atLeast"/>
        </w:trPr>
        <w:tc>
          <w:tcPr>
            <w:tcW w:type="dxa" w:w="2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spacing w:before="120" w:after="120"/>
            </w:pPr>
            <w:r>
              <w:rPr>
                <w:rFonts w:ascii="Arial" w:hAnsi="Arial"/>
                <w:b w:val="1"/>
                <w:bCs w:val="1"/>
                <w:sz w:val="22"/>
                <w:szCs w:val="22"/>
                <w:shd w:val="nil" w:color="auto" w:fill="auto"/>
                <w:rtl w:val="0"/>
                <w:lang w:val="en-US"/>
              </w:rPr>
              <w:t>Academic honesty / referencing:</w:t>
            </w:r>
          </w:p>
        </w:tc>
        <w:tc>
          <w:tcPr>
            <w:tcW w:type="dxa" w:w="782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both"/>
            </w:pPr>
            <w:r>
              <w:rPr>
                <w:rFonts w:ascii="Arial" w:hAnsi="Arial"/>
                <w:sz w:val="22"/>
                <w:szCs w:val="22"/>
                <w:shd w:val="nil" w:color="auto" w:fill="auto"/>
                <w:rtl w:val="0"/>
                <w:lang w:val="en-US"/>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pPr>
        <w:pStyle w:val="Body"/>
        <w:widowControl w:val="0"/>
        <w:ind w:left="392" w:hanging="392"/>
        <w:jc w:val="center"/>
        <w:rPr>
          <w:rFonts w:ascii="Arial" w:cs="Arial" w:hAnsi="Arial" w:eastAsia="Arial"/>
          <w:b w:val="1"/>
          <w:bCs w:val="1"/>
          <w:i w:val="1"/>
          <w:iCs w:val="1"/>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rPr>
          <w:rFonts w:ascii="Arial" w:cs="Arial" w:hAnsi="Arial" w:eastAsia="Arial"/>
          <w:sz w:val="32"/>
          <w:szCs w:val="32"/>
        </w:rPr>
      </w:pPr>
    </w:p>
    <w:p>
      <w:pPr>
        <w:pStyle w:val="Body"/>
      </w:pPr>
      <w:r>
        <w:rPr>
          <w:rFonts w:ascii="Arial Unicode MS" w:cs="Arial Unicode MS" w:hAnsi="Arial Unicode MS" w:eastAsia="Arial Unicode MS"/>
          <w:b w:val="0"/>
          <w:bCs w:val="0"/>
          <w:i w:val="0"/>
          <w:iCs w:val="0"/>
          <w:sz w:val="32"/>
          <w:szCs w:val="32"/>
        </w:rPr>
        <w:br w:type="page"/>
      </w:r>
    </w:p>
    <w:p>
      <w:pPr>
        <w:pStyle w:val="Body"/>
        <w:jc w:val="both"/>
        <w:rPr>
          <w:rFonts w:ascii="Arial" w:cs="Arial" w:hAnsi="Arial" w:eastAsia="Arial"/>
          <w:sz w:val="22"/>
          <w:szCs w:val="22"/>
        </w:rPr>
      </w:pPr>
    </w:p>
    <w:tbl>
      <w:tblPr>
        <w:tblW w:w="10444"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444"/>
      </w:tblGrid>
      <w:tr>
        <w:tblPrEx>
          <w:shd w:val="clear" w:color="auto" w:fill="ced7e7"/>
        </w:tblPrEx>
        <w:trPr>
          <w:trHeight w:val="457" w:hRule="atLeast"/>
        </w:trPr>
        <w:tc>
          <w:tcPr>
            <w:tcW w:type="dxa" w:w="104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w:pPr>
            <w:r>
              <w:rPr>
                <w:rFonts w:ascii="Arial" w:hAnsi="Arial"/>
                <w:b w:val="1"/>
                <w:bCs w:val="1"/>
                <w:caps w:val="1"/>
                <w:sz w:val="40"/>
                <w:szCs w:val="40"/>
                <w:shd w:val="nil" w:color="auto" w:fill="auto"/>
                <w:rtl w:val="0"/>
                <w:lang w:val="en-US"/>
              </w:rPr>
              <w:t xml:space="preserve">     Student FEEDBACK FORM</w:t>
            </w:r>
          </w:p>
        </w:tc>
      </w:tr>
    </w:tbl>
    <w:p>
      <w:pPr>
        <w:pStyle w:val="Body"/>
        <w:widowControl w:val="0"/>
        <w:jc w:val="center"/>
        <w:rPr>
          <w:rFonts w:ascii="Arial" w:cs="Arial" w:hAnsi="Arial" w:eastAsia="Arial"/>
          <w:sz w:val="22"/>
          <w:szCs w:val="22"/>
        </w:rPr>
      </w:pPr>
    </w:p>
    <w:p>
      <w:pPr>
        <w:pStyle w:val="Body"/>
        <w:rPr>
          <w:rFonts w:ascii="Arial" w:cs="Arial" w:hAnsi="Arial" w:eastAsia="Arial"/>
        </w:rPr>
      </w:pPr>
    </w:p>
    <w:p>
      <w:pPr>
        <w:pStyle w:val="Body Text1"/>
        <w:tabs>
          <w:tab w:val="clear" w:pos="720"/>
          <w:tab w:val="clear" w:pos="1440"/>
        </w:tabs>
        <w:jc w:val="both"/>
        <w:rPr>
          <w:rFonts w:ascii="Arial" w:cs="Arial" w:hAnsi="Arial" w:eastAsia="Arial"/>
          <w:sz w:val="20"/>
          <w:szCs w:val="20"/>
        </w:rPr>
      </w:pPr>
      <w:r>
        <w:rPr>
          <w:rFonts w:ascii="Arial" w:hAnsi="Arial"/>
          <w:sz w:val="20"/>
          <w:szCs w:val="20"/>
          <w:rtl w:val="0"/>
          <w:lang w:val="en-US"/>
        </w:rPr>
        <w:t xml:space="preserve">This section details the </w:t>
      </w:r>
      <w:r>
        <w:rPr>
          <w:rFonts w:ascii="Arial" w:hAnsi="Arial"/>
          <w:i w:val="1"/>
          <w:iCs w:val="1"/>
          <w:sz w:val="20"/>
          <w:szCs w:val="20"/>
          <w:rtl w:val="0"/>
          <w:lang w:val="en-US"/>
        </w:rPr>
        <w:t>extent</w:t>
      </w:r>
      <w:r>
        <w:rPr>
          <w:rFonts w:ascii="Arial" w:hAnsi="Arial"/>
          <w:sz w:val="20"/>
          <w:szCs w:val="20"/>
          <w:rtl w:val="0"/>
          <w:lang w:val="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pPr>
        <w:pStyle w:val="Body"/>
        <w:rPr>
          <w:rFonts w:ascii="Arial" w:cs="Arial" w:hAnsi="Arial" w:eastAsia="Arial"/>
          <w:sz w:val="20"/>
          <w:szCs w:val="20"/>
        </w:rPr>
        <w:sectPr>
          <w:headerReference w:type="default" r:id="rId5"/>
          <w:footerReference w:type="default" r:id="rId6"/>
          <w:pgSz w:w="11900" w:h="16840" w:orient="portrait"/>
          <w:pgMar w:top="720" w:right="720" w:bottom="720" w:left="720" w:header="706" w:footer="454"/>
          <w:bidi w:val="0"/>
        </w:sectPr>
      </w:pPr>
      <w:r>
        <w:rPr>
          <w:rFonts w:ascii="Arial" w:cs="Arial" w:hAnsi="Arial" w:eastAsia="Arial"/>
          <w:sz w:val="20"/>
          <w:szCs w:val="20"/>
        </w:rPr>
      </w:r>
    </w:p>
    <w:p>
      <w:pPr>
        <w:pStyle w:val="Body"/>
        <w:rPr>
          <w:rFonts w:ascii="Arial" w:cs="Arial" w:hAnsi="Arial" w:eastAsia="Arial"/>
          <w:b w:val="1"/>
          <w:bCs w:val="1"/>
          <w:sz w:val="22"/>
          <w:szCs w:val="22"/>
        </w:rPr>
      </w:pPr>
    </w:p>
    <w:tbl>
      <w:tblPr>
        <w:tblW w:w="1044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708"/>
        <w:gridCol w:w="869"/>
        <w:gridCol w:w="867"/>
      </w:tblGrid>
      <w:tr>
        <w:tblPrEx>
          <w:shd w:val="clear" w:color="auto" w:fill="ced7e7"/>
        </w:tblPrEx>
        <w:trPr>
          <w:trHeight w:val="852"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Generic Assessment Criteria </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14"/>
              <w:bottom w:type="dxa" w:w="80"/>
              <w:right w:type="dxa" w:w="193"/>
            </w:tcMar>
            <w:vAlign w:val="top"/>
          </w:tcPr>
          <w:p>
            <w:pPr>
              <w:pStyle w:val="Body"/>
              <w:ind w:left="34" w:right="113" w:firstLine="0"/>
              <w:jc w:val="center"/>
            </w:pPr>
            <w:r>
              <w:rPr>
                <w:rFonts w:ascii="Arial" w:hAnsi="Arial"/>
                <w:b w:val="1"/>
                <w:bCs w:val="1"/>
                <w:sz w:val="18"/>
                <w:szCs w:val="18"/>
                <w:shd w:val="nil" w:color="auto" w:fill="auto"/>
                <w:rtl w:val="0"/>
                <w:lang w:val="en-US"/>
              </w:rPr>
              <w:t>Marks available</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193"/>
              <w:bottom w:type="dxa" w:w="80"/>
              <w:right w:type="dxa" w:w="193"/>
            </w:tcMar>
            <w:vAlign w:val="center"/>
          </w:tcPr>
          <w:p>
            <w:pPr>
              <w:pStyle w:val="Body"/>
              <w:ind w:left="113" w:right="113" w:firstLine="0"/>
              <w:jc w:val="center"/>
              <w:rPr>
                <w:rFonts w:ascii="Arial" w:cs="Arial" w:hAnsi="Arial" w:eastAsia="Arial"/>
                <w:b w:val="1"/>
                <w:bCs w:val="1"/>
                <w:sz w:val="18"/>
                <w:szCs w:val="18"/>
                <w:shd w:val="nil" w:color="auto" w:fill="auto"/>
              </w:rPr>
            </w:pPr>
            <w:r>
              <w:rPr>
                <w:rFonts w:ascii="Arial" w:hAnsi="Arial"/>
                <w:b w:val="1"/>
                <w:bCs w:val="1"/>
                <w:sz w:val="18"/>
                <w:szCs w:val="18"/>
                <w:shd w:val="nil" w:color="auto" w:fill="auto"/>
                <w:rtl w:val="0"/>
                <w:lang w:val="en-US"/>
              </w:rPr>
              <w:t xml:space="preserve">Marks </w:t>
            </w:r>
          </w:p>
          <w:p>
            <w:pPr>
              <w:pStyle w:val="Body"/>
              <w:bidi w:val="0"/>
              <w:ind w:left="113" w:right="113" w:firstLine="0"/>
              <w:jc w:val="center"/>
              <w:rPr>
                <w:rtl w:val="0"/>
              </w:rPr>
            </w:pPr>
            <w:r>
              <w:rPr>
                <w:rFonts w:ascii="Arial" w:hAnsi="Arial"/>
                <w:b w:val="1"/>
                <w:bCs w:val="1"/>
                <w:sz w:val="18"/>
                <w:szCs w:val="18"/>
                <w:shd w:val="nil" w:color="auto" w:fill="auto"/>
                <w:rtl w:val="0"/>
                <w:lang w:val="en-US"/>
              </w:rPr>
              <w:t>awarded</w:t>
            </w: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rPr>
                <w:rFonts w:ascii="Arial" w:cs="Arial" w:hAnsi="Arial" w:eastAsia="Arial"/>
                <w:b w:val="1"/>
                <w:bCs w:val="1"/>
                <w:sz w:val="16"/>
                <w:szCs w:val="16"/>
                <w:shd w:val="nil" w:color="auto" w:fill="auto"/>
              </w:rPr>
            </w:pPr>
            <w:r>
              <w:rPr>
                <w:rFonts w:ascii="Arial" w:hAnsi="Arial"/>
                <w:b w:val="1"/>
                <w:bCs w:val="1"/>
                <w:sz w:val="20"/>
                <w:szCs w:val="20"/>
                <w:shd w:val="nil" w:color="auto" w:fill="auto"/>
                <w:rtl w:val="0"/>
                <w:lang w:val="en-US"/>
              </w:rPr>
              <w:t>1. Engagement with Literature Skills</w:t>
            </w:r>
          </w:p>
          <w:p>
            <w:pPr>
              <w:pStyle w:val="Body"/>
              <w:bidi w:val="0"/>
              <w:spacing w:after="120"/>
              <w:ind w:left="0" w:right="0" w:firstLine="0"/>
              <w:jc w:val="left"/>
              <w:rPr>
                <w:rtl w:val="0"/>
              </w:rPr>
            </w:pPr>
            <w:r>
              <w:rPr>
                <w:rFonts w:ascii="Arial" w:hAnsi="Arial"/>
                <w:sz w:val="14"/>
                <w:szCs w:val="14"/>
                <w:shd w:val="nil" w:color="auto" w:fill="auto"/>
                <w:rtl w:val="0"/>
                <w:lang w:val="en-US"/>
              </w:rPr>
              <w:t>.</w:t>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hd w:val="nil" w:color="auto" w:fill="auto"/>
                <w:rtl w:val="0"/>
                <w:lang w:val="en-US"/>
              </w:rPr>
              <w:t>2. Knowledge and Understanding Skills</w:t>
            </w:r>
            <w:r>
              <w:rPr>
                <w:rFonts w:ascii="Arial" w:cs="Arial" w:hAnsi="Arial" w:eastAsia="Arial"/>
                <w:b w:val="1"/>
                <w:bCs w:val="1"/>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3. Cognitive and Intellectual Skills</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10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4. Practical Application Skills</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30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806"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365" w:hRule="atLeast"/>
        </w:trPr>
        <w:tc>
          <w:tcPr>
            <w:tcW w:type="dxa" w:w="87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pPr>
            <w:r>
              <w:rPr>
                <w:rFonts w:ascii="Arial" w:hAnsi="Arial"/>
                <w:b w:val="1"/>
                <w:bCs w:val="1"/>
                <w:sz w:val="20"/>
                <w:szCs w:val="20"/>
                <w:shd w:val="nil" w:color="auto" w:fill="auto"/>
                <w:rtl w:val="0"/>
                <w:lang w:val="en-US"/>
              </w:rPr>
              <w:t>5. Transferable Skills for Life and Professional Practice</w:t>
            </w:r>
            <w:r>
              <w:rPr>
                <w:rFonts w:ascii="Arial" w:cs="Arial" w:hAnsi="Arial" w:eastAsia="Arial"/>
                <w:b w:val="1"/>
                <w:bCs w:val="1"/>
                <w:sz w:val="16"/>
                <w:szCs w:val="16"/>
                <w:shd w:val="nil" w:color="auto" w:fill="auto"/>
              </w:rPr>
            </w:r>
          </w:p>
        </w:tc>
        <w:tc>
          <w:tcPr>
            <w:tcW w:type="dxa" w:w="8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pPr>
              <w:pStyle w:val="Body"/>
              <w:jc w:val="center"/>
            </w:pPr>
            <w:r>
              <w:rPr>
                <w:rFonts w:ascii="Arial" w:hAnsi="Arial"/>
                <w:sz w:val="32"/>
                <w:szCs w:val="32"/>
                <w:shd w:val="nil" w:color="auto" w:fill="auto"/>
                <w:rtl w:val="0"/>
                <w:lang w:val="en-US"/>
              </w:rPr>
              <w:t>20</w:t>
            </w:r>
          </w:p>
        </w:tc>
        <w:tc>
          <w:tcPr>
            <w:tcW w:type="dxa" w:w="86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top"/>
          </w:tcPr>
          <w:p/>
        </w:tc>
      </w:tr>
      <w:tr>
        <w:tblPrEx>
          <w:shd w:val="clear" w:color="auto" w:fill="ced7e7"/>
        </w:tblPrEx>
        <w:trPr>
          <w:trHeight w:val="355" w:hRule="atLeast"/>
        </w:trPr>
        <w:tc>
          <w:tcPr>
            <w:tcW w:type="dxa" w:w="870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120"/>
              <w:rPr>
                <w:rFonts w:ascii="Arial" w:cs="Arial" w:hAnsi="Arial" w:eastAsia="Arial"/>
                <w:sz w:val="14"/>
                <w:szCs w:val="14"/>
                <w:shd w:val="nil" w:color="auto" w:fill="auto"/>
                <w:lang w:val="en-US"/>
              </w:rPr>
            </w:pPr>
          </w:p>
          <w:p>
            <w:pPr>
              <w:pStyle w:val="Body"/>
              <w:spacing w:after="120"/>
              <w:rPr>
                <w:rFonts w:ascii="Arial" w:cs="Arial" w:hAnsi="Arial" w:eastAsia="Arial"/>
                <w:sz w:val="14"/>
                <w:szCs w:val="14"/>
                <w:shd w:val="nil" w:color="auto" w:fill="auto"/>
                <w:lang w:val="en-US"/>
              </w:rPr>
            </w:pPr>
          </w:p>
          <w:p>
            <w:pPr>
              <w:pStyle w:val="Body"/>
              <w:spacing w:after="120"/>
            </w:pPr>
            <w:r>
              <w:rPr>
                <w:rFonts w:ascii="Arial" w:cs="Arial" w:hAnsi="Arial" w:eastAsia="Arial"/>
                <w:sz w:val="14"/>
                <w:szCs w:val="14"/>
                <w:shd w:val="nil" w:color="auto" w:fill="auto"/>
                <w:lang w:val="en-US"/>
              </w:rPr>
            </w:r>
          </w:p>
        </w:tc>
        <w:tc>
          <w:tcPr>
            <w:tcW w:type="dxa" w:w="869"/>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tc>
        <w:tc>
          <w:tcPr>
            <w:tcW w:type="dxa" w:w="86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355" w:hRule="atLeast"/>
        </w:trPr>
        <w:tc>
          <w:tcPr>
            <w:tcW w:type="dxa" w:w="870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69"/>
            <w:tcBorders>
              <w:top w:val="nil"/>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widowControl w:val="0"/>
        <w:rPr>
          <w:rFonts w:ascii="Arial" w:cs="Arial" w:hAnsi="Arial" w:eastAsia="Arial"/>
          <w:b w:val="1"/>
          <w:bCs w:val="1"/>
          <w:sz w:val="22"/>
          <w:szCs w:val="22"/>
        </w:rPr>
      </w:pPr>
    </w:p>
    <w:p>
      <w:pPr>
        <w:pStyle w:val="Body"/>
        <w:ind w:right="531"/>
        <w:rPr>
          <w:rFonts w:ascii="Arial" w:cs="Arial" w:hAnsi="Arial" w:eastAsia="Arial"/>
          <w:b w:val="1"/>
          <w:bCs w:val="1"/>
          <w:sz w:val="16"/>
          <w:szCs w:val="16"/>
        </w:rPr>
      </w:pPr>
    </w:p>
    <w:tbl>
      <w:tblPr>
        <w:tblW w:w="1066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062"/>
        <w:gridCol w:w="2903"/>
        <w:gridCol w:w="641"/>
        <w:gridCol w:w="1060"/>
      </w:tblGrid>
      <w:tr>
        <w:tblPrEx>
          <w:shd w:val="clear" w:color="auto" w:fill="ced7e7"/>
        </w:tblPrEx>
        <w:trPr>
          <w:trHeight w:val="365" w:hRule="atLeast"/>
        </w:trPr>
        <w:tc>
          <w:tcPr>
            <w:tcW w:type="dxa" w:w="606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Assessment Mark </w:t>
            </w:r>
            <w:r>
              <w:rPr>
                <w:rFonts w:ascii="Arial" w:hAnsi="Arial"/>
                <w:sz w:val="22"/>
                <w:szCs w:val="22"/>
                <w:shd w:val="nil" w:color="auto" w:fill="auto"/>
                <w:rtl w:val="0"/>
                <w:lang w:val="en-US"/>
              </w:rPr>
              <w:t>(</w:t>
            </w:r>
            <w:r>
              <w:rPr>
                <w:rFonts w:ascii="Arial" w:hAnsi="Arial"/>
                <w:sz w:val="16"/>
                <w:szCs w:val="16"/>
                <w:shd w:val="nil" w:color="auto" w:fill="auto"/>
                <w:rtl w:val="0"/>
                <w:lang w:val="en-US"/>
              </w:rPr>
              <w:t>Assessment marks are subject to ratification at the Exam Board.  These comments and marks are to give feedback on module work and are for guidance only until they are confirmed. )</w:t>
            </w:r>
          </w:p>
        </w:tc>
        <w:tc>
          <w:tcPr>
            <w:tcW w:type="dxa" w:w="354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Mar>
              <w:top w:type="dxa" w:w="80"/>
              <w:left w:type="dxa" w:w="80"/>
              <w:bottom w:type="dxa" w:w="80"/>
              <w:right w:type="dxa" w:w="80"/>
            </w:tcMar>
            <w:vAlign w:val="bottom"/>
          </w:tcPr>
          <w:p>
            <w:pPr>
              <w:pStyle w:val="Body"/>
            </w:pPr>
            <w:r>
              <w:rPr>
                <w:rFonts w:ascii="Arial" w:hAnsi="Arial"/>
                <w:b w:val="1"/>
                <w:bCs w:val="1"/>
                <w:sz w:val="16"/>
                <w:szCs w:val="16"/>
                <w:shd w:val="nil" w:color="auto" w:fill="auto"/>
                <w:rtl w:val="0"/>
                <w:lang w:val="en-US"/>
              </w:rPr>
              <w:t>Late Submission Penalties (tick if appropriate)</w:t>
            </w:r>
          </w:p>
        </w:tc>
        <w:tc>
          <w:tcPr>
            <w:tcW w:type="dxa" w:w="10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right"/>
            </w:pPr>
            <w:r>
              <w:rPr>
                <w:rFonts w:ascii="Arial" w:hAnsi="Arial"/>
                <w:b w:val="1"/>
                <w:bCs w:val="1"/>
                <w:shd w:val="nil" w:color="auto" w:fill="auto"/>
                <w:rtl w:val="0"/>
                <w:lang w:val="en-US"/>
              </w:rPr>
              <w:t>%</w:t>
            </w:r>
          </w:p>
        </w:tc>
      </w:tr>
      <w:tr>
        <w:tblPrEx>
          <w:shd w:val="clear" w:color="auto" w:fill="ced7e7"/>
        </w:tblPrEx>
        <w:trPr>
          <w:trHeight w:val="185"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w:hAnsi="Arial"/>
                <w:b w:val="0"/>
                <w:bCs w:val="0"/>
                <w:sz w:val="16"/>
                <w:szCs w:val="16"/>
                <w:shd w:val="nil" w:color="auto" w:fill="auto"/>
                <w:rtl w:val="0"/>
                <w:lang w:val="en-US"/>
              </w:rPr>
              <w:t>Up to 1 week late (</w:t>
            </w:r>
            <w:r>
              <w:rPr>
                <w:rFonts w:ascii="Arial" w:hAnsi="Arial"/>
                <w:b w:val="0"/>
                <w:bCs w:val="0"/>
                <w:sz w:val="12"/>
                <w:szCs w:val="12"/>
                <w:shd w:val="nil" w:color="auto" w:fill="auto"/>
                <w:rtl w:val="0"/>
                <w:lang w:val="en-US"/>
              </w:rPr>
              <w:t>40% Max)</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r>
        <w:tblPrEx>
          <w:shd w:val="clear" w:color="auto" w:fill="ced7e7"/>
        </w:tblPrEx>
        <w:trPr>
          <w:trHeight w:val="185" w:hRule="atLeast"/>
        </w:trPr>
        <w:tc>
          <w:tcPr>
            <w:tcW w:type="dxa" w:w="606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8d8d8"/>
          </w:tcPr>
          <w:p/>
        </w:tc>
        <w:tc>
          <w:tcPr>
            <w:tcW w:type="dxa" w:w="29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rFonts w:ascii="Arial" w:hAnsi="Arial"/>
                <w:b w:val="0"/>
                <w:bCs w:val="0"/>
                <w:sz w:val="16"/>
                <w:szCs w:val="16"/>
                <w:shd w:val="nil" w:color="auto" w:fill="auto"/>
                <w:rtl w:val="0"/>
                <w:lang w:val="en-US"/>
              </w:rPr>
              <w:t>Over 1 week late (</w:t>
            </w:r>
            <w:r>
              <w:rPr>
                <w:rFonts w:ascii="Arial" w:hAnsi="Arial"/>
                <w:b w:val="0"/>
                <w:bCs w:val="0"/>
                <w:sz w:val="12"/>
                <w:szCs w:val="12"/>
                <w:shd w:val="nil" w:color="auto" w:fill="auto"/>
                <w:rtl w:val="0"/>
                <w:lang w:val="en-US"/>
              </w:rPr>
              <w:t>0%)</w:t>
            </w:r>
          </w:p>
        </w:tc>
        <w:tc>
          <w:tcPr>
            <w:tcW w:type="dxa" w:w="64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tc>
        <w:tc>
          <w:tcPr>
            <w:tcW w:type="dxa" w:w="10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w:pPr>
    </w:p>
    <w:sectPr>
      <w:type w:val="continuous"/>
      <w:pgSz w:w="11900" w:h="16840" w:orient="portrait"/>
      <w:pgMar w:top="720" w:right="720" w:bottom="720" w:left="720" w:header="706"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mbria">
    <w:charset w:val="00"/>
    <w:family w:val="roman"/>
    <w:pitch w:val="default"/>
  </w:font>
  <w:font w:name="CG Times (W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lang w:val="en-US"/>
      </w:rPr>
      <w:t xml:space="preserve">Page </w:t>
    </w:r>
    <w:r>
      <w:rPr>
        <w:b w:val="1"/>
        <w:bCs w:val="1"/>
        <w:rtl w:val="0"/>
      </w:rPr>
      <w:fldChar w:fldCharType="begin" w:fldLock="0"/>
    </w:r>
    <w:r>
      <w:rPr>
        <w:b w:val="1"/>
        <w:bCs w:val="1"/>
        <w:rtl w:val="0"/>
      </w:rPr>
      <w:instrText xml:space="preserve"> PAGE </w:instrText>
    </w:r>
    <w:r>
      <w:rPr>
        <w:b w:val="1"/>
        <w:bCs w:val="1"/>
        <w:rtl w:val="0"/>
      </w:rPr>
      <w:fldChar w:fldCharType="separate" w:fldLock="0"/>
    </w:r>
    <w:r>
      <w:rPr>
        <w:b w:val="1"/>
        <w:bCs w:val="1"/>
        <w:rtl w:val="0"/>
      </w:rPr>
    </w:r>
    <w:r>
      <w:rPr>
        <w:b w:val="1"/>
        <w:bCs w:val="1"/>
        <w:rtl w:val="0"/>
      </w:rPr>
      <w:fldChar w:fldCharType="end" w:fldLock="0"/>
    </w:r>
    <w:r>
      <w:rPr>
        <w:rtl w:val="0"/>
        <w:lang w:val="en-US"/>
      </w:rPr>
      <w:t xml:space="preserve"> of </w:t>
    </w:r>
    <w:r>
      <w:rPr>
        <w:b w:val="1"/>
        <w:bCs w:val="1"/>
        <w:rtl w:val="0"/>
      </w:rPr>
      <w:fldChar w:fldCharType="begin" w:fldLock="0"/>
    </w:r>
    <w:r>
      <w:rPr>
        <w:b w:val="1"/>
        <w:bCs w:val="1"/>
        <w:rtl w:val="0"/>
      </w:rPr>
      <w:instrText xml:space="preserve"> NUMPAGES </w:instrText>
    </w:r>
    <w:r>
      <w:rPr>
        <w:b w:val="1"/>
        <w:bCs w:val="1"/>
        <w:rtl w:val="0"/>
      </w:rPr>
      <w:fldChar w:fldCharType="separate" w:fldLock="0"/>
    </w:r>
    <w:r>
      <w:rPr>
        <w:b w:val="1"/>
        <w:bCs w:val="1"/>
        <w:rtl w:val="0"/>
      </w:rPr>
    </w:r>
    <w:r>
      <w:rPr>
        <w:b w:val="1"/>
        <w:bCs w:val="1"/>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header">
    <w:name w:val="header"/>
    <w:next w:val="header"/>
    <w:pPr>
      <w:keepNext w:val="0"/>
      <w:keepLines w:val="0"/>
      <w:pageBreakBefore w:val="0"/>
      <w:widowControl w:val="1"/>
      <w:shd w:val="clear" w:color="auto" w:fill="auto"/>
      <w:tabs>
        <w:tab w:val="center" w:pos="4153"/>
        <w:tab w:val="right" w:pos="830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noFill/>
      </w14:textOutline>
      <w14:textFill>
        <w14:solidFill>
          <w14:srgbClr w14:val="000000"/>
        </w14:solidFill>
      </w14:textFill>
    </w:rPr>
  </w:style>
  <w:style w:type="paragraph" w:styleId="heading 4">
    <w:name w:val="heading 4"/>
    <w:next w:val="Body"/>
    <w:pPr>
      <w:keepNext w:val="1"/>
      <w:keepLines w:val="0"/>
      <w:pageBreakBefore w:val="0"/>
      <w:widowControl w:val="1"/>
      <w:shd w:val="clear" w:color="auto" w:fill="auto"/>
      <w:suppressAutoHyphens w:val="0"/>
      <w:bidi w:val="0"/>
      <w:spacing w:before="120" w:after="120" w:line="240" w:lineRule="auto"/>
      <w:ind w:left="0" w:right="0" w:firstLine="0"/>
      <w:jc w:val="center"/>
      <w:outlineLvl w:val="2"/>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lang w:val="en-US"/>
      <w14:textFill>
        <w14:solidFill>
          <w14:srgbClr w14:val="000000"/>
        </w14:solidFill>
      </w14:textFill>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both"/>
      <w:outlineLvl w:val="1"/>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paragraph" w:styleId="Body Text1">
    <w:name w:val="Body Text1"/>
    <w:next w:val="Body Text1"/>
    <w:pPr>
      <w:keepNext w:val="0"/>
      <w:keepLines w:val="0"/>
      <w:pageBreakBefore w:val="0"/>
      <w:widowControl w:val="1"/>
      <w:shd w:val="clear" w:color="auto" w:fill="auto"/>
      <w:tabs>
        <w:tab w:val="left" w:pos="720"/>
        <w:tab w:val="left" w:pos="1440"/>
      </w:tabs>
      <w:suppressAutoHyphens w:val="0"/>
      <w:bidi w:val="0"/>
      <w:spacing w:before="0" w:after="0" w:line="240" w:lineRule="auto"/>
      <w:ind w:left="0" w:right="0" w:firstLine="0"/>
      <w:jc w:val="left"/>
      <w:outlineLvl w:val="9"/>
    </w:pPr>
    <w:rPr>
      <w:rFonts w:ascii="CG Times (WN)" w:cs="CG Times (WN)" w:hAnsi="CG Times (WN)" w:eastAsia="CG Times (W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