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36F195" w14:textId="77777777" w:rsidR="007C5090" w:rsidRDefault="007C5090" w:rsidP="00F73ABF">
      <w:pPr>
        <w:spacing w:after="160" w:line="278" w:lineRule="auto"/>
        <w:rPr>
          <w:rFonts w:eastAsiaTheme="minorEastAsia"/>
          <w:lang w:val="en-US"/>
        </w:rPr>
      </w:pPr>
      <w:r>
        <w:rPr>
          <w:rFonts w:eastAsiaTheme="minorEastAsia"/>
          <w:noProof/>
          <w:lang w:val="en-US"/>
          <w14:ligatures w14:val="standardContextual"/>
        </w:rPr>
        <w:drawing>
          <wp:inline distT="0" distB="0" distL="0" distR="0" wp14:anchorId="5F0241E4" wp14:editId="74A6B4C5">
            <wp:extent cx="2247900" cy="901700"/>
            <wp:effectExtent l="0" t="0" r="0" b="0"/>
            <wp:docPr id="1962377121" name="Picture 9"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377121" name="Picture 9" descr="A close-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247900" cy="901700"/>
                    </a:xfrm>
                    <a:prstGeom prst="rect">
                      <a:avLst/>
                    </a:prstGeom>
                  </pic:spPr>
                </pic:pic>
              </a:graphicData>
            </a:graphic>
          </wp:inline>
        </w:drawing>
      </w:r>
    </w:p>
    <w:p w14:paraId="44DEB293" w14:textId="77777777" w:rsidR="007C5090" w:rsidRDefault="007C5090" w:rsidP="00F73ABF">
      <w:pPr>
        <w:spacing w:after="160" w:line="360" w:lineRule="auto"/>
        <w:rPr>
          <w:rFonts w:ascii="Arial" w:eastAsiaTheme="minorEastAsia" w:hAnsi="Arial" w:cs="Arial"/>
          <w:sz w:val="22"/>
          <w:szCs w:val="22"/>
          <w:lang w:val="en-US"/>
        </w:rPr>
      </w:pPr>
      <w:proofErr w:type="spellStart"/>
      <w:r>
        <w:rPr>
          <w:rFonts w:ascii="Arial" w:eastAsiaTheme="minorEastAsia" w:hAnsi="Arial" w:cs="Arial"/>
          <w:sz w:val="22"/>
          <w:szCs w:val="22"/>
          <w:lang w:val="en-US"/>
        </w:rPr>
        <w:t>Programme</w:t>
      </w:r>
      <w:proofErr w:type="spellEnd"/>
      <w:r>
        <w:rPr>
          <w:rFonts w:ascii="Arial" w:eastAsiaTheme="minorEastAsia" w:hAnsi="Arial" w:cs="Arial"/>
          <w:sz w:val="22"/>
          <w:szCs w:val="22"/>
          <w:lang w:val="en-US"/>
        </w:rPr>
        <w:t xml:space="preserve">: </w:t>
      </w:r>
      <w:r w:rsidRPr="00D56A6E">
        <w:rPr>
          <w:rFonts w:ascii="Arial" w:eastAsiaTheme="minorEastAsia" w:hAnsi="Arial" w:cs="Arial"/>
          <w:b/>
          <w:bCs/>
          <w:sz w:val="22"/>
          <w:szCs w:val="22"/>
          <w:lang w:val="en-US"/>
        </w:rPr>
        <w:t xml:space="preserve">MBA- </w:t>
      </w:r>
      <w:proofErr w:type="gramStart"/>
      <w:r w:rsidRPr="00D56A6E">
        <w:rPr>
          <w:rFonts w:ascii="Arial" w:eastAsiaTheme="minorEastAsia" w:hAnsi="Arial" w:cs="Arial"/>
          <w:b/>
          <w:bCs/>
          <w:sz w:val="22"/>
          <w:szCs w:val="22"/>
          <w:lang w:val="en-US"/>
        </w:rPr>
        <w:t>Masters of Business Administration</w:t>
      </w:r>
      <w:proofErr w:type="gramEnd"/>
      <w:r>
        <w:rPr>
          <w:rFonts w:ascii="Arial" w:eastAsiaTheme="minorEastAsia" w:hAnsi="Arial" w:cs="Arial"/>
          <w:sz w:val="22"/>
          <w:szCs w:val="22"/>
          <w:lang w:val="en-US"/>
        </w:rPr>
        <w:t xml:space="preserve">  </w:t>
      </w:r>
      <w:r>
        <w:rPr>
          <w:rFonts w:ascii="Arial" w:eastAsiaTheme="minorEastAsia" w:hAnsi="Arial" w:cs="Arial"/>
          <w:sz w:val="22"/>
          <w:szCs w:val="22"/>
          <w:lang w:val="en-US"/>
        </w:rPr>
        <w:tab/>
      </w:r>
    </w:p>
    <w:p w14:paraId="2E759C40" w14:textId="692C7156" w:rsidR="007C5090" w:rsidRPr="0062018F" w:rsidRDefault="007C5090" w:rsidP="00F73ABF">
      <w:pPr>
        <w:spacing w:after="160" w:line="360" w:lineRule="auto"/>
        <w:rPr>
          <w:rFonts w:ascii="Arial" w:eastAsiaTheme="minorEastAsia" w:hAnsi="Arial" w:cs="Arial"/>
          <w:sz w:val="22"/>
          <w:szCs w:val="22"/>
          <w:lang w:val="en-US"/>
        </w:rPr>
      </w:pPr>
      <w:r w:rsidRPr="004F2757">
        <w:rPr>
          <w:rFonts w:ascii="Arial" w:eastAsiaTheme="minorEastAsia" w:hAnsi="Arial" w:cs="Arial"/>
          <w:sz w:val="22"/>
          <w:szCs w:val="22"/>
          <w:lang w:val="en-US"/>
        </w:rPr>
        <w:t xml:space="preserve">Module: </w:t>
      </w:r>
      <w:r>
        <w:rPr>
          <w:rFonts w:ascii="Arial" w:eastAsiaTheme="minorEastAsia" w:hAnsi="Arial" w:cs="Arial"/>
          <w:b/>
          <w:bCs/>
          <w:sz w:val="22"/>
          <w:szCs w:val="22"/>
          <w:lang w:val="en-US"/>
        </w:rPr>
        <w:t xml:space="preserve">Corporate Finance </w:t>
      </w:r>
    </w:p>
    <w:p w14:paraId="70F81DD6" w14:textId="4277833A" w:rsidR="007C5090" w:rsidRPr="004F2757" w:rsidRDefault="007C5090" w:rsidP="00F73ABF">
      <w:pPr>
        <w:spacing w:after="160" w:line="360" w:lineRule="auto"/>
        <w:rPr>
          <w:rFonts w:ascii="Arial" w:hAnsi="Arial" w:cs="Arial"/>
          <w:sz w:val="22"/>
          <w:szCs w:val="22"/>
        </w:rPr>
      </w:pPr>
      <w:r w:rsidRPr="004F2757">
        <w:rPr>
          <w:rFonts w:ascii="Arial" w:eastAsiaTheme="minorEastAsia" w:hAnsi="Arial" w:cs="Arial"/>
          <w:sz w:val="22"/>
          <w:szCs w:val="22"/>
          <w:lang w:val="en-US"/>
        </w:rPr>
        <w:t xml:space="preserve">Module code: </w:t>
      </w:r>
      <w:r w:rsidRPr="007C5090">
        <w:rPr>
          <w:rFonts w:ascii="Arial" w:eastAsiaTheme="minorEastAsia" w:hAnsi="Arial" w:cs="Arial"/>
          <w:b/>
          <w:bCs/>
          <w:sz w:val="22"/>
          <w:szCs w:val="22"/>
          <w:lang w:val="en-US"/>
        </w:rPr>
        <w:t>LCMB7005</w:t>
      </w:r>
    </w:p>
    <w:p w14:paraId="799D8BBB" w14:textId="6CF97A0B" w:rsidR="007C5090" w:rsidRPr="004F2757" w:rsidRDefault="007C5090" w:rsidP="00F73ABF">
      <w:pPr>
        <w:spacing w:after="160" w:line="360" w:lineRule="auto"/>
        <w:rPr>
          <w:rFonts w:ascii="Arial" w:hAnsi="Arial" w:cs="Arial"/>
          <w:sz w:val="22"/>
          <w:szCs w:val="22"/>
        </w:rPr>
      </w:pPr>
      <w:r w:rsidRPr="004F2757">
        <w:rPr>
          <w:rFonts w:ascii="Arial" w:eastAsiaTheme="minorEastAsia" w:hAnsi="Arial" w:cs="Arial"/>
          <w:sz w:val="22"/>
          <w:szCs w:val="22"/>
          <w:lang w:val="en-US"/>
        </w:rPr>
        <w:t xml:space="preserve">Lecturer: </w:t>
      </w:r>
      <w:r w:rsidRPr="007C5090">
        <w:rPr>
          <w:rFonts w:ascii="Arial" w:eastAsiaTheme="minorEastAsia" w:hAnsi="Arial" w:cs="Arial"/>
          <w:b/>
          <w:bCs/>
          <w:sz w:val="22"/>
          <w:szCs w:val="22"/>
          <w:lang w:val="en-US"/>
        </w:rPr>
        <w:t>Jia Miao</w:t>
      </w:r>
      <w:r>
        <w:rPr>
          <w:rFonts w:ascii="Arial" w:eastAsiaTheme="minorEastAsia" w:hAnsi="Arial" w:cs="Arial"/>
          <w:sz w:val="22"/>
          <w:szCs w:val="22"/>
          <w:lang w:val="en-US"/>
        </w:rPr>
        <w:t xml:space="preserve"> </w:t>
      </w:r>
    </w:p>
    <w:p w14:paraId="2C0681D7" w14:textId="77777777" w:rsidR="007C5090" w:rsidRDefault="007C5090" w:rsidP="00F73ABF">
      <w:pPr>
        <w:spacing w:line="360" w:lineRule="auto"/>
        <w:rPr>
          <w:rFonts w:ascii="Arial" w:eastAsiaTheme="minorEastAsia" w:hAnsi="Arial" w:cs="Arial"/>
          <w:sz w:val="22"/>
          <w:szCs w:val="22"/>
          <w:lang w:val="en-US"/>
        </w:rPr>
      </w:pPr>
      <w:r w:rsidRPr="004F2757">
        <w:rPr>
          <w:rFonts w:ascii="Arial" w:eastAsiaTheme="minorEastAsia" w:hAnsi="Arial" w:cs="Arial"/>
          <w:sz w:val="22"/>
          <w:szCs w:val="22"/>
          <w:lang w:val="en-US"/>
        </w:rPr>
        <w:t xml:space="preserve">Assignment title: </w:t>
      </w:r>
      <w:r w:rsidRPr="007C5090">
        <w:rPr>
          <w:rFonts w:ascii="Arial" w:eastAsiaTheme="minorEastAsia" w:hAnsi="Arial" w:cs="Arial"/>
          <w:b/>
          <w:bCs/>
          <w:sz w:val="22"/>
          <w:szCs w:val="22"/>
          <w:lang w:val="en-US"/>
        </w:rPr>
        <w:t>Financial Management</w:t>
      </w:r>
      <w:r>
        <w:rPr>
          <w:rFonts w:ascii="Arial" w:eastAsiaTheme="minorEastAsia" w:hAnsi="Arial" w:cs="Arial"/>
          <w:sz w:val="22"/>
          <w:szCs w:val="22"/>
          <w:lang w:val="en-US"/>
        </w:rPr>
        <w:t xml:space="preserve"> </w:t>
      </w:r>
    </w:p>
    <w:p w14:paraId="10AFE728" w14:textId="77777777" w:rsidR="007C5090" w:rsidRPr="002A0ED6" w:rsidRDefault="007C5090" w:rsidP="00F73ABF">
      <w:pPr>
        <w:spacing w:line="360" w:lineRule="auto"/>
        <w:rPr>
          <w:rFonts w:ascii="Arial" w:hAnsi="Arial" w:cs="Arial"/>
          <w:sz w:val="22"/>
          <w:szCs w:val="22"/>
          <w:lang w:val="en-US"/>
        </w:rPr>
      </w:pPr>
    </w:p>
    <w:p w14:paraId="47439909" w14:textId="77777777" w:rsidR="007C5090" w:rsidRPr="00D157A2" w:rsidRDefault="007C5090" w:rsidP="00F73ABF">
      <w:pPr>
        <w:spacing w:after="160" w:line="360" w:lineRule="auto"/>
        <w:rPr>
          <w:rFonts w:ascii="Arial" w:hAnsi="Arial" w:cs="Arial"/>
          <w:b/>
          <w:bCs/>
          <w:sz w:val="32"/>
          <w:szCs w:val="32"/>
        </w:rPr>
      </w:pPr>
      <w:r w:rsidRPr="007C5090">
        <w:rPr>
          <w:rFonts w:ascii="Arial" w:eastAsiaTheme="minorEastAsia" w:hAnsi="Arial" w:cs="Arial"/>
          <w:sz w:val="32"/>
          <w:szCs w:val="32"/>
          <w:lang w:val="en-US"/>
        </w:rPr>
        <w:t>Student:</w:t>
      </w:r>
      <w:r w:rsidRPr="00D157A2">
        <w:rPr>
          <w:rFonts w:ascii="Arial" w:eastAsiaTheme="minorEastAsia" w:hAnsi="Arial" w:cs="Arial"/>
          <w:b/>
          <w:bCs/>
          <w:sz w:val="32"/>
          <w:szCs w:val="32"/>
          <w:lang w:val="en-US"/>
        </w:rPr>
        <w:t xml:space="preserve"> Marie </w:t>
      </w:r>
      <w:proofErr w:type="spellStart"/>
      <w:r w:rsidRPr="00D157A2">
        <w:rPr>
          <w:rFonts w:ascii="Arial" w:eastAsiaTheme="minorEastAsia" w:hAnsi="Arial" w:cs="Arial"/>
          <w:b/>
          <w:bCs/>
          <w:sz w:val="32"/>
          <w:szCs w:val="32"/>
          <w:lang w:val="en-US"/>
        </w:rPr>
        <w:t>Jandova</w:t>
      </w:r>
      <w:proofErr w:type="spellEnd"/>
    </w:p>
    <w:p w14:paraId="0752CE42" w14:textId="77777777" w:rsidR="007C5090" w:rsidRDefault="007C5090" w:rsidP="00F73ABF">
      <w:pPr>
        <w:spacing w:line="360" w:lineRule="auto"/>
        <w:rPr>
          <w:rFonts w:ascii="Arial" w:eastAsiaTheme="minorEastAsia" w:hAnsi="Arial" w:cs="Arial"/>
          <w:b/>
          <w:bCs/>
          <w:sz w:val="32"/>
          <w:szCs w:val="32"/>
          <w:lang w:val="en-US"/>
        </w:rPr>
      </w:pPr>
      <w:r w:rsidRPr="007C5090">
        <w:rPr>
          <w:rFonts w:ascii="Arial" w:eastAsiaTheme="minorEastAsia" w:hAnsi="Arial" w:cs="Arial"/>
          <w:sz w:val="32"/>
          <w:szCs w:val="32"/>
          <w:lang w:val="en-US"/>
        </w:rPr>
        <w:t>Student number:</w:t>
      </w:r>
      <w:r w:rsidRPr="00D157A2">
        <w:rPr>
          <w:rFonts w:ascii="Arial" w:eastAsiaTheme="minorEastAsia" w:hAnsi="Arial" w:cs="Arial"/>
          <w:b/>
          <w:bCs/>
          <w:sz w:val="32"/>
          <w:szCs w:val="32"/>
          <w:lang w:val="en-US"/>
        </w:rPr>
        <w:t xml:space="preserve"> 2020984</w:t>
      </w:r>
    </w:p>
    <w:p w14:paraId="7F0A4C16" w14:textId="77777777" w:rsidR="00F73ABF" w:rsidRDefault="00F73ABF" w:rsidP="00F73ABF">
      <w:pPr>
        <w:spacing w:line="360" w:lineRule="auto"/>
        <w:rPr>
          <w:rFonts w:ascii="Arial" w:eastAsiaTheme="minorEastAsia" w:hAnsi="Arial" w:cs="Arial"/>
          <w:b/>
          <w:bCs/>
          <w:sz w:val="32"/>
          <w:szCs w:val="32"/>
          <w:lang w:val="en-US"/>
        </w:rPr>
      </w:pPr>
    </w:p>
    <w:p w14:paraId="678DE283" w14:textId="77777777" w:rsidR="00F73ABF" w:rsidRDefault="00F73ABF" w:rsidP="00F73ABF">
      <w:pPr>
        <w:spacing w:line="360" w:lineRule="auto"/>
        <w:rPr>
          <w:rFonts w:ascii="Arial" w:eastAsiaTheme="minorEastAsia" w:hAnsi="Arial" w:cs="Arial"/>
          <w:b/>
          <w:bCs/>
          <w:sz w:val="32"/>
          <w:szCs w:val="32"/>
          <w:lang w:val="en-US"/>
        </w:rPr>
      </w:pPr>
    </w:p>
    <w:p w14:paraId="469BA53F" w14:textId="01D93723" w:rsidR="007C5090" w:rsidRDefault="007C5090" w:rsidP="00F73ABF">
      <w:pPr>
        <w:spacing w:line="360" w:lineRule="auto"/>
        <w:rPr>
          <w:rFonts w:ascii="Arial" w:eastAsiaTheme="minorEastAsia" w:hAnsi="Arial" w:cs="Arial"/>
          <w:b/>
          <w:bCs/>
          <w:sz w:val="32"/>
          <w:szCs w:val="32"/>
          <w:lang w:val="en-US"/>
        </w:rPr>
      </w:pPr>
      <w:r>
        <w:rPr>
          <w:rFonts w:ascii="Arial" w:eastAsiaTheme="minorEastAsia" w:hAnsi="Arial" w:cs="Arial"/>
          <w:b/>
          <w:bCs/>
          <w:sz w:val="32"/>
          <w:szCs w:val="32"/>
          <w:lang w:val="en-US"/>
        </w:rPr>
        <w:t xml:space="preserve">Corporate Finance Report on Tesco </w:t>
      </w:r>
      <w:r w:rsidR="00791D1B">
        <w:rPr>
          <w:rFonts w:ascii="Arial" w:eastAsiaTheme="minorEastAsia" w:hAnsi="Arial" w:cs="Arial"/>
          <w:b/>
          <w:bCs/>
          <w:sz w:val="32"/>
          <w:szCs w:val="32"/>
          <w:lang w:val="en-US"/>
        </w:rPr>
        <w:t>PLC</w:t>
      </w:r>
    </w:p>
    <w:p w14:paraId="27BE1630" w14:textId="15F39182" w:rsidR="007F16DD" w:rsidRDefault="00F73ABF" w:rsidP="00791D1B">
      <w:pPr>
        <w:pStyle w:val="NormalWeb"/>
        <w:rPr>
          <w:rFonts w:ascii="Arial" w:hAnsi="Arial" w:cs="Arial"/>
          <w:b/>
          <w:bCs/>
          <w:sz w:val="22"/>
          <w:szCs w:val="22"/>
        </w:rPr>
      </w:pPr>
      <w:r>
        <w:rPr>
          <w:rFonts w:ascii="Arial" w:hAnsi="Arial" w:cs="Arial"/>
          <w:b/>
          <w:bCs/>
          <w:sz w:val="22"/>
          <w:szCs w:val="22"/>
        </w:rPr>
        <w:t xml:space="preserve">Executive Summary </w:t>
      </w:r>
    </w:p>
    <w:p w14:paraId="764A1C1E" w14:textId="0CC20E22" w:rsidR="00F73ABF" w:rsidRPr="00F73ABF" w:rsidRDefault="00F73ABF" w:rsidP="00F73ABF">
      <w:pPr>
        <w:pStyle w:val="NormalWeb"/>
        <w:spacing w:line="360" w:lineRule="auto"/>
        <w:rPr>
          <w:rFonts w:ascii="Arial" w:hAnsi="Arial" w:cs="Arial"/>
          <w:sz w:val="22"/>
          <w:szCs w:val="22"/>
        </w:rPr>
      </w:pPr>
      <w:r w:rsidRPr="00F73ABF">
        <w:rPr>
          <w:rFonts w:ascii="Arial" w:hAnsi="Arial" w:cs="Arial"/>
          <w:sz w:val="22"/>
          <w:szCs w:val="22"/>
        </w:rPr>
        <w:t xml:space="preserve">This report critically evaluates Tesco plc's strategic investment activities and financial performance over the past five years. It highlights Tesco's significant investments in digital transformation, sustainability, and market consolidation, which have been crucial in navigating the challenges posed by the COVID-19 pandemic and </w:t>
      </w:r>
      <w:r>
        <w:rPr>
          <w:rFonts w:ascii="Arial" w:hAnsi="Arial" w:cs="Arial"/>
          <w:sz w:val="22"/>
          <w:szCs w:val="22"/>
        </w:rPr>
        <w:t>changing</w:t>
      </w:r>
      <w:r w:rsidRPr="00F73ABF">
        <w:rPr>
          <w:rFonts w:ascii="Arial" w:hAnsi="Arial" w:cs="Arial"/>
          <w:sz w:val="22"/>
          <w:szCs w:val="22"/>
        </w:rPr>
        <w:t xml:space="preserve"> consumer preferences. The report also examines Tesco's dividend payouts during this period, reflecting a balanced approach between rewarding shareholders and maintaining financial health. The analysis concludes that Tesco's strategic investments have positioned it well for future growth, though continuous adaptation will be necessary to sustain its market leadership.</w:t>
      </w:r>
    </w:p>
    <w:p w14:paraId="019B135F" w14:textId="77777777" w:rsidR="00F73ABF" w:rsidRDefault="00F73ABF" w:rsidP="00791D1B">
      <w:pPr>
        <w:pStyle w:val="NormalWeb"/>
        <w:rPr>
          <w:rFonts w:ascii="Arial" w:hAnsi="Arial" w:cs="Arial"/>
          <w:b/>
          <w:bCs/>
          <w:sz w:val="22"/>
          <w:szCs w:val="22"/>
        </w:rPr>
      </w:pPr>
    </w:p>
    <w:p w14:paraId="5D7E3944" w14:textId="77777777" w:rsidR="00F73ABF" w:rsidRDefault="00F73ABF" w:rsidP="00791D1B">
      <w:pPr>
        <w:pStyle w:val="NormalWeb"/>
        <w:rPr>
          <w:rFonts w:ascii="Arial" w:hAnsi="Arial" w:cs="Arial"/>
          <w:b/>
          <w:bCs/>
          <w:sz w:val="22"/>
          <w:szCs w:val="22"/>
        </w:rPr>
      </w:pPr>
    </w:p>
    <w:p w14:paraId="00A890FB" w14:textId="77777777" w:rsidR="00F73ABF" w:rsidRDefault="00F73ABF" w:rsidP="00791D1B">
      <w:pPr>
        <w:pStyle w:val="NormalWeb"/>
        <w:rPr>
          <w:rFonts w:ascii="Arial" w:hAnsi="Arial" w:cs="Arial"/>
          <w:b/>
          <w:bCs/>
          <w:sz w:val="22"/>
          <w:szCs w:val="22"/>
        </w:rPr>
      </w:pPr>
    </w:p>
    <w:p w14:paraId="500DCCF6" w14:textId="77777777" w:rsidR="00F73ABF" w:rsidRDefault="00F73ABF" w:rsidP="00791D1B">
      <w:pPr>
        <w:pStyle w:val="NormalWeb"/>
        <w:rPr>
          <w:rFonts w:ascii="Arial" w:hAnsi="Arial" w:cs="Arial"/>
          <w:b/>
          <w:bCs/>
          <w:sz w:val="22"/>
          <w:szCs w:val="22"/>
        </w:rPr>
      </w:pPr>
    </w:p>
    <w:sdt>
      <w:sdtPr>
        <w:id w:val="-1264445924"/>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6861E030" w14:textId="185A4690" w:rsidR="00F73ABF" w:rsidRDefault="00F73ABF">
          <w:pPr>
            <w:pStyle w:val="TOCHeading"/>
          </w:pPr>
          <w:r>
            <w:t>Table of Contents</w:t>
          </w:r>
        </w:p>
        <w:p w14:paraId="5E1070E2" w14:textId="1007CB41" w:rsidR="00F73ABF" w:rsidRDefault="00F73ABF">
          <w:pPr>
            <w:pStyle w:val="TOC1"/>
            <w:tabs>
              <w:tab w:val="right" w:leader="dot" w:pos="9016"/>
            </w:tabs>
            <w:rPr>
              <w:rFonts w:eastAsiaTheme="minorEastAsia" w:cstheme="minorBidi"/>
              <w:b w:val="0"/>
              <w:bCs w:val="0"/>
              <w:caps w:val="0"/>
              <w:noProof/>
              <w:kern w:val="2"/>
              <w:sz w:val="24"/>
              <w:szCs w:val="24"/>
              <w14:ligatures w14:val="standardContextual"/>
            </w:rPr>
          </w:pPr>
          <w:r>
            <w:rPr>
              <w:b w:val="0"/>
              <w:bCs w:val="0"/>
            </w:rPr>
            <w:fldChar w:fldCharType="begin"/>
          </w:r>
          <w:r>
            <w:instrText xml:space="preserve"> TOC \o "1-3" \h \z \u </w:instrText>
          </w:r>
          <w:r>
            <w:rPr>
              <w:b w:val="0"/>
              <w:bCs w:val="0"/>
            </w:rPr>
            <w:fldChar w:fldCharType="separate"/>
          </w:r>
          <w:hyperlink w:anchor="_Toc174983266" w:history="1">
            <w:r w:rsidRPr="008C3BD5">
              <w:rPr>
                <w:rStyle w:val="Hyperlink"/>
                <w:noProof/>
              </w:rPr>
              <w:t>Company Overview</w:t>
            </w:r>
            <w:r>
              <w:rPr>
                <w:noProof/>
                <w:webHidden/>
              </w:rPr>
              <w:tab/>
            </w:r>
            <w:r>
              <w:rPr>
                <w:noProof/>
                <w:webHidden/>
              </w:rPr>
              <w:fldChar w:fldCharType="begin"/>
            </w:r>
            <w:r>
              <w:rPr>
                <w:noProof/>
                <w:webHidden/>
              </w:rPr>
              <w:instrText xml:space="preserve"> PAGEREF _Toc174983266 \h </w:instrText>
            </w:r>
            <w:r>
              <w:rPr>
                <w:noProof/>
                <w:webHidden/>
              </w:rPr>
            </w:r>
            <w:r>
              <w:rPr>
                <w:noProof/>
                <w:webHidden/>
              </w:rPr>
              <w:fldChar w:fldCharType="separate"/>
            </w:r>
            <w:r>
              <w:rPr>
                <w:noProof/>
                <w:webHidden/>
              </w:rPr>
              <w:t>1</w:t>
            </w:r>
            <w:r>
              <w:rPr>
                <w:noProof/>
                <w:webHidden/>
              </w:rPr>
              <w:fldChar w:fldCharType="end"/>
            </w:r>
          </w:hyperlink>
        </w:p>
        <w:p w14:paraId="37C77B59" w14:textId="4DEA34EA" w:rsidR="00F73ABF" w:rsidRDefault="00F73ABF">
          <w:pPr>
            <w:pStyle w:val="TOC2"/>
            <w:tabs>
              <w:tab w:val="right" w:leader="dot" w:pos="9016"/>
            </w:tabs>
            <w:rPr>
              <w:rFonts w:eastAsiaTheme="minorEastAsia" w:cstheme="minorBidi"/>
              <w:smallCaps w:val="0"/>
              <w:noProof/>
              <w:kern w:val="2"/>
              <w:sz w:val="24"/>
              <w:szCs w:val="24"/>
              <w14:ligatures w14:val="standardContextual"/>
            </w:rPr>
          </w:pPr>
          <w:hyperlink w:anchor="_Toc174983267" w:history="1">
            <w:r w:rsidRPr="008C3BD5">
              <w:rPr>
                <w:rStyle w:val="Hyperlink"/>
                <w:noProof/>
              </w:rPr>
              <w:t>Financial Performance Overview:</w:t>
            </w:r>
            <w:r>
              <w:rPr>
                <w:noProof/>
                <w:webHidden/>
              </w:rPr>
              <w:tab/>
            </w:r>
            <w:r>
              <w:rPr>
                <w:noProof/>
                <w:webHidden/>
              </w:rPr>
              <w:fldChar w:fldCharType="begin"/>
            </w:r>
            <w:r>
              <w:rPr>
                <w:noProof/>
                <w:webHidden/>
              </w:rPr>
              <w:instrText xml:space="preserve"> PAGEREF _Toc174983267 \h </w:instrText>
            </w:r>
            <w:r>
              <w:rPr>
                <w:noProof/>
                <w:webHidden/>
              </w:rPr>
            </w:r>
            <w:r>
              <w:rPr>
                <w:noProof/>
                <w:webHidden/>
              </w:rPr>
              <w:fldChar w:fldCharType="separate"/>
            </w:r>
            <w:r>
              <w:rPr>
                <w:noProof/>
                <w:webHidden/>
              </w:rPr>
              <w:t>2</w:t>
            </w:r>
            <w:r>
              <w:rPr>
                <w:noProof/>
                <w:webHidden/>
              </w:rPr>
              <w:fldChar w:fldCharType="end"/>
            </w:r>
          </w:hyperlink>
        </w:p>
        <w:p w14:paraId="7AD3D8B9" w14:textId="66274C0A" w:rsidR="00F73ABF" w:rsidRDefault="00F73ABF">
          <w:pPr>
            <w:pStyle w:val="TOC2"/>
            <w:tabs>
              <w:tab w:val="right" w:leader="dot" w:pos="9016"/>
            </w:tabs>
            <w:rPr>
              <w:rFonts w:eastAsiaTheme="minorEastAsia" w:cstheme="minorBidi"/>
              <w:smallCaps w:val="0"/>
              <w:noProof/>
              <w:kern w:val="2"/>
              <w:sz w:val="24"/>
              <w:szCs w:val="24"/>
              <w14:ligatures w14:val="standardContextual"/>
            </w:rPr>
          </w:pPr>
          <w:hyperlink w:anchor="_Toc174983268" w:history="1">
            <w:r w:rsidRPr="008C3BD5">
              <w:rPr>
                <w:rStyle w:val="Hyperlink"/>
                <w:noProof/>
              </w:rPr>
              <w:t>Key Corporate Events 2018 – 2024</w:t>
            </w:r>
            <w:r>
              <w:rPr>
                <w:noProof/>
                <w:webHidden/>
              </w:rPr>
              <w:tab/>
            </w:r>
            <w:r>
              <w:rPr>
                <w:noProof/>
                <w:webHidden/>
              </w:rPr>
              <w:fldChar w:fldCharType="begin"/>
            </w:r>
            <w:r>
              <w:rPr>
                <w:noProof/>
                <w:webHidden/>
              </w:rPr>
              <w:instrText xml:space="preserve"> PAGEREF _Toc174983268 \h </w:instrText>
            </w:r>
            <w:r>
              <w:rPr>
                <w:noProof/>
                <w:webHidden/>
              </w:rPr>
            </w:r>
            <w:r>
              <w:rPr>
                <w:noProof/>
                <w:webHidden/>
              </w:rPr>
              <w:fldChar w:fldCharType="separate"/>
            </w:r>
            <w:r>
              <w:rPr>
                <w:noProof/>
                <w:webHidden/>
              </w:rPr>
              <w:t>2</w:t>
            </w:r>
            <w:r>
              <w:rPr>
                <w:noProof/>
                <w:webHidden/>
              </w:rPr>
              <w:fldChar w:fldCharType="end"/>
            </w:r>
          </w:hyperlink>
        </w:p>
        <w:p w14:paraId="2C2E37C8" w14:textId="2B7F81D6" w:rsidR="00F73ABF" w:rsidRDefault="00F73ABF">
          <w:pPr>
            <w:pStyle w:val="TOC1"/>
            <w:tabs>
              <w:tab w:val="right" w:leader="dot" w:pos="9016"/>
            </w:tabs>
            <w:rPr>
              <w:rFonts w:eastAsiaTheme="minorEastAsia" w:cstheme="minorBidi"/>
              <w:b w:val="0"/>
              <w:bCs w:val="0"/>
              <w:caps w:val="0"/>
              <w:noProof/>
              <w:kern w:val="2"/>
              <w:sz w:val="24"/>
              <w:szCs w:val="24"/>
              <w14:ligatures w14:val="standardContextual"/>
            </w:rPr>
          </w:pPr>
          <w:hyperlink w:anchor="_Toc174983269" w:history="1">
            <w:r w:rsidRPr="008C3BD5">
              <w:rPr>
                <w:rStyle w:val="Hyperlink"/>
                <w:noProof/>
              </w:rPr>
              <w:t>Tesco PLC's leverage and liquidity ratios during the previous five years:</w:t>
            </w:r>
            <w:r>
              <w:rPr>
                <w:noProof/>
                <w:webHidden/>
              </w:rPr>
              <w:tab/>
            </w:r>
            <w:r>
              <w:rPr>
                <w:noProof/>
                <w:webHidden/>
              </w:rPr>
              <w:fldChar w:fldCharType="begin"/>
            </w:r>
            <w:r>
              <w:rPr>
                <w:noProof/>
                <w:webHidden/>
              </w:rPr>
              <w:instrText xml:space="preserve"> PAGEREF _Toc174983269 \h </w:instrText>
            </w:r>
            <w:r>
              <w:rPr>
                <w:noProof/>
                <w:webHidden/>
              </w:rPr>
            </w:r>
            <w:r>
              <w:rPr>
                <w:noProof/>
                <w:webHidden/>
              </w:rPr>
              <w:fldChar w:fldCharType="separate"/>
            </w:r>
            <w:r>
              <w:rPr>
                <w:noProof/>
                <w:webHidden/>
              </w:rPr>
              <w:t>3</w:t>
            </w:r>
            <w:r>
              <w:rPr>
                <w:noProof/>
                <w:webHidden/>
              </w:rPr>
              <w:fldChar w:fldCharType="end"/>
            </w:r>
          </w:hyperlink>
        </w:p>
        <w:p w14:paraId="041EAFD4" w14:textId="01C4F1CB" w:rsidR="00F73ABF" w:rsidRDefault="00F73ABF">
          <w:pPr>
            <w:pStyle w:val="TOC2"/>
            <w:tabs>
              <w:tab w:val="right" w:leader="dot" w:pos="9016"/>
            </w:tabs>
            <w:rPr>
              <w:rFonts w:eastAsiaTheme="minorEastAsia" w:cstheme="minorBidi"/>
              <w:smallCaps w:val="0"/>
              <w:noProof/>
              <w:kern w:val="2"/>
              <w:sz w:val="24"/>
              <w:szCs w:val="24"/>
              <w14:ligatures w14:val="standardContextual"/>
            </w:rPr>
          </w:pPr>
          <w:hyperlink w:anchor="_Toc174983270" w:history="1">
            <w:r w:rsidRPr="008C3BD5">
              <w:rPr>
                <w:rStyle w:val="Hyperlink"/>
                <w:noProof/>
              </w:rPr>
              <w:t>Liquidity Ratios</w:t>
            </w:r>
            <w:r>
              <w:rPr>
                <w:noProof/>
                <w:webHidden/>
              </w:rPr>
              <w:tab/>
            </w:r>
            <w:r>
              <w:rPr>
                <w:noProof/>
                <w:webHidden/>
              </w:rPr>
              <w:fldChar w:fldCharType="begin"/>
            </w:r>
            <w:r>
              <w:rPr>
                <w:noProof/>
                <w:webHidden/>
              </w:rPr>
              <w:instrText xml:space="preserve"> PAGEREF _Toc174983270 \h </w:instrText>
            </w:r>
            <w:r>
              <w:rPr>
                <w:noProof/>
                <w:webHidden/>
              </w:rPr>
            </w:r>
            <w:r>
              <w:rPr>
                <w:noProof/>
                <w:webHidden/>
              </w:rPr>
              <w:fldChar w:fldCharType="separate"/>
            </w:r>
            <w:r>
              <w:rPr>
                <w:noProof/>
                <w:webHidden/>
              </w:rPr>
              <w:t>3</w:t>
            </w:r>
            <w:r>
              <w:rPr>
                <w:noProof/>
                <w:webHidden/>
              </w:rPr>
              <w:fldChar w:fldCharType="end"/>
            </w:r>
          </w:hyperlink>
        </w:p>
        <w:p w14:paraId="284C0606" w14:textId="098DE294" w:rsidR="00F73ABF" w:rsidRDefault="00F73ABF">
          <w:pPr>
            <w:pStyle w:val="TOC2"/>
            <w:tabs>
              <w:tab w:val="right" w:leader="dot" w:pos="9016"/>
            </w:tabs>
            <w:rPr>
              <w:rFonts w:eastAsiaTheme="minorEastAsia" w:cstheme="minorBidi"/>
              <w:smallCaps w:val="0"/>
              <w:noProof/>
              <w:kern w:val="2"/>
              <w:sz w:val="24"/>
              <w:szCs w:val="24"/>
              <w14:ligatures w14:val="standardContextual"/>
            </w:rPr>
          </w:pPr>
          <w:hyperlink w:anchor="_Toc174983271" w:history="1">
            <w:r w:rsidRPr="008C3BD5">
              <w:rPr>
                <w:rStyle w:val="Hyperlink"/>
                <w:noProof/>
              </w:rPr>
              <w:t>Leverage Ratios</w:t>
            </w:r>
            <w:r>
              <w:rPr>
                <w:noProof/>
                <w:webHidden/>
              </w:rPr>
              <w:tab/>
            </w:r>
            <w:r>
              <w:rPr>
                <w:noProof/>
                <w:webHidden/>
              </w:rPr>
              <w:fldChar w:fldCharType="begin"/>
            </w:r>
            <w:r>
              <w:rPr>
                <w:noProof/>
                <w:webHidden/>
              </w:rPr>
              <w:instrText xml:space="preserve"> PAGEREF _Toc174983271 \h </w:instrText>
            </w:r>
            <w:r>
              <w:rPr>
                <w:noProof/>
                <w:webHidden/>
              </w:rPr>
            </w:r>
            <w:r>
              <w:rPr>
                <w:noProof/>
                <w:webHidden/>
              </w:rPr>
              <w:fldChar w:fldCharType="separate"/>
            </w:r>
            <w:r>
              <w:rPr>
                <w:noProof/>
                <w:webHidden/>
              </w:rPr>
              <w:t>6</w:t>
            </w:r>
            <w:r>
              <w:rPr>
                <w:noProof/>
                <w:webHidden/>
              </w:rPr>
              <w:fldChar w:fldCharType="end"/>
            </w:r>
          </w:hyperlink>
        </w:p>
        <w:p w14:paraId="078FDBE4" w14:textId="1FBDE365" w:rsidR="00F73ABF" w:rsidRDefault="00F73ABF">
          <w:pPr>
            <w:pStyle w:val="TOC1"/>
            <w:tabs>
              <w:tab w:val="right" w:leader="dot" w:pos="9016"/>
            </w:tabs>
            <w:rPr>
              <w:rFonts w:eastAsiaTheme="minorEastAsia" w:cstheme="minorBidi"/>
              <w:b w:val="0"/>
              <w:bCs w:val="0"/>
              <w:caps w:val="0"/>
              <w:noProof/>
              <w:kern w:val="2"/>
              <w:sz w:val="24"/>
              <w:szCs w:val="24"/>
              <w14:ligatures w14:val="standardContextual"/>
            </w:rPr>
          </w:pPr>
          <w:hyperlink w:anchor="_Toc174983272" w:history="1">
            <w:r w:rsidRPr="008C3BD5">
              <w:rPr>
                <w:rStyle w:val="Hyperlink"/>
                <w:noProof/>
              </w:rPr>
              <w:t>Overview of Capital Structure Theories</w:t>
            </w:r>
            <w:r>
              <w:rPr>
                <w:noProof/>
                <w:webHidden/>
              </w:rPr>
              <w:tab/>
            </w:r>
            <w:r>
              <w:rPr>
                <w:noProof/>
                <w:webHidden/>
              </w:rPr>
              <w:fldChar w:fldCharType="begin"/>
            </w:r>
            <w:r>
              <w:rPr>
                <w:noProof/>
                <w:webHidden/>
              </w:rPr>
              <w:instrText xml:space="preserve"> PAGEREF _Toc174983272 \h </w:instrText>
            </w:r>
            <w:r>
              <w:rPr>
                <w:noProof/>
                <w:webHidden/>
              </w:rPr>
            </w:r>
            <w:r>
              <w:rPr>
                <w:noProof/>
                <w:webHidden/>
              </w:rPr>
              <w:fldChar w:fldCharType="separate"/>
            </w:r>
            <w:r>
              <w:rPr>
                <w:noProof/>
                <w:webHidden/>
              </w:rPr>
              <w:t>8</w:t>
            </w:r>
            <w:r>
              <w:rPr>
                <w:noProof/>
                <w:webHidden/>
              </w:rPr>
              <w:fldChar w:fldCharType="end"/>
            </w:r>
          </w:hyperlink>
        </w:p>
        <w:p w14:paraId="34F366C9" w14:textId="04E41200" w:rsidR="00F73ABF" w:rsidRDefault="00F73ABF">
          <w:pPr>
            <w:pStyle w:val="TOC1"/>
            <w:tabs>
              <w:tab w:val="right" w:leader="dot" w:pos="9016"/>
            </w:tabs>
            <w:rPr>
              <w:rFonts w:eastAsiaTheme="minorEastAsia" w:cstheme="minorBidi"/>
              <w:b w:val="0"/>
              <w:bCs w:val="0"/>
              <w:caps w:val="0"/>
              <w:noProof/>
              <w:kern w:val="2"/>
              <w:sz w:val="24"/>
              <w:szCs w:val="24"/>
              <w14:ligatures w14:val="standardContextual"/>
            </w:rPr>
          </w:pPr>
          <w:hyperlink w:anchor="_Toc174983273" w:history="1">
            <w:r w:rsidRPr="008C3BD5">
              <w:rPr>
                <w:rStyle w:val="Hyperlink"/>
                <w:noProof/>
              </w:rPr>
              <w:t>Monthly share prices Tesco PLC 2019 – 2024</w:t>
            </w:r>
            <w:r>
              <w:rPr>
                <w:noProof/>
                <w:webHidden/>
              </w:rPr>
              <w:tab/>
            </w:r>
            <w:r>
              <w:rPr>
                <w:noProof/>
                <w:webHidden/>
              </w:rPr>
              <w:fldChar w:fldCharType="begin"/>
            </w:r>
            <w:r>
              <w:rPr>
                <w:noProof/>
                <w:webHidden/>
              </w:rPr>
              <w:instrText xml:space="preserve"> PAGEREF _Toc174983273 \h </w:instrText>
            </w:r>
            <w:r>
              <w:rPr>
                <w:noProof/>
                <w:webHidden/>
              </w:rPr>
            </w:r>
            <w:r>
              <w:rPr>
                <w:noProof/>
                <w:webHidden/>
              </w:rPr>
              <w:fldChar w:fldCharType="separate"/>
            </w:r>
            <w:r>
              <w:rPr>
                <w:noProof/>
                <w:webHidden/>
              </w:rPr>
              <w:t>9</w:t>
            </w:r>
            <w:r>
              <w:rPr>
                <w:noProof/>
                <w:webHidden/>
              </w:rPr>
              <w:fldChar w:fldCharType="end"/>
            </w:r>
          </w:hyperlink>
        </w:p>
        <w:p w14:paraId="78BB0642" w14:textId="6F4124CA" w:rsidR="00F73ABF" w:rsidRDefault="00F73ABF">
          <w:pPr>
            <w:pStyle w:val="TOC1"/>
            <w:tabs>
              <w:tab w:val="right" w:leader="dot" w:pos="9016"/>
            </w:tabs>
            <w:rPr>
              <w:rFonts w:eastAsiaTheme="minorEastAsia" w:cstheme="minorBidi"/>
              <w:b w:val="0"/>
              <w:bCs w:val="0"/>
              <w:caps w:val="0"/>
              <w:noProof/>
              <w:kern w:val="2"/>
              <w:sz w:val="24"/>
              <w:szCs w:val="24"/>
              <w14:ligatures w14:val="standardContextual"/>
            </w:rPr>
          </w:pPr>
          <w:hyperlink w:anchor="_Toc174983274" w:history="1">
            <w:r w:rsidRPr="008C3BD5">
              <w:rPr>
                <w:rStyle w:val="Hyperlink"/>
                <w:noProof/>
              </w:rPr>
              <w:t>Tesco’s Investment Activities Review</w:t>
            </w:r>
            <w:r>
              <w:rPr>
                <w:noProof/>
                <w:webHidden/>
              </w:rPr>
              <w:tab/>
            </w:r>
            <w:r>
              <w:rPr>
                <w:noProof/>
                <w:webHidden/>
              </w:rPr>
              <w:fldChar w:fldCharType="begin"/>
            </w:r>
            <w:r>
              <w:rPr>
                <w:noProof/>
                <w:webHidden/>
              </w:rPr>
              <w:instrText xml:space="preserve"> PAGEREF _Toc174983274 \h </w:instrText>
            </w:r>
            <w:r>
              <w:rPr>
                <w:noProof/>
                <w:webHidden/>
              </w:rPr>
            </w:r>
            <w:r>
              <w:rPr>
                <w:noProof/>
                <w:webHidden/>
              </w:rPr>
              <w:fldChar w:fldCharType="separate"/>
            </w:r>
            <w:r>
              <w:rPr>
                <w:noProof/>
                <w:webHidden/>
              </w:rPr>
              <w:t>10</w:t>
            </w:r>
            <w:r>
              <w:rPr>
                <w:noProof/>
                <w:webHidden/>
              </w:rPr>
              <w:fldChar w:fldCharType="end"/>
            </w:r>
          </w:hyperlink>
        </w:p>
        <w:p w14:paraId="39EBF8A1" w14:textId="3A5A4BFD" w:rsidR="00F73ABF" w:rsidRDefault="00F73ABF">
          <w:pPr>
            <w:pStyle w:val="TOC1"/>
            <w:tabs>
              <w:tab w:val="right" w:leader="dot" w:pos="9016"/>
            </w:tabs>
            <w:rPr>
              <w:rFonts w:eastAsiaTheme="minorEastAsia" w:cstheme="minorBidi"/>
              <w:b w:val="0"/>
              <w:bCs w:val="0"/>
              <w:caps w:val="0"/>
              <w:noProof/>
              <w:kern w:val="2"/>
              <w:sz w:val="24"/>
              <w:szCs w:val="24"/>
              <w14:ligatures w14:val="standardContextual"/>
            </w:rPr>
          </w:pPr>
          <w:hyperlink w:anchor="_Toc174983275" w:history="1">
            <w:r w:rsidRPr="008C3BD5">
              <w:rPr>
                <w:rStyle w:val="Hyperlink"/>
                <w:noProof/>
              </w:rPr>
              <w:t>Tesco's dividend payouts</w:t>
            </w:r>
            <w:r>
              <w:rPr>
                <w:noProof/>
                <w:webHidden/>
              </w:rPr>
              <w:tab/>
            </w:r>
            <w:r>
              <w:rPr>
                <w:noProof/>
                <w:webHidden/>
              </w:rPr>
              <w:fldChar w:fldCharType="begin"/>
            </w:r>
            <w:r>
              <w:rPr>
                <w:noProof/>
                <w:webHidden/>
              </w:rPr>
              <w:instrText xml:space="preserve"> PAGEREF _Toc174983275 \h </w:instrText>
            </w:r>
            <w:r>
              <w:rPr>
                <w:noProof/>
                <w:webHidden/>
              </w:rPr>
            </w:r>
            <w:r>
              <w:rPr>
                <w:noProof/>
                <w:webHidden/>
              </w:rPr>
              <w:fldChar w:fldCharType="separate"/>
            </w:r>
            <w:r>
              <w:rPr>
                <w:noProof/>
                <w:webHidden/>
              </w:rPr>
              <w:t>12</w:t>
            </w:r>
            <w:r>
              <w:rPr>
                <w:noProof/>
                <w:webHidden/>
              </w:rPr>
              <w:fldChar w:fldCharType="end"/>
            </w:r>
          </w:hyperlink>
        </w:p>
        <w:p w14:paraId="2CAE0CA2" w14:textId="284E8CEF" w:rsidR="00F73ABF" w:rsidRDefault="00F73ABF">
          <w:pPr>
            <w:pStyle w:val="TOC2"/>
            <w:tabs>
              <w:tab w:val="right" w:leader="dot" w:pos="9016"/>
            </w:tabs>
            <w:rPr>
              <w:rFonts w:eastAsiaTheme="minorEastAsia" w:cstheme="minorBidi"/>
              <w:smallCaps w:val="0"/>
              <w:noProof/>
              <w:kern w:val="2"/>
              <w:sz w:val="24"/>
              <w:szCs w:val="24"/>
              <w14:ligatures w14:val="standardContextual"/>
            </w:rPr>
          </w:pPr>
          <w:hyperlink w:anchor="_Toc174983276" w:history="1">
            <w:r w:rsidRPr="008C3BD5">
              <w:rPr>
                <w:rStyle w:val="Hyperlink"/>
                <w:noProof/>
              </w:rPr>
              <w:t>Dividend Payout Analysis</w:t>
            </w:r>
            <w:r>
              <w:rPr>
                <w:noProof/>
                <w:webHidden/>
              </w:rPr>
              <w:tab/>
            </w:r>
            <w:r>
              <w:rPr>
                <w:noProof/>
                <w:webHidden/>
              </w:rPr>
              <w:fldChar w:fldCharType="begin"/>
            </w:r>
            <w:r>
              <w:rPr>
                <w:noProof/>
                <w:webHidden/>
              </w:rPr>
              <w:instrText xml:space="preserve"> PAGEREF _Toc174983276 \h </w:instrText>
            </w:r>
            <w:r>
              <w:rPr>
                <w:noProof/>
                <w:webHidden/>
              </w:rPr>
            </w:r>
            <w:r>
              <w:rPr>
                <w:noProof/>
                <w:webHidden/>
              </w:rPr>
              <w:fldChar w:fldCharType="separate"/>
            </w:r>
            <w:r>
              <w:rPr>
                <w:noProof/>
                <w:webHidden/>
              </w:rPr>
              <w:t>13</w:t>
            </w:r>
            <w:r>
              <w:rPr>
                <w:noProof/>
                <w:webHidden/>
              </w:rPr>
              <w:fldChar w:fldCharType="end"/>
            </w:r>
          </w:hyperlink>
        </w:p>
        <w:p w14:paraId="2C277C05" w14:textId="7CB753BD" w:rsidR="00F73ABF" w:rsidRDefault="00F73ABF">
          <w:pPr>
            <w:pStyle w:val="TOC2"/>
            <w:tabs>
              <w:tab w:val="right" w:leader="dot" w:pos="9016"/>
            </w:tabs>
            <w:rPr>
              <w:rFonts w:eastAsiaTheme="minorEastAsia" w:cstheme="minorBidi"/>
              <w:smallCaps w:val="0"/>
              <w:noProof/>
              <w:kern w:val="2"/>
              <w:sz w:val="24"/>
              <w:szCs w:val="24"/>
              <w14:ligatures w14:val="standardContextual"/>
            </w:rPr>
          </w:pPr>
          <w:hyperlink w:anchor="_Toc174983277" w:history="1">
            <w:r w:rsidRPr="008C3BD5">
              <w:rPr>
                <w:rStyle w:val="Hyperlink"/>
                <w:noProof/>
              </w:rPr>
              <w:t>Factors Influencing Dividend Decisions</w:t>
            </w:r>
            <w:r>
              <w:rPr>
                <w:noProof/>
                <w:webHidden/>
              </w:rPr>
              <w:tab/>
            </w:r>
            <w:r>
              <w:rPr>
                <w:noProof/>
                <w:webHidden/>
              </w:rPr>
              <w:fldChar w:fldCharType="begin"/>
            </w:r>
            <w:r>
              <w:rPr>
                <w:noProof/>
                <w:webHidden/>
              </w:rPr>
              <w:instrText xml:space="preserve"> PAGEREF _Toc174983277 \h </w:instrText>
            </w:r>
            <w:r>
              <w:rPr>
                <w:noProof/>
                <w:webHidden/>
              </w:rPr>
            </w:r>
            <w:r>
              <w:rPr>
                <w:noProof/>
                <w:webHidden/>
              </w:rPr>
              <w:fldChar w:fldCharType="separate"/>
            </w:r>
            <w:r>
              <w:rPr>
                <w:noProof/>
                <w:webHidden/>
              </w:rPr>
              <w:t>13</w:t>
            </w:r>
            <w:r>
              <w:rPr>
                <w:noProof/>
                <w:webHidden/>
              </w:rPr>
              <w:fldChar w:fldCharType="end"/>
            </w:r>
          </w:hyperlink>
        </w:p>
        <w:p w14:paraId="01CD8524" w14:textId="351ED621" w:rsidR="00F73ABF" w:rsidRDefault="00F73ABF">
          <w:pPr>
            <w:pStyle w:val="TOC2"/>
            <w:tabs>
              <w:tab w:val="right" w:leader="dot" w:pos="9016"/>
            </w:tabs>
            <w:rPr>
              <w:rFonts w:eastAsiaTheme="minorEastAsia" w:cstheme="minorBidi"/>
              <w:smallCaps w:val="0"/>
              <w:noProof/>
              <w:kern w:val="2"/>
              <w:sz w:val="24"/>
              <w:szCs w:val="24"/>
              <w14:ligatures w14:val="standardContextual"/>
            </w:rPr>
          </w:pPr>
          <w:hyperlink w:anchor="_Toc174983278" w:history="1">
            <w:r w:rsidRPr="008C3BD5">
              <w:rPr>
                <w:rStyle w:val="Hyperlink"/>
                <w:noProof/>
              </w:rPr>
              <w:t>Recommendations</w:t>
            </w:r>
            <w:r>
              <w:rPr>
                <w:noProof/>
                <w:webHidden/>
              </w:rPr>
              <w:tab/>
            </w:r>
            <w:r>
              <w:rPr>
                <w:noProof/>
                <w:webHidden/>
              </w:rPr>
              <w:fldChar w:fldCharType="begin"/>
            </w:r>
            <w:r>
              <w:rPr>
                <w:noProof/>
                <w:webHidden/>
              </w:rPr>
              <w:instrText xml:space="preserve"> PAGEREF _Toc174983278 \h </w:instrText>
            </w:r>
            <w:r>
              <w:rPr>
                <w:noProof/>
                <w:webHidden/>
              </w:rPr>
            </w:r>
            <w:r>
              <w:rPr>
                <w:noProof/>
                <w:webHidden/>
              </w:rPr>
              <w:fldChar w:fldCharType="separate"/>
            </w:r>
            <w:r>
              <w:rPr>
                <w:noProof/>
                <w:webHidden/>
              </w:rPr>
              <w:t>14</w:t>
            </w:r>
            <w:r>
              <w:rPr>
                <w:noProof/>
                <w:webHidden/>
              </w:rPr>
              <w:fldChar w:fldCharType="end"/>
            </w:r>
          </w:hyperlink>
        </w:p>
        <w:p w14:paraId="447967D5" w14:textId="59609538" w:rsidR="00F73ABF" w:rsidRDefault="00F73ABF">
          <w:pPr>
            <w:pStyle w:val="TOC1"/>
            <w:tabs>
              <w:tab w:val="right" w:leader="dot" w:pos="9016"/>
            </w:tabs>
            <w:rPr>
              <w:rFonts w:eastAsiaTheme="minorEastAsia" w:cstheme="minorBidi"/>
              <w:b w:val="0"/>
              <w:bCs w:val="0"/>
              <w:caps w:val="0"/>
              <w:noProof/>
              <w:kern w:val="2"/>
              <w:sz w:val="24"/>
              <w:szCs w:val="24"/>
              <w14:ligatures w14:val="standardContextual"/>
            </w:rPr>
          </w:pPr>
          <w:hyperlink w:anchor="_Toc174983279" w:history="1">
            <w:r w:rsidRPr="008C3BD5">
              <w:rPr>
                <w:rStyle w:val="Hyperlink"/>
                <w:noProof/>
                <w:lang w:val="en-US"/>
              </w:rPr>
              <w:t>References</w:t>
            </w:r>
            <w:r>
              <w:rPr>
                <w:noProof/>
                <w:webHidden/>
              </w:rPr>
              <w:tab/>
            </w:r>
            <w:r>
              <w:rPr>
                <w:noProof/>
                <w:webHidden/>
              </w:rPr>
              <w:fldChar w:fldCharType="begin"/>
            </w:r>
            <w:r>
              <w:rPr>
                <w:noProof/>
                <w:webHidden/>
              </w:rPr>
              <w:instrText xml:space="preserve"> PAGEREF _Toc174983279 \h </w:instrText>
            </w:r>
            <w:r>
              <w:rPr>
                <w:noProof/>
                <w:webHidden/>
              </w:rPr>
            </w:r>
            <w:r>
              <w:rPr>
                <w:noProof/>
                <w:webHidden/>
              </w:rPr>
              <w:fldChar w:fldCharType="separate"/>
            </w:r>
            <w:r>
              <w:rPr>
                <w:noProof/>
                <w:webHidden/>
              </w:rPr>
              <w:t>14</w:t>
            </w:r>
            <w:r>
              <w:rPr>
                <w:noProof/>
                <w:webHidden/>
              </w:rPr>
              <w:fldChar w:fldCharType="end"/>
            </w:r>
          </w:hyperlink>
        </w:p>
        <w:p w14:paraId="0091213D" w14:textId="031A7F44" w:rsidR="00F73ABF" w:rsidRDefault="00F73ABF">
          <w:pPr>
            <w:pStyle w:val="TOC1"/>
            <w:tabs>
              <w:tab w:val="right" w:leader="dot" w:pos="9016"/>
            </w:tabs>
            <w:rPr>
              <w:rFonts w:eastAsiaTheme="minorEastAsia" w:cstheme="minorBidi"/>
              <w:b w:val="0"/>
              <w:bCs w:val="0"/>
              <w:caps w:val="0"/>
              <w:noProof/>
              <w:kern w:val="2"/>
              <w:sz w:val="24"/>
              <w:szCs w:val="24"/>
              <w14:ligatures w14:val="standardContextual"/>
            </w:rPr>
          </w:pPr>
          <w:hyperlink w:anchor="_Toc174983280" w:history="1">
            <w:r w:rsidRPr="008C3BD5">
              <w:rPr>
                <w:rStyle w:val="Hyperlink"/>
                <w:noProof/>
              </w:rPr>
              <w:t>APPENDIX</w:t>
            </w:r>
            <w:r>
              <w:rPr>
                <w:noProof/>
                <w:webHidden/>
              </w:rPr>
              <w:tab/>
            </w:r>
            <w:r>
              <w:rPr>
                <w:noProof/>
                <w:webHidden/>
              </w:rPr>
              <w:fldChar w:fldCharType="begin"/>
            </w:r>
            <w:r>
              <w:rPr>
                <w:noProof/>
                <w:webHidden/>
              </w:rPr>
              <w:instrText xml:space="preserve"> PAGEREF _Toc174983280 \h </w:instrText>
            </w:r>
            <w:r>
              <w:rPr>
                <w:noProof/>
                <w:webHidden/>
              </w:rPr>
            </w:r>
            <w:r>
              <w:rPr>
                <w:noProof/>
                <w:webHidden/>
              </w:rPr>
              <w:fldChar w:fldCharType="separate"/>
            </w:r>
            <w:r>
              <w:rPr>
                <w:noProof/>
                <w:webHidden/>
              </w:rPr>
              <w:t>19</w:t>
            </w:r>
            <w:r>
              <w:rPr>
                <w:noProof/>
                <w:webHidden/>
              </w:rPr>
              <w:fldChar w:fldCharType="end"/>
            </w:r>
          </w:hyperlink>
        </w:p>
        <w:p w14:paraId="0DE290BE" w14:textId="2A91042F" w:rsidR="00F73ABF" w:rsidRDefault="00F73ABF">
          <w:r>
            <w:rPr>
              <w:b/>
              <w:bCs/>
              <w:noProof/>
            </w:rPr>
            <w:fldChar w:fldCharType="end"/>
          </w:r>
        </w:p>
      </w:sdtContent>
    </w:sdt>
    <w:p w14:paraId="541BE7ED" w14:textId="2C7E89A2" w:rsidR="00F73ABF" w:rsidRDefault="00F73ABF">
      <w:pPr>
        <w:pStyle w:val="TableofFigures"/>
        <w:tabs>
          <w:tab w:val="right" w:leader="dot" w:pos="9016"/>
        </w:tabs>
        <w:rPr>
          <w:noProof/>
        </w:rPr>
      </w:pPr>
      <w:r>
        <w:rPr>
          <w:rFonts w:ascii="Arial" w:hAnsi="Arial" w:cs="Arial"/>
          <w:b/>
          <w:bCs/>
          <w:color w:val="000000" w:themeColor="text1"/>
          <w:sz w:val="22"/>
          <w:szCs w:val="22"/>
        </w:rPr>
        <w:fldChar w:fldCharType="begin"/>
      </w:r>
      <w:r>
        <w:rPr>
          <w:rFonts w:ascii="Arial" w:hAnsi="Arial" w:cs="Arial"/>
          <w:b/>
          <w:bCs/>
          <w:color w:val="000000" w:themeColor="text1"/>
          <w:sz w:val="22"/>
          <w:szCs w:val="22"/>
        </w:rPr>
        <w:instrText xml:space="preserve"> TOC \h \z \c "Figure" </w:instrText>
      </w:r>
      <w:r>
        <w:rPr>
          <w:rFonts w:ascii="Arial" w:hAnsi="Arial" w:cs="Arial"/>
          <w:b/>
          <w:bCs/>
          <w:color w:val="000000" w:themeColor="text1"/>
          <w:sz w:val="22"/>
          <w:szCs w:val="22"/>
        </w:rPr>
        <w:fldChar w:fldCharType="separate"/>
      </w:r>
      <w:hyperlink w:anchor="_Toc174983292" w:history="1">
        <w:r w:rsidRPr="006E79EC">
          <w:rPr>
            <w:rStyle w:val="Hyperlink"/>
            <w:rFonts w:eastAsiaTheme="majorEastAsia"/>
            <w:noProof/>
          </w:rPr>
          <w:t xml:space="preserve">Figure 1- Current Ratio Tesco PLC&amp; Marks and Spencer [source: author– calculated  from </w:t>
        </w:r>
        <w:r w:rsidRPr="006E79EC">
          <w:rPr>
            <w:rStyle w:val="Hyperlink"/>
            <w:rFonts w:eastAsiaTheme="majorEastAsia"/>
            <w:noProof/>
          </w:rPr>
          <w:t>Y</w:t>
        </w:r>
        <w:r w:rsidRPr="006E79EC">
          <w:rPr>
            <w:rStyle w:val="Hyperlink"/>
            <w:rFonts w:eastAsiaTheme="majorEastAsia"/>
            <w:noProof/>
          </w:rPr>
          <w:t>ahoo.finance.com – Refer to Appendix]</w:t>
        </w:r>
        <w:r>
          <w:rPr>
            <w:noProof/>
            <w:webHidden/>
          </w:rPr>
          <w:tab/>
        </w:r>
        <w:r>
          <w:rPr>
            <w:noProof/>
            <w:webHidden/>
          </w:rPr>
          <w:fldChar w:fldCharType="begin"/>
        </w:r>
        <w:r>
          <w:rPr>
            <w:noProof/>
            <w:webHidden/>
          </w:rPr>
          <w:instrText xml:space="preserve"> PAGEREF _Toc174983292 \h </w:instrText>
        </w:r>
        <w:r>
          <w:rPr>
            <w:noProof/>
            <w:webHidden/>
          </w:rPr>
        </w:r>
        <w:r>
          <w:rPr>
            <w:noProof/>
            <w:webHidden/>
          </w:rPr>
          <w:fldChar w:fldCharType="separate"/>
        </w:r>
        <w:r>
          <w:rPr>
            <w:noProof/>
            <w:webHidden/>
          </w:rPr>
          <w:t>4</w:t>
        </w:r>
        <w:r>
          <w:rPr>
            <w:noProof/>
            <w:webHidden/>
          </w:rPr>
          <w:fldChar w:fldCharType="end"/>
        </w:r>
      </w:hyperlink>
    </w:p>
    <w:p w14:paraId="4D9D4E2E" w14:textId="7DB4AB8C" w:rsidR="00F73ABF" w:rsidRDefault="00F73ABF">
      <w:pPr>
        <w:pStyle w:val="TableofFigures"/>
        <w:tabs>
          <w:tab w:val="right" w:leader="dot" w:pos="9016"/>
        </w:tabs>
        <w:rPr>
          <w:noProof/>
        </w:rPr>
      </w:pPr>
      <w:hyperlink w:anchor="_Toc174983293" w:history="1">
        <w:r w:rsidRPr="006E79EC">
          <w:rPr>
            <w:rStyle w:val="Hyperlink"/>
            <w:rFonts w:eastAsiaTheme="majorEastAsia"/>
            <w:noProof/>
          </w:rPr>
          <w:t>Figure 2 - Quick Ratio - Tesco PLC&amp; Marks and Spencer [source: author– calculated  from Yahoo.finance.com – Refer to Appendix]</w:t>
        </w:r>
        <w:r>
          <w:rPr>
            <w:noProof/>
            <w:webHidden/>
          </w:rPr>
          <w:tab/>
        </w:r>
        <w:r>
          <w:rPr>
            <w:noProof/>
            <w:webHidden/>
          </w:rPr>
          <w:fldChar w:fldCharType="begin"/>
        </w:r>
        <w:r>
          <w:rPr>
            <w:noProof/>
            <w:webHidden/>
          </w:rPr>
          <w:instrText xml:space="preserve"> PAGEREF _Toc174983293 \h </w:instrText>
        </w:r>
        <w:r>
          <w:rPr>
            <w:noProof/>
            <w:webHidden/>
          </w:rPr>
        </w:r>
        <w:r>
          <w:rPr>
            <w:noProof/>
            <w:webHidden/>
          </w:rPr>
          <w:fldChar w:fldCharType="separate"/>
        </w:r>
        <w:r>
          <w:rPr>
            <w:noProof/>
            <w:webHidden/>
          </w:rPr>
          <w:t>5</w:t>
        </w:r>
        <w:r>
          <w:rPr>
            <w:noProof/>
            <w:webHidden/>
          </w:rPr>
          <w:fldChar w:fldCharType="end"/>
        </w:r>
      </w:hyperlink>
    </w:p>
    <w:p w14:paraId="26CD27CF" w14:textId="09C316B8" w:rsidR="00F73ABF" w:rsidRDefault="00F73ABF">
      <w:pPr>
        <w:pStyle w:val="TableofFigures"/>
        <w:tabs>
          <w:tab w:val="right" w:leader="dot" w:pos="9016"/>
        </w:tabs>
        <w:rPr>
          <w:noProof/>
        </w:rPr>
      </w:pPr>
      <w:hyperlink w:anchor="_Toc174983294" w:history="1">
        <w:r w:rsidRPr="006E79EC">
          <w:rPr>
            <w:rStyle w:val="Hyperlink"/>
            <w:rFonts w:eastAsiaTheme="majorEastAsia"/>
            <w:noProof/>
          </w:rPr>
          <w:t>Figure 3-Debt to Equity - Tesco PLC&amp; Marks and Spencer [source: author– calculated  from Yahoo.finance.com – Refer to Appendix]]</w:t>
        </w:r>
        <w:r>
          <w:rPr>
            <w:noProof/>
            <w:webHidden/>
          </w:rPr>
          <w:tab/>
        </w:r>
        <w:r>
          <w:rPr>
            <w:noProof/>
            <w:webHidden/>
          </w:rPr>
          <w:fldChar w:fldCharType="begin"/>
        </w:r>
        <w:r>
          <w:rPr>
            <w:noProof/>
            <w:webHidden/>
          </w:rPr>
          <w:instrText xml:space="preserve"> PAGEREF _Toc174983294 \h </w:instrText>
        </w:r>
        <w:r>
          <w:rPr>
            <w:noProof/>
            <w:webHidden/>
          </w:rPr>
        </w:r>
        <w:r>
          <w:rPr>
            <w:noProof/>
            <w:webHidden/>
          </w:rPr>
          <w:fldChar w:fldCharType="separate"/>
        </w:r>
        <w:r>
          <w:rPr>
            <w:noProof/>
            <w:webHidden/>
          </w:rPr>
          <w:t>6</w:t>
        </w:r>
        <w:r>
          <w:rPr>
            <w:noProof/>
            <w:webHidden/>
          </w:rPr>
          <w:fldChar w:fldCharType="end"/>
        </w:r>
      </w:hyperlink>
    </w:p>
    <w:p w14:paraId="277CF5A9" w14:textId="643607FC" w:rsidR="00F73ABF" w:rsidRDefault="00F73ABF">
      <w:pPr>
        <w:pStyle w:val="TableofFigures"/>
        <w:tabs>
          <w:tab w:val="right" w:leader="dot" w:pos="9016"/>
        </w:tabs>
        <w:rPr>
          <w:noProof/>
        </w:rPr>
      </w:pPr>
      <w:hyperlink w:anchor="_Toc174983295" w:history="1">
        <w:r w:rsidRPr="006E79EC">
          <w:rPr>
            <w:rStyle w:val="Hyperlink"/>
            <w:rFonts w:eastAsiaTheme="majorEastAsia"/>
            <w:noProof/>
          </w:rPr>
          <w:t>Figure 4- Interest Coverage - Tesco PLC&amp; Marks and Spencer [source: author– calculated  from Yahoo.finance.com – Refer to Appendix]]</w:t>
        </w:r>
        <w:r>
          <w:rPr>
            <w:noProof/>
            <w:webHidden/>
          </w:rPr>
          <w:tab/>
        </w:r>
        <w:r>
          <w:rPr>
            <w:noProof/>
            <w:webHidden/>
          </w:rPr>
          <w:fldChar w:fldCharType="begin"/>
        </w:r>
        <w:r>
          <w:rPr>
            <w:noProof/>
            <w:webHidden/>
          </w:rPr>
          <w:instrText xml:space="preserve"> PAGEREF _Toc174983295 \h </w:instrText>
        </w:r>
        <w:r>
          <w:rPr>
            <w:noProof/>
            <w:webHidden/>
          </w:rPr>
        </w:r>
        <w:r>
          <w:rPr>
            <w:noProof/>
            <w:webHidden/>
          </w:rPr>
          <w:fldChar w:fldCharType="separate"/>
        </w:r>
        <w:r>
          <w:rPr>
            <w:noProof/>
            <w:webHidden/>
          </w:rPr>
          <w:t>7</w:t>
        </w:r>
        <w:r>
          <w:rPr>
            <w:noProof/>
            <w:webHidden/>
          </w:rPr>
          <w:fldChar w:fldCharType="end"/>
        </w:r>
      </w:hyperlink>
    </w:p>
    <w:p w14:paraId="7FE9167A" w14:textId="79312C28" w:rsidR="00F73ABF" w:rsidRDefault="00F73ABF">
      <w:pPr>
        <w:pStyle w:val="TableofFigures"/>
        <w:tabs>
          <w:tab w:val="right" w:leader="dot" w:pos="9016"/>
        </w:tabs>
        <w:rPr>
          <w:noProof/>
        </w:rPr>
      </w:pPr>
      <w:hyperlink w:anchor="_Toc174983296" w:history="1">
        <w:r w:rsidRPr="006E79EC">
          <w:rPr>
            <w:rStyle w:val="Hyperlink"/>
            <w:rFonts w:eastAsiaTheme="majorEastAsia"/>
            <w:noProof/>
          </w:rPr>
          <w:t>Figure 5-Monthly share prices Tesco PLC 20</w:t>
        </w:r>
        <w:r w:rsidRPr="006E79EC">
          <w:rPr>
            <w:rStyle w:val="Hyperlink"/>
            <w:rFonts w:eastAsiaTheme="majorEastAsia"/>
            <w:noProof/>
          </w:rPr>
          <w:t>1</w:t>
        </w:r>
        <w:r w:rsidRPr="006E79EC">
          <w:rPr>
            <w:rStyle w:val="Hyperlink"/>
            <w:rFonts w:eastAsiaTheme="majorEastAsia"/>
            <w:noProof/>
          </w:rPr>
          <w:t>9 – 2024 [source: Author – calculated  from Yahoo.finance.com – Refer to Appendix]</w:t>
        </w:r>
        <w:r>
          <w:rPr>
            <w:noProof/>
            <w:webHidden/>
          </w:rPr>
          <w:tab/>
        </w:r>
        <w:r>
          <w:rPr>
            <w:noProof/>
            <w:webHidden/>
          </w:rPr>
          <w:fldChar w:fldCharType="begin"/>
        </w:r>
        <w:r>
          <w:rPr>
            <w:noProof/>
            <w:webHidden/>
          </w:rPr>
          <w:instrText xml:space="preserve"> PAGEREF _Toc174983296 \h </w:instrText>
        </w:r>
        <w:r>
          <w:rPr>
            <w:noProof/>
            <w:webHidden/>
          </w:rPr>
        </w:r>
        <w:r>
          <w:rPr>
            <w:noProof/>
            <w:webHidden/>
          </w:rPr>
          <w:fldChar w:fldCharType="separate"/>
        </w:r>
        <w:r>
          <w:rPr>
            <w:noProof/>
            <w:webHidden/>
          </w:rPr>
          <w:t>10</w:t>
        </w:r>
        <w:r>
          <w:rPr>
            <w:noProof/>
            <w:webHidden/>
          </w:rPr>
          <w:fldChar w:fldCharType="end"/>
        </w:r>
      </w:hyperlink>
    </w:p>
    <w:p w14:paraId="2C104E77" w14:textId="2153861F" w:rsidR="00F73ABF" w:rsidRDefault="00F73ABF">
      <w:pPr>
        <w:pStyle w:val="TableofFigures"/>
        <w:tabs>
          <w:tab w:val="right" w:leader="dot" w:pos="9016"/>
        </w:tabs>
        <w:rPr>
          <w:noProof/>
        </w:rPr>
      </w:pPr>
      <w:hyperlink w:anchor="_Toc174983297" w:history="1">
        <w:r w:rsidRPr="006E79EC">
          <w:rPr>
            <w:rStyle w:val="Hyperlink"/>
            <w:rFonts w:eastAsiaTheme="majorEastAsia"/>
            <w:noProof/>
          </w:rPr>
          <w:t>Figure 6- APPENDIX - Ratio Calculations</w:t>
        </w:r>
        <w:r>
          <w:rPr>
            <w:noProof/>
            <w:webHidden/>
          </w:rPr>
          <w:tab/>
        </w:r>
        <w:r>
          <w:rPr>
            <w:noProof/>
            <w:webHidden/>
          </w:rPr>
          <w:fldChar w:fldCharType="begin"/>
        </w:r>
        <w:r>
          <w:rPr>
            <w:noProof/>
            <w:webHidden/>
          </w:rPr>
          <w:instrText xml:space="preserve"> PAGEREF _Toc174983297 \h </w:instrText>
        </w:r>
        <w:r>
          <w:rPr>
            <w:noProof/>
            <w:webHidden/>
          </w:rPr>
        </w:r>
        <w:r>
          <w:rPr>
            <w:noProof/>
            <w:webHidden/>
          </w:rPr>
          <w:fldChar w:fldCharType="separate"/>
        </w:r>
        <w:r>
          <w:rPr>
            <w:noProof/>
            <w:webHidden/>
          </w:rPr>
          <w:t>20</w:t>
        </w:r>
        <w:r>
          <w:rPr>
            <w:noProof/>
            <w:webHidden/>
          </w:rPr>
          <w:fldChar w:fldCharType="end"/>
        </w:r>
      </w:hyperlink>
    </w:p>
    <w:p w14:paraId="089F06B9" w14:textId="6EA22983" w:rsidR="00F73ABF" w:rsidRDefault="00F73ABF">
      <w:pPr>
        <w:pStyle w:val="TableofFigures"/>
        <w:tabs>
          <w:tab w:val="right" w:leader="dot" w:pos="9016"/>
        </w:tabs>
        <w:rPr>
          <w:noProof/>
        </w:rPr>
      </w:pPr>
      <w:hyperlink w:anchor="_Toc174983298" w:history="1">
        <w:r w:rsidRPr="006E79EC">
          <w:rPr>
            <w:rStyle w:val="Hyperlink"/>
            <w:rFonts w:eastAsiaTheme="majorEastAsia"/>
            <w:noProof/>
          </w:rPr>
          <w:t>Figure 7 - APPENDIX - Average Annual Share Return Calculations</w:t>
        </w:r>
        <w:r>
          <w:rPr>
            <w:noProof/>
            <w:webHidden/>
          </w:rPr>
          <w:tab/>
        </w:r>
        <w:r>
          <w:rPr>
            <w:noProof/>
            <w:webHidden/>
          </w:rPr>
          <w:fldChar w:fldCharType="begin"/>
        </w:r>
        <w:r>
          <w:rPr>
            <w:noProof/>
            <w:webHidden/>
          </w:rPr>
          <w:instrText xml:space="preserve"> PAGEREF _Toc174983298 \h </w:instrText>
        </w:r>
        <w:r>
          <w:rPr>
            <w:noProof/>
            <w:webHidden/>
          </w:rPr>
        </w:r>
        <w:r>
          <w:rPr>
            <w:noProof/>
            <w:webHidden/>
          </w:rPr>
          <w:fldChar w:fldCharType="separate"/>
        </w:r>
        <w:r>
          <w:rPr>
            <w:noProof/>
            <w:webHidden/>
          </w:rPr>
          <w:t>20</w:t>
        </w:r>
        <w:r>
          <w:rPr>
            <w:noProof/>
            <w:webHidden/>
          </w:rPr>
          <w:fldChar w:fldCharType="end"/>
        </w:r>
      </w:hyperlink>
    </w:p>
    <w:p w14:paraId="38529D43" w14:textId="57D1925D" w:rsidR="00F73ABF" w:rsidRDefault="00F73ABF" w:rsidP="007F16DD">
      <w:pPr>
        <w:pStyle w:val="Heading1"/>
        <w:rPr>
          <w:rFonts w:ascii="Arial" w:hAnsi="Arial" w:cs="Arial"/>
          <w:b/>
          <w:bCs/>
          <w:color w:val="000000" w:themeColor="text1"/>
          <w:sz w:val="22"/>
          <w:szCs w:val="22"/>
        </w:rPr>
      </w:pPr>
      <w:r>
        <w:rPr>
          <w:rFonts w:ascii="Arial" w:hAnsi="Arial" w:cs="Arial"/>
          <w:b/>
          <w:bCs/>
          <w:color w:val="000000" w:themeColor="text1"/>
          <w:sz w:val="22"/>
          <w:szCs w:val="22"/>
        </w:rPr>
        <w:fldChar w:fldCharType="end"/>
      </w:r>
    </w:p>
    <w:p w14:paraId="7ED910AE" w14:textId="77777777" w:rsidR="00F73ABF" w:rsidRDefault="00F73ABF" w:rsidP="00F73ABF"/>
    <w:p w14:paraId="7A0C8DD6" w14:textId="77777777" w:rsidR="00F73ABF" w:rsidRDefault="00F73ABF" w:rsidP="00F73ABF"/>
    <w:p w14:paraId="77040C7B" w14:textId="77777777" w:rsidR="00F73ABF" w:rsidRDefault="00F73ABF" w:rsidP="00F73ABF"/>
    <w:p w14:paraId="02FFD7E7" w14:textId="77777777" w:rsidR="00F73ABF" w:rsidRDefault="00F73ABF" w:rsidP="00F73ABF"/>
    <w:p w14:paraId="271B2E4C" w14:textId="77777777" w:rsidR="00F73ABF" w:rsidRDefault="00F73ABF" w:rsidP="00F73ABF"/>
    <w:p w14:paraId="2286BD1E" w14:textId="77777777" w:rsidR="00F73ABF" w:rsidRDefault="00F73ABF" w:rsidP="00F73ABF"/>
    <w:p w14:paraId="172AD744" w14:textId="77777777" w:rsidR="00F73ABF" w:rsidRDefault="00F73ABF" w:rsidP="00F73ABF"/>
    <w:p w14:paraId="115B47BE" w14:textId="77777777" w:rsidR="00F73ABF" w:rsidRDefault="00F73ABF" w:rsidP="00F73ABF"/>
    <w:p w14:paraId="123160FF" w14:textId="77777777" w:rsidR="00F73ABF" w:rsidRDefault="00F73ABF" w:rsidP="00F73ABF"/>
    <w:p w14:paraId="66EDD7D8" w14:textId="77777777" w:rsidR="00F73ABF" w:rsidRDefault="00F73ABF" w:rsidP="00F73ABF"/>
    <w:p w14:paraId="66080555" w14:textId="77777777" w:rsidR="00D05E95" w:rsidRDefault="00D05E95" w:rsidP="00F73ABF"/>
    <w:p w14:paraId="03DCE233" w14:textId="77777777" w:rsidR="00D05E95" w:rsidRDefault="00D05E95" w:rsidP="00F73ABF"/>
    <w:p w14:paraId="2F584715" w14:textId="77777777" w:rsidR="00D05E95" w:rsidRDefault="00D05E95" w:rsidP="00F73ABF"/>
    <w:p w14:paraId="0614A3EC" w14:textId="77777777" w:rsidR="00F73ABF" w:rsidRDefault="00F73ABF" w:rsidP="00F73ABF"/>
    <w:p w14:paraId="3D00D846" w14:textId="77777777" w:rsidR="00F73ABF" w:rsidRPr="00F73ABF" w:rsidRDefault="00F73ABF" w:rsidP="00F73ABF"/>
    <w:p w14:paraId="7B1055F1" w14:textId="5467E383" w:rsidR="00F73ABF" w:rsidRPr="00F73ABF" w:rsidRDefault="007F16DD" w:rsidP="00F73ABF">
      <w:pPr>
        <w:rPr>
          <w:rFonts w:ascii="Arial" w:hAnsi="Arial" w:cs="Arial"/>
          <w:b/>
          <w:bCs/>
          <w:sz w:val="22"/>
          <w:szCs w:val="22"/>
        </w:rPr>
      </w:pPr>
      <w:r w:rsidRPr="00F73ABF">
        <w:rPr>
          <w:rFonts w:ascii="Arial" w:hAnsi="Arial" w:cs="Arial"/>
          <w:b/>
          <w:bCs/>
          <w:sz w:val="22"/>
          <w:szCs w:val="22"/>
        </w:rPr>
        <w:lastRenderedPageBreak/>
        <w:t>PART A</w:t>
      </w:r>
    </w:p>
    <w:p w14:paraId="6E3A85E7" w14:textId="079505E8" w:rsidR="00791D1B" w:rsidRDefault="00791D1B" w:rsidP="007F16DD">
      <w:pPr>
        <w:pStyle w:val="Heading1"/>
      </w:pPr>
      <w:bookmarkStart w:id="0" w:name="_Toc174983266"/>
      <w:r>
        <w:t>Company Overview</w:t>
      </w:r>
      <w:bookmarkEnd w:id="0"/>
      <w:r>
        <w:t xml:space="preserve"> </w:t>
      </w:r>
    </w:p>
    <w:p w14:paraId="74C06191" w14:textId="38560E13" w:rsidR="00791D1B" w:rsidRDefault="00791D1B" w:rsidP="00791D1B">
      <w:pPr>
        <w:pStyle w:val="NormalWeb"/>
        <w:spacing w:line="360" w:lineRule="auto"/>
        <w:rPr>
          <w:rFonts w:ascii="Arial" w:hAnsi="Arial" w:cs="Arial"/>
          <w:sz w:val="22"/>
          <w:szCs w:val="22"/>
        </w:rPr>
      </w:pPr>
      <w:r w:rsidRPr="00791D1B">
        <w:rPr>
          <w:rFonts w:ascii="Arial" w:hAnsi="Arial" w:cs="Arial"/>
          <w:sz w:val="22"/>
          <w:szCs w:val="22"/>
        </w:rPr>
        <w:t>Tesco plc, founded in 1919 by Jack Cohen, has grown from a single market s</w:t>
      </w:r>
      <w:r w:rsidR="00116807">
        <w:rPr>
          <w:rFonts w:ascii="Arial" w:hAnsi="Arial" w:cs="Arial"/>
          <w:sz w:val="22"/>
          <w:szCs w:val="22"/>
        </w:rPr>
        <w:t>tand</w:t>
      </w:r>
      <w:r w:rsidRPr="00791D1B">
        <w:rPr>
          <w:rFonts w:ascii="Arial" w:hAnsi="Arial" w:cs="Arial"/>
          <w:sz w:val="22"/>
          <w:szCs w:val="22"/>
        </w:rPr>
        <w:t xml:space="preserve"> in London’s East End to become the largest retailer in the United Kingdom and one of the leading grocery retailers in the world. Tesco operates across multiple </w:t>
      </w:r>
      <w:r w:rsidR="00116807">
        <w:rPr>
          <w:rFonts w:ascii="Arial" w:hAnsi="Arial" w:cs="Arial"/>
          <w:sz w:val="22"/>
          <w:szCs w:val="22"/>
        </w:rPr>
        <w:t>kinds of stores, including online shopping,</w:t>
      </w:r>
      <w:r w:rsidRPr="00791D1B">
        <w:rPr>
          <w:rFonts w:ascii="Arial" w:hAnsi="Arial" w:cs="Arial"/>
          <w:sz w:val="22"/>
          <w:szCs w:val="22"/>
        </w:rPr>
        <w:t xml:space="preserve"> large hypermarkets, supermarkets, </w:t>
      </w:r>
      <w:r w:rsidR="00116807">
        <w:rPr>
          <w:rFonts w:ascii="Arial" w:hAnsi="Arial" w:cs="Arial"/>
          <w:sz w:val="22"/>
          <w:szCs w:val="22"/>
        </w:rPr>
        <w:t xml:space="preserve">and </w:t>
      </w:r>
      <w:r w:rsidRPr="00791D1B">
        <w:rPr>
          <w:rFonts w:ascii="Arial" w:hAnsi="Arial" w:cs="Arial"/>
          <w:sz w:val="22"/>
          <w:szCs w:val="22"/>
        </w:rPr>
        <w:t>convenience stores</w:t>
      </w:r>
      <w:r w:rsidR="00116807">
        <w:rPr>
          <w:rFonts w:ascii="Arial" w:hAnsi="Arial" w:cs="Arial"/>
          <w:sz w:val="22"/>
          <w:szCs w:val="22"/>
        </w:rPr>
        <w:t xml:space="preserve">. </w:t>
      </w:r>
      <w:r w:rsidRPr="00791D1B">
        <w:rPr>
          <w:rFonts w:ascii="Arial" w:hAnsi="Arial" w:cs="Arial"/>
          <w:sz w:val="22"/>
          <w:szCs w:val="22"/>
        </w:rPr>
        <w:t xml:space="preserve">The company’s </w:t>
      </w:r>
      <w:r w:rsidR="00116807">
        <w:rPr>
          <w:rFonts w:ascii="Arial" w:hAnsi="Arial" w:cs="Arial"/>
          <w:sz w:val="22"/>
          <w:szCs w:val="22"/>
        </w:rPr>
        <w:t>main</w:t>
      </w:r>
      <w:r w:rsidRPr="00791D1B">
        <w:rPr>
          <w:rFonts w:ascii="Arial" w:hAnsi="Arial" w:cs="Arial"/>
          <w:sz w:val="22"/>
          <w:szCs w:val="22"/>
        </w:rPr>
        <w:t xml:space="preserve"> business focuses on grocery retailing, but it also offers financial services through Tesco Bank and has expanded into other areas such as clothing, electronics, and home goods</w:t>
      </w:r>
      <w:r w:rsidR="00116807">
        <w:rPr>
          <w:rFonts w:ascii="Arial" w:hAnsi="Arial" w:cs="Arial"/>
          <w:sz w:val="22"/>
          <w:szCs w:val="22"/>
        </w:rPr>
        <w:t xml:space="preserve"> (TescoPLC.com, 2024). </w:t>
      </w:r>
      <w:r w:rsidRPr="00791D1B">
        <w:rPr>
          <w:rFonts w:ascii="Arial" w:hAnsi="Arial" w:cs="Arial"/>
          <w:sz w:val="22"/>
          <w:szCs w:val="22"/>
        </w:rPr>
        <w:t xml:space="preserve">Tesco’s business model </w:t>
      </w:r>
      <w:r w:rsidR="00116807">
        <w:rPr>
          <w:rFonts w:ascii="Arial" w:hAnsi="Arial" w:cs="Arial"/>
          <w:sz w:val="22"/>
          <w:szCs w:val="22"/>
        </w:rPr>
        <w:t>focuses</w:t>
      </w:r>
      <w:r w:rsidRPr="00791D1B">
        <w:rPr>
          <w:rFonts w:ascii="Arial" w:hAnsi="Arial" w:cs="Arial"/>
          <w:sz w:val="22"/>
          <w:szCs w:val="22"/>
        </w:rPr>
        <w:t xml:space="preserve"> </w:t>
      </w:r>
      <w:r w:rsidR="00116807">
        <w:rPr>
          <w:rFonts w:ascii="Arial" w:hAnsi="Arial" w:cs="Arial"/>
          <w:sz w:val="22"/>
          <w:szCs w:val="22"/>
        </w:rPr>
        <w:t>on</w:t>
      </w:r>
      <w:r w:rsidRPr="00791D1B">
        <w:rPr>
          <w:rFonts w:ascii="Arial" w:hAnsi="Arial" w:cs="Arial"/>
          <w:sz w:val="22"/>
          <w:szCs w:val="22"/>
        </w:rPr>
        <w:t xml:space="preserve"> providing a wide range of products at competitive prices, supported by its Clubcard loyalty program, which enhances customer retention and provides valuable data on consumer behavio</w:t>
      </w:r>
      <w:r>
        <w:rPr>
          <w:rFonts w:ascii="Arial" w:hAnsi="Arial" w:cs="Arial"/>
          <w:sz w:val="22"/>
          <w:szCs w:val="22"/>
        </w:rPr>
        <w:t>u</w:t>
      </w:r>
      <w:r w:rsidRPr="00791D1B">
        <w:rPr>
          <w:rFonts w:ascii="Arial" w:hAnsi="Arial" w:cs="Arial"/>
          <w:sz w:val="22"/>
          <w:szCs w:val="22"/>
        </w:rPr>
        <w:t>r</w:t>
      </w:r>
      <w:r w:rsidR="00116807">
        <w:rPr>
          <w:rFonts w:ascii="Arial" w:hAnsi="Arial" w:cs="Arial"/>
          <w:sz w:val="22"/>
          <w:szCs w:val="22"/>
        </w:rPr>
        <w:t xml:space="preserve"> (Tesco Annual Report, 2023).</w:t>
      </w:r>
      <w:r w:rsidR="00116807" w:rsidRPr="00116807">
        <w:rPr>
          <w:rFonts w:ascii="Arial" w:hAnsi="Arial" w:cs="Arial"/>
          <w:sz w:val="22"/>
          <w:szCs w:val="22"/>
        </w:rPr>
        <w:t xml:space="preserve"> Tesco</w:t>
      </w:r>
      <w:r w:rsidR="00116807">
        <w:rPr>
          <w:rFonts w:ascii="Arial" w:hAnsi="Arial" w:cs="Arial"/>
          <w:sz w:val="22"/>
          <w:szCs w:val="22"/>
        </w:rPr>
        <w:t xml:space="preserve"> is mainly </w:t>
      </w:r>
      <w:r w:rsidR="00116807" w:rsidRPr="00116807">
        <w:rPr>
          <w:rFonts w:ascii="Arial" w:hAnsi="Arial" w:cs="Arial"/>
          <w:sz w:val="22"/>
          <w:szCs w:val="22"/>
        </w:rPr>
        <w:t>based in the UK, although it also ha</w:t>
      </w:r>
      <w:r w:rsidR="00116807">
        <w:rPr>
          <w:rFonts w:ascii="Arial" w:hAnsi="Arial" w:cs="Arial"/>
          <w:sz w:val="22"/>
          <w:szCs w:val="22"/>
        </w:rPr>
        <w:t>s</w:t>
      </w:r>
      <w:r w:rsidR="00116807" w:rsidRPr="00116807">
        <w:rPr>
          <w:rFonts w:ascii="Arial" w:hAnsi="Arial" w:cs="Arial"/>
          <w:sz w:val="22"/>
          <w:szCs w:val="22"/>
        </w:rPr>
        <w:t xml:space="preserve"> a significant presence in Ireland</w:t>
      </w:r>
      <w:r w:rsidR="00646CBF">
        <w:rPr>
          <w:rFonts w:ascii="Arial" w:hAnsi="Arial" w:cs="Arial"/>
          <w:sz w:val="22"/>
          <w:szCs w:val="22"/>
        </w:rPr>
        <w:t xml:space="preserve">, and </w:t>
      </w:r>
      <w:r w:rsidR="00116807" w:rsidRPr="00116807">
        <w:rPr>
          <w:rFonts w:ascii="Arial" w:hAnsi="Arial" w:cs="Arial"/>
          <w:sz w:val="22"/>
          <w:szCs w:val="22"/>
        </w:rPr>
        <w:t>Central Europe</w:t>
      </w:r>
      <w:r w:rsidR="00646CBF">
        <w:rPr>
          <w:rFonts w:ascii="Arial" w:hAnsi="Arial" w:cs="Arial"/>
          <w:sz w:val="22"/>
          <w:szCs w:val="22"/>
        </w:rPr>
        <w:t xml:space="preserve"> and it was present in Thailand and Malaysia until 2020. </w:t>
      </w:r>
      <w:r w:rsidR="00116807">
        <w:rPr>
          <w:rFonts w:ascii="Arial" w:hAnsi="Arial" w:cs="Arial"/>
          <w:sz w:val="22"/>
          <w:szCs w:val="22"/>
        </w:rPr>
        <w:t xml:space="preserve">(TescoPLC.com, 2024). </w:t>
      </w:r>
    </w:p>
    <w:p w14:paraId="37543D8E" w14:textId="77777777" w:rsidR="00C6500D" w:rsidRPr="00C6500D" w:rsidRDefault="00C6500D" w:rsidP="007F16DD">
      <w:pPr>
        <w:pStyle w:val="Heading2"/>
      </w:pPr>
      <w:bookmarkStart w:id="1" w:name="_Toc174983267"/>
      <w:r w:rsidRPr="00C6500D">
        <w:t>Financial Performance Overview:</w:t>
      </w:r>
      <w:bookmarkEnd w:id="1"/>
    </w:p>
    <w:p w14:paraId="780AEB65" w14:textId="35CA45C8" w:rsidR="00C6500D" w:rsidRPr="00791D1B" w:rsidRDefault="00C6500D" w:rsidP="00C6500D">
      <w:pPr>
        <w:pStyle w:val="NormalWeb"/>
        <w:spacing w:line="360" w:lineRule="auto"/>
        <w:rPr>
          <w:rFonts w:ascii="Arial" w:hAnsi="Arial" w:cs="Arial"/>
          <w:sz w:val="22"/>
          <w:szCs w:val="22"/>
        </w:rPr>
      </w:pPr>
      <w:r w:rsidRPr="00C6500D">
        <w:rPr>
          <w:rFonts w:ascii="Arial" w:hAnsi="Arial" w:cs="Arial"/>
          <w:sz w:val="22"/>
          <w:szCs w:val="22"/>
        </w:rPr>
        <w:t>Over the past five years, Tesco has made strategic moves like divestments, partnerships, and sustainability efforts, impacting its financial performance. Revenue grew steadily from £58,091 million in 2020 to £68,187 million in 2024 (Hargreaves Lansdown). However, profitability has fluctuated due to market challenges and strategic investments</w:t>
      </w:r>
    </w:p>
    <w:p w14:paraId="79AFEFF3" w14:textId="66D68EA9" w:rsidR="00791D1B" w:rsidRPr="00914E10" w:rsidRDefault="00791D1B" w:rsidP="007F16DD">
      <w:pPr>
        <w:pStyle w:val="Heading2"/>
      </w:pPr>
      <w:bookmarkStart w:id="2" w:name="_Toc174983268"/>
      <w:r w:rsidRPr="00914E10">
        <w:t xml:space="preserve">Key Corporate Events </w:t>
      </w:r>
      <w:r w:rsidR="00646CBF" w:rsidRPr="00914E10">
        <w:t>2018 – 2024</w:t>
      </w:r>
      <w:bookmarkEnd w:id="2"/>
      <w:r w:rsidR="00646CBF" w:rsidRPr="00914E10">
        <w:t xml:space="preserve"> </w:t>
      </w:r>
    </w:p>
    <w:p w14:paraId="24B775BC" w14:textId="77777777" w:rsidR="00F51839" w:rsidRPr="00F51839" w:rsidRDefault="00F51839" w:rsidP="00F51839">
      <w:pPr>
        <w:pStyle w:val="NormalWeb"/>
        <w:rPr>
          <w:rFonts w:ascii="Arial" w:hAnsi="Arial" w:cs="Arial"/>
          <w:b/>
          <w:bCs/>
          <w:sz w:val="22"/>
          <w:szCs w:val="22"/>
        </w:rPr>
      </w:pPr>
      <w:r w:rsidRPr="00F51839">
        <w:rPr>
          <w:rFonts w:ascii="Arial" w:hAnsi="Arial" w:cs="Arial"/>
          <w:b/>
          <w:bCs/>
          <w:sz w:val="22"/>
          <w:szCs w:val="22"/>
        </w:rPr>
        <w:t>Mergers and Acquisitions (M&amp;A):</w:t>
      </w:r>
    </w:p>
    <w:p w14:paraId="488509B0" w14:textId="7080BEEC" w:rsidR="00F51839" w:rsidRDefault="00AE15E2" w:rsidP="00F51839">
      <w:pPr>
        <w:pStyle w:val="NormalWeb"/>
        <w:spacing w:line="360" w:lineRule="auto"/>
        <w:rPr>
          <w:rFonts w:ascii="Arial" w:hAnsi="Arial" w:cs="Arial"/>
          <w:sz w:val="22"/>
          <w:szCs w:val="22"/>
        </w:rPr>
      </w:pPr>
      <w:r>
        <w:rPr>
          <w:rFonts w:ascii="Arial" w:hAnsi="Arial" w:cs="Arial"/>
          <w:sz w:val="22"/>
          <w:szCs w:val="22"/>
        </w:rPr>
        <w:t xml:space="preserve">2018: </w:t>
      </w:r>
      <w:r w:rsidR="00F51839" w:rsidRPr="00F51839">
        <w:rPr>
          <w:rFonts w:ascii="Arial" w:hAnsi="Arial" w:cs="Arial"/>
          <w:sz w:val="22"/>
          <w:szCs w:val="22"/>
        </w:rPr>
        <w:t>One of the most significant corporate events for Tesco in recent years was the acquisition of Booker Group in March 2018. Booker, a leading food wholesaler, was acquired for £3.7 billion. This acquisition allowed Tesco to strengthen its position in the food service sector and provided synergies between the two businesses, particularly in terms of supply chain efficiency and product distribution (Tesco, 2018</w:t>
      </w:r>
      <w:r w:rsidR="00F51839">
        <w:rPr>
          <w:rFonts w:ascii="Arial" w:hAnsi="Arial" w:cs="Arial"/>
          <w:sz w:val="22"/>
          <w:szCs w:val="22"/>
        </w:rPr>
        <w:t xml:space="preserve"> &amp; Gov.uk, 2018).</w:t>
      </w:r>
    </w:p>
    <w:p w14:paraId="2FCD2976" w14:textId="62EE674A" w:rsidR="00AE15E2" w:rsidRDefault="00AE15E2" w:rsidP="00F51839">
      <w:pPr>
        <w:pStyle w:val="NormalWeb"/>
        <w:spacing w:line="360" w:lineRule="auto"/>
        <w:rPr>
          <w:rFonts w:ascii="Arial" w:hAnsi="Arial" w:cs="Arial"/>
          <w:sz w:val="22"/>
          <w:szCs w:val="22"/>
        </w:rPr>
      </w:pPr>
      <w:r w:rsidRPr="00AE15E2">
        <w:rPr>
          <w:rFonts w:ascii="Arial" w:hAnsi="Arial" w:cs="Arial"/>
          <w:sz w:val="22"/>
          <w:szCs w:val="22"/>
        </w:rPr>
        <w:t>2023: Tesco entered a strategic partnership with Barclays Bank for its banking operations, significantly reducing its exposure to credit cards and loans​</w:t>
      </w:r>
      <w:r>
        <w:rPr>
          <w:rFonts w:ascii="Arial" w:hAnsi="Arial" w:cs="Arial"/>
          <w:sz w:val="22"/>
          <w:szCs w:val="22"/>
        </w:rPr>
        <w:t xml:space="preserve"> (Tescoplc.com, 2023). </w:t>
      </w:r>
    </w:p>
    <w:p w14:paraId="1566E9B5" w14:textId="77777777" w:rsidR="00F73ABF" w:rsidRDefault="00F73ABF" w:rsidP="00F51839">
      <w:pPr>
        <w:pStyle w:val="NormalWeb"/>
        <w:spacing w:line="360" w:lineRule="auto"/>
        <w:rPr>
          <w:rFonts w:ascii="Arial" w:hAnsi="Arial" w:cs="Arial"/>
          <w:sz w:val="22"/>
          <w:szCs w:val="22"/>
        </w:rPr>
      </w:pPr>
    </w:p>
    <w:p w14:paraId="1A292090" w14:textId="77777777" w:rsidR="00646CBF" w:rsidRPr="00646CBF" w:rsidRDefault="00646CBF" w:rsidP="00646CBF">
      <w:pPr>
        <w:pStyle w:val="NormalWeb"/>
        <w:spacing w:line="360" w:lineRule="auto"/>
        <w:rPr>
          <w:rFonts w:ascii="Arial" w:hAnsi="Arial" w:cs="Arial"/>
          <w:b/>
          <w:bCs/>
          <w:sz w:val="22"/>
          <w:szCs w:val="22"/>
        </w:rPr>
      </w:pPr>
      <w:r w:rsidRPr="00646CBF">
        <w:rPr>
          <w:rFonts w:ascii="Arial" w:hAnsi="Arial" w:cs="Arial"/>
          <w:b/>
          <w:bCs/>
          <w:sz w:val="22"/>
          <w:szCs w:val="22"/>
        </w:rPr>
        <w:lastRenderedPageBreak/>
        <w:t>Restructuring and Divestments:</w:t>
      </w:r>
    </w:p>
    <w:p w14:paraId="1EFCEF6C" w14:textId="78389BFD" w:rsidR="00F51839" w:rsidRDefault="00646CBF" w:rsidP="00646CBF">
      <w:pPr>
        <w:pStyle w:val="NormalWeb"/>
        <w:spacing w:line="360" w:lineRule="auto"/>
        <w:rPr>
          <w:rFonts w:ascii="Arial" w:hAnsi="Arial" w:cs="Arial"/>
          <w:sz w:val="22"/>
          <w:szCs w:val="22"/>
        </w:rPr>
      </w:pPr>
      <w:r w:rsidRPr="00646CBF">
        <w:rPr>
          <w:rFonts w:ascii="Arial" w:hAnsi="Arial" w:cs="Arial"/>
          <w:sz w:val="22"/>
          <w:szCs w:val="22"/>
        </w:rPr>
        <w:t>2020</w:t>
      </w:r>
      <w:r w:rsidR="00AE15E2">
        <w:rPr>
          <w:rFonts w:ascii="Arial" w:hAnsi="Arial" w:cs="Arial"/>
          <w:sz w:val="22"/>
          <w:szCs w:val="22"/>
        </w:rPr>
        <w:t>:</w:t>
      </w:r>
      <w:r w:rsidRPr="00646CBF">
        <w:rPr>
          <w:rFonts w:ascii="Arial" w:hAnsi="Arial" w:cs="Arial"/>
          <w:sz w:val="22"/>
          <w:szCs w:val="22"/>
        </w:rPr>
        <w:t xml:space="preserve"> Tesco made a strategic decision to sell its operations in Thailand and Malaysia to CP Group for approximately £8 billion. This sale marked a significant shift in Tesco’s focus, allowing it to concentrate more on its core UK business. The proceeds from the sale were used to reduce debt and return capital to shareholders, demonstrating a clear focus on financial health and shareholder value (Tesco, 2020).</w:t>
      </w:r>
    </w:p>
    <w:p w14:paraId="401E1792" w14:textId="77777777" w:rsidR="00A3721E" w:rsidRPr="00A3721E" w:rsidRDefault="00A3721E" w:rsidP="00A3721E">
      <w:pPr>
        <w:pStyle w:val="NormalWeb"/>
        <w:spacing w:line="360" w:lineRule="auto"/>
        <w:rPr>
          <w:rFonts w:ascii="Arial" w:hAnsi="Arial" w:cs="Arial"/>
          <w:b/>
          <w:bCs/>
          <w:sz w:val="22"/>
          <w:szCs w:val="22"/>
        </w:rPr>
      </w:pPr>
      <w:r w:rsidRPr="00A3721E">
        <w:rPr>
          <w:rFonts w:ascii="Arial" w:hAnsi="Arial" w:cs="Arial"/>
          <w:b/>
          <w:bCs/>
          <w:sz w:val="22"/>
          <w:szCs w:val="22"/>
        </w:rPr>
        <w:t>Leadership Changes:</w:t>
      </w:r>
    </w:p>
    <w:p w14:paraId="3E1AF65C" w14:textId="5F4B57E7" w:rsidR="00646CBF" w:rsidRDefault="00AE15E2" w:rsidP="00A3721E">
      <w:pPr>
        <w:pStyle w:val="NormalWeb"/>
        <w:spacing w:line="360" w:lineRule="auto"/>
        <w:rPr>
          <w:rFonts w:ascii="Arial" w:hAnsi="Arial" w:cs="Arial"/>
          <w:sz w:val="22"/>
          <w:szCs w:val="22"/>
        </w:rPr>
      </w:pPr>
      <w:r>
        <w:rPr>
          <w:rFonts w:ascii="Arial" w:hAnsi="Arial" w:cs="Arial"/>
          <w:sz w:val="22"/>
          <w:szCs w:val="22"/>
        </w:rPr>
        <w:t xml:space="preserve">2020: </w:t>
      </w:r>
      <w:r w:rsidR="00A3721E" w:rsidRPr="00A3721E">
        <w:rPr>
          <w:rFonts w:ascii="Arial" w:hAnsi="Arial" w:cs="Arial"/>
          <w:sz w:val="22"/>
          <w:szCs w:val="22"/>
        </w:rPr>
        <w:t>Tesco experienced a major leadership change in 2020 when Dave Lewis stepped down as CEO and was succeeded by Ken Murphy.</w:t>
      </w:r>
      <w:r w:rsidR="00D05E95" w:rsidRPr="00D05E95">
        <w:rPr>
          <w:rFonts w:ascii="Arial" w:hAnsi="Arial" w:cs="Arial"/>
          <w:sz w:val="22"/>
          <w:szCs w:val="22"/>
        </w:rPr>
        <w:t xml:space="preserve"> </w:t>
      </w:r>
      <w:r w:rsidR="00D05E95" w:rsidRPr="00A3721E">
        <w:rPr>
          <w:rFonts w:ascii="Arial" w:hAnsi="Arial" w:cs="Arial"/>
          <w:sz w:val="22"/>
          <w:szCs w:val="22"/>
        </w:rPr>
        <w:t>(Financial Times, 2020</w:t>
      </w:r>
      <w:r w:rsidR="00D05E95">
        <w:rPr>
          <w:rFonts w:ascii="Arial" w:hAnsi="Arial" w:cs="Arial"/>
          <w:sz w:val="22"/>
          <w:szCs w:val="22"/>
        </w:rPr>
        <w:t xml:space="preserve"> &amp; TescoPlc.com 2019)</w:t>
      </w:r>
      <w:r w:rsidR="00D05E95">
        <w:rPr>
          <w:rFonts w:ascii="Arial" w:hAnsi="Arial" w:cs="Arial"/>
          <w:sz w:val="22"/>
          <w:szCs w:val="22"/>
        </w:rPr>
        <w:t>.</w:t>
      </w:r>
      <w:r w:rsidR="00A3721E" w:rsidRPr="00A3721E">
        <w:rPr>
          <w:rFonts w:ascii="Arial" w:hAnsi="Arial" w:cs="Arial"/>
          <w:sz w:val="22"/>
          <w:szCs w:val="22"/>
        </w:rPr>
        <w:t xml:space="preserve"> Lewis was credited with turning around Tesco following the accounting scandal that emerged in 2014, stabili</w:t>
      </w:r>
      <w:r w:rsidR="00A3721E">
        <w:rPr>
          <w:rFonts w:ascii="Arial" w:hAnsi="Arial" w:cs="Arial"/>
          <w:sz w:val="22"/>
          <w:szCs w:val="22"/>
        </w:rPr>
        <w:t>s</w:t>
      </w:r>
      <w:r w:rsidR="00A3721E" w:rsidRPr="00A3721E">
        <w:rPr>
          <w:rFonts w:ascii="Arial" w:hAnsi="Arial" w:cs="Arial"/>
          <w:sz w:val="22"/>
          <w:szCs w:val="22"/>
        </w:rPr>
        <w:t>ing the company’s operations, and improving profitability. Under Murphy’s leadership, Tesco has continued to focus on digital transformation, sustainability, and enhancing customer experience</w:t>
      </w:r>
      <w:r w:rsidR="00D05E95">
        <w:rPr>
          <w:rFonts w:ascii="Arial" w:hAnsi="Arial" w:cs="Arial"/>
          <w:sz w:val="22"/>
          <w:szCs w:val="22"/>
        </w:rPr>
        <w:t xml:space="preserve">. </w:t>
      </w:r>
      <w:r w:rsidR="00A3721E">
        <w:rPr>
          <w:rFonts w:ascii="Arial" w:hAnsi="Arial" w:cs="Arial"/>
          <w:sz w:val="22"/>
          <w:szCs w:val="22"/>
        </w:rPr>
        <w:t xml:space="preserve"> </w:t>
      </w:r>
    </w:p>
    <w:p w14:paraId="4223DEA5" w14:textId="16753F61" w:rsidR="00AE15E2" w:rsidRPr="00C6500D" w:rsidRDefault="00C6500D" w:rsidP="00A3721E">
      <w:pPr>
        <w:pStyle w:val="NormalWeb"/>
        <w:spacing w:line="360" w:lineRule="auto"/>
        <w:rPr>
          <w:rFonts w:ascii="Arial" w:hAnsi="Arial" w:cs="Arial"/>
          <w:b/>
          <w:bCs/>
          <w:sz w:val="22"/>
          <w:szCs w:val="22"/>
        </w:rPr>
      </w:pPr>
      <w:r w:rsidRPr="00C6500D">
        <w:rPr>
          <w:rFonts w:ascii="Arial" w:hAnsi="Arial" w:cs="Arial"/>
          <w:b/>
          <w:bCs/>
          <w:sz w:val="22"/>
          <w:szCs w:val="22"/>
        </w:rPr>
        <w:t xml:space="preserve">Financial Performance: </w:t>
      </w:r>
    </w:p>
    <w:p w14:paraId="325B3795" w14:textId="70702A77" w:rsidR="00C6500D" w:rsidRDefault="00AE15E2" w:rsidP="00A3721E">
      <w:pPr>
        <w:pStyle w:val="NormalWeb"/>
        <w:spacing w:line="360" w:lineRule="auto"/>
        <w:rPr>
          <w:rFonts w:ascii="Arial" w:hAnsi="Arial" w:cs="Arial"/>
          <w:sz w:val="22"/>
          <w:szCs w:val="22"/>
        </w:rPr>
      </w:pPr>
      <w:r w:rsidRPr="00AE15E2">
        <w:rPr>
          <w:rFonts w:ascii="Arial" w:hAnsi="Arial" w:cs="Arial"/>
          <w:sz w:val="22"/>
          <w:szCs w:val="22"/>
        </w:rPr>
        <w:t>2021: Despite challenges posed by the COVID-19 pandemic, Tesco managed to sustain its revenue and maintain its market position as the largest retailer in the UK​</w:t>
      </w:r>
    </w:p>
    <w:p w14:paraId="38D6FFF8" w14:textId="77777777" w:rsidR="00AE15E2" w:rsidRDefault="00AE15E2" w:rsidP="00AE15E2">
      <w:pPr>
        <w:pStyle w:val="NormalWeb"/>
        <w:rPr>
          <w:rFonts w:ascii="Arial" w:hAnsi="Arial" w:cs="Arial"/>
          <w:b/>
          <w:bCs/>
          <w:sz w:val="22"/>
          <w:szCs w:val="22"/>
        </w:rPr>
      </w:pPr>
      <w:r w:rsidRPr="00AE15E2">
        <w:rPr>
          <w:rFonts w:ascii="Arial" w:hAnsi="Arial" w:cs="Arial"/>
          <w:b/>
          <w:bCs/>
          <w:sz w:val="22"/>
          <w:szCs w:val="22"/>
        </w:rPr>
        <w:t>Legal and Regulatory Issues:</w:t>
      </w:r>
    </w:p>
    <w:p w14:paraId="0B01F3EF" w14:textId="1311DFCC" w:rsidR="00DF0DDB" w:rsidRDefault="00AE15E2" w:rsidP="00914E10">
      <w:pPr>
        <w:pStyle w:val="NormalWeb"/>
        <w:spacing w:line="360" w:lineRule="auto"/>
        <w:rPr>
          <w:rFonts w:ascii="Arial" w:hAnsi="Arial" w:cs="Arial"/>
          <w:color w:val="000000" w:themeColor="text1"/>
          <w:sz w:val="22"/>
          <w:szCs w:val="22"/>
        </w:rPr>
      </w:pPr>
      <w:r w:rsidRPr="00AE15E2">
        <w:rPr>
          <w:rFonts w:ascii="Arial" w:hAnsi="Arial" w:cs="Arial"/>
          <w:sz w:val="22"/>
          <w:szCs w:val="22"/>
        </w:rPr>
        <w:t>2022: Tesco faced a significant legal challenge when it was ordered to pay £192 million in fines and costs related to its accounting scandal dating back to 2014</w:t>
      </w:r>
      <w:r w:rsidR="00D05E95">
        <w:rPr>
          <w:rFonts w:ascii="Arial" w:hAnsi="Arial" w:cs="Arial"/>
          <w:sz w:val="22"/>
          <w:szCs w:val="22"/>
        </w:rPr>
        <w:t xml:space="preserve"> </w:t>
      </w:r>
      <w:r w:rsidR="00D05E95" w:rsidRPr="00AE15E2">
        <w:rPr>
          <w:rFonts w:ascii="Arial" w:hAnsi="Arial" w:cs="Arial"/>
          <w:sz w:val="22"/>
          <w:szCs w:val="22"/>
        </w:rPr>
        <w:t>(BBC, 2017</w:t>
      </w:r>
      <w:proofErr w:type="gramStart"/>
      <w:r w:rsidR="00D05E95" w:rsidRPr="00A05A44">
        <w:rPr>
          <w:rFonts w:ascii="Arial" w:hAnsi="Arial" w:cs="Arial"/>
          <w:color w:val="000000" w:themeColor="text1"/>
          <w:sz w:val="22"/>
          <w:szCs w:val="22"/>
        </w:rPr>
        <w:t>)</w:t>
      </w:r>
      <w:r w:rsidR="00D05E95">
        <w:rPr>
          <w:rFonts w:ascii="Arial" w:hAnsi="Arial" w:cs="Arial"/>
          <w:color w:val="000000" w:themeColor="text1"/>
          <w:sz w:val="22"/>
          <w:szCs w:val="22"/>
        </w:rPr>
        <w:t>.</w:t>
      </w:r>
      <w:r w:rsidRPr="00AE15E2">
        <w:rPr>
          <w:rFonts w:ascii="Arial" w:hAnsi="Arial" w:cs="Arial"/>
          <w:sz w:val="22"/>
          <w:szCs w:val="22"/>
        </w:rPr>
        <w:t>This</w:t>
      </w:r>
      <w:proofErr w:type="gramEnd"/>
      <w:r w:rsidRPr="00AE15E2">
        <w:rPr>
          <w:rFonts w:ascii="Arial" w:hAnsi="Arial" w:cs="Arial"/>
          <w:sz w:val="22"/>
          <w:szCs w:val="22"/>
        </w:rPr>
        <w:t xml:space="preserve"> was a continuation of a long-standing legal battle involving overstated profits​</w:t>
      </w:r>
      <w:r w:rsidR="00D05E95">
        <w:rPr>
          <w:rFonts w:ascii="Arial" w:hAnsi="Arial" w:cs="Arial"/>
          <w:sz w:val="22"/>
          <w:szCs w:val="22"/>
        </w:rPr>
        <w:t>.</w:t>
      </w:r>
    </w:p>
    <w:p w14:paraId="04155A0E" w14:textId="77777777" w:rsidR="00F73ABF" w:rsidRDefault="00F73ABF" w:rsidP="00914E10">
      <w:pPr>
        <w:pStyle w:val="NormalWeb"/>
        <w:spacing w:line="360" w:lineRule="auto"/>
        <w:rPr>
          <w:rFonts w:ascii="Arial" w:hAnsi="Arial" w:cs="Arial"/>
          <w:color w:val="000000" w:themeColor="text1"/>
          <w:sz w:val="22"/>
          <w:szCs w:val="22"/>
        </w:rPr>
      </w:pPr>
    </w:p>
    <w:p w14:paraId="3D6549FD" w14:textId="77777777" w:rsidR="00F73ABF" w:rsidRDefault="00F73ABF" w:rsidP="00914E10">
      <w:pPr>
        <w:pStyle w:val="NormalWeb"/>
        <w:spacing w:line="360" w:lineRule="auto"/>
        <w:rPr>
          <w:rFonts w:ascii="Arial" w:hAnsi="Arial" w:cs="Arial"/>
          <w:color w:val="000000" w:themeColor="text1"/>
          <w:sz w:val="22"/>
          <w:szCs w:val="22"/>
        </w:rPr>
      </w:pPr>
    </w:p>
    <w:p w14:paraId="715CB081" w14:textId="77777777" w:rsidR="00F73ABF" w:rsidRDefault="00F73ABF" w:rsidP="00914E10">
      <w:pPr>
        <w:pStyle w:val="NormalWeb"/>
        <w:spacing w:line="360" w:lineRule="auto"/>
        <w:rPr>
          <w:rFonts w:ascii="Arial" w:hAnsi="Arial" w:cs="Arial"/>
          <w:color w:val="000000" w:themeColor="text1"/>
          <w:sz w:val="22"/>
          <w:szCs w:val="22"/>
        </w:rPr>
      </w:pPr>
    </w:p>
    <w:p w14:paraId="00D4FDEE" w14:textId="77777777" w:rsidR="00F73ABF" w:rsidRDefault="00F73ABF" w:rsidP="00914E10">
      <w:pPr>
        <w:pStyle w:val="NormalWeb"/>
        <w:spacing w:line="360" w:lineRule="auto"/>
        <w:rPr>
          <w:rFonts w:ascii="Arial" w:hAnsi="Arial" w:cs="Arial"/>
          <w:color w:val="000000" w:themeColor="text1"/>
          <w:sz w:val="22"/>
          <w:szCs w:val="22"/>
        </w:rPr>
      </w:pPr>
    </w:p>
    <w:p w14:paraId="5074EF4D" w14:textId="77777777" w:rsidR="00F73ABF" w:rsidRDefault="00F73ABF" w:rsidP="00914E10">
      <w:pPr>
        <w:pStyle w:val="NormalWeb"/>
        <w:spacing w:line="360" w:lineRule="auto"/>
        <w:rPr>
          <w:rFonts w:ascii="Arial" w:hAnsi="Arial" w:cs="Arial"/>
          <w:color w:val="000000" w:themeColor="text1"/>
          <w:sz w:val="22"/>
          <w:szCs w:val="22"/>
        </w:rPr>
      </w:pPr>
    </w:p>
    <w:p w14:paraId="6661F625" w14:textId="77777777" w:rsidR="00F73ABF" w:rsidRDefault="00F73ABF" w:rsidP="00914E10">
      <w:pPr>
        <w:pStyle w:val="NormalWeb"/>
        <w:spacing w:line="360" w:lineRule="auto"/>
        <w:rPr>
          <w:rFonts w:ascii="Arial" w:hAnsi="Arial" w:cs="Arial"/>
          <w:color w:val="000000" w:themeColor="text1"/>
          <w:sz w:val="22"/>
          <w:szCs w:val="22"/>
        </w:rPr>
      </w:pPr>
    </w:p>
    <w:p w14:paraId="6B9FCF13" w14:textId="77777777" w:rsidR="00F73ABF" w:rsidRPr="00914E10" w:rsidRDefault="00F73ABF" w:rsidP="00914E10">
      <w:pPr>
        <w:pStyle w:val="NormalWeb"/>
        <w:spacing w:line="360" w:lineRule="auto"/>
        <w:rPr>
          <w:rFonts w:ascii="Arial" w:hAnsi="Arial" w:cs="Arial"/>
          <w:color w:val="FF0000"/>
          <w:sz w:val="22"/>
          <w:szCs w:val="22"/>
        </w:rPr>
      </w:pPr>
    </w:p>
    <w:p w14:paraId="2BDA91B1" w14:textId="11805F94" w:rsidR="00A430CE" w:rsidRDefault="007F16DD" w:rsidP="00DF0DDB">
      <w:pPr>
        <w:pStyle w:val="NormalWeb"/>
        <w:rPr>
          <w:rFonts w:ascii="Arial" w:hAnsi="Arial" w:cs="Arial"/>
          <w:b/>
          <w:bCs/>
        </w:rPr>
      </w:pPr>
      <w:r>
        <w:rPr>
          <w:rFonts w:ascii="Arial" w:hAnsi="Arial" w:cs="Arial"/>
          <w:b/>
          <w:bCs/>
        </w:rPr>
        <w:lastRenderedPageBreak/>
        <w:t xml:space="preserve">PART </w:t>
      </w:r>
      <w:r w:rsidR="00A430CE">
        <w:rPr>
          <w:rFonts w:ascii="Arial" w:hAnsi="Arial" w:cs="Arial"/>
          <w:b/>
          <w:bCs/>
        </w:rPr>
        <w:t>B1</w:t>
      </w:r>
      <w:r>
        <w:rPr>
          <w:rFonts w:ascii="Arial" w:hAnsi="Arial" w:cs="Arial"/>
          <w:b/>
          <w:bCs/>
        </w:rPr>
        <w:t xml:space="preserve"> </w:t>
      </w:r>
    </w:p>
    <w:p w14:paraId="49379426" w14:textId="68E171E0" w:rsidR="009E6DAC" w:rsidRPr="0008053E" w:rsidRDefault="00DF0DDB" w:rsidP="007F16DD">
      <w:pPr>
        <w:pStyle w:val="Heading1"/>
        <w:rPr>
          <w:rFonts w:ascii="ArialMT" w:hAnsi="ArialMT"/>
          <w:color w:val="FF0000"/>
          <w:sz w:val="22"/>
          <w:szCs w:val="22"/>
        </w:rPr>
      </w:pPr>
      <w:bookmarkStart w:id="3" w:name="_Toc174983269"/>
      <w:r w:rsidRPr="0008053E">
        <w:t>Tesco PLC's leverage and liquidity ratios during the previous five years:</w:t>
      </w:r>
      <w:bookmarkEnd w:id="3"/>
      <w:r w:rsidRPr="0008053E">
        <w:t xml:space="preserve"> </w:t>
      </w:r>
    </w:p>
    <w:p w14:paraId="5997420D" w14:textId="52C14CFE" w:rsidR="00CB19AB" w:rsidRPr="00037D55" w:rsidRDefault="00CB19AB" w:rsidP="007F16DD">
      <w:pPr>
        <w:pStyle w:val="Heading2"/>
      </w:pPr>
      <w:bookmarkStart w:id="4" w:name="_Toc174983270"/>
      <w:r w:rsidRPr="00037D55">
        <w:t>Liquidity Ratios</w:t>
      </w:r>
      <w:bookmarkEnd w:id="4"/>
    </w:p>
    <w:p w14:paraId="1093184C" w14:textId="21B79A6E" w:rsidR="00987410" w:rsidRDefault="00987410" w:rsidP="00987410">
      <w:pPr>
        <w:pStyle w:val="Caption"/>
        <w:keepNext/>
      </w:pPr>
      <w:bookmarkStart w:id="5" w:name="_Toc174983292"/>
      <w:r>
        <w:t xml:space="preserve">Figure </w:t>
      </w:r>
      <w:r>
        <w:fldChar w:fldCharType="begin"/>
      </w:r>
      <w:r>
        <w:instrText xml:space="preserve"> SEQ Figure \* ARABIC </w:instrText>
      </w:r>
      <w:r>
        <w:fldChar w:fldCharType="separate"/>
      </w:r>
      <w:r w:rsidR="00717194">
        <w:rPr>
          <w:noProof/>
        </w:rPr>
        <w:t>1</w:t>
      </w:r>
      <w:r>
        <w:fldChar w:fldCharType="end"/>
      </w:r>
      <w:r>
        <w:t>- Current Ratio Tesco PLC&amp; Marks and Spencer [source: author</w:t>
      </w:r>
      <w:r w:rsidR="00717194">
        <w:t xml:space="preserve">– </w:t>
      </w:r>
      <w:proofErr w:type="gramStart"/>
      <w:r w:rsidR="00717194">
        <w:t>calculated  from</w:t>
      </w:r>
      <w:proofErr w:type="gramEnd"/>
      <w:r w:rsidR="00717194">
        <w:t xml:space="preserve"> Yahoo.finance.com – Refer to Appendix</w:t>
      </w:r>
      <w:r>
        <w:t>]</w:t>
      </w:r>
      <w:bookmarkEnd w:id="5"/>
    </w:p>
    <w:tbl>
      <w:tblPr>
        <w:tblW w:w="3960" w:type="dxa"/>
        <w:tblLook w:val="04A0" w:firstRow="1" w:lastRow="0" w:firstColumn="1" w:lastColumn="0" w:noHBand="0" w:noVBand="1"/>
      </w:tblPr>
      <w:tblGrid>
        <w:gridCol w:w="1980"/>
        <w:gridCol w:w="1980"/>
      </w:tblGrid>
      <w:tr w:rsidR="008E672F" w14:paraId="04659438" w14:textId="77777777" w:rsidTr="008E672F">
        <w:trPr>
          <w:trHeight w:val="320"/>
        </w:trPr>
        <w:tc>
          <w:tcPr>
            <w:tcW w:w="1980" w:type="dxa"/>
            <w:tcBorders>
              <w:top w:val="nil"/>
              <w:left w:val="nil"/>
              <w:bottom w:val="nil"/>
              <w:right w:val="nil"/>
            </w:tcBorders>
            <w:shd w:val="clear" w:color="000000" w:fill="DAE9F8"/>
            <w:noWrap/>
            <w:vAlign w:val="bottom"/>
            <w:hideMark/>
          </w:tcPr>
          <w:p w14:paraId="0BDE78A0" w14:textId="77777777" w:rsidR="008E672F" w:rsidRDefault="008E672F">
            <w:pPr>
              <w:rPr>
                <w:rFonts w:ascii="Aptos Narrow" w:hAnsi="Aptos Narrow"/>
                <w:color w:val="000000"/>
              </w:rPr>
            </w:pPr>
            <w:r>
              <w:rPr>
                <w:rFonts w:ascii="Aptos Narrow" w:hAnsi="Aptos Narrow"/>
                <w:color w:val="000000"/>
              </w:rPr>
              <w:t xml:space="preserve">Tesco PCL </w:t>
            </w:r>
          </w:p>
        </w:tc>
        <w:tc>
          <w:tcPr>
            <w:tcW w:w="1980" w:type="dxa"/>
            <w:tcBorders>
              <w:top w:val="nil"/>
              <w:left w:val="nil"/>
              <w:bottom w:val="nil"/>
              <w:right w:val="nil"/>
            </w:tcBorders>
            <w:shd w:val="clear" w:color="000000" w:fill="E49EDD"/>
            <w:noWrap/>
            <w:vAlign w:val="bottom"/>
            <w:hideMark/>
          </w:tcPr>
          <w:p w14:paraId="70C65987" w14:textId="77777777" w:rsidR="008E672F" w:rsidRDefault="008E672F">
            <w:pPr>
              <w:rPr>
                <w:rFonts w:ascii="Aptos Narrow" w:hAnsi="Aptos Narrow"/>
                <w:color w:val="000000"/>
              </w:rPr>
            </w:pPr>
            <w:r>
              <w:rPr>
                <w:rFonts w:ascii="Aptos Narrow" w:hAnsi="Aptos Narrow"/>
                <w:color w:val="000000"/>
              </w:rPr>
              <w:t>Current Ration</w:t>
            </w:r>
          </w:p>
        </w:tc>
      </w:tr>
      <w:tr w:rsidR="008E672F" w14:paraId="4B93DF94" w14:textId="77777777" w:rsidTr="008E672F">
        <w:trPr>
          <w:trHeight w:val="320"/>
        </w:trPr>
        <w:tc>
          <w:tcPr>
            <w:tcW w:w="1980" w:type="dxa"/>
            <w:tcBorders>
              <w:top w:val="nil"/>
              <w:left w:val="nil"/>
              <w:bottom w:val="nil"/>
              <w:right w:val="nil"/>
            </w:tcBorders>
            <w:shd w:val="clear" w:color="auto" w:fill="auto"/>
            <w:noWrap/>
            <w:vAlign w:val="bottom"/>
            <w:hideMark/>
          </w:tcPr>
          <w:p w14:paraId="47F3EBB4" w14:textId="77777777" w:rsidR="008E672F" w:rsidRDefault="008E672F">
            <w:pPr>
              <w:rPr>
                <w:rFonts w:ascii="Aptos Narrow" w:hAnsi="Aptos Narrow"/>
                <w:color w:val="000000"/>
              </w:rPr>
            </w:pPr>
            <w:r>
              <w:rPr>
                <w:rFonts w:ascii="Aptos Narrow" w:hAnsi="Aptos Narrow"/>
                <w:color w:val="000000"/>
              </w:rPr>
              <w:t>2020</w:t>
            </w:r>
          </w:p>
        </w:tc>
        <w:tc>
          <w:tcPr>
            <w:tcW w:w="1980" w:type="dxa"/>
            <w:tcBorders>
              <w:top w:val="nil"/>
              <w:left w:val="nil"/>
              <w:bottom w:val="nil"/>
              <w:right w:val="nil"/>
            </w:tcBorders>
            <w:shd w:val="clear" w:color="auto" w:fill="auto"/>
            <w:noWrap/>
            <w:vAlign w:val="bottom"/>
            <w:hideMark/>
          </w:tcPr>
          <w:p w14:paraId="73A63D8A" w14:textId="77777777" w:rsidR="008E672F" w:rsidRDefault="008E672F">
            <w:pPr>
              <w:jc w:val="right"/>
              <w:rPr>
                <w:rFonts w:ascii="Aptos Narrow" w:hAnsi="Aptos Narrow"/>
                <w:color w:val="000000"/>
              </w:rPr>
            </w:pPr>
            <w:r>
              <w:rPr>
                <w:rFonts w:ascii="Aptos Narrow" w:hAnsi="Aptos Narrow"/>
                <w:color w:val="000000"/>
              </w:rPr>
              <w:t>0.73</w:t>
            </w:r>
          </w:p>
        </w:tc>
      </w:tr>
      <w:tr w:rsidR="008E672F" w14:paraId="2D3E807B" w14:textId="77777777" w:rsidTr="008E672F">
        <w:trPr>
          <w:trHeight w:val="320"/>
        </w:trPr>
        <w:tc>
          <w:tcPr>
            <w:tcW w:w="1980" w:type="dxa"/>
            <w:tcBorders>
              <w:top w:val="nil"/>
              <w:left w:val="nil"/>
              <w:bottom w:val="nil"/>
              <w:right w:val="nil"/>
            </w:tcBorders>
            <w:shd w:val="clear" w:color="auto" w:fill="auto"/>
            <w:noWrap/>
            <w:vAlign w:val="bottom"/>
            <w:hideMark/>
          </w:tcPr>
          <w:p w14:paraId="02F501C4" w14:textId="77777777" w:rsidR="008E672F" w:rsidRDefault="008E672F">
            <w:pPr>
              <w:rPr>
                <w:rFonts w:ascii="Aptos Narrow" w:hAnsi="Aptos Narrow"/>
                <w:color w:val="000000"/>
              </w:rPr>
            </w:pPr>
            <w:r>
              <w:rPr>
                <w:rFonts w:ascii="Aptos Narrow" w:hAnsi="Aptos Narrow"/>
                <w:color w:val="000000"/>
              </w:rPr>
              <w:t>2021</w:t>
            </w:r>
          </w:p>
        </w:tc>
        <w:tc>
          <w:tcPr>
            <w:tcW w:w="1980" w:type="dxa"/>
            <w:tcBorders>
              <w:top w:val="nil"/>
              <w:left w:val="nil"/>
              <w:bottom w:val="nil"/>
              <w:right w:val="nil"/>
            </w:tcBorders>
            <w:shd w:val="clear" w:color="auto" w:fill="auto"/>
            <w:noWrap/>
            <w:vAlign w:val="bottom"/>
            <w:hideMark/>
          </w:tcPr>
          <w:p w14:paraId="0C517D3F" w14:textId="77777777" w:rsidR="008E672F" w:rsidRDefault="008E672F">
            <w:pPr>
              <w:jc w:val="right"/>
              <w:rPr>
                <w:rFonts w:ascii="Aptos Narrow" w:hAnsi="Aptos Narrow"/>
                <w:color w:val="000000"/>
              </w:rPr>
            </w:pPr>
            <w:r>
              <w:rPr>
                <w:rFonts w:ascii="Aptos Narrow" w:hAnsi="Aptos Narrow"/>
                <w:color w:val="000000"/>
              </w:rPr>
              <w:t>0.69</w:t>
            </w:r>
          </w:p>
        </w:tc>
      </w:tr>
      <w:tr w:rsidR="008E672F" w14:paraId="6FE04EC2" w14:textId="77777777" w:rsidTr="008E672F">
        <w:trPr>
          <w:trHeight w:val="320"/>
        </w:trPr>
        <w:tc>
          <w:tcPr>
            <w:tcW w:w="1980" w:type="dxa"/>
            <w:tcBorders>
              <w:top w:val="nil"/>
              <w:left w:val="nil"/>
              <w:bottom w:val="nil"/>
              <w:right w:val="nil"/>
            </w:tcBorders>
            <w:shd w:val="clear" w:color="auto" w:fill="auto"/>
            <w:noWrap/>
            <w:vAlign w:val="bottom"/>
            <w:hideMark/>
          </w:tcPr>
          <w:p w14:paraId="51D3A7B2" w14:textId="77777777" w:rsidR="008E672F" w:rsidRDefault="008E672F">
            <w:pPr>
              <w:rPr>
                <w:rFonts w:ascii="Aptos Narrow" w:hAnsi="Aptos Narrow"/>
                <w:color w:val="000000"/>
              </w:rPr>
            </w:pPr>
            <w:r>
              <w:rPr>
                <w:rFonts w:ascii="Aptos Narrow" w:hAnsi="Aptos Narrow"/>
                <w:color w:val="000000"/>
              </w:rPr>
              <w:t>2022</w:t>
            </w:r>
          </w:p>
        </w:tc>
        <w:tc>
          <w:tcPr>
            <w:tcW w:w="1980" w:type="dxa"/>
            <w:tcBorders>
              <w:top w:val="nil"/>
              <w:left w:val="nil"/>
              <w:bottom w:val="nil"/>
              <w:right w:val="nil"/>
            </w:tcBorders>
            <w:shd w:val="clear" w:color="auto" w:fill="auto"/>
            <w:noWrap/>
            <w:vAlign w:val="bottom"/>
            <w:hideMark/>
          </w:tcPr>
          <w:p w14:paraId="3FD52B06" w14:textId="77777777" w:rsidR="008E672F" w:rsidRDefault="008E672F">
            <w:pPr>
              <w:jc w:val="right"/>
              <w:rPr>
                <w:rFonts w:ascii="Aptos Narrow" w:hAnsi="Aptos Narrow"/>
                <w:color w:val="000000"/>
              </w:rPr>
            </w:pPr>
            <w:r>
              <w:rPr>
                <w:rFonts w:ascii="Aptos Narrow" w:hAnsi="Aptos Narrow"/>
                <w:color w:val="000000"/>
              </w:rPr>
              <w:t>0.76</w:t>
            </w:r>
          </w:p>
        </w:tc>
      </w:tr>
      <w:tr w:rsidR="008E672F" w14:paraId="113CE292" w14:textId="77777777" w:rsidTr="008E672F">
        <w:trPr>
          <w:trHeight w:val="320"/>
        </w:trPr>
        <w:tc>
          <w:tcPr>
            <w:tcW w:w="1980" w:type="dxa"/>
            <w:tcBorders>
              <w:top w:val="nil"/>
              <w:left w:val="nil"/>
              <w:bottom w:val="nil"/>
              <w:right w:val="nil"/>
            </w:tcBorders>
            <w:shd w:val="clear" w:color="auto" w:fill="auto"/>
            <w:noWrap/>
            <w:vAlign w:val="bottom"/>
            <w:hideMark/>
          </w:tcPr>
          <w:p w14:paraId="0B3A508E" w14:textId="77777777" w:rsidR="008E672F" w:rsidRDefault="008E672F">
            <w:pPr>
              <w:rPr>
                <w:rFonts w:ascii="Aptos Narrow" w:hAnsi="Aptos Narrow"/>
                <w:color w:val="000000"/>
              </w:rPr>
            </w:pPr>
            <w:r>
              <w:rPr>
                <w:rFonts w:ascii="Aptos Narrow" w:hAnsi="Aptos Narrow"/>
                <w:color w:val="000000"/>
              </w:rPr>
              <w:t>2023</w:t>
            </w:r>
          </w:p>
        </w:tc>
        <w:tc>
          <w:tcPr>
            <w:tcW w:w="1980" w:type="dxa"/>
            <w:tcBorders>
              <w:top w:val="nil"/>
              <w:left w:val="nil"/>
              <w:bottom w:val="nil"/>
              <w:right w:val="nil"/>
            </w:tcBorders>
            <w:shd w:val="clear" w:color="auto" w:fill="auto"/>
            <w:noWrap/>
            <w:vAlign w:val="bottom"/>
            <w:hideMark/>
          </w:tcPr>
          <w:p w14:paraId="57311699" w14:textId="77777777" w:rsidR="008E672F" w:rsidRDefault="008E672F">
            <w:pPr>
              <w:jc w:val="right"/>
              <w:rPr>
                <w:rFonts w:ascii="Aptos Narrow" w:hAnsi="Aptos Narrow"/>
                <w:color w:val="000000"/>
              </w:rPr>
            </w:pPr>
            <w:r>
              <w:rPr>
                <w:rFonts w:ascii="Aptos Narrow" w:hAnsi="Aptos Narrow"/>
                <w:color w:val="000000"/>
              </w:rPr>
              <w:t>0.72</w:t>
            </w:r>
          </w:p>
        </w:tc>
      </w:tr>
      <w:tr w:rsidR="008E672F" w14:paraId="71935595" w14:textId="77777777" w:rsidTr="008E672F">
        <w:trPr>
          <w:trHeight w:val="320"/>
        </w:trPr>
        <w:tc>
          <w:tcPr>
            <w:tcW w:w="1980" w:type="dxa"/>
            <w:tcBorders>
              <w:top w:val="nil"/>
              <w:left w:val="nil"/>
              <w:bottom w:val="nil"/>
              <w:right w:val="nil"/>
            </w:tcBorders>
            <w:shd w:val="clear" w:color="auto" w:fill="auto"/>
            <w:noWrap/>
            <w:vAlign w:val="bottom"/>
            <w:hideMark/>
          </w:tcPr>
          <w:p w14:paraId="67CCBF99" w14:textId="77777777" w:rsidR="008E672F" w:rsidRDefault="008E672F">
            <w:pPr>
              <w:rPr>
                <w:rFonts w:ascii="Aptos Narrow" w:hAnsi="Aptos Narrow"/>
                <w:color w:val="000000"/>
              </w:rPr>
            </w:pPr>
            <w:r>
              <w:rPr>
                <w:rFonts w:ascii="Aptos Narrow" w:hAnsi="Aptos Narrow"/>
                <w:color w:val="000000"/>
              </w:rPr>
              <w:t>2024</w:t>
            </w:r>
          </w:p>
        </w:tc>
        <w:tc>
          <w:tcPr>
            <w:tcW w:w="1980" w:type="dxa"/>
            <w:tcBorders>
              <w:top w:val="nil"/>
              <w:left w:val="nil"/>
              <w:bottom w:val="nil"/>
              <w:right w:val="nil"/>
            </w:tcBorders>
            <w:shd w:val="clear" w:color="auto" w:fill="auto"/>
            <w:noWrap/>
            <w:vAlign w:val="bottom"/>
            <w:hideMark/>
          </w:tcPr>
          <w:p w14:paraId="34DF3224" w14:textId="77777777" w:rsidR="008E672F" w:rsidRDefault="008E672F">
            <w:pPr>
              <w:jc w:val="right"/>
              <w:rPr>
                <w:rFonts w:ascii="Aptos Narrow" w:hAnsi="Aptos Narrow"/>
                <w:color w:val="000000"/>
              </w:rPr>
            </w:pPr>
            <w:r>
              <w:rPr>
                <w:rFonts w:ascii="Aptos Narrow" w:hAnsi="Aptos Narrow"/>
                <w:color w:val="000000"/>
              </w:rPr>
              <w:t>1.24</w:t>
            </w:r>
          </w:p>
        </w:tc>
      </w:tr>
      <w:tr w:rsidR="008E672F" w14:paraId="62CE0BE0" w14:textId="77777777" w:rsidTr="008E672F">
        <w:trPr>
          <w:trHeight w:val="320"/>
        </w:trPr>
        <w:tc>
          <w:tcPr>
            <w:tcW w:w="1980" w:type="dxa"/>
            <w:tcBorders>
              <w:top w:val="nil"/>
              <w:left w:val="nil"/>
              <w:bottom w:val="nil"/>
              <w:right w:val="nil"/>
            </w:tcBorders>
            <w:shd w:val="clear" w:color="000000" w:fill="DAF2D0"/>
            <w:noWrap/>
            <w:vAlign w:val="bottom"/>
            <w:hideMark/>
          </w:tcPr>
          <w:p w14:paraId="3C473269" w14:textId="77777777" w:rsidR="008E672F" w:rsidRDefault="008E672F">
            <w:pPr>
              <w:rPr>
                <w:rFonts w:ascii="Aptos Narrow" w:hAnsi="Aptos Narrow"/>
                <w:color w:val="000000"/>
              </w:rPr>
            </w:pPr>
            <w:r>
              <w:rPr>
                <w:rFonts w:ascii="Aptos Narrow" w:hAnsi="Aptos Narrow"/>
                <w:color w:val="000000"/>
              </w:rPr>
              <w:t xml:space="preserve">Marks and Spencer </w:t>
            </w:r>
          </w:p>
        </w:tc>
        <w:tc>
          <w:tcPr>
            <w:tcW w:w="1980" w:type="dxa"/>
            <w:tcBorders>
              <w:top w:val="nil"/>
              <w:left w:val="nil"/>
              <w:bottom w:val="nil"/>
              <w:right w:val="nil"/>
            </w:tcBorders>
            <w:shd w:val="clear" w:color="auto" w:fill="auto"/>
            <w:noWrap/>
            <w:vAlign w:val="bottom"/>
            <w:hideMark/>
          </w:tcPr>
          <w:p w14:paraId="1265B499" w14:textId="77777777" w:rsidR="008E672F" w:rsidRDefault="008E672F">
            <w:pPr>
              <w:rPr>
                <w:rFonts w:ascii="Aptos Narrow" w:hAnsi="Aptos Narrow"/>
                <w:color w:val="000000"/>
              </w:rPr>
            </w:pPr>
          </w:p>
        </w:tc>
      </w:tr>
      <w:tr w:rsidR="008E672F" w14:paraId="43A48F58" w14:textId="77777777" w:rsidTr="008E672F">
        <w:trPr>
          <w:trHeight w:val="320"/>
        </w:trPr>
        <w:tc>
          <w:tcPr>
            <w:tcW w:w="1980" w:type="dxa"/>
            <w:tcBorders>
              <w:top w:val="nil"/>
              <w:left w:val="nil"/>
              <w:bottom w:val="nil"/>
              <w:right w:val="nil"/>
            </w:tcBorders>
            <w:shd w:val="clear" w:color="auto" w:fill="auto"/>
            <w:noWrap/>
            <w:vAlign w:val="bottom"/>
            <w:hideMark/>
          </w:tcPr>
          <w:p w14:paraId="15AA765B" w14:textId="77777777" w:rsidR="008E672F" w:rsidRDefault="008E672F">
            <w:pPr>
              <w:rPr>
                <w:rFonts w:ascii="Aptos Narrow" w:hAnsi="Aptos Narrow"/>
                <w:color w:val="000000"/>
              </w:rPr>
            </w:pPr>
            <w:r>
              <w:rPr>
                <w:rFonts w:ascii="Aptos Narrow" w:hAnsi="Aptos Narrow"/>
                <w:color w:val="000000"/>
              </w:rPr>
              <w:t>2024</w:t>
            </w:r>
          </w:p>
        </w:tc>
        <w:tc>
          <w:tcPr>
            <w:tcW w:w="1980" w:type="dxa"/>
            <w:tcBorders>
              <w:top w:val="nil"/>
              <w:left w:val="nil"/>
              <w:bottom w:val="nil"/>
              <w:right w:val="nil"/>
            </w:tcBorders>
            <w:shd w:val="clear" w:color="auto" w:fill="auto"/>
            <w:noWrap/>
            <w:vAlign w:val="bottom"/>
            <w:hideMark/>
          </w:tcPr>
          <w:p w14:paraId="478B3CB4" w14:textId="77777777" w:rsidR="008E672F" w:rsidRDefault="008E672F">
            <w:pPr>
              <w:jc w:val="right"/>
              <w:rPr>
                <w:rFonts w:ascii="Aptos Narrow" w:hAnsi="Aptos Narrow"/>
                <w:color w:val="000000"/>
              </w:rPr>
            </w:pPr>
            <w:r>
              <w:rPr>
                <w:rFonts w:ascii="Aptos Narrow" w:hAnsi="Aptos Narrow"/>
                <w:color w:val="000000"/>
              </w:rPr>
              <w:t>0.86</w:t>
            </w:r>
          </w:p>
        </w:tc>
      </w:tr>
    </w:tbl>
    <w:p w14:paraId="564C70AA" w14:textId="62D921D9" w:rsidR="00477952" w:rsidRDefault="00477952" w:rsidP="00966135">
      <w:pPr>
        <w:pStyle w:val="NormalWeb"/>
        <w:spacing w:line="360" w:lineRule="auto"/>
        <w:rPr>
          <w:rFonts w:ascii="ArialMT" w:hAnsi="ArialMT"/>
          <w:color w:val="000000" w:themeColor="text1"/>
          <w:sz w:val="22"/>
          <w:szCs w:val="22"/>
        </w:rPr>
      </w:pPr>
      <w:r w:rsidRPr="00477952">
        <w:rPr>
          <w:rFonts w:ascii="ArialMT" w:hAnsi="ArialMT"/>
          <w:color w:val="000000" w:themeColor="text1"/>
          <w:sz w:val="22"/>
          <w:szCs w:val="22"/>
        </w:rPr>
        <w:t>In the retail industry, the average current ratio typically ranges between 1.0 and 1.5.</w:t>
      </w:r>
      <w:r>
        <w:rPr>
          <w:rFonts w:ascii="ArialMT" w:hAnsi="ArialMT"/>
          <w:color w:val="000000" w:themeColor="text1"/>
          <w:sz w:val="22"/>
          <w:szCs w:val="22"/>
        </w:rPr>
        <w:t xml:space="preserve"> (Freshbooks.co.uk 2023) </w:t>
      </w:r>
      <w:r w:rsidR="00FF3743" w:rsidRPr="00FF3743">
        <w:rPr>
          <w:rFonts w:ascii="ArialMT" w:hAnsi="ArialMT"/>
          <w:color w:val="000000" w:themeColor="text1"/>
          <w:sz w:val="22"/>
          <w:szCs w:val="22"/>
        </w:rPr>
        <w:t>A key financial indicator for assessing a company's liquidity is its current ratio</w:t>
      </w:r>
      <w:r w:rsidR="00AF1F66">
        <w:rPr>
          <w:rFonts w:ascii="ArialMT" w:hAnsi="ArialMT"/>
          <w:color w:val="000000" w:themeColor="text1"/>
          <w:sz w:val="22"/>
          <w:szCs w:val="22"/>
        </w:rPr>
        <w:t>. According to Coulon</w:t>
      </w:r>
      <w:r w:rsidR="00FF3743" w:rsidRPr="00FF3743">
        <w:rPr>
          <w:rFonts w:ascii="ArialMT" w:hAnsi="ArialMT"/>
          <w:color w:val="000000" w:themeColor="text1"/>
          <w:sz w:val="22"/>
          <w:szCs w:val="22"/>
        </w:rPr>
        <w:t xml:space="preserve"> </w:t>
      </w:r>
      <w:r w:rsidR="00AF1F66" w:rsidRPr="00AF1F66">
        <w:rPr>
          <w:rFonts w:ascii="ArialMT" w:hAnsi="ArialMT"/>
          <w:color w:val="000000" w:themeColor="text1"/>
          <w:sz w:val="22"/>
          <w:szCs w:val="22"/>
        </w:rPr>
        <w:t xml:space="preserve">In his 2019 book Rational Investing with Ratios: Implementing Ratios with Enterprise Value and </w:t>
      </w:r>
      <w:r w:rsidR="00AF1F66" w:rsidRPr="00AF1F66">
        <w:rPr>
          <w:rFonts w:ascii="ArialMT" w:hAnsi="ArialMT"/>
          <w:color w:val="000000" w:themeColor="text1"/>
          <w:sz w:val="22"/>
          <w:szCs w:val="22"/>
        </w:rPr>
        <w:t>Behavioural</w:t>
      </w:r>
      <w:r w:rsidR="00AF1F66" w:rsidRPr="00AF1F66">
        <w:rPr>
          <w:rFonts w:ascii="ArialMT" w:hAnsi="ArialMT"/>
          <w:color w:val="000000" w:themeColor="text1"/>
          <w:sz w:val="22"/>
          <w:szCs w:val="22"/>
        </w:rPr>
        <w:t xml:space="preserve"> Finance, Yannick Coulon explains that the current ratio is determined by dividing a company's current assets by its current liabilities. This financial metric helps analysts and investors assess whether a company possesses enough short-term assets to cover its short-term obligations. Generally, a higher current ratio signifies a stronger liquidity position, implying that the company is better equipped to meet its short-term financial commitments.</w:t>
      </w:r>
    </w:p>
    <w:p w14:paraId="33BDCAD9" w14:textId="1DFB8C92" w:rsidR="004311E2" w:rsidRDefault="00FF3743" w:rsidP="00966135">
      <w:pPr>
        <w:pStyle w:val="NormalWeb"/>
        <w:spacing w:line="360" w:lineRule="auto"/>
        <w:rPr>
          <w:rFonts w:ascii="ArialMT" w:hAnsi="ArialMT"/>
          <w:color w:val="000000" w:themeColor="text1"/>
          <w:sz w:val="22"/>
          <w:szCs w:val="22"/>
        </w:rPr>
      </w:pPr>
      <w:r>
        <w:rPr>
          <w:rFonts w:ascii="ArialMT" w:hAnsi="ArialMT"/>
          <w:color w:val="000000" w:themeColor="text1"/>
          <w:sz w:val="22"/>
          <w:szCs w:val="22"/>
        </w:rPr>
        <w:t xml:space="preserve"> </w:t>
      </w:r>
      <w:r w:rsidR="00966135" w:rsidRPr="00966135">
        <w:rPr>
          <w:rFonts w:ascii="ArialMT" w:hAnsi="ArialMT"/>
          <w:color w:val="000000" w:themeColor="text1"/>
          <w:sz w:val="22"/>
          <w:szCs w:val="22"/>
        </w:rPr>
        <w:t>Over the five</w:t>
      </w:r>
      <w:r>
        <w:rPr>
          <w:rFonts w:ascii="ArialMT" w:hAnsi="ArialMT"/>
          <w:color w:val="000000" w:themeColor="text1"/>
          <w:sz w:val="22"/>
          <w:szCs w:val="22"/>
        </w:rPr>
        <w:t xml:space="preserve"> years</w:t>
      </w:r>
      <w:r w:rsidR="00966135" w:rsidRPr="00966135">
        <w:rPr>
          <w:rFonts w:ascii="ArialMT" w:hAnsi="ArialMT"/>
          <w:color w:val="000000" w:themeColor="text1"/>
          <w:sz w:val="22"/>
          <w:szCs w:val="22"/>
        </w:rPr>
        <w:t xml:space="preserve"> from 2020 to 2024, Tesco PLC’s current ratio has displayed significant variability, reflecting </w:t>
      </w:r>
      <w:r w:rsidR="00A37BAF">
        <w:rPr>
          <w:rFonts w:ascii="ArialMT" w:hAnsi="ArialMT"/>
          <w:color w:val="000000" w:themeColor="text1"/>
          <w:sz w:val="22"/>
          <w:szCs w:val="22"/>
        </w:rPr>
        <w:t xml:space="preserve">the company’s short-term financial health </w:t>
      </w:r>
      <w:r w:rsidR="00C01E15">
        <w:rPr>
          <w:rFonts w:ascii="ArialMT" w:hAnsi="ArialMT"/>
          <w:color w:val="000000" w:themeColor="text1"/>
          <w:sz w:val="22"/>
          <w:szCs w:val="22"/>
        </w:rPr>
        <w:t>improvement</w:t>
      </w:r>
      <w:r w:rsidR="00966135" w:rsidRPr="00966135">
        <w:rPr>
          <w:rFonts w:ascii="ArialMT" w:hAnsi="ArialMT"/>
          <w:color w:val="000000" w:themeColor="text1"/>
          <w:sz w:val="22"/>
          <w:szCs w:val="22"/>
        </w:rPr>
        <w:t>. Beginning at 0.73 in 2020, the ratio dropped to a low of 0.69 in 2021 before recovering slightly to 0.76 in 2022. This was followed by another slight d</w:t>
      </w:r>
      <w:r w:rsidR="00B625EF">
        <w:rPr>
          <w:rFonts w:ascii="ArialMT" w:hAnsi="ArialMT"/>
          <w:color w:val="000000" w:themeColor="text1"/>
          <w:sz w:val="22"/>
          <w:szCs w:val="22"/>
        </w:rPr>
        <w:t>rop</w:t>
      </w:r>
      <w:r w:rsidR="00966135" w:rsidRPr="00966135">
        <w:rPr>
          <w:rFonts w:ascii="ArialMT" w:hAnsi="ArialMT"/>
          <w:color w:val="000000" w:themeColor="text1"/>
          <w:sz w:val="22"/>
          <w:szCs w:val="22"/>
        </w:rPr>
        <w:t xml:space="preserve"> to 0.72 in 2023, before a marked improvement to 1.24 in 2024.</w:t>
      </w:r>
      <w:r w:rsidR="00F86C72">
        <w:rPr>
          <w:rFonts w:ascii="ArialMT" w:hAnsi="ArialMT"/>
          <w:color w:val="000000" w:themeColor="text1"/>
          <w:sz w:val="22"/>
          <w:szCs w:val="22"/>
        </w:rPr>
        <w:t xml:space="preserve"> </w:t>
      </w:r>
      <w:r w:rsidR="008E5B46" w:rsidRPr="008E5B46">
        <w:rPr>
          <w:rFonts w:ascii="ArialMT" w:hAnsi="ArialMT"/>
          <w:color w:val="000000" w:themeColor="text1"/>
          <w:sz w:val="22"/>
          <w:szCs w:val="22"/>
        </w:rPr>
        <w:t>In the broader retail industry, a current ratio of around 1.0 is generally seen as a sign of financial health, indicating that a company has sufficient current assets to meet its short-term liabilities</w:t>
      </w:r>
      <w:r w:rsidR="00017506">
        <w:rPr>
          <w:rFonts w:ascii="ArialMT" w:hAnsi="ArialMT"/>
          <w:color w:val="000000" w:themeColor="text1"/>
          <w:sz w:val="22"/>
          <w:szCs w:val="22"/>
        </w:rPr>
        <w:t xml:space="preserve"> </w:t>
      </w:r>
      <w:r w:rsidR="00B00A98">
        <w:rPr>
          <w:rFonts w:ascii="ArialMT" w:hAnsi="ArialMT"/>
          <w:color w:val="000000" w:themeColor="text1"/>
          <w:sz w:val="22"/>
          <w:szCs w:val="22"/>
        </w:rPr>
        <w:t>(</w:t>
      </w:r>
      <w:r w:rsidR="00CE22D0">
        <w:rPr>
          <w:rFonts w:ascii="ArialMT" w:hAnsi="ArialMT"/>
          <w:color w:val="000000" w:themeColor="text1"/>
          <w:sz w:val="22"/>
          <w:szCs w:val="22"/>
        </w:rPr>
        <w:t>Gall</w:t>
      </w:r>
      <w:r w:rsidR="00CE4D36">
        <w:rPr>
          <w:rFonts w:ascii="ArialMT" w:hAnsi="ArialMT"/>
          <w:color w:val="000000" w:themeColor="text1"/>
          <w:sz w:val="22"/>
          <w:szCs w:val="22"/>
        </w:rPr>
        <w:t>o, A. 2015</w:t>
      </w:r>
      <w:r w:rsidR="006F547A">
        <w:rPr>
          <w:rFonts w:ascii="ArialMT" w:hAnsi="ArialMT"/>
          <w:color w:val="000000" w:themeColor="text1"/>
          <w:sz w:val="22"/>
          <w:szCs w:val="22"/>
        </w:rPr>
        <w:t xml:space="preserve">). </w:t>
      </w:r>
      <w:r w:rsidR="0066239C" w:rsidRPr="0066239C">
        <w:rPr>
          <w:rFonts w:ascii="ArialMT" w:hAnsi="ArialMT"/>
          <w:color w:val="000000" w:themeColor="text1"/>
          <w:sz w:val="22"/>
          <w:szCs w:val="22"/>
        </w:rPr>
        <w:t xml:space="preserve">Tesco experienced liquidity problems in the early years, when current liabilities exceeded current assets, as seen by ratios that were continuously below 1.0. This shows that the business might have had trouble covering its short-term debts without </w:t>
      </w:r>
      <w:r w:rsidR="00C01E15">
        <w:rPr>
          <w:rFonts w:ascii="ArialMT" w:hAnsi="ArialMT"/>
          <w:color w:val="000000" w:themeColor="text1"/>
          <w:sz w:val="22"/>
          <w:szCs w:val="22"/>
        </w:rPr>
        <w:t>selling off assets or turning</w:t>
      </w:r>
      <w:r w:rsidR="0066239C" w:rsidRPr="0066239C">
        <w:rPr>
          <w:rFonts w:ascii="ArialMT" w:hAnsi="ArialMT"/>
          <w:color w:val="000000" w:themeColor="text1"/>
          <w:sz w:val="22"/>
          <w:szCs w:val="22"/>
        </w:rPr>
        <w:t xml:space="preserve"> to outside funding</w:t>
      </w:r>
      <w:r w:rsidR="0021075D">
        <w:rPr>
          <w:rFonts w:ascii="ArialMT" w:hAnsi="ArialMT"/>
          <w:color w:val="000000" w:themeColor="text1"/>
          <w:sz w:val="22"/>
          <w:szCs w:val="22"/>
        </w:rPr>
        <w:t xml:space="preserve"> (</w:t>
      </w:r>
      <w:r w:rsidR="00E15A9D">
        <w:rPr>
          <w:rFonts w:ascii="ArialMT" w:hAnsi="ArialMT"/>
          <w:color w:val="000000" w:themeColor="text1"/>
          <w:sz w:val="22"/>
          <w:szCs w:val="22"/>
        </w:rPr>
        <w:t>Gallo, A. 2015)</w:t>
      </w:r>
      <w:r w:rsidR="0066239C" w:rsidRPr="0066239C">
        <w:rPr>
          <w:rFonts w:ascii="ArialMT" w:hAnsi="ArialMT"/>
          <w:color w:val="000000" w:themeColor="text1"/>
          <w:sz w:val="22"/>
          <w:szCs w:val="22"/>
        </w:rPr>
        <w:t xml:space="preserve">, which might have put it </w:t>
      </w:r>
      <w:r w:rsidR="00C01E15">
        <w:rPr>
          <w:rFonts w:ascii="ArialMT" w:hAnsi="ArialMT"/>
          <w:color w:val="000000" w:themeColor="text1"/>
          <w:sz w:val="22"/>
          <w:szCs w:val="22"/>
        </w:rPr>
        <w:t>in</w:t>
      </w:r>
      <w:r w:rsidR="0066239C" w:rsidRPr="0066239C">
        <w:rPr>
          <w:rFonts w:ascii="ArialMT" w:hAnsi="ArialMT"/>
          <w:color w:val="000000" w:themeColor="text1"/>
          <w:sz w:val="22"/>
          <w:szCs w:val="22"/>
        </w:rPr>
        <w:t xml:space="preserve"> danger during unstable economic times or unexpected bills.</w:t>
      </w:r>
      <w:r w:rsidR="0066239C">
        <w:rPr>
          <w:rFonts w:ascii="ArialMT" w:hAnsi="ArialMT"/>
          <w:color w:val="000000" w:themeColor="text1"/>
          <w:sz w:val="22"/>
          <w:szCs w:val="22"/>
        </w:rPr>
        <w:t xml:space="preserve"> </w:t>
      </w:r>
      <w:r w:rsidR="004311E2" w:rsidRPr="004311E2">
        <w:rPr>
          <w:rFonts w:ascii="ArialMT" w:hAnsi="ArialMT"/>
          <w:color w:val="000000" w:themeColor="text1"/>
          <w:sz w:val="22"/>
          <w:szCs w:val="22"/>
        </w:rPr>
        <w:lastRenderedPageBreak/>
        <w:t>Tesco's liquidity position has significantly improved, as seen by its rapid increase to a current ratio of 1.24 in 2024.</w:t>
      </w:r>
      <w:r w:rsidR="00576283">
        <w:rPr>
          <w:rFonts w:ascii="ArialMT" w:hAnsi="ArialMT"/>
          <w:color w:val="000000" w:themeColor="text1"/>
          <w:sz w:val="22"/>
          <w:szCs w:val="22"/>
        </w:rPr>
        <w:t xml:space="preserve"> </w:t>
      </w:r>
      <w:r w:rsidR="0060415D" w:rsidRPr="0060415D">
        <w:rPr>
          <w:rFonts w:ascii="ArialMT" w:hAnsi="ArialMT"/>
          <w:color w:val="000000" w:themeColor="text1"/>
          <w:sz w:val="22"/>
          <w:szCs w:val="22"/>
        </w:rPr>
        <w:t>There are several reasons for Tesco's current ratio to have significantly improved from 0.69 in 2021 to 1.24 in 2024. The early decline in 2021 most likely reflects the COVID-19 pandemic's effects.</w:t>
      </w:r>
      <w:r w:rsidR="0060415D">
        <w:rPr>
          <w:rFonts w:ascii="ArialMT" w:hAnsi="ArialMT"/>
          <w:color w:val="000000" w:themeColor="text1"/>
          <w:sz w:val="22"/>
          <w:szCs w:val="22"/>
        </w:rPr>
        <w:t xml:space="preserve"> </w:t>
      </w:r>
      <w:r w:rsidR="00576283" w:rsidRPr="00576283">
        <w:rPr>
          <w:rFonts w:ascii="ArialMT" w:hAnsi="ArialMT"/>
          <w:color w:val="000000" w:themeColor="text1"/>
          <w:sz w:val="22"/>
          <w:szCs w:val="22"/>
        </w:rPr>
        <w:t>This improvement result</w:t>
      </w:r>
      <w:r w:rsidR="00576283">
        <w:rPr>
          <w:rFonts w:ascii="ArialMT" w:hAnsi="ArialMT"/>
          <w:color w:val="000000" w:themeColor="text1"/>
          <w:sz w:val="22"/>
          <w:szCs w:val="22"/>
        </w:rPr>
        <w:t>ed</w:t>
      </w:r>
      <w:r w:rsidR="00576283" w:rsidRPr="00576283">
        <w:rPr>
          <w:rFonts w:ascii="ArialMT" w:hAnsi="ArialMT"/>
          <w:color w:val="000000" w:themeColor="text1"/>
          <w:sz w:val="22"/>
          <w:szCs w:val="22"/>
        </w:rPr>
        <w:t xml:space="preserve"> from strategic financial management, such as enhancing cash reserves, reducing short-term liabilities, or improving inventory turnover.</w:t>
      </w:r>
      <w:r w:rsidR="00576283">
        <w:rPr>
          <w:rFonts w:ascii="ArialMT" w:hAnsi="ArialMT"/>
          <w:color w:val="000000" w:themeColor="text1"/>
          <w:sz w:val="22"/>
          <w:szCs w:val="22"/>
        </w:rPr>
        <w:t xml:space="preserve"> </w:t>
      </w:r>
      <w:r w:rsidR="003615C8" w:rsidRPr="003615C8">
        <w:rPr>
          <w:rFonts w:ascii="ArialMT" w:hAnsi="ArialMT"/>
          <w:color w:val="000000" w:themeColor="text1"/>
          <w:sz w:val="22"/>
          <w:szCs w:val="22"/>
        </w:rPr>
        <w:t>The 2024 ratio indicates that Tesco has moved to a more secure financial position, capable of covering its short-term liabilities with a comfortable margin.</w:t>
      </w:r>
    </w:p>
    <w:p w14:paraId="2F5E1B9D" w14:textId="0A6CF4C9" w:rsidR="00966135" w:rsidRPr="00966135" w:rsidRDefault="00DC2ABD" w:rsidP="00966135">
      <w:pPr>
        <w:pStyle w:val="NormalWeb"/>
        <w:spacing w:line="360" w:lineRule="auto"/>
        <w:rPr>
          <w:rFonts w:ascii="ArialMT" w:hAnsi="ArialMT"/>
          <w:color w:val="000000" w:themeColor="text1"/>
          <w:sz w:val="22"/>
          <w:szCs w:val="22"/>
        </w:rPr>
      </w:pPr>
      <w:r w:rsidRPr="00DC2ABD">
        <w:rPr>
          <w:rFonts w:ascii="ArialMT" w:hAnsi="ArialMT"/>
          <w:color w:val="000000" w:themeColor="text1"/>
          <w:sz w:val="22"/>
          <w:szCs w:val="22"/>
        </w:rPr>
        <w:t>When comparing Tesco’s current ratio to that of Marks and Spencer (M&amp;S) in 2024</w:t>
      </w:r>
      <w:r w:rsidR="00BD5CE7">
        <w:rPr>
          <w:rFonts w:ascii="ArialMT" w:hAnsi="ArialMT"/>
          <w:color w:val="000000" w:themeColor="text1"/>
          <w:sz w:val="22"/>
          <w:szCs w:val="22"/>
        </w:rPr>
        <w:t xml:space="preserve"> (</w:t>
      </w:r>
      <w:r w:rsidR="00A058BC">
        <w:rPr>
          <w:rFonts w:ascii="ArialMT" w:hAnsi="ArialMT"/>
          <w:color w:val="000000" w:themeColor="text1"/>
          <w:sz w:val="22"/>
          <w:szCs w:val="22"/>
        </w:rPr>
        <w:t>Corporate.marksandspencer.com 2024),</w:t>
      </w:r>
      <w:r w:rsidRPr="00DC2ABD">
        <w:rPr>
          <w:rFonts w:ascii="ArialMT" w:hAnsi="ArialMT"/>
          <w:color w:val="000000" w:themeColor="text1"/>
          <w:sz w:val="22"/>
          <w:szCs w:val="22"/>
        </w:rPr>
        <w:t xml:space="preserve"> which stood at 0.86, Tesco’s position appears significantly stronger.</w:t>
      </w:r>
      <w:r>
        <w:rPr>
          <w:rFonts w:ascii="ArialMT" w:hAnsi="ArialMT"/>
          <w:color w:val="000000" w:themeColor="text1"/>
          <w:sz w:val="22"/>
          <w:szCs w:val="22"/>
        </w:rPr>
        <w:t xml:space="preserve"> </w:t>
      </w:r>
      <w:r w:rsidR="00BC4347" w:rsidRPr="00BC4347">
        <w:rPr>
          <w:rFonts w:ascii="ArialMT" w:hAnsi="ArialMT"/>
          <w:color w:val="000000" w:themeColor="text1"/>
          <w:sz w:val="22"/>
          <w:szCs w:val="22"/>
        </w:rPr>
        <w:t>The ratio of Marks &amp; Spencer indicates a moderate liquidity position however, it suggests that Tesco has a better chance to manage short-term financial obligations without possible difficulties.</w:t>
      </w:r>
      <w:r w:rsidR="00BC4347">
        <w:rPr>
          <w:rFonts w:ascii="ArialMT" w:hAnsi="ArialMT"/>
          <w:color w:val="000000" w:themeColor="text1"/>
          <w:sz w:val="22"/>
          <w:szCs w:val="22"/>
        </w:rPr>
        <w:t xml:space="preserve"> </w:t>
      </w:r>
      <w:r w:rsidR="001E26FA" w:rsidRPr="001E26FA">
        <w:rPr>
          <w:rFonts w:ascii="ArialMT" w:hAnsi="ArialMT"/>
          <w:color w:val="000000" w:themeColor="text1"/>
          <w:sz w:val="22"/>
          <w:szCs w:val="22"/>
        </w:rPr>
        <w:t>The gap between the two companies’ ratios in 2024</w:t>
      </w:r>
      <w:r w:rsidR="005D5AC4">
        <w:rPr>
          <w:rFonts w:ascii="ArialMT" w:hAnsi="ArialMT"/>
          <w:color w:val="000000" w:themeColor="text1"/>
          <w:sz w:val="22"/>
          <w:szCs w:val="22"/>
        </w:rPr>
        <w:t xml:space="preserve"> highlights</w:t>
      </w:r>
      <w:r w:rsidR="001E26FA" w:rsidRPr="001E26FA">
        <w:rPr>
          <w:rFonts w:ascii="ArialMT" w:hAnsi="ArialMT"/>
          <w:color w:val="000000" w:themeColor="text1"/>
          <w:sz w:val="22"/>
          <w:szCs w:val="22"/>
        </w:rPr>
        <w:t xml:space="preserve"> Tesco’s successful liquidity management efforts</w:t>
      </w:r>
      <w:r w:rsidR="00076F1A">
        <w:rPr>
          <w:rFonts w:ascii="ArialMT" w:hAnsi="ArialMT"/>
          <w:color w:val="000000" w:themeColor="text1"/>
          <w:sz w:val="22"/>
          <w:szCs w:val="22"/>
        </w:rPr>
        <w:t xml:space="preserve">. </w:t>
      </w:r>
      <w:r w:rsidR="00051CD1">
        <w:rPr>
          <w:rFonts w:ascii="ArialMT" w:hAnsi="ArialMT"/>
          <w:color w:val="000000" w:themeColor="text1"/>
          <w:sz w:val="22"/>
          <w:szCs w:val="22"/>
        </w:rPr>
        <w:t xml:space="preserve"> </w:t>
      </w:r>
    </w:p>
    <w:p w14:paraId="344F74E2" w14:textId="2360C262" w:rsidR="00987410" w:rsidRDefault="00987410" w:rsidP="00987410">
      <w:pPr>
        <w:pStyle w:val="Caption"/>
        <w:keepNext/>
      </w:pPr>
      <w:bookmarkStart w:id="6" w:name="_Toc174983293"/>
      <w:r>
        <w:t xml:space="preserve">Figure </w:t>
      </w:r>
      <w:r>
        <w:fldChar w:fldCharType="begin"/>
      </w:r>
      <w:r>
        <w:instrText xml:space="preserve"> SEQ Figure \* ARABIC </w:instrText>
      </w:r>
      <w:r>
        <w:fldChar w:fldCharType="separate"/>
      </w:r>
      <w:r w:rsidR="00717194">
        <w:rPr>
          <w:noProof/>
        </w:rPr>
        <w:t>2</w:t>
      </w:r>
      <w:r>
        <w:fldChar w:fldCharType="end"/>
      </w:r>
      <w:r>
        <w:t xml:space="preserve"> - Quick Ratio - </w:t>
      </w:r>
      <w:r w:rsidRPr="00FD06CC">
        <w:t>Tesco PLC&amp; Marks and Spencer [source: author</w:t>
      </w:r>
      <w:r w:rsidR="00717194">
        <w:t xml:space="preserve">– </w:t>
      </w:r>
      <w:proofErr w:type="gramStart"/>
      <w:r w:rsidR="00717194">
        <w:t>calculated  from</w:t>
      </w:r>
      <w:proofErr w:type="gramEnd"/>
      <w:r w:rsidR="00717194">
        <w:t xml:space="preserve"> Yahoo.finance.com – Refer to Appendix]</w:t>
      </w:r>
      <w:bookmarkEnd w:id="6"/>
    </w:p>
    <w:tbl>
      <w:tblPr>
        <w:tblW w:w="3820" w:type="dxa"/>
        <w:tblLook w:val="04A0" w:firstRow="1" w:lastRow="0" w:firstColumn="1" w:lastColumn="0" w:noHBand="0" w:noVBand="1"/>
      </w:tblPr>
      <w:tblGrid>
        <w:gridCol w:w="1960"/>
        <w:gridCol w:w="1860"/>
      </w:tblGrid>
      <w:tr w:rsidR="00037D55" w14:paraId="5703EA3A" w14:textId="77777777" w:rsidTr="00037D55">
        <w:trPr>
          <w:trHeight w:val="320"/>
        </w:trPr>
        <w:tc>
          <w:tcPr>
            <w:tcW w:w="1960" w:type="dxa"/>
            <w:tcBorders>
              <w:top w:val="nil"/>
              <w:left w:val="nil"/>
              <w:bottom w:val="nil"/>
              <w:right w:val="nil"/>
            </w:tcBorders>
            <w:shd w:val="clear" w:color="000000" w:fill="DAE9F8"/>
            <w:noWrap/>
            <w:vAlign w:val="bottom"/>
            <w:hideMark/>
          </w:tcPr>
          <w:p w14:paraId="69F8BC54" w14:textId="77777777" w:rsidR="00037D55" w:rsidRDefault="00037D55">
            <w:pPr>
              <w:rPr>
                <w:rFonts w:ascii="Aptos Narrow" w:hAnsi="Aptos Narrow"/>
                <w:color w:val="000000"/>
              </w:rPr>
            </w:pPr>
            <w:r>
              <w:rPr>
                <w:rFonts w:ascii="Aptos Narrow" w:hAnsi="Aptos Narrow"/>
                <w:color w:val="000000"/>
              </w:rPr>
              <w:t xml:space="preserve">Tesco PCL </w:t>
            </w:r>
          </w:p>
        </w:tc>
        <w:tc>
          <w:tcPr>
            <w:tcW w:w="1860" w:type="dxa"/>
            <w:tcBorders>
              <w:top w:val="nil"/>
              <w:left w:val="nil"/>
              <w:bottom w:val="nil"/>
              <w:right w:val="nil"/>
            </w:tcBorders>
            <w:shd w:val="clear" w:color="000000" w:fill="E49EDD"/>
            <w:noWrap/>
            <w:vAlign w:val="bottom"/>
            <w:hideMark/>
          </w:tcPr>
          <w:p w14:paraId="065DC965" w14:textId="77777777" w:rsidR="00037D55" w:rsidRDefault="00037D55">
            <w:pPr>
              <w:rPr>
                <w:rFonts w:ascii="Aptos Narrow" w:hAnsi="Aptos Narrow"/>
                <w:color w:val="000000"/>
              </w:rPr>
            </w:pPr>
            <w:r>
              <w:rPr>
                <w:rFonts w:ascii="Aptos Narrow" w:hAnsi="Aptos Narrow"/>
                <w:color w:val="000000"/>
              </w:rPr>
              <w:t>Quick Ratio</w:t>
            </w:r>
          </w:p>
        </w:tc>
      </w:tr>
      <w:tr w:rsidR="00037D55" w14:paraId="4BD61432" w14:textId="77777777" w:rsidTr="00037D55">
        <w:trPr>
          <w:trHeight w:val="320"/>
        </w:trPr>
        <w:tc>
          <w:tcPr>
            <w:tcW w:w="1960" w:type="dxa"/>
            <w:tcBorders>
              <w:top w:val="nil"/>
              <w:left w:val="nil"/>
              <w:bottom w:val="nil"/>
              <w:right w:val="nil"/>
            </w:tcBorders>
            <w:shd w:val="clear" w:color="auto" w:fill="auto"/>
            <w:noWrap/>
            <w:vAlign w:val="bottom"/>
            <w:hideMark/>
          </w:tcPr>
          <w:p w14:paraId="4C3D984C" w14:textId="77777777" w:rsidR="00037D55" w:rsidRDefault="00037D55">
            <w:pPr>
              <w:rPr>
                <w:rFonts w:ascii="Aptos Narrow" w:hAnsi="Aptos Narrow"/>
                <w:color w:val="000000"/>
              </w:rPr>
            </w:pPr>
            <w:r>
              <w:rPr>
                <w:rFonts w:ascii="Aptos Narrow" w:hAnsi="Aptos Narrow"/>
                <w:color w:val="000000"/>
              </w:rPr>
              <w:t>2020</w:t>
            </w:r>
          </w:p>
        </w:tc>
        <w:tc>
          <w:tcPr>
            <w:tcW w:w="1860" w:type="dxa"/>
            <w:tcBorders>
              <w:top w:val="nil"/>
              <w:left w:val="nil"/>
              <w:bottom w:val="nil"/>
              <w:right w:val="nil"/>
            </w:tcBorders>
            <w:shd w:val="clear" w:color="auto" w:fill="auto"/>
            <w:noWrap/>
            <w:vAlign w:val="bottom"/>
            <w:hideMark/>
          </w:tcPr>
          <w:p w14:paraId="720884A8" w14:textId="77777777" w:rsidR="00037D55" w:rsidRDefault="00037D55">
            <w:pPr>
              <w:rPr>
                <w:rFonts w:ascii="Aptos Narrow" w:hAnsi="Aptos Narrow"/>
                <w:color w:val="000000"/>
              </w:rPr>
            </w:pPr>
            <w:r>
              <w:rPr>
                <w:rFonts w:ascii="Aptos Narrow" w:hAnsi="Aptos Narrow"/>
                <w:color w:val="000000"/>
              </w:rPr>
              <w:t>0.60</w:t>
            </w:r>
          </w:p>
        </w:tc>
      </w:tr>
      <w:tr w:rsidR="00037D55" w14:paraId="002EA863" w14:textId="77777777" w:rsidTr="00037D55">
        <w:trPr>
          <w:trHeight w:val="320"/>
        </w:trPr>
        <w:tc>
          <w:tcPr>
            <w:tcW w:w="1960" w:type="dxa"/>
            <w:tcBorders>
              <w:top w:val="nil"/>
              <w:left w:val="nil"/>
              <w:bottom w:val="nil"/>
              <w:right w:val="nil"/>
            </w:tcBorders>
            <w:shd w:val="clear" w:color="auto" w:fill="auto"/>
            <w:noWrap/>
            <w:vAlign w:val="bottom"/>
            <w:hideMark/>
          </w:tcPr>
          <w:p w14:paraId="6ED1A30B" w14:textId="77777777" w:rsidR="00037D55" w:rsidRDefault="00037D55">
            <w:pPr>
              <w:rPr>
                <w:rFonts w:ascii="Aptos Narrow" w:hAnsi="Aptos Narrow"/>
                <w:color w:val="000000"/>
              </w:rPr>
            </w:pPr>
            <w:r>
              <w:rPr>
                <w:rFonts w:ascii="Aptos Narrow" w:hAnsi="Aptos Narrow"/>
                <w:color w:val="000000"/>
              </w:rPr>
              <w:t>2021</w:t>
            </w:r>
          </w:p>
        </w:tc>
        <w:tc>
          <w:tcPr>
            <w:tcW w:w="1860" w:type="dxa"/>
            <w:tcBorders>
              <w:top w:val="nil"/>
              <w:left w:val="nil"/>
              <w:bottom w:val="nil"/>
              <w:right w:val="nil"/>
            </w:tcBorders>
            <w:shd w:val="clear" w:color="auto" w:fill="auto"/>
            <w:noWrap/>
            <w:vAlign w:val="bottom"/>
            <w:hideMark/>
          </w:tcPr>
          <w:p w14:paraId="7B68D7E0" w14:textId="77777777" w:rsidR="00037D55" w:rsidRDefault="00037D55">
            <w:pPr>
              <w:rPr>
                <w:rFonts w:ascii="Aptos Narrow" w:hAnsi="Aptos Narrow"/>
                <w:color w:val="000000"/>
              </w:rPr>
            </w:pPr>
            <w:r>
              <w:rPr>
                <w:rFonts w:ascii="Aptos Narrow" w:hAnsi="Aptos Narrow"/>
                <w:color w:val="000000"/>
              </w:rPr>
              <w:t>0.56</w:t>
            </w:r>
          </w:p>
        </w:tc>
      </w:tr>
      <w:tr w:rsidR="00037D55" w14:paraId="317B2765" w14:textId="77777777" w:rsidTr="00037D55">
        <w:trPr>
          <w:trHeight w:val="320"/>
        </w:trPr>
        <w:tc>
          <w:tcPr>
            <w:tcW w:w="1960" w:type="dxa"/>
            <w:tcBorders>
              <w:top w:val="nil"/>
              <w:left w:val="nil"/>
              <w:bottom w:val="nil"/>
              <w:right w:val="nil"/>
            </w:tcBorders>
            <w:shd w:val="clear" w:color="auto" w:fill="auto"/>
            <w:noWrap/>
            <w:vAlign w:val="bottom"/>
            <w:hideMark/>
          </w:tcPr>
          <w:p w14:paraId="18FE82C2" w14:textId="77777777" w:rsidR="00037D55" w:rsidRDefault="00037D55">
            <w:pPr>
              <w:rPr>
                <w:rFonts w:ascii="Aptos Narrow" w:hAnsi="Aptos Narrow"/>
                <w:color w:val="000000"/>
              </w:rPr>
            </w:pPr>
            <w:r>
              <w:rPr>
                <w:rFonts w:ascii="Aptos Narrow" w:hAnsi="Aptos Narrow"/>
                <w:color w:val="000000"/>
              </w:rPr>
              <w:t>2022</w:t>
            </w:r>
          </w:p>
        </w:tc>
        <w:tc>
          <w:tcPr>
            <w:tcW w:w="1860" w:type="dxa"/>
            <w:tcBorders>
              <w:top w:val="nil"/>
              <w:left w:val="nil"/>
              <w:bottom w:val="nil"/>
              <w:right w:val="nil"/>
            </w:tcBorders>
            <w:shd w:val="clear" w:color="auto" w:fill="auto"/>
            <w:noWrap/>
            <w:vAlign w:val="bottom"/>
            <w:hideMark/>
          </w:tcPr>
          <w:p w14:paraId="76EB0712" w14:textId="77777777" w:rsidR="00037D55" w:rsidRDefault="00037D55">
            <w:pPr>
              <w:rPr>
                <w:rFonts w:ascii="Aptos Narrow" w:hAnsi="Aptos Narrow"/>
                <w:color w:val="000000"/>
              </w:rPr>
            </w:pPr>
            <w:r>
              <w:rPr>
                <w:rFonts w:ascii="Aptos Narrow" w:hAnsi="Aptos Narrow"/>
                <w:color w:val="000000"/>
              </w:rPr>
              <w:t>0.61</w:t>
            </w:r>
          </w:p>
        </w:tc>
      </w:tr>
      <w:tr w:rsidR="00037D55" w14:paraId="05550A50" w14:textId="77777777" w:rsidTr="00037D55">
        <w:trPr>
          <w:trHeight w:val="320"/>
        </w:trPr>
        <w:tc>
          <w:tcPr>
            <w:tcW w:w="1960" w:type="dxa"/>
            <w:tcBorders>
              <w:top w:val="nil"/>
              <w:left w:val="nil"/>
              <w:bottom w:val="nil"/>
              <w:right w:val="nil"/>
            </w:tcBorders>
            <w:shd w:val="clear" w:color="auto" w:fill="auto"/>
            <w:noWrap/>
            <w:vAlign w:val="bottom"/>
            <w:hideMark/>
          </w:tcPr>
          <w:p w14:paraId="5CA32249" w14:textId="77777777" w:rsidR="00037D55" w:rsidRDefault="00037D55">
            <w:pPr>
              <w:rPr>
                <w:rFonts w:ascii="Aptos Narrow" w:hAnsi="Aptos Narrow"/>
                <w:color w:val="000000"/>
              </w:rPr>
            </w:pPr>
            <w:r>
              <w:rPr>
                <w:rFonts w:ascii="Aptos Narrow" w:hAnsi="Aptos Narrow"/>
                <w:color w:val="000000"/>
              </w:rPr>
              <w:t>2023</w:t>
            </w:r>
          </w:p>
        </w:tc>
        <w:tc>
          <w:tcPr>
            <w:tcW w:w="1860" w:type="dxa"/>
            <w:tcBorders>
              <w:top w:val="nil"/>
              <w:left w:val="nil"/>
              <w:bottom w:val="nil"/>
              <w:right w:val="nil"/>
            </w:tcBorders>
            <w:shd w:val="clear" w:color="auto" w:fill="auto"/>
            <w:noWrap/>
            <w:vAlign w:val="bottom"/>
            <w:hideMark/>
          </w:tcPr>
          <w:p w14:paraId="79672721" w14:textId="77777777" w:rsidR="00037D55" w:rsidRDefault="00037D55">
            <w:pPr>
              <w:rPr>
                <w:rFonts w:ascii="Aptos Narrow" w:hAnsi="Aptos Narrow"/>
                <w:color w:val="000000"/>
              </w:rPr>
            </w:pPr>
            <w:r>
              <w:rPr>
                <w:rFonts w:ascii="Aptos Narrow" w:hAnsi="Aptos Narrow"/>
                <w:color w:val="000000"/>
              </w:rPr>
              <w:t>0.58</w:t>
            </w:r>
          </w:p>
        </w:tc>
      </w:tr>
      <w:tr w:rsidR="00037D55" w14:paraId="7A2F8C59" w14:textId="77777777" w:rsidTr="00037D55">
        <w:trPr>
          <w:trHeight w:val="320"/>
        </w:trPr>
        <w:tc>
          <w:tcPr>
            <w:tcW w:w="1960" w:type="dxa"/>
            <w:tcBorders>
              <w:top w:val="nil"/>
              <w:left w:val="nil"/>
              <w:bottom w:val="nil"/>
              <w:right w:val="nil"/>
            </w:tcBorders>
            <w:shd w:val="clear" w:color="auto" w:fill="auto"/>
            <w:noWrap/>
            <w:vAlign w:val="bottom"/>
            <w:hideMark/>
          </w:tcPr>
          <w:p w14:paraId="2A795324" w14:textId="77777777" w:rsidR="00037D55" w:rsidRDefault="00037D55">
            <w:pPr>
              <w:rPr>
                <w:rFonts w:ascii="Aptos Narrow" w:hAnsi="Aptos Narrow"/>
                <w:color w:val="000000"/>
              </w:rPr>
            </w:pPr>
            <w:r>
              <w:rPr>
                <w:rFonts w:ascii="Aptos Narrow" w:hAnsi="Aptos Narrow"/>
                <w:color w:val="000000"/>
              </w:rPr>
              <w:t>2024</w:t>
            </w:r>
          </w:p>
        </w:tc>
        <w:tc>
          <w:tcPr>
            <w:tcW w:w="1860" w:type="dxa"/>
            <w:tcBorders>
              <w:top w:val="nil"/>
              <w:left w:val="nil"/>
              <w:bottom w:val="nil"/>
              <w:right w:val="nil"/>
            </w:tcBorders>
            <w:shd w:val="clear" w:color="auto" w:fill="auto"/>
            <w:noWrap/>
            <w:vAlign w:val="bottom"/>
            <w:hideMark/>
          </w:tcPr>
          <w:p w14:paraId="0B7748C6" w14:textId="77777777" w:rsidR="00037D55" w:rsidRDefault="00037D55">
            <w:pPr>
              <w:rPr>
                <w:rFonts w:ascii="Aptos Narrow" w:hAnsi="Aptos Narrow"/>
                <w:color w:val="000000"/>
              </w:rPr>
            </w:pPr>
            <w:r>
              <w:rPr>
                <w:rFonts w:ascii="Aptos Narrow" w:hAnsi="Aptos Narrow"/>
                <w:color w:val="000000"/>
              </w:rPr>
              <w:t>1.05</w:t>
            </w:r>
          </w:p>
        </w:tc>
      </w:tr>
      <w:tr w:rsidR="00037D55" w14:paraId="2F48CE04" w14:textId="77777777" w:rsidTr="00037D55">
        <w:trPr>
          <w:trHeight w:val="320"/>
        </w:trPr>
        <w:tc>
          <w:tcPr>
            <w:tcW w:w="1960" w:type="dxa"/>
            <w:tcBorders>
              <w:top w:val="nil"/>
              <w:left w:val="nil"/>
              <w:bottom w:val="nil"/>
              <w:right w:val="nil"/>
            </w:tcBorders>
            <w:shd w:val="clear" w:color="000000" w:fill="DAF2D0"/>
            <w:noWrap/>
            <w:vAlign w:val="bottom"/>
            <w:hideMark/>
          </w:tcPr>
          <w:p w14:paraId="0D2829EC" w14:textId="77777777" w:rsidR="00037D55" w:rsidRDefault="00037D55">
            <w:pPr>
              <w:rPr>
                <w:rFonts w:ascii="Aptos Narrow" w:hAnsi="Aptos Narrow"/>
                <w:color w:val="000000"/>
              </w:rPr>
            </w:pPr>
            <w:r>
              <w:rPr>
                <w:rFonts w:ascii="Aptos Narrow" w:hAnsi="Aptos Narrow"/>
                <w:color w:val="000000"/>
              </w:rPr>
              <w:t xml:space="preserve">Marks and Spencer </w:t>
            </w:r>
          </w:p>
        </w:tc>
        <w:tc>
          <w:tcPr>
            <w:tcW w:w="1860" w:type="dxa"/>
            <w:tcBorders>
              <w:top w:val="nil"/>
              <w:left w:val="nil"/>
              <w:bottom w:val="nil"/>
              <w:right w:val="nil"/>
            </w:tcBorders>
            <w:shd w:val="clear" w:color="auto" w:fill="auto"/>
            <w:noWrap/>
            <w:vAlign w:val="bottom"/>
            <w:hideMark/>
          </w:tcPr>
          <w:p w14:paraId="58DCF250" w14:textId="4C745688" w:rsidR="00037D55" w:rsidRDefault="00037D55">
            <w:pPr>
              <w:rPr>
                <w:rFonts w:ascii="Aptos Narrow" w:hAnsi="Aptos Narrow"/>
                <w:color w:val="000000"/>
              </w:rPr>
            </w:pPr>
          </w:p>
        </w:tc>
      </w:tr>
      <w:tr w:rsidR="00037D55" w14:paraId="2CDD4B99" w14:textId="77777777" w:rsidTr="00037D55">
        <w:trPr>
          <w:trHeight w:val="320"/>
        </w:trPr>
        <w:tc>
          <w:tcPr>
            <w:tcW w:w="1960" w:type="dxa"/>
            <w:tcBorders>
              <w:top w:val="nil"/>
              <w:left w:val="nil"/>
              <w:bottom w:val="nil"/>
              <w:right w:val="nil"/>
            </w:tcBorders>
            <w:shd w:val="clear" w:color="auto" w:fill="auto"/>
            <w:noWrap/>
            <w:vAlign w:val="bottom"/>
            <w:hideMark/>
          </w:tcPr>
          <w:p w14:paraId="171438F6" w14:textId="77777777" w:rsidR="00037D55" w:rsidRDefault="00037D55">
            <w:pPr>
              <w:rPr>
                <w:rFonts w:ascii="Aptos Narrow" w:hAnsi="Aptos Narrow"/>
                <w:color w:val="000000"/>
              </w:rPr>
            </w:pPr>
            <w:r>
              <w:rPr>
                <w:rFonts w:ascii="Aptos Narrow" w:hAnsi="Aptos Narrow"/>
                <w:color w:val="000000"/>
              </w:rPr>
              <w:t>2024</w:t>
            </w:r>
          </w:p>
        </w:tc>
        <w:tc>
          <w:tcPr>
            <w:tcW w:w="1860" w:type="dxa"/>
            <w:tcBorders>
              <w:top w:val="nil"/>
              <w:left w:val="nil"/>
              <w:bottom w:val="nil"/>
              <w:right w:val="nil"/>
            </w:tcBorders>
            <w:shd w:val="clear" w:color="auto" w:fill="auto"/>
            <w:noWrap/>
            <w:vAlign w:val="bottom"/>
            <w:hideMark/>
          </w:tcPr>
          <w:p w14:paraId="7DD9F01C" w14:textId="1E2BE09A" w:rsidR="00037D55" w:rsidRDefault="00037D55">
            <w:pPr>
              <w:rPr>
                <w:rFonts w:ascii="Aptos Narrow" w:hAnsi="Aptos Narrow"/>
                <w:color w:val="000000"/>
              </w:rPr>
            </w:pPr>
            <w:r>
              <w:rPr>
                <w:rFonts w:ascii="Aptos Narrow" w:hAnsi="Aptos Narrow"/>
                <w:color w:val="000000"/>
              </w:rPr>
              <w:t>0.</w:t>
            </w:r>
            <w:r w:rsidR="007234D6">
              <w:rPr>
                <w:rFonts w:ascii="Aptos Narrow" w:hAnsi="Aptos Narrow"/>
                <w:color w:val="000000"/>
              </w:rPr>
              <w:t>8</w:t>
            </w:r>
            <w:r>
              <w:rPr>
                <w:rFonts w:ascii="Aptos Narrow" w:hAnsi="Aptos Narrow"/>
                <w:color w:val="000000"/>
              </w:rPr>
              <w:t>5</w:t>
            </w:r>
          </w:p>
        </w:tc>
      </w:tr>
      <w:tr w:rsidR="00F82991" w14:paraId="5E9E3A3C" w14:textId="77777777" w:rsidTr="00037D55">
        <w:trPr>
          <w:trHeight w:val="320"/>
        </w:trPr>
        <w:tc>
          <w:tcPr>
            <w:tcW w:w="1960" w:type="dxa"/>
            <w:tcBorders>
              <w:top w:val="nil"/>
              <w:left w:val="nil"/>
              <w:bottom w:val="nil"/>
              <w:right w:val="nil"/>
            </w:tcBorders>
            <w:shd w:val="clear" w:color="auto" w:fill="auto"/>
            <w:noWrap/>
            <w:vAlign w:val="bottom"/>
          </w:tcPr>
          <w:p w14:paraId="05E49FF5" w14:textId="77777777" w:rsidR="00F82991" w:rsidRDefault="00F82991">
            <w:pPr>
              <w:rPr>
                <w:rFonts w:ascii="Aptos Narrow" w:hAnsi="Aptos Narrow"/>
                <w:color w:val="000000"/>
              </w:rPr>
            </w:pPr>
          </w:p>
        </w:tc>
        <w:tc>
          <w:tcPr>
            <w:tcW w:w="1860" w:type="dxa"/>
            <w:tcBorders>
              <w:top w:val="nil"/>
              <w:left w:val="nil"/>
              <w:bottom w:val="nil"/>
              <w:right w:val="nil"/>
            </w:tcBorders>
            <w:shd w:val="clear" w:color="auto" w:fill="auto"/>
            <w:noWrap/>
            <w:vAlign w:val="bottom"/>
          </w:tcPr>
          <w:p w14:paraId="2ED93A4C" w14:textId="77777777" w:rsidR="00F82991" w:rsidRDefault="00F82991">
            <w:pPr>
              <w:rPr>
                <w:rFonts w:ascii="Aptos Narrow" w:hAnsi="Aptos Narrow"/>
                <w:color w:val="000000"/>
              </w:rPr>
            </w:pPr>
          </w:p>
        </w:tc>
      </w:tr>
    </w:tbl>
    <w:p w14:paraId="744E7E87" w14:textId="5ADCDC4E" w:rsidR="00FF3743" w:rsidRDefault="00977387" w:rsidP="00C330A1">
      <w:pPr>
        <w:pStyle w:val="NormalWeb"/>
        <w:spacing w:line="360" w:lineRule="auto"/>
        <w:rPr>
          <w:rFonts w:ascii="ArialMT" w:hAnsi="ArialMT"/>
          <w:color w:val="000000" w:themeColor="text1"/>
          <w:sz w:val="22"/>
          <w:szCs w:val="22"/>
        </w:rPr>
      </w:pPr>
      <w:r w:rsidRPr="00977387">
        <w:rPr>
          <w:rFonts w:ascii="ArialMT" w:hAnsi="ArialMT"/>
          <w:color w:val="000000" w:themeColor="text1"/>
          <w:sz w:val="22"/>
          <w:szCs w:val="22"/>
        </w:rPr>
        <w:t>In the retail industry, the average quick ratio typically ranges between 0.4 and 0.6.</w:t>
      </w:r>
      <w:r w:rsidRPr="00977387">
        <w:rPr>
          <w:rFonts w:ascii="ArialMT" w:hAnsi="ArialMT"/>
          <w:color w:val="000000" w:themeColor="text1"/>
          <w:sz w:val="22"/>
          <w:szCs w:val="22"/>
        </w:rPr>
        <w:t xml:space="preserve"> </w:t>
      </w:r>
      <w:r>
        <w:rPr>
          <w:rFonts w:ascii="ArialMT" w:hAnsi="ArialMT"/>
          <w:color w:val="000000" w:themeColor="text1"/>
          <w:sz w:val="22"/>
          <w:szCs w:val="22"/>
        </w:rPr>
        <w:t xml:space="preserve">(Fullratio.com 2022). </w:t>
      </w:r>
      <w:r w:rsidR="00FF3743" w:rsidRPr="00FF3743">
        <w:rPr>
          <w:rFonts w:ascii="ArialMT" w:hAnsi="ArialMT"/>
          <w:color w:val="000000" w:themeColor="text1"/>
          <w:sz w:val="22"/>
          <w:szCs w:val="22"/>
        </w:rPr>
        <w:t>The quick ratio, as defined by Gallagher and Andrew (2027)</w:t>
      </w:r>
      <w:r w:rsidR="00AF1F66">
        <w:rPr>
          <w:rFonts w:ascii="ArialMT" w:hAnsi="ArialMT"/>
          <w:color w:val="000000" w:themeColor="text1"/>
          <w:sz w:val="22"/>
          <w:szCs w:val="22"/>
        </w:rPr>
        <w:t>.</w:t>
      </w:r>
      <w:r w:rsidR="00FF3743" w:rsidRPr="00FF3743">
        <w:rPr>
          <w:rFonts w:ascii="ArialMT" w:hAnsi="ArialMT"/>
          <w:color w:val="000000" w:themeColor="text1"/>
          <w:sz w:val="22"/>
          <w:szCs w:val="22"/>
        </w:rPr>
        <w:t xml:space="preserve"> </w:t>
      </w:r>
      <w:r w:rsidR="00AF1F66" w:rsidRPr="00AF1F66">
        <w:rPr>
          <w:rFonts w:ascii="ArialMT" w:hAnsi="ArialMT"/>
          <w:color w:val="000000" w:themeColor="text1"/>
          <w:sz w:val="22"/>
          <w:szCs w:val="22"/>
        </w:rPr>
        <w:t>In Financial Management: Principles and Practice, the quick ratio is described as a liquidity metric that measures a company's ability to meet its short-term obligations using its most liquid assets, excluding inventories. This ratio is calculated by dividing the sum of cash, marketable securities, and accounts receivable by the company's current liabilities. Unlike the current ratio, the quick ratio offers a more stringent assessment of liquidity by focusing only on assets that can be rapidly converted to cash.</w:t>
      </w:r>
    </w:p>
    <w:p w14:paraId="20C0A108" w14:textId="3550B578" w:rsidR="0058589E" w:rsidRDefault="00D03EA6" w:rsidP="00C330A1">
      <w:pPr>
        <w:pStyle w:val="NormalWeb"/>
        <w:spacing w:line="360" w:lineRule="auto"/>
        <w:rPr>
          <w:rFonts w:ascii="ArialMT" w:hAnsi="ArialMT"/>
          <w:color w:val="000000" w:themeColor="text1"/>
          <w:sz w:val="22"/>
          <w:szCs w:val="22"/>
        </w:rPr>
      </w:pPr>
      <w:r w:rsidRPr="00D03EA6">
        <w:rPr>
          <w:rFonts w:ascii="ArialMT" w:hAnsi="ArialMT"/>
          <w:color w:val="000000" w:themeColor="text1"/>
          <w:sz w:val="22"/>
          <w:szCs w:val="22"/>
        </w:rPr>
        <w:t>A</w:t>
      </w:r>
      <w:r w:rsidR="00C274E7">
        <w:rPr>
          <w:rFonts w:ascii="ArialMT" w:hAnsi="ArialMT"/>
          <w:color w:val="000000" w:themeColor="text1"/>
          <w:sz w:val="22"/>
          <w:szCs w:val="22"/>
        </w:rPr>
        <w:t>s</w:t>
      </w:r>
      <w:r w:rsidR="00EF2183">
        <w:rPr>
          <w:rFonts w:ascii="ArialMT" w:hAnsi="ArialMT"/>
          <w:color w:val="000000" w:themeColor="text1"/>
          <w:sz w:val="22"/>
          <w:szCs w:val="22"/>
        </w:rPr>
        <w:t xml:space="preserve"> </w:t>
      </w:r>
      <w:r w:rsidR="00C274E7">
        <w:rPr>
          <w:rFonts w:ascii="ArialMT" w:hAnsi="ArialMT"/>
          <w:color w:val="000000" w:themeColor="text1"/>
          <w:sz w:val="22"/>
          <w:szCs w:val="22"/>
        </w:rPr>
        <w:t>A</w:t>
      </w:r>
      <w:r w:rsidR="00EF2183">
        <w:rPr>
          <w:rFonts w:ascii="ArialMT" w:hAnsi="ArialMT"/>
          <w:color w:val="000000" w:themeColor="text1"/>
          <w:sz w:val="22"/>
          <w:szCs w:val="22"/>
        </w:rPr>
        <w:t xml:space="preserve"> </w:t>
      </w:r>
      <w:r w:rsidRPr="00D03EA6">
        <w:rPr>
          <w:rFonts w:ascii="ArialMT" w:hAnsi="ArialMT"/>
          <w:color w:val="000000" w:themeColor="text1"/>
          <w:sz w:val="22"/>
          <w:szCs w:val="22"/>
        </w:rPr>
        <w:t>quick ratio of 1.0 or higher is generally considered healthy</w:t>
      </w:r>
      <w:r w:rsidR="00C274E7">
        <w:rPr>
          <w:rFonts w:ascii="ArialMT" w:hAnsi="ArialMT"/>
          <w:color w:val="000000" w:themeColor="text1"/>
          <w:sz w:val="22"/>
          <w:szCs w:val="22"/>
        </w:rPr>
        <w:t xml:space="preserve"> -</w:t>
      </w:r>
      <w:r w:rsidR="00761751" w:rsidRPr="00761751">
        <w:rPr>
          <w:rFonts w:ascii="ArialMT" w:hAnsi="ArialMT"/>
          <w:color w:val="000000" w:themeColor="text1"/>
          <w:sz w:val="22"/>
          <w:szCs w:val="22"/>
        </w:rPr>
        <w:t xml:space="preserve">Tesco’s quick ratio from 2020 to 2023 remained below 1.0, </w:t>
      </w:r>
      <w:r w:rsidR="00FF491F">
        <w:rPr>
          <w:rFonts w:ascii="ArialMT" w:hAnsi="ArialMT"/>
          <w:color w:val="000000" w:themeColor="text1"/>
          <w:sz w:val="22"/>
          <w:szCs w:val="22"/>
        </w:rPr>
        <w:t>ranging</w:t>
      </w:r>
      <w:r w:rsidR="00761751" w:rsidRPr="00761751">
        <w:rPr>
          <w:rFonts w:ascii="ArialMT" w:hAnsi="ArialMT"/>
          <w:color w:val="000000" w:themeColor="text1"/>
          <w:sz w:val="22"/>
          <w:szCs w:val="22"/>
        </w:rPr>
        <w:t xml:space="preserve"> between 0.56 and 0.61</w:t>
      </w:r>
      <w:r w:rsidR="00C274E7">
        <w:rPr>
          <w:rFonts w:ascii="ArialMT" w:hAnsi="ArialMT"/>
          <w:color w:val="000000" w:themeColor="text1"/>
          <w:sz w:val="22"/>
          <w:szCs w:val="22"/>
        </w:rPr>
        <w:t xml:space="preserve"> - </w:t>
      </w:r>
      <w:r w:rsidR="00761751" w:rsidRPr="00761751">
        <w:rPr>
          <w:rFonts w:ascii="ArialMT" w:hAnsi="ArialMT"/>
          <w:color w:val="000000" w:themeColor="text1"/>
          <w:sz w:val="22"/>
          <w:szCs w:val="22"/>
        </w:rPr>
        <w:t xml:space="preserve">This suggests that </w:t>
      </w:r>
      <w:r w:rsidR="00761751" w:rsidRPr="00761751">
        <w:rPr>
          <w:rFonts w:ascii="ArialMT" w:hAnsi="ArialMT"/>
          <w:color w:val="000000" w:themeColor="text1"/>
          <w:sz w:val="22"/>
          <w:szCs w:val="22"/>
        </w:rPr>
        <w:lastRenderedPageBreak/>
        <w:t xml:space="preserve">during these years, Tesco faced challenges in maintaining sufficient liquid assets to cover its short-term liabilities. The ratio indicates that Tesco might have relied heavily on inventory or short-term financing to meet its obligations, which could expose the company to liquidity risks, especially in periods of economic downturn or unexpected financial strain. </w:t>
      </w:r>
      <w:r w:rsidR="00C52F58">
        <w:rPr>
          <w:rFonts w:ascii="ArialMT" w:hAnsi="ArialMT"/>
          <w:color w:val="000000" w:themeColor="text1"/>
          <w:sz w:val="22"/>
          <w:szCs w:val="22"/>
        </w:rPr>
        <w:t>The figures highlight the company's vulnerability to liquidity pressures despite some stability in these year</w:t>
      </w:r>
      <w:r w:rsidR="00761751" w:rsidRPr="00761751">
        <w:rPr>
          <w:rFonts w:ascii="ArialMT" w:hAnsi="ArialMT"/>
          <w:color w:val="000000" w:themeColor="text1"/>
          <w:sz w:val="22"/>
          <w:szCs w:val="22"/>
        </w:rPr>
        <w:t>s.</w:t>
      </w:r>
      <w:r w:rsidR="00C330A1">
        <w:rPr>
          <w:rFonts w:ascii="ArialMT" w:hAnsi="ArialMT"/>
          <w:color w:val="000000" w:themeColor="text1"/>
          <w:sz w:val="22"/>
          <w:szCs w:val="22"/>
        </w:rPr>
        <w:t xml:space="preserve"> </w:t>
      </w:r>
      <w:r w:rsidR="0058589E" w:rsidRPr="0058589E">
        <w:rPr>
          <w:rFonts w:ascii="ArialMT" w:hAnsi="ArialMT"/>
          <w:color w:val="000000" w:themeColor="text1"/>
          <w:sz w:val="22"/>
          <w:szCs w:val="22"/>
        </w:rPr>
        <w:t xml:space="preserve">This period </w:t>
      </w:r>
      <w:r w:rsidR="00D1707A">
        <w:rPr>
          <w:rFonts w:ascii="ArialMT" w:hAnsi="ArialMT"/>
          <w:color w:val="000000" w:themeColor="text1"/>
          <w:sz w:val="22"/>
          <w:szCs w:val="22"/>
        </w:rPr>
        <w:t xml:space="preserve">corresponds </w:t>
      </w:r>
      <w:r w:rsidR="0058589E" w:rsidRPr="0058589E">
        <w:rPr>
          <w:rFonts w:ascii="ArialMT" w:hAnsi="ArialMT"/>
          <w:color w:val="000000" w:themeColor="text1"/>
          <w:sz w:val="22"/>
          <w:szCs w:val="22"/>
        </w:rPr>
        <w:t xml:space="preserve">with the COVID-19 pandemic, </w:t>
      </w:r>
      <w:r w:rsidR="00D1707A">
        <w:rPr>
          <w:rFonts w:ascii="ArialMT" w:hAnsi="ArialMT"/>
          <w:color w:val="000000" w:themeColor="text1"/>
          <w:sz w:val="22"/>
          <w:szCs w:val="22"/>
        </w:rPr>
        <w:t>significantly disrupting</w:t>
      </w:r>
      <w:r w:rsidR="0058589E" w:rsidRPr="0058589E">
        <w:rPr>
          <w:rFonts w:ascii="ArialMT" w:hAnsi="ArialMT"/>
          <w:color w:val="000000" w:themeColor="text1"/>
          <w:sz w:val="22"/>
          <w:szCs w:val="22"/>
        </w:rPr>
        <w:t xml:space="preserve"> global retail operations. The pandemic likely exacerbated Tesco's liquidity challenges due to increased operational costs, supply chain disruptions, and changes in consumer behavio</w:t>
      </w:r>
      <w:r w:rsidR="00D1707A">
        <w:rPr>
          <w:rFonts w:ascii="ArialMT" w:hAnsi="ArialMT"/>
          <w:color w:val="000000" w:themeColor="text1"/>
          <w:sz w:val="22"/>
          <w:szCs w:val="22"/>
        </w:rPr>
        <w:t>u</w:t>
      </w:r>
      <w:r w:rsidR="0058589E" w:rsidRPr="0058589E">
        <w:rPr>
          <w:rFonts w:ascii="ArialMT" w:hAnsi="ArialMT"/>
          <w:color w:val="000000" w:themeColor="text1"/>
          <w:sz w:val="22"/>
          <w:szCs w:val="22"/>
        </w:rPr>
        <w:t xml:space="preserve">r. For </w:t>
      </w:r>
      <w:r w:rsidR="00D1707A">
        <w:rPr>
          <w:rFonts w:ascii="ArialMT" w:hAnsi="ArialMT"/>
          <w:color w:val="000000" w:themeColor="text1"/>
          <w:sz w:val="22"/>
          <w:szCs w:val="22"/>
        </w:rPr>
        <w:t>example</w:t>
      </w:r>
      <w:r w:rsidR="0058589E" w:rsidRPr="0058589E">
        <w:rPr>
          <w:rFonts w:ascii="ArialMT" w:hAnsi="ArialMT"/>
          <w:color w:val="000000" w:themeColor="text1"/>
          <w:sz w:val="22"/>
          <w:szCs w:val="22"/>
        </w:rPr>
        <w:t xml:space="preserve">, higher demand for online shopping and delivery services would have required additional investment </w:t>
      </w:r>
      <w:r w:rsidR="00BD13E8">
        <w:rPr>
          <w:rFonts w:ascii="ArialMT" w:hAnsi="ArialMT"/>
          <w:color w:val="000000" w:themeColor="text1"/>
          <w:sz w:val="22"/>
          <w:szCs w:val="22"/>
        </w:rPr>
        <w:t xml:space="preserve">and </w:t>
      </w:r>
      <w:r w:rsidR="0058589E" w:rsidRPr="0058589E">
        <w:rPr>
          <w:rFonts w:ascii="ArialMT" w:hAnsi="ArialMT"/>
          <w:color w:val="000000" w:themeColor="text1"/>
          <w:sz w:val="22"/>
          <w:szCs w:val="22"/>
        </w:rPr>
        <w:t xml:space="preserve">potentially </w:t>
      </w:r>
      <w:r w:rsidR="00BD13E8">
        <w:rPr>
          <w:rFonts w:ascii="ArialMT" w:hAnsi="ArialMT"/>
          <w:color w:val="000000" w:themeColor="text1"/>
          <w:sz w:val="22"/>
          <w:szCs w:val="22"/>
        </w:rPr>
        <w:t xml:space="preserve">weakened </w:t>
      </w:r>
      <w:r w:rsidR="0058589E" w:rsidRPr="0058589E">
        <w:rPr>
          <w:rFonts w:ascii="ArialMT" w:hAnsi="ArialMT"/>
          <w:color w:val="000000" w:themeColor="text1"/>
          <w:sz w:val="22"/>
          <w:szCs w:val="22"/>
        </w:rPr>
        <w:t>cash flows.</w:t>
      </w:r>
      <w:r w:rsidR="00125031">
        <w:rPr>
          <w:rFonts w:ascii="ArialMT" w:hAnsi="ArialMT"/>
          <w:color w:val="000000" w:themeColor="text1"/>
          <w:sz w:val="22"/>
          <w:szCs w:val="22"/>
        </w:rPr>
        <w:t xml:space="preserve"> </w:t>
      </w:r>
      <w:r w:rsidR="00563868" w:rsidRPr="00563868">
        <w:rPr>
          <w:rFonts w:ascii="ArialMT" w:hAnsi="ArialMT"/>
          <w:color w:val="000000" w:themeColor="text1"/>
          <w:sz w:val="22"/>
          <w:szCs w:val="22"/>
        </w:rPr>
        <w:t xml:space="preserve">Tesco's quick ratio significantly improved in 2024, rising to 1.05 at that time. </w:t>
      </w:r>
      <w:r w:rsidR="00F15F6E" w:rsidRPr="00F15F6E">
        <w:rPr>
          <w:rFonts w:ascii="ArialMT" w:hAnsi="ArialMT"/>
          <w:color w:val="000000" w:themeColor="text1"/>
          <w:sz w:val="22"/>
          <w:szCs w:val="22"/>
        </w:rPr>
        <w:t xml:space="preserve">This change likely results from strategic efforts to </w:t>
      </w:r>
      <w:r w:rsidR="00563868">
        <w:rPr>
          <w:rFonts w:ascii="ArialMT" w:hAnsi="ArialMT"/>
          <w:color w:val="000000" w:themeColor="text1"/>
          <w:sz w:val="22"/>
          <w:szCs w:val="22"/>
        </w:rPr>
        <w:t xml:space="preserve">better </w:t>
      </w:r>
      <w:r w:rsidR="00F15F6E" w:rsidRPr="00F15F6E">
        <w:rPr>
          <w:rFonts w:ascii="ArialMT" w:hAnsi="ArialMT"/>
          <w:color w:val="000000" w:themeColor="text1"/>
          <w:sz w:val="22"/>
          <w:szCs w:val="22"/>
        </w:rPr>
        <w:t>liquidity in the post-pandemic period. Tesco may have focused on reducing short-term debt, optimi</w:t>
      </w:r>
      <w:r w:rsidR="00563868">
        <w:rPr>
          <w:rFonts w:ascii="ArialMT" w:hAnsi="ArialMT"/>
          <w:color w:val="000000" w:themeColor="text1"/>
          <w:sz w:val="22"/>
          <w:szCs w:val="22"/>
        </w:rPr>
        <w:t>s</w:t>
      </w:r>
      <w:r w:rsidR="00F15F6E" w:rsidRPr="00F15F6E">
        <w:rPr>
          <w:rFonts w:ascii="ArialMT" w:hAnsi="ArialMT"/>
          <w:color w:val="000000" w:themeColor="text1"/>
          <w:sz w:val="22"/>
          <w:szCs w:val="22"/>
        </w:rPr>
        <w:t>ing cash flow, and</w:t>
      </w:r>
      <w:r w:rsidR="00563868">
        <w:rPr>
          <w:rFonts w:ascii="ArialMT" w:hAnsi="ArialMT"/>
          <w:color w:val="000000" w:themeColor="text1"/>
          <w:sz w:val="22"/>
          <w:szCs w:val="22"/>
        </w:rPr>
        <w:t xml:space="preserve"> improving</w:t>
      </w:r>
      <w:r w:rsidR="00F15F6E" w:rsidRPr="00F15F6E">
        <w:rPr>
          <w:rFonts w:ascii="ArialMT" w:hAnsi="ArialMT"/>
          <w:color w:val="000000" w:themeColor="text1"/>
          <w:sz w:val="22"/>
          <w:szCs w:val="22"/>
        </w:rPr>
        <w:t xml:space="preserve"> operational efficiency. </w:t>
      </w:r>
      <w:r w:rsidR="002B3D5F" w:rsidRPr="002B3D5F">
        <w:rPr>
          <w:rFonts w:ascii="ArialMT" w:hAnsi="ArialMT"/>
          <w:color w:val="000000" w:themeColor="text1"/>
          <w:sz w:val="22"/>
          <w:szCs w:val="22"/>
        </w:rPr>
        <w:t>Tesco's liquid asset base appears to have grown successfully to 1.05 - indicating a stronger financial position that makes it easier for the company to satisfy its short-term liabilities.</w:t>
      </w:r>
      <w:r w:rsidR="002B3D5F">
        <w:rPr>
          <w:rFonts w:ascii="ArialMT" w:hAnsi="ArialMT"/>
          <w:color w:val="000000" w:themeColor="text1"/>
          <w:sz w:val="22"/>
          <w:szCs w:val="22"/>
        </w:rPr>
        <w:t xml:space="preserve"> </w:t>
      </w:r>
    </w:p>
    <w:p w14:paraId="64BF6122" w14:textId="5BAFD9FF" w:rsidR="00994353" w:rsidRPr="00F73ABF" w:rsidRDefault="00853DF7" w:rsidP="00F73ABF">
      <w:pPr>
        <w:pStyle w:val="NormalWeb"/>
        <w:spacing w:line="360" w:lineRule="auto"/>
        <w:rPr>
          <w:rFonts w:ascii="ArialMT" w:hAnsi="ArialMT"/>
          <w:color w:val="000000" w:themeColor="text1"/>
          <w:sz w:val="22"/>
          <w:szCs w:val="22"/>
        </w:rPr>
      </w:pPr>
      <w:r w:rsidRPr="00853DF7">
        <w:rPr>
          <w:rFonts w:ascii="ArialMT" w:hAnsi="ArialMT"/>
          <w:color w:val="000000" w:themeColor="text1"/>
          <w:sz w:val="22"/>
          <w:szCs w:val="22"/>
        </w:rPr>
        <w:t>In 2024, Marks and Spencer reported a quick ratio of 0.85</w:t>
      </w:r>
      <w:r w:rsidR="000B05D0">
        <w:rPr>
          <w:rFonts w:ascii="ArialMT" w:hAnsi="ArialMT"/>
          <w:color w:val="000000" w:themeColor="text1"/>
          <w:sz w:val="22"/>
          <w:szCs w:val="22"/>
        </w:rPr>
        <w:t xml:space="preserve"> </w:t>
      </w:r>
      <w:r w:rsidR="000B05D0">
        <w:rPr>
          <w:rFonts w:ascii="ArialMT" w:hAnsi="ArialMT"/>
          <w:color w:val="000000" w:themeColor="text1"/>
          <w:sz w:val="22"/>
          <w:szCs w:val="22"/>
        </w:rPr>
        <w:t>(Corporate.marksandspencer.com 2024)</w:t>
      </w:r>
      <w:r w:rsidR="000B05D0">
        <w:rPr>
          <w:rFonts w:ascii="ArialMT" w:hAnsi="ArialMT"/>
          <w:color w:val="000000" w:themeColor="text1"/>
          <w:sz w:val="22"/>
          <w:szCs w:val="22"/>
        </w:rPr>
        <w:t>.</w:t>
      </w:r>
      <w:r w:rsidRPr="00853DF7">
        <w:rPr>
          <w:rFonts w:ascii="ArialMT" w:hAnsi="ArialMT"/>
          <w:color w:val="000000" w:themeColor="text1"/>
          <w:sz w:val="22"/>
          <w:szCs w:val="22"/>
        </w:rPr>
        <w:t xml:space="preserve"> While this is reasonable for the retail sector, it falls short of Tesco’s 1.05, indicating that Tesco ha</w:t>
      </w:r>
      <w:r w:rsidR="00EF4E4B">
        <w:rPr>
          <w:rFonts w:ascii="ArialMT" w:hAnsi="ArialMT"/>
          <w:color w:val="000000" w:themeColor="text1"/>
          <w:sz w:val="22"/>
          <w:szCs w:val="22"/>
        </w:rPr>
        <w:t>d</w:t>
      </w:r>
      <w:r w:rsidRPr="00853DF7">
        <w:rPr>
          <w:rFonts w:ascii="ArialMT" w:hAnsi="ArialMT"/>
          <w:color w:val="000000" w:themeColor="text1"/>
          <w:sz w:val="22"/>
          <w:szCs w:val="22"/>
        </w:rPr>
        <w:t xml:space="preserve"> a stronger liquidity position. The difference suggests that Tesco managed to recover more effectively from the pandemic's impacts, possibly due to more aggressive or effective financial strategies. </w:t>
      </w:r>
      <w:r w:rsidR="00C175F1" w:rsidRPr="00C175F1">
        <w:rPr>
          <w:rFonts w:ascii="ArialMT" w:hAnsi="ArialMT"/>
          <w:color w:val="000000" w:themeColor="text1"/>
          <w:sz w:val="22"/>
          <w:szCs w:val="22"/>
        </w:rPr>
        <w:t>M&amp;S may still be dealing with liquidity issues or may be putting off its long-term recovery over its short-term financial flexibility, as seen by its lower quick ratio.</w:t>
      </w:r>
      <w:r w:rsidR="00C175F1">
        <w:rPr>
          <w:rFonts w:ascii="ArialMT" w:hAnsi="ArialMT"/>
          <w:color w:val="000000" w:themeColor="text1"/>
          <w:sz w:val="22"/>
          <w:szCs w:val="22"/>
        </w:rPr>
        <w:t xml:space="preserve"> </w:t>
      </w:r>
    </w:p>
    <w:p w14:paraId="491145ED" w14:textId="48118F9D" w:rsidR="008E672F" w:rsidRPr="00037D55" w:rsidRDefault="00037D55" w:rsidP="007F16DD">
      <w:pPr>
        <w:pStyle w:val="Heading2"/>
      </w:pPr>
      <w:bookmarkStart w:id="7" w:name="_Toc174983271"/>
      <w:r w:rsidRPr="00037D55">
        <w:t>Leverage Ratios</w:t>
      </w:r>
      <w:bookmarkEnd w:id="7"/>
      <w:r w:rsidRPr="00037D55">
        <w:t xml:space="preserve"> </w:t>
      </w:r>
    </w:p>
    <w:p w14:paraId="7B824716" w14:textId="4F4121D2" w:rsidR="00AA51D5" w:rsidRDefault="00AA51D5" w:rsidP="00AA51D5">
      <w:pPr>
        <w:pStyle w:val="Caption"/>
        <w:keepNext/>
      </w:pPr>
      <w:bookmarkStart w:id="8" w:name="_Toc174983294"/>
      <w:r>
        <w:t xml:space="preserve">Figure </w:t>
      </w:r>
      <w:r>
        <w:fldChar w:fldCharType="begin"/>
      </w:r>
      <w:r>
        <w:instrText xml:space="preserve"> SEQ Figure \* ARABIC </w:instrText>
      </w:r>
      <w:r>
        <w:fldChar w:fldCharType="separate"/>
      </w:r>
      <w:r w:rsidR="00717194">
        <w:rPr>
          <w:noProof/>
        </w:rPr>
        <w:t>3</w:t>
      </w:r>
      <w:r>
        <w:fldChar w:fldCharType="end"/>
      </w:r>
      <w:r>
        <w:t xml:space="preserve">-Debt to Equity - </w:t>
      </w:r>
      <w:r w:rsidRPr="00CA1DBB">
        <w:t>Tesco PLC&amp; Marks and Spencer [source: author</w:t>
      </w:r>
      <w:r w:rsidR="00717194">
        <w:t xml:space="preserve">– </w:t>
      </w:r>
      <w:proofErr w:type="gramStart"/>
      <w:r w:rsidR="00717194">
        <w:t>calculated  from</w:t>
      </w:r>
      <w:proofErr w:type="gramEnd"/>
      <w:r w:rsidR="00717194">
        <w:t xml:space="preserve"> Yahoo.finance.com – Refer to Appendix]</w:t>
      </w:r>
      <w:r w:rsidRPr="00CA1DBB">
        <w:t>]</w:t>
      </w:r>
      <w:bookmarkEnd w:id="8"/>
    </w:p>
    <w:tbl>
      <w:tblPr>
        <w:tblW w:w="3992" w:type="dxa"/>
        <w:tblLook w:val="04A0" w:firstRow="1" w:lastRow="0" w:firstColumn="1" w:lastColumn="0" w:noHBand="0" w:noVBand="1"/>
      </w:tblPr>
      <w:tblGrid>
        <w:gridCol w:w="1986"/>
        <w:gridCol w:w="2006"/>
      </w:tblGrid>
      <w:tr w:rsidR="00DF30FA" w14:paraId="639AC620" w14:textId="77777777" w:rsidTr="00994353">
        <w:trPr>
          <w:trHeight w:val="250"/>
        </w:trPr>
        <w:tc>
          <w:tcPr>
            <w:tcW w:w="1986" w:type="dxa"/>
            <w:tcBorders>
              <w:top w:val="nil"/>
              <w:left w:val="nil"/>
              <w:bottom w:val="nil"/>
              <w:right w:val="nil"/>
            </w:tcBorders>
            <w:shd w:val="clear" w:color="000000" w:fill="DAE9F8"/>
            <w:noWrap/>
            <w:vAlign w:val="bottom"/>
            <w:hideMark/>
          </w:tcPr>
          <w:p w14:paraId="35D9FB46" w14:textId="77777777" w:rsidR="00DF30FA" w:rsidRDefault="00DF30FA">
            <w:pPr>
              <w:rPr>
                <w:rFonts w:ascii="Aptos Narrow" w:hAnsi="Aptos Narrow"/>
                <w:color w:val="000000"/>
              </w:rPr>
            </w:pPr>
            <w:r>
              <w:rPr>
                <w:rFonts w:ascii="Aptos Narrow" w:hAnsi="Aptos Narrow"/>
                <w:color w:val="000000"/>
              </w:rPr>
              <w:t xml:space="preserve">Tesco PCL </w:t>
            </w:r>
          </w:p>
        </w:tc>
        <w:tc>
          <w:tcPr>
            <w:tcW w:w="2006" w:type="dxa"/>
            <w:tcBorders>
              <w:top w:val="nil"/>
              <w:left w:val="nil"/>
              <w:bottom w:val="nil"/>
              <w:right w:val="nil"/>
            </w:tcBorders>
            <w:shd w:val="clear" w:color="000000" w:fill="E49EDD"/>
            <w:noWrap/>
            <w:vAlign w:val="bottom"/>
            <w:hideMark/>
          </w:tcPr>
          <w:p w14:paraId="06897D5B" w14:textId="77777777" w:rsidR="00DF30FA" w:rsidRDefault="00DF30FA">
            <w:pPr>
              <w:rPr>
                <w:rFonts w:ascii="Aptos Narrow" w:hAnsi="Aptos Narrow"/>
                <w:color w:val="000000"/>
              </w:rPr>
            </w:pPr>
            <w:r>
              <w:rPr>
                <w:rFonts w:ascii="Aptos Narrow" w:hAnsi="Aptos Narrow"/>
                <w:color w:val="000000"/>
              </w:rPr>
              <w:t xml:space="preserve">Debt to Equity </w:t>
            </w:r>
          </w:p>
        </w:tc>
      </w:tr>
      <w:tr w:rsidR="00DF30FA" w14:paraId="19FC931F" w14:textId="77777777" w:rsidTr="00994353">
        <w:trPr>
          <w:trHeight w:val="250"/>
        </w:trPr>
        <w:tc>
          <w:tcPr>
            <w:tcW w:w="1986" w:type="dxa"/>
            <w:tcBorders>
              <w:top w:val="nil"/>
              <w:left w:val="nil"/>
              <w:bottom w:val="nil"/>
              <w:right w:val="nil"/>
            </w:tcBorders>
            <w:shd w:val="clear" w:color="auto" w:fill="auto"/>
            <w:noWrap/>
            <w:vAlign w:val="bottom"/>
            <w:hideMark/>
          </w:tcPr>
          <w:p w14:paraId="43AFB110" w14:textId="77777777" w:rsidR="00DF30FA" w:rsidRDefault="00DF30FA">
            <w:pPr>
              <w:rPr>
                <w:rFonts w:ascii="Aptos Narrow" w:hAnsi="Aptos Narrow"/>
                <w:color w:val="000000"/>
              </w:rPr>
            </w:pPr>
            <w:r>
              <w:rPr>
                <w:rFonts w:ascii="Aptos Narrow" w:hAnsi="Aptos Narrow"/>
                <w:color w:val="000000"/>
              </w:rPr>
              <w:t>2020</w:t>
            </w:r>
          </w:p>
        </w:tc>
        <w:tc>
          <w:tcPr>
            <w:tcW w:w="2006" w:type="dxa"/>
            <w:tcBorders>
              <w:top w:val="nil"/>
              <w:left w:val="nil"/>
              <w:bottom w:val="nil"/>
              <w:right w:val="nil"/>
            </w:tcBorders>
            <w:shd w:val="clear" w:color="auto" w:fill="auto"/>
            <w:noWrap/>
            <w:vAlign w:val="bottom"/>
            <w:hideMark/>
          </w:tcPr>
          <w:p w14:paraId="46287AD2" w14:textId="77777777" w:rsidR="00DF30FA" w:rsidRDefault="00DF30FA">
            <w:pPr>
              <w:rPr>
                <w:rFonts w:ascii="Aptos Narrow" w:hAnsi="Aptos Narrow"/>
                <w:color w:val="000000"/>
              </w:rPr>
            </w:pPr>
            <w:r>
              <w:rPr>
                <w:rFonts w:ascii="Aptos Narrow" w:hAnsi="Aptos Narrow"/>
                <w:color w:val="000000"/>
              </w:rPr>
              <w:t>0.57</w:t>
            </w:r>
          </w:p>
        </w:tc>
      </w:tr>
      <w:tr w:rsidR="00DF30FA" w14:paraId="1EDE1A38" w14:textId="77777777" w:rsidTr="00994353">
        <w:trPr>
          <w:trHeight w:val="250"/>
        </w:trPr>
        <w:tc>
          <w:tcPr>
            <w:tcW w:w="1986" w:type="dxa"/>
            <w:tcBorders>
              <w:top w:val="nil"/>
              <w:left w:val="nil"/>
              <w:bottom w:val="nil"/>
              <w:right w:val="nil"/>
            </w:tcBorders>
            <w:shd w:val="clear" w:color="auto" w:fill="auto"/>
            <w:noWrap/>
            <w:vAlign w:val="bottom"/>
            <w:hideMark/>
          </w:tcPr>
          <w:p w14:paraId="09A4D505" w14:textId="77777777" w:rsidR="00DF30FA" w:rsidRDefault="00DF30FA">
            <w:pPr>
              <w:rPr>
                <w:rFonts w:ascii="Aptos Narrow" w:hAnsi="Aptos Narrow"/>
                <w:color w:val="000000"/>
              </w:rPr>
            </w:pPr>
            <w:r>
              <w:rPr>
                <w:rFonts w:ascii="Aptos Narrow" w:hAnsi="Aptos Narrow"/>
                <w:color w:val="000000"/>
              </w:rPr>
              <w:t>2021</w:t>
            </w:r>
          </w:p>
        </w:tc>
        <w:tc>
          <w:tcPr>
            <w:tcW w:w="2006" w:type="dxa"/>
            <w:tcBorders>
              <w:top w:val="nil"/>
              <w:left w:val="nil"/>
              <w:bottom w:val="nil"/>
              <w:right w:val="nil"/>
            </w:tcBorders>
            <w:shd w:val="clear" w:color="auto" w:fill="auto"/>
            <w:noWrap/>
            <w:vAlign w:val="bottom"/>
            <w:hideMark/>
          </w:tcPr>
          <w:p w14:paraId="138CE29B" w14:textId="77777777" w:rsidR="00DF30FA" w:rsidRDefault="00DF30FA">
            <w:pPr>
              <w:rPr>
                <w:rFonts w:ascii="Aptos Narrow" w:hAnsi="Aptos Narrow"/>
                <w:color w:val="000000"/>
              </w:rPr>
            </w:pPr>
            <w:r>
              <w:rPr>
                <w:rFonts w:ascii="Aptos Narrow" w:hAnsi="Aptos Narrow"/>
                <w:color w:val="000000"/>
              </w:rPr>
              <w:t>0.59</w:t>
            </w:r>
          </w:p>
        </w:tc>
      </w:tr>
      <w:tr w:rsidR="00DF30FA" w14:paraId="68987C68" w14:textId="77777777" w:rsidTr="00994353">
        <w:trPr>
          <w:trHeight w:val="250"/>
        </w:trPr>
        <w:tc>
          <w:tcPr>
            <w:tcW w:w="1986" w:type="dxa"/>
            <w:tcBorders>
              <w:top w:val="nil"/>
              <w:left w:val="nil"/>
              <w:bottom w:val="nil"/>
              <w:right w:val="nil"/>
            </w:tcBorders>
            <w:shd w:val="clear" w:color="auto" w:fill="auto"/>
            <w:noWrap/>
            <w:vAlign w:val="bottom"/>
            <w:hideMark/>
          </w:tcPr>
          <w:p w14:paraId="49A09BE0" w14:textId="77777777" w:rsidR="00DF30FA" w:rsidRDefault="00DF30FA">
            <w:pPr>
              <w:rPr>
                <w:rFonts w:ascii="Aptos Narrow" w:hAnsi="Aptos Narrow"/>
                <w:color w:val="000000"/>
              </w:rPr>
            </w:pPr>
            <w:r>
              <w:rPr>
                <w:rFonts w:ascii="Aptos Narrow" w:hAnsi="Aptos Narrow"/>
                <w:color w:val="000000"/>
              </w:rPr>
              <w:t>2022</w:t>
            </w:r>
          </w:p>
        </w:tc>
        <w:tc>
          <w:tcPr>
            <w:tcW w:w="2006" w:type="dxa"/>
            <w:tcBorders>
              <w:top w:val="nil"/>
              <w:left w:val="nil"/>
              <w:bottom w:val="nil"/>
              <w:right w:val="nil"/>
            </w:tcBorders>
            <w:shd w:val="clear" w:color="auto" w:fill="auto"/>
            <w:noWrap/>
            <w:vAlign w:val="bottom"/>
            <w:hideMark/>
          </w:tcPr>
          <w:p w14:paraId="3188CFCB" w14:textId="77777777" w:rsidR="00DF30FA" w:rsidRDefault="00DF30FA">
            <w:pPr>
              <w:rPr>
                <w:rFonts w:ascii="Aptos Narrow" w:hAnsi="Aptos Narrow"/>
                <w:color w:val="000000"/>
              </w:rPr>
            </w:pPr>
            <w:r>
              <w:rPr>
                <w:rFonts w:ascii="Aptos Narrow" w:hAnsi="Aptos Narrow"/>
                <w:color w:val="000000"/>
              </w:rPr>
              <w:t>0.47</w:t>
            </w:r>
          </w:p>
        </w:tc>
      </w:tr>
      <w:tr w:rsidR="00DF30FA" w14:paraId="1332C0E0" w14:textId="77777777" w:rsidTr="00994353">
        <w:trPr>
          <w:trHeight w:val="250"/>
        </w:trPr>
        <w:tc>
          <w:tcPr>
            <w:tcW w:w="1986" w:type="dxa"/>
            <w:tcBorders>
              <w:top w:val="nil"/>
              <w:left w:val="nil"/>
              <w:bottom w:val="nil"/>
              <w:right w:val="nil"/>
            </w:tcBorders>
            <w:shd w:val="clear" w:color="auto" w:fill="auto"/>
            <w:noWrap/>
            <w:vAlign w:val="bottom"/>
            <w:hideMark/>
          </w:tcPr>
          <w:p w14:paraId="3CE97D92" w14:textId="77777777" w:rsidR="00DF30FA" w:rsidRDefault="00DF30FA">
            <w:pPr>
              <w:rPr>
                <w:rFonts w:ascii="Aptos Narrow" w:hAnsi="Aptos Narrow"/>
                <w:color w:val="000000"/>
              </w:rPr>
            </w:pPr>
            <w:r>
              <w:rPr>
                <w:rFonts w:ascii="Aptos Narrow" w:hAnsi="Aptos Narrow"/>
                <w:color w:val="000000"/>
              </w:rPr>
              <w:t>2023</w:t>
            </w:r>
          </w:p>
        </w:tc>
        <w:tc>
          <w:tcPr>
            <w:tcW w:w="2006" w:type="dxa"/>
            <w:tcBorders>
              <w:top w:val="nil"/>
              <w:left w:val="nil"/>
              <w:bottom w:val="nil"/>
              <w:right w:val="nil"/>
            </w:tcBorders>
            <w:shd w:val="clear" w:color="auto" w:fill="auto"/>
            <w:noWrap/>
            <w:vAlign w:val="bottom"/>
            <w:hideMark/>
          </w:tcPr>
          <w:p w14:paraId="64831112" w14:textId="77777777" w:rsidR="00DF30FA" w:rsidRDefault="00DF30FA">
            <w:pPr>
              <w:rPr>
                <w:rFonts w:ascii="Aptos Narrow" w:hAnsi="Aptos Narrow"/>
                <w:color w:val="000000"/>
              </w:rPr>
            </w:pPr>
            <w:r>
              <w:rPr>
                <w:rFonts w:ascii="Aptos Narrow" w:hAnsi="Aptos Narrow"/>
                <w:color w:val="000000"/>
              </w:rPr>
              <w:t>0.60</w:t>
            </w:r>
          </w:p>
        </w:tc>
      </w:tr>
      <w:tr w:rsidR="00DF30FA" w14:paraId="77C0F6C5" w14:textId="77777777" w:rsidTr="00994353">
        <w:trPr>
          <w:trHeight w:val="250"/>
        </w:trPr>
        <w:tc>
          <w:tcPr>
            <w:tcW w:w="1986" w:type="dxa"/>
            <w:tcBorders>
              <w:top w:val="nil"/>
              <w:left w:val="nil"/>
              <w:bottom w:val="nil"/>
              <w:right w:val="nil"/>
            </w:tcBorders>
            <w:shd w:val="clear" w:color="auto" w:fill="auto"/>
            <w:noWrap/>
            <w:vAlign w:val="bottom"/>
            <w:hideMark/>
          </w:tcPr>
          <w:p w14:paraId="1D1E02FB" w14:textId="77777777" w:rsidR="00DF30FA" w:rsidRDefault="00DF30FA">
            <w:pPr>
              <w:rPr>
                <w:rFonts w:ascii="Aptos Narrow" w:hAnsi="Aptos Narrow"/>
                <w:color w:val="000000"/>
              </w:rPr>
            </w:pPr>
            <w:r>
              <w:rPr>
                <w:rFonts w:ascii="Aptos Narrow" w:hAnsi="Aptos Narrow"/>
                <w:color w:val="000000"/>
              </w:rPr>
              <w:t>2024</w:t>
            </w:r>
          </w:p>
        </w:tc>
        <w:tc>
          <w:tcPr>
            <w:tcW w:w="2006" w:type="dxa"/>
            <w:tcBorders>
              <w:top w:val="nil"/>
              <w:left w:val="nil"/>
              <w:bottom w:val="nil"/>
              <w:right w:val="nil"/>
            </w:tcBorders>
            <w:shd w:val="clear" w:color="auto" w:fill="auto"/>
            <w:noWrap/>
            <w:vAlign w:val="bottom"/>
            <w:hideMark/>
          </w:tcPr>
          <w:p w14:paraId="2365141A" w14:textId="77777777" w:rsidR="00DF30FA" w:rsidRDefault="00DF30FA">
            <w:pPr>
              <w:rPr>
                <w:rFonts w:ascii="Aptos Narrow" w:hAnsi="Aptos Narrow"/>
                <w:color w:val="000000"/>
              </w:rPr>
            </w:pPr>
            <w:r>
              <w:rPr>
                <w:rFonts w:ascii="Aptos Narrow" w:hAnsi="Aptos Narrow"/>
                <w:color w:val="000000"/>
              </w:rPr>
              <w:t>0.62</w:t>
            </w:r>
          </w:p>
        </w:tc>
      </w:tr>
      <w:tr w:rsidR="00DF30FA" w14:paraId="71E8E208" w14:textId="77777777" w:rsidTr="00994353">
        <w:trPr>
          <w:trHeight w:val="250"/>
        </w:trPr>
        <w:tc>
          <w:tcPr>
            <w:tcW w:w="1986" w:type="dxa"/>
            <w:tcBorders>
              <w:top w:val="nil"/>
              <w:left w:val="nil"/>
              <w:bottom w:val="nil"/>
              <w:right w:val="nil"/>
            </w:tcBorders>
            <w:shd w:val="clear" w:color="000000" w:fill="DAF2D0"/>
            <w:noWrap/>
            <w:vAlign w:val="bottom"/>
            <w:hideMark/>
          </w:tcPr>
          <w:p w14:paraId="40C7CECA" w14:textId="412B08A5" w:rsidR="00DF30FA" w:rsidRDefault="00DF30FA">
            <w:pPr>
              <w:rPr>
                <w:rFonts w:ascii="Aptos Narrow" w:hAnsi="Aptos Narrow"/>
                <w:color w:val="000000"/>
              </w:rPr>
            </w:pPr>
            <w:r>
              <w:rPr>
                <w:rFonts w:ascii="Aptos Narrow" w:hAnsi="Aptos Narrow"/>
                <w:color w:val="000000"/>
              </w:rPr>
              <w:t xml:space="preserve">Marks and Spencer </w:t>
            </w:r>
            <w:r w:rsidR="00994353">
              <w:rPr>
                <w:rFonts w:ascii="Aptos Narrow" w:hAnsi="Aptos Narrow"/>
                <w:color w:val="000000"/>
              </w:rPr>
              <w:t>2024</w:t>
            </w:r>
          </w:p>
        </w:tc>
        <w:tc>
          <w:tcPr>
            <w:tcW w:w="2006" w:type="dxa"/>
            <w:tcBorders>
              <w:top w:val="nil"/>
              <w:left w:val="nil"/>
              <w:bottom w:val="nil"/>
              <w:right w:val="nil"/>
            </w:tcBorders>
            <w:shd w:val="clear" w:color="auto" w:fill="auto"/>
            <w:noWrap/>
            <w:vAlign w:val="bottom"/>
            <w:hideMark/>
          </w:tcPr>
          <w:p w14:paraId="4C54F286" w14:textId="2263F7DE" w:rsidR="00DF30FA" w:rsidRDefault="00994353">
            <w:pPr>
              <w:rPr>
                <w:rFonts w:ascii="Aptos Narrow" w:hAnsi="Aptos Narrow"/>
                <w:color w:val="000000"/>
              </w:rPr>
            </w:pPr>
            <w:r>
              <w:rPr>
                <w:rFonts w:ascii="Aptos Narrow" w:hAnsi="Aptos Narrow"/>
                <w:color w:val="000000"/>
              </w:rPr>
              <w:t>1.11</w:t>
            </w:r>
          </w:p>
        </w:tc>
      </w:tr>
      <w:tr w:rsidR="00DF30FA" w14:paraId="4D5F07D2" w14:textId="77777777" w:rsidTr="00994353">
        <w:trPr>
          <w:trHeight w:val="250"/>
        </w:trPr>
        <w:tc>
          <w:tcPr>
            <w:tcW w:w="1986" w:type="dxa"/>
            <w:tcBorders>
              <w:top w:val="nil"/>
              <w:left w:val="nil"/>
              <w:bottom w:val="nil"/>
              <w:right w:val="nil"/>
            </w:tcBorders>
            <w:shd w:val="clear" w:color="auto" w:fill="auto"/>
            <w:noWrap/>
            <w:vAlign w:val="bottom"/>
            <w:hideMark/>
          </w:tcPr>
          <w:p w14:paraId="0E344791" w14:textId="1F3EB2AD" w:rsidR="00DF30FA" w:rsidRDefault="00DF30FA">
            <w:pPr>
              <w:rPr>
                <w:rFonts w:ascii="Aptos Narrow" w:hAnsi="Aptos Narrow"/>
                <w:color w:val="000000"/>
              </w:rPr>
            </w:pPr>
          </w:p>
        </w:tc>
        <w:tc>
          <w:tcPr>
            <w:tcW w:w="2006" w:type="dxa"/>
            <w:tcBorders>
              <w:top w:val="nil"/>
              <w:left w:val="nil"/>
              <w:bottom w:val="nil"/>
              <w:right w:val="nil"/>
            </w:tcBorders>
            <w:shd w:val="clear" w:color="auto" w:fill="auto"/>
            <w:noWrap/>
            <w:vAlign w:val="bottom"/>
            <w:hideMark/>
          </w:tcPr>
          <w:p w14:paraId="06AA467E" w14:textId="7028D3DD" w:rsidR="00DF30FA" w:rsidRDefault="00DF30FA">
            <w:pPr>
              <w:rPr>
                <w:rFonts w:ascii="Aptos Narrow" w:hAnsi="Aptos Narrow"/>
                <w:color w:val="000000"/>
              </w:rPr>
            </w:pPr>
          </w:p>
        </w:tc>
      </w:tr>
    </w:tbl>
    <w:p w14:paraId="176B56F9" w14:textId="77777777" w:rsidR="009F3774" w:rsidRDefault="009F3774" w:rsidP="00B6764D">
      <w:pPr>
        <w:pStyle w:val="NormalWeb"/>
        <w:spacing w:line="360" w:lineRule="auto"/>
        <w:rPr>
          <w:rFonts w:ascii="Arial" w:hAnsi="Arial" w:cs="Arial"/>
          <w:color w:val="000000" w:themeColor="text1"/>
          <w:sz w:val="22"/>
          <w:szCs w:val="22"/>
        </w:rPr>
      </w:pPr>
      <w:r w:rsidRPr="009F3774">
        <w:rPr>
          <w:rFonts w:ascii="Arial" w:hAnsi="Arial" w:cs="Arial"/>
          <w:color w:val="000000" w:themeColor="text1"/>
          <w:sz w:val="22"/>
          <w:szCs w:val="22"/>
        </w:rPr>
        <w:t xml:space="preserve">The average debt-to-equity ratio in the retail sector typically ranges from 0.5 to 1.5, according to British Business Bank (2024). As explained by Pamela Peterson Drake and Frank J. </w:t>
      </w:r>
      <w:proofErr w:type="spellStart"/>
      <w:r w:rsidRPr="009F3774">
        <w:rPr>
          <w:rFonts w:ascii="Arial" w:hAnsi="Arial" w:cs="Arial"/>
          <w:color w:val="000000" w:themeColor="text1"/>
          <w:sz w:val="22"/>
          <w:szCs w:val="22"/>
        </w:rPr>
        <w:t>Fabozzi</w:t>
      </w:r>
      <w:proofErr w:type="spellEnd"/>
      <w:r w:rsidRPr="009F3774">
        <w:rPr>
          <w:rFonts w:ascii="Arial" w:hAnsi="Arial" w:cs="Arial"/>
          <w:color w:val="000000" w:themeColor="text1"/>
          <w:sz w:val="22"/>
          <w:szCs w:val="22"/>
        </w:rPr>
        <w:t xml:space="preserve"> in Analysis of Financial Statements (2012), the debt-to-equity ratio serves </w:t>
      </w:r>
      <w:r w:rsidRPr="009F3774">
        <w:rPr>
          <w:rFonts w:ascii="Arial" w:hAnsi="Arial" w:cs="Arial"/>
          <w:color w:val="000000" w:themeColor="text1"/>
          <w:sz w:val="22"/>
          <w:szCs w:val="22"/>
        </w:rPr>
        <w:lastRenderedPageBreak/>
        <w:t xml:space="preserve">as a key measure of the balance between debt and equity used in financing a company's operations. This ratio is determined by dividing a company's total liabilities by its total shareholders' equity, providing insight into the company's assets. </w:t>
      </w:r>
    </w:p>
    <w:p w14:paraId="1C241038" w14:textId="6F4DD182" w:rsidR="009270CF" w:rsidRDefault="006955D8" w:rsidP="00B6764D">
      <w:pPr>
        <w:pStyle w:val="NormalWeb"/>
        <w:spacing w:line="360" w:lineRule="auto"/>
        <w:rPr>
          <w:rFonts w:ascii="Arial" w:hAnsi="Arial" w:cs="Arial"/>
          <w:color w:val="000000" w:themeColor="text1"/>
          <w:sz w:val="22"/>
          <w:szCs w:val="22"/>
        </w:rPr>
      </w:pPr>
      <w:r w:rsidRPr="006955D8">
        <w:rPr>
          <w:rFonts w:ascii="Arial" w:hAnsi="Arial" w:cs="Arial"/>
          <w:color w:val="000000" w:themeColor="text1"/>
          <w:sz w:val="22"/>
          <w:szCs w:val="22"/>
        </w:rPr>
        <w:t xml:space="preserve">The company's financial leverage is moving towards </w:t>
      </w:r>
      <w:r w:rsidR="00290EA8">
        <w:rPr>
          <w:rFonts w:ascii="Arial" w:hAnsi="Arial" w:cs="Arial"/>
          <w:color w:val="000000" w:themeColor="text1"/>
          <w:sz w:val="22"/>
          <w:szCs w:val="22"/>
        </w:rPr>
        <w:t xml:space="preserve">a </w:t>
      </w:r>
      <w:r w:rsidRPr="006955D8">
        <w:rPr>
          <w:rFonts w:ascii="Arial" w:hAnsi="Arial" w:cs="Arial"/>
          <w:color w:val="000000" w:themeColor="text1"/>
          <w:sz w:val="22"/>
          <w:szCs w:val="22"/>
        </w:rPr>
        <w:t>minor increase but remains generally constant when comparing Tesco PLC's debt</w:t>
      </w:r>
      <w:r w:rsidR="00290EA8">
        <w:rPr>
          <w:rFonts w:ascii="Arial" w:hAnsi="Arial" w:cs="Arial"/>
          <w:color w:val="000000" w:themeColor="text1"/>
          <w:sz w:val="22"/>
          <w:szCs w:val="22"/>
        </w:rPr>
        <w:t>-to-</w:t>
      </w:r>
      <w:r w:rsidRPr="006955D8">
        <w:rPr>
          <w:rFonts w:ascii="Arial" w:hAnsi="Arial" w:cs="Arial"/>
          <w:color w:val="000000" w:themeColor="text1"/>
          <w:sz w:val="22"/>
          <w:szCs w:val="22"/>
        </w:rPr>
        <w:t>equity ratio from 2020 to 2024. In 2020, the ratio was 0.57, indicating a careful financing approach with a higher equity</w:t>
      </w:r>
      <w:r w:rsidR="00290EA8">
        <w:rPr>
          <w:rFonts w:ascii="Arial" w:hAnsi="Arial" w:cs="Arial"/>
          <w:color w:val="000000" w:themeColor="text1"/>
          <w:sz w:val="22"/>
          <w:szCs w:val="22"/>
        </w:rPr>
        <w:t>-to-</w:t>
      </w:r>
      <w:r w:rsidRPr="006955D8">
        <w:rPr>
          <w:rFonts w:ascii="Arial" w:hAnsi="Arial" w:cs="Arial"/>
          <w:color w:val="000000" w:themeColor="text1"/>
          <w:sz w:val="22"/>
          <w:szCs w:val="22"/>
        </w:rPr>
        <w:t>debt ratio. This strategy usually implies reduced financial risk because the business depends less on borrowing.</w:t>
      </w:r>
      <w:r>
        <w:rPr>
          <w:rFonts w:ascii="Arial" w:hAnsi="Arial" w:cs="Arial"/>
          <w:color w:val="000000" w:themeColor="text1"/>
          <w:sz w:val="22"/>
          <w:szCs w:val="22"/>
        </w:rPr>
        <w:t xml:space="preserve"> </w:t>
      </w:r>
      <w:r w:rsidR="00167D11" w:rsidRPr="00167D11">
        <w:rPr>
          <w:rFonts w:ascii="Arial" w:hAnsi="Arial" w:cs="Arial"/>
          <w:color w:val="000000" w:themeColor="text1"/>
          <w:sz w:val="22"/>
          <w:szCs w:val="22"/>
        </w:rPr>
        <w:t>The ratio slightly increased to 0.59 in 2021, then dropped to 0.47 in 2022, possibly indicating efforts to reduce debt or increase equity during a period of economic recovery post-pandemic. By 2023 and 2024, the ratio r</w:t>
      </w:r>
      <w:r w:rsidR="00290EA8">
        <w:rPr>
          <w:rFonts w:ascii="Arial" w:hAnsi="Arial" w:cs="Arial"/>
          <w:color w:val="000000" w:themeColor="text1"/>
          <w:sz w:val="22"/>
          <w:szCs w:val="22"/>
        </w:rPr>
        <w:t>a</w:t>
      </w:r>
      <w:r w:rsidR="00F45BED">
        <w:rPr>
          <w:rFonts w:ascii="Arial" w:hAnsi="Arial" w:cs="Arial"/>
          <w:color w:val="000000" w:themeColor="text1"/>
          <w:sz w:val="22"/>
          <w:szCs w:val="22"/>
        </w:rPr>
        <w:t>ised</w:t>
      </w:r>
      <w:r w:rsidR="00167D11" w:rsidRPr="00167D11">
        <w:rPr>
          <w:rFonts w:ascii="Arial" w:hAnsi="Arial" w:cs="Arial"/>
          <w:color w:val="000000" w:themeColor="text1"/>
          <w:sz w:val="22"/>
          <w:szCs w:val="22"/>
        </w:rPr>
        <w:t xml:space="preserve"> to 0.60 and 0.62</w:t>
      </w:r>
      <w:r w:rsidR="003C2070">
        <w:rPr>
          <w:rFonts w:ascii="Arial" w:hAnsi="Arial" w:cs="Arial"/>
          <w:color w:val="000000" w:themeColor="text1"/>
          <w:sz w:val="22"/>
          <w:szCs w:val="22"/>
        </w:rPr>
        <w:t xml:space="preserve"> in 2024 - </w:t>
      </w:r>
      <w:r w:rsidR="00290EA8" w:rsidRPr="00290EA8">
        <w:rPr>
          <w:rFonts w:ascii="Arial" w:hAnsi="Arial" w:cs="Arial"/>
          <w:color w:val="000000" w:themeColor="text1"/>
          <w:sz w:val="22"/>
          <w:szCs w:val="22"/>
        </w:rPr>
        <w:t xml:space="preserve">suggesting a measured return to borrowing, possibly </w:t>
      </w:r>
      <w:r w:rsidR="00D05E95">
        <w:rPr>
          <w:rFonts w:ascii="Arial" w:hAnsi="Arial" w:cs="Arial"/>
          <w:color w:val="000000" w:themeColor="text1"/>
          <w:sz w:val="22"/>
          <w:szCs w:val="22"/>
        </w:rPr>
        <w:t>to fund new businesses or take</w:t>
      </w:r>
      <w:r w:rsidR="00290EA8" w:rsidRPr="00290EA8">
        <w:rPr>
          <w:rFonts w:ascii="Arial" w:hAnsi="Arial" w:cs="Arial"/>
          <w:color w:val="000000" w:themeColor="text1"/>
          <w:sz w:val="22"/>
          <w:szCs w:val="22"/>
        </w:rPr>
        <w:t xml:space="preserve"> advantage of beneficial lending </w:t>
      </w:r>
      <w:r w:rsidR="00290EA8">
        <w:rPr>
          <w:rFonts w:ascii="Arial" w:hAnsi="Arial" w:cs="Arial"/>
          <w:color w:val="000000" w:themeColor="text1"/>
          <w:sz w:val="22"/>
          <w:szCs w:val="22"/>
        </w:rPr>
        <w:t>conditions.</w:t>
      </w:r>
    </w:p>
    <w:p w14:paraId="4A092047" w14:textId="369A620A" w:rsidR="00901B57" w:rsidRPr="006B5179" w:rsidRDefault="006E267C" w:rsidP="00B6764D">
      <w:pPr>
        <w:pStyle w:val="NormalWeb"/>
        <w:spacing w:line="360" w:lineRule="auto"/>
        <w:rPr>
          <w:rFonts w:ascii="Arial" w:hAnsi="Arial" w:cs="Arial"/>
          <w:color w:val="000000" w:themeColor="text1"/>
          <w:sz w:val="22"/>
          <w:szCs w:val="22"/>
        </w:rPr>
      </w:pPr>
      <w:r w:rsidRPr="006E267C">
        <w:rPr>
          <w:rFonts w:ascii="Arial" w:hAnsi="Arial" w:cs="Arial"/>
          <w:color w:val="000000" w:themeColor="text1"/>
          <w:sz w:val="22"/>
          <w:szCs w:val="22"/>
        </w:rPr>
        <w:t>When compared to Marks and Spencer (M&amp;S), which had a debt</w:t>
      </w:r>
      <w:r>
        <w:rPr>
          <w:rFonts w:ascii="Arial" w:hAnsi="Arial" w:cs="Arial"/>
          <w:color w:val="000000" w:themeColor="text1"/>
          <w:sz w:val="22"/>
          <w:szCs w:val="22"/>
        </w:rPr>
        <w:t>-to-</w:t>
      </w:r>
      <w:r w:rsidRPr="006E267C">
        <w:rPr>
          <w:rFonts w:ascii="Arial" w:hAnsi="Arial" w:cs="Arial"/>
          <w:color w:val="000000" w:themeColor="text1"/>
          <w:sz w:val="22"/>
          <w:szCs w:val="22"/>
        </w:rPr>
        <w:t>equity ratio of 1.11 in 2024</w:t>
      </w:r>
      <w:r w:rsidR="00901B57">
        <w:rPr>
          <w:rFonts w:ascii="Arial" w:hAnsi="Arial" w:cs="Arial"/>
          <w:color w:val="000000" w:themeColor="text1"/>
          <w:sz w:val="22"/>
          <w:szCs w:val="22"/>
        </w:rPr>
        <w:t xml:space="preserve"> </w:t>
      </w:r>
      <w:r w:rsidR="00901B57">
        <w:rPr>
          <w:rFonts w:ascii="ArialMT" w:hAnsi="ArialMT"/>
          <w:color w:val="000000" w:themeColor="text1"/>
          <w:sz w:val="22"/>
          <w:szCs w:val="22"/>
        </w:rPr>
        <w:t>(Corporate.marksandspencer.com 2024)</w:t>
      </w:r>
      <w:r w:rsidRPr="006E267C">
        <w:rPr>
          <w:rFonts w:ascii="Arial" w:hAnsi="Arial" w:cs="Arial"/>
          <w:color w:val="000000" w:themeColor="text1"/>
          <w:sz w:val="22"/>
          <w:szCs w:val="22"/>
        </w:rPr>
        <w:t xml:space="preserve">, Tesco’s lower ratio suggests a more conservative financial structure with less reliance on debt. M&amp;S's higher ratio indicates </w:t>
      </w:r>
      <w:r w:rsidR="00BF3727">
        <w:rPr>
          <w:rFonts w:ascii="Arial" w:hAnsi="Arial" w:cs="Arial"/>
          <w:color w:val="000000" w:themeColor="text1"/>
          <w:sz w:val="22"/>
          <w:szCs w:val="22"/>
        </w:rPr>
        <w:t>bigger</w:t>
      </w:r>
      <w:r w:rsidRPr="006E267C">
        <w:rPr>
          <w:rFonts w:ascii="Arial" w:hAnsi="Arial" w:cs="Arial"/>
          <w:color w:val="000000" w:themeColor="text1"/>
          <w:sz w:val="22"/>
          <w:szCs w:val="22"/>
        </w:rPr>
        <w:t xml:space="preserve"> financial risk, as the company has more debt relative to its equity.</w:t>
      </w:r>
      <w:r w:rsidR="008828B9" w:rsidRPr="008828B9">
        <w:t xml:space="preserve"> </w:t>
      </w:r>
      <w:r w:rsidR="008828B9" w:rsidRPr="008828B9">
        <w:rPr>
          <w:rFonts w:ascii="Arial" w:hAnsi="Arial" w:cs="Arial"/>
          <w:color w:val="000000" w:themeColor="text1"/>
          <w:sz w:val="22"/>
          <w:szCs w:val="22"/>
        </w:rPr>
        <w:t xml:space="preserve">Tesco’s more balanced approach provides it with </w:t>
      </w:r>
      <w:r w:rsidR="00967D17">
        <w:rPr>
          <w:rFonts w:ascii="Arial" w:hAnsi="Arial" w:cs="Arial"/>
          <w:color w:val="000000" w:themeColor="text1"/>
          <w:sz w:val="22"/>
          <w:szCs w:val="22"/>
        </w:rPr>
        <w:t>better</w:t>
      </w:r>
      <w:r w:rsidR="008828B9" w:rsidRPr="008828B9">
        <w:rPr>
          <w:rFonts w:ascii="Arial" w:hAnsi="Arial" w:cs="Arial"/>
          <w:color w:val="000000" w:themeColor="text1"/>
          <w:sz w:val="22"/>
          <w:szCs w:val="22"/>
        </w:rPr>
        <w:t xml:space="preserve"> financial stability and flexibility</w:t>
      </w:r>
      <w:r w:rsidRPr="006E267C">
        <w:rPr>
          <w:rFonts w:ascii="Arial" w:hAnsi="Arial" w:cs="Arial"/>
          <w:color w:val="000000" w:themeColor="text1"/>
          <w:sz w:val="22"/>
          <w:szCs w:val="22"/>
        </w:rPr>
        <w:t>.</w:t>
      </w:r>
    </w:p>
    <w:p w14:paraId="14306C43" w14:textId="3085AD46" w:rsidR="00AA51D5" w:rsidRDefault="00AA51D5" w:rsidP="00AA51D5">
      <w:pPr>
        <w:pStyle w:val="Caption"/>
        <w:keepNext/>
      </w:pPr>
      <w:bookmarkStart w:id="9" w:name="_Toc174983295"/>
      <w:r>
        <w:t xml:space="preserve">Figure </w:t>
      </w:r>
      <w:r>
        <w:fldChar w:fldCharType="begin"/>
      </w:r>
      <w:r>
        <w:instrText xml:space="preserve"> SEQ Figure \* ARABIC </w:instrText>
      </w:r>
      <w:r>
        <w:fldChar w:fldCharType="separate"/>
      </w:r>
      <w:r w:rsidR="00717194">
        <w:rPr>
          <w:noProof/>
        </w:rPr>
        <w:t>4</w:t>
      </w:r>
      <w:r>
        <w:fldChar w:fldCharType="end"/>
      </w:r>
      <w:r>
        <w:t xml:space="preserve">- Interest Coverage - </w:t>
      </w:r>
      <w:r w:rsidRPr="002B3199">
        <w:t>Tesco PLC&amp; Marks and Spencer [source: author</w:t>
      </w:r>
      <w:r w:rsidR="00717194">
        <w:t xml:space="preserve">– </w:t>
      </w:r>
      <w:proofErr w:type="gramStart"/>
      <w:r w:rsidR="00717194">
        <w:t>calculated  from</w:t>
      </w:r>
      <w:proofErr w:type="gramEnd"/>
      <w:r w:rsidR="00717194">
        <w:t xml:space="preserve"> Yahoo.finance.com – Refer to Appendix]</w:t>
      </w:r>
      <w:r w:rsidRPr="002B3199">
        <w:t>]</w:t>
      </w:r>
      <w:bookmarkEnd w:id="9"/>
    </w:p>
    <w:tbl>
      <w:tblPr>
        <w:tblW w:w="4060" w:type="dxa"/>
        <w:tblLook w:val="04A0" w:firstRow="1" w:lastRow="0" w:firstColumn="1" w:lastColumn="0" w:noHBand="0" w:noVBand="1"/>
      </w:tblPr>
      <w:tblGrid>
        <w:gridCol w:w="2020"/>
        <w:gridCol w:w="2040"/>
      </w:tblGrid>
      <w:tr w:rsidR="00F0607C" w14:paraId="7D65D5E1" w14:textId="77777777" w:rsidTr="00F0607C">
        <w:trPr>
          <w:trHeight w:val="320"/>
        </w:trPr>
        <w:tc>
          <w:tcPr>
            <w:tcW w:w="2020" w:type="dxa"/>
            <w:tcBorders>
              <w:top w:val="nil"/>
              <w:left w:val="nil"/>
              <w:bottom w:val="nil"/>
              <w:right w:val="nil"/>
            </w:tcBorders>
            <w:shd w:val="clear" w:color="000000" w:fill="DAE9F8"/>
            <w:noWrap/>
            <w:vAlign w:val="bottom"/>
            <w:hideMark/>
          </w:tcPr>
          <w:p w14:paraId="3FAD60CA" w14:textId="77777777" w:rsidR="00F0607C" w:rsidRDefault="00F0607C">
            <w:pPr>
              <w:rPr>
                <w:rFonts w:ascii="Aptos Narrow" w:hAnsi="Aptos Narrow"/>
                <w:color w:val="000000"/>
              </w:rPr>
            </w:pPr>
            <w:r>
              <w:rPr>
                <w:rFonts w:ascii="Aptos Narrow" w:hAnsi="Aptos Narrow"/>
                <w:color w:val="000000"/>
              </w:rPr>
              <w:t xml:space="preserve">Tesco PCL </w:t>
            </w:r>
          </w:p>
        </w:tc>
        <w:tc>
          <w:tcPr>
            <w:tcW w:w="2040" w:type="dxa"/>
            <w:tcBorders>
              <w:top w:val="nil"/>
              <w:left w:val="nil"/>
              <w:bottom w:val="nil"/>
              <w:right w:val="nil"/>
            </w:tcBorders>
            <w:shd w:val="clear" w:color="000000" w:fill="E49EDD"/>
            <w:noWrap/>
            <w:vAlign w:val="bottom"/>
            <w:hideMark/>
          </w:tcPr>
          <w:p w14:paraId="7966F22E" w14:textId="77777777" w:rsidR="00F0607C" w:rsidRDefault="00F0607C">
            <w:pPr>
              <w:rPr>
                <w:rFonts w:ascii="Aptos Narrow" w:hAnsi="Aptos Narrow"/>
                <w:color w:val="000000"/>
              </w:rPr>
            </w:pPr>
            <w:r>
              <w:rPr>
                <w:rFonts w:ascii="Aptos Narrow" w:hAnsi="Aptos Narrow"/>
                <w:color w:val="000000"/>
              </w:rPr>
              <w:t xml:space="preserve">Interest Coverage </w:t>
            </w:r>
          </w:p>
        </w:tc>
      </w:tr>
      <w:tr w:rsidR="00F0607C" w14:paraId="086B18E7" w14:textId="77777777" w:rsidTr="00F0607C">
        <w:trPr>
          <w:trHeight w:val="320"/>
        </w:trPr>
        <w:tc>
          <w:tcPr>
            <w:tcW w:w="2020" w:type="dxa"/>
            <w:tcBorders>
              <w:top w:val="nil"/>
              <w:left w:val="nil"/>
              <w:bottom w:val="nil"/>
              <w:right w:val="nil"/>
            </w:tcBorders>
            <w:shd w:val="clear" w:color="auto" w:fill="auto"/>
            <w:noWrap/>
            <w:vAlign w:val="bottom"/>
            <w:hideMark/>
          </w:tcPr>
          <w:p w14:paraId="46CB0CA7" w14:textId="77777777" w:rsidR="00F0607C" w:rsidRDefault="00F0607C">
            <w:pPr>
              <w:rPr>
                <w:rFonts w:ascii="Aptos Narrow" w:hAnsi="Aptos Narrow"/>
                <w:color w:val="000000"/>
              </w:rPr>
            </w:pPr>
            <w:r>
              <w:rPr>
                <w:rFonts w:ascii="Aptos Narrow" w:hAnsi="Aptos Narrow"/>
                <w:color w:val="000000"/>
              </w:rPr>
              <w:t>2020</w:t>
            </w:r>
          </w:p>
        </w:tc>
        <w:tc>
          <w:tcPr>
            <w:tcW w:w="2040" w:type="dxa"/>
            <w:tcBorders>
              <w:top w:val="nil"/>
              <w:left w:val="nil"/>
              <w:bottom w:val="nil"/>
              <w:right w:val="nil"/>
            </w:tcBorders>
            <w:shd w:val="clear" w:color="auto" w:fill="auto"/>
            <w:noWrap/>
            <w:vAlign w:val="bottom"/>
            <w:hideMark/>
          </w:tcPr>
          <w:p w14:paraId="76B13C81" w14:textId="77777777" w:rsidR="00F0607C" w:rsidRDefault="00F0607C">
            <w:pPr>
              <w:jc w:val="right"/>
              <w:rPr>
                <w:rFonts w:ascii="Aptos Narrow" w:hAnsi="Aptos Narrow"/>
                <w:color w:val="000000"/>
              </w:rPr>
            </w:pPr>
            <w:r>
              <w:rPr>
                <w:rFonts w:ascii="Aptos Narrow" w:hAnsi="Aptos Narrow"/>
                <w:color w:val="000000"/>
              </w:rPr>
              <w:t>2.81</w:t>
            </w:r>
          </w:p>
        </w:tc>
      </w:tr>
      <w:tr w:rsidR="00F0607C" w14:paraId="342BD69D" w14:textId="77777777" w:rsidTr="00F0607C">
        <w:trPr>
          <w:trHeight w:val="320"/>
        </w:trPr>
        <w:tc>
          <w:tcPr>
            <w:tcW w:w="2020" w:type="dxa"/>
            <w:tcBorders>
              <w:top w:val="nil"/>
              <w:left w:val="nil"/>
              <w:bottom w:val="nil"/>
              <w:right w:val="nil"/>
            </w:tcBorders>
            <w:shd w:val="clear" w:color="auto" w:fill="auto"/>
            <w:noWrap/>
            <w:vAlign w:val="bottom"/>
            <w:hideMark/>
          </w:tcPr>
          <w:p w14:paraId="0FA70919" w14:textId="77777777" w:rsidR="00F0607C" w:rsidRDefault="00F0607C">
            <w:pPr>
              <w:rPr>
                <w:rFonts w:ascii="Aptos Narrow" w:hAnsi="Aptos Narrow"/>
                <w:color w:val="000000"/>
              </w:rPr>
            </w:pPr>
            <w:r>
              <w:rPr>
                <w:rFonts w:ascii="Aptos Narrow" w:hAnsi="Aptos Narrow"/>
                <w:color w:val="000000"/>
              </w:rPr>
              <w:t>2021</w:t>
            </w:r>
          </w:p>
        </w:tc>
        <w:tc>
          <w:tcPr>
            <w:tcW w:w="2040" w:type="dxa"/>
            <w:tcBorders>
              <w:top w:val="nil"/>
              <w:left w:val="nil"/>
              <w:bottom w:val="nil"/>
              <w:right w:val="nil"/>
            </w:tcBorders>
            <w:shd w:val="clear" w:color="auto" w:fill="auto"/>
            <w:noWrap/>
            <w:vAlign w:val="bottom"/>
            <w:hideMark/>
          </w:tcPr>
          <w:p w14:paraId="1614B9E2" w14:textId="77777777" w:rsidR="00F0607C" w:rsidRDefault="00F0607C">
            <w:pPr>
              <w:jc w:val="right"/>
              <w:rPr>
                <w:rFonts w:ascii="Aptos Narrow" w:hAnsi="Aptos Narrow"/>
                <w:color w:val="000000"/>
              </w:rPr>
            </w:pPr>
            <w:r>
              <w:rPr>
                <w:rFonts w:ascii="Aptos Narrow" w:hAnsi="Aptos Narrow"/>
                <w:color w:val="000000"/>
              </w:rPr>
              <w:t>1.94</w:t>
            </w:r>
          </w:p>
        </w:tc>
      </w:tr>
      <w:tr w:rsidR="00F0607C" w14:paraId="6BF2C7E1" w14:textId="77777777" w:rsidTr="00F0607C">
        <w:trPr>
          <w:trHeight w:val="320"/>
        </w:trPr>
        <w:tc>
          <w:tcPr>
            <w:tcW w:w="2020" w:type="dxa"/>
            <w:tcBorders>
              <w:top w:val="nil"/>
              <w:left w:val="nil"/>
              <w:bottom w:val="nil"/>
              <w:right w:val="nil"/>
            </w:tcBorders>
            <w:shd w:val="clear" w:color="auto" w:fill="auto"/>
            <w:noWrap/>
            <w:vAlign w:val="bottom"/>
            <w:hideMark/>
          </w:tcPr>
          <w:p w14:paraId="10D511C4" w14:textId="77777777" w:rsidR="00F0607C" w:rsidRDefault="00F0607C">
            <w:pPr>
              <w:rPr>
                <w:rFonts w:ascii="Aptos Narrow" w:hAnsi="Aptos Narrow"/>
                <w:color w:val="000000"/>
              </w:rPr>
            </w:pPr>
            <w:r>
              <w:rPr>
                <w:rFonts w:ascii="Aptos Narrow" w:hAnsi="Aptos Narrow"/>
                <w:color w:val="000000"/>
              </w:rPr>
              <w:t>2022</w:t>
            </w:r>
          </w:p>
        </w:tc>
        <w:tc>
          <w:tcPr>
            <w:tcW w:w="2040" w:type="dxa"/>
            <w:tcBorders>
              <w:top w:val="nil"/>
              <w:left w:val="nil"/>
              <w:bottom w:val="nil"/>
              <w:right w:val="nil"/>
            </w:tcBorders>
            <w:shd w:val="clear" w:color="auto" w:fill="auto"/>
            <w:noWrap/>
            <w:vAlign w:val="bottom"/>
            <w:hideMark/>
          </w:tcPr>
          <w:p w14:paraId="59173FAD" w14:textId="77777777" w:rsidR="00F0607C" w:rsidRDefault="00F0607C">
            <w:pPr>
              <w:jc w:val="right"/>
              <w:rPr>
                <w:rFonts w:ascii="Aptos Narrow" w:hAnsi="Aptos Narrow"/>
                <w:color w:val="000000"/>
              </w:rPr>
            </w:pPr>
            <w:r>
              <w:rPr>
                <w:rFonts w:ascii="Aptos Narrow" w:hAnsi="Aptos Narrow"/>
                <w:color w:val="000000"/>
              </w:rPr>
              <w:t>4.39</w:t>
            </w:r>
          </w:p>
        </w:tc>
      </w:tr>
      <w:tr w:rsidR="00F0607C" w14:paraId="53B12D9F" w14:textId="77777777" w:rsidTr="00F0607C">
        <w:trPr>
          <w:trHeight w:val="320"/>
        </w:trPr>
        <w:tc>
          <w:tcPr>
            <w:tcW w:w="2020" w:type="dxa"/>
            <w:tcBorders>
              <w:top w:val="nil"/>
              <w:left w:val="nil"/>
              <w:bottom w:val="nil"/>
              <w:right w:val="nil"/>
            </w:tcBorders>
            <w:shd w:val="clear" w:color="auto" w:fill="auto"/>
            <w:noWrap/>
            <w:vAlign w:val="bottom"/>
            <w:hideMark/>
          </w:tcPr>
          <w:p w14:paraId="5BEB027D" w14:textId="77777777" w:rsidR="00F0607C" w:rsidRDefault="00F0607C">
            <w:pPr>
              <w:rPr>
                <w:rFonts w:ascii="Aptos Narrow" w:hAnsi="Aptos Narrow"/>
                <w:color w:val="000000"/>
              </w:rPr>
            </w:pPr>
            <w:r>
              <w:rPr>
                <w:rFonts w:ascii="Aptos Narrow" w:hAnsi="Aptos Narrow"/>
                <w:color w:val="000000"/>
              </w:rPr>
              <w:t>2023</w:t>
            </w:r>
          </w:p>
        </w:tc>
        <w:tc>
          <w:tcPr>
            <w:tcW w:w="2040" w:type="dxa"/>
            <w:tcBorders>
              <w:top w:val="nil"/>
              <w:left w:val="nil"/>
              <w:bottom w:val="nil"/>
              <w:right w:val="nil"/>
            </w:tcBorders>
            <w:shd w:val="clear" w:color="auto" w:fill="auto"/>
            <w:noWrap/>
            <w:vAlign w:val="bottom"/>
            <w:hideMark/>
          </w:tcPr>
          <w:p w14:paraId="61CB6A12" w14:textId="77777777" w:rsidR="00F0607C" w:rsidRDefault="00F0607C">
            <w:pPr>
              <w:jc w:val="right"/>
              <w:rPr>
                <w:rFonts w:ascii="Aptos Narrow" w:hAnsi="Aptos Narrow"/>
                <w:color w:val="000000"/>
              </w:rPr>
            </w:pPr>
            <w:r>
              <w:rPr>
                <w:rFonts w:ascii="Aptos Narrow" w:hAnsi="Aptos Narrow"/>
                <w:color w:val="000000"/>
              </w:rPr>
              <w:t>4.68</w:t>
            </w:r>
          </w:p>
        </w:tc>
      </w:tr>
      <w:tr w:rsidR="00F0607C" w14:paraId="111FF00D" w14:textId="77777777" w:rsidTr="00F0607C">
        <w:trPr>
          <w:trHeight w:val="320"/>
        </w:trPr>
        <w:tc>
          <w:tcPr>
            <w:tcW w:w="2020" w:type="dxa"/>
            <w:tcBorders>
              <w:top w:val="nil"/>
              <w:left w:val="nil"/>
              <w:bottom w:val="nil"/>
              <w:right w:val="nil"/>
            </w:tcBorders>
            <w:shd w:val="clear" w:color="auto" w:fill="auto"/>
            <w:noWrap/>
            <w:vAlign w:val="bottom"/>
            <w:hideMark/>
          </w:tcPr>
          <w:p w14:paraId="4F301AFB" w14:textId="77777777" w:rsidR="00F0607C" w:rsidRDefault="00F0607C">
            <w:pPr>
              <w:rPr>
                <w:rFonts w:ascii="Aptos Narrow" w:hAnsi="Aptos Narrow"/>
                <w:color w:val="000000"/>
              </w:rPr>
            </w:pPr>
            <w:r>
              <w:rPr>
                <w:rFonts w:ascii="Aptos Narrow" w:hAnsi="Aptos Narrow"/>
                <w:color w:val="000000"/>
              </w:rPr>
              <w:t>2024</w:t>
            </w:r>
          </w:p>
        </w:tc>
        <w:tc>
          <w:tcPr>
            <w:tcW w:w="2040" w:type="dxa"/>
            <w:tcBorders>
              <w:top w:val="nil"/>
              <w:left w:val="nil"/>
              <w:bottom w:val="nil"/>
              <w:right w:val="nil"/>
            </w:tcBorders>
            <w:shd w:val="clear" w:color="auto" w:fill="auto"/>
            <w:noWrap/>
            <w:vAlign w:val="bottom"/>
            <w:hideMark/>
          </w:tcPr>
          <w:p w14:paraId="0387F072" w14:textId="77777777" w:rsidR="00F0607C" w:rsidRDefault="00F0607C">
            <w:pPr>
              <w:jc w:val="right"/>
              <w:rPr>
                <w:rFonts w:ascii="Aptos Narrow" w:hAnsi="Aptos Narrow"/>
                <w:color w:val="000000"/>
              </w:rPr>
            </w:pPr>
            <w:r>
              <w:rPr>
                <w:rFonts w:ascii="Aptos Narrow" w:hAnsi="Aptos Narrow"/>
                <w:color w:val="000000"/>
              </w:rPr>
              <w:t>5.07</w:t>
            </w:r>
          </w:p>
        </w:tc>
      </w:tr>
      <w:tr w:rsidR="00F0607C" w14:paraId="74FE4020" w14:textId="77777777" w:rsidTr="00F0607C">
        <w:trPr>
          <w:trHeight w:val="320"/>
        </w:trPr>
        <w:tc>
          <w:tcPr>
            <w:tcW w:w="2020" w:type="dxa"/>
            <w:tcBorders>
              <w:top w:val="nil"/>
              <w:left w:val="nil"/>
              <w:bottom w:val="nil"/>
              <w:right w:val="nil"/>
            </w:tcBorders>
            <w:shd w:val="clear" w:color="000000" w:fill="DAF2D0"/>
            <w:noWrap/>
            <w:vAlign w:val="bottom"/>
            <w:hideMark/>
          </w:tcPr>
          <w:p w14:paraId="1148E3C3" w14:textId="42213390" w:rsidR="00994353" w:rsidRDefault="00F0607C">
            <w:pPr>
              <w:rPr>
                <w:rFonts w:ascii="Aptos Narrow" w:hAnsi="Aptos Narrow"/>
                <w:color w:val="000000"/>
              </w:rPr>
            </w:pPr>
            <w:r>
              <w:rPr>
                <w:rFonts w:ascii="Aptos Narrow" w:hAnsi="Aptos Narrow"/>
                <w:color w:val="000000"/>
              </w:rPr>
              <w:t xml:space="preserve">Marks and Spencer </w:t>
            </w:r>
            <w:r w:rsidR="00994353">
              <w:rPr>
                <w:rFonts w:ascii="Aptos Narrow" w:hAnsi="Aptos Narrow"/>
                <w:color w:val="000000"/>
              </w:rPr>
              <w:t>2024</w:t>
            </w:r>
          </w:p>
        </w:tc>
        <w:tc>
          <w:tcPr>
            <w:tcW w:w="2040" w:type="dxa"/>
            <w:tcBorders>
              <w:top w:val="nil"/>
              <w:left w:val="nil"/>
              <w:bottom w:val="nil"/>
              <w:right w:val="nil"/>
            </w:tcBorders>
            <w:shd w:val="clear" w:color="auto" w:fill="auto"/>
            <w:noWrap/>
            <w:vAlign w:val="bottom"/>
            <w:hideMark/>
          </w:tcPr>
          <w:p w14:paraId="34567CCB" w14:textId="531BBE1A" w:rsidR="00F0607C" w:rsidRDefault="00F0607C">
            <w:pPr>
              <w:rPr>
                <w:rFonts w:ascii="Aptos Narrow" w:hAnsi="Aptos Narrow"/>
                <w:color w:val="000000"/>
              </w:rPr>
            </w:pPr>
            <w:r>
              <w:rPr>
                <w:rFonts w:ascii="Aptos Narrow" w:hAnsi="Aptos Narrow"/>
                <w:color w:val="000000"/>
              </w:rPr>
              <w:t xml:space="preserve">                            17.13</w:t>
            </w:r>
          </w:p>
        </w:tc>
      </w:tr>
      <w:tr w:rsidR="00F0607C" w14:paraId="1511E429" w14:textId="77777777" w:rsidTr="00F0607C">
        <w:trPr>
          <w:trHeight w:val="320"/>
        </w:trPr>
        <w:tc>
          <w:tcPr>
            <w:tcW w:w="2020" w:type="dxa"/>
            <w:tcBorders>
              <w:top w:val="nil"/>
              <w:left w:val="nil"/>
              <w:bottom w:val="nil"/>
              <w:right w:val="nil"/>
            </w:tcBorders>
            <w:shd w:val="clear" w:color="auto" w:fill="auto"/>
            <w:noWrap/>
            <w:vAlign w:val="bottom"/>
            <w:hideMark/>
          </w:tcPr>
          <w:p w14:paraId="58EEF74C" w14:textId="77777777" w:rsidR="00F0607C" w:rsidRDefault="00F0607C">
            <w:pPr>
              <w:rPr>
                <w:sz w:val="20"/>
                <w:szCs w:val="20"/>
              </w:rPr>
            </w:pPr>
          </w:p>
        </w:tc>
        <w:tc>
          <w:tcPr>
            <w:tcW w:w="2040" w:type="dxa"/>
            <w:tcBorders>
              <w:top w:val="nil"/>
              <w:left w:val="nil"/>
              <w:bottom w:val="nil"/>
              <w:right w:val="nil"/>
            </w:tcBorders>
            <w:shd w:val="clear" w:color="auto" w:fill="auto"/>
            <w:noWrap/>
            <w:vAlign w:val="bottom"/>
            <w:hideMark/>
          </w:tcPr>
          <w:p w14:paraId="6291F932" w14:textId="77777777" w:rsidR="00F0607C" w:rsidRDefault="00F0607C">
            <w:pPr>
              <w:rPr>
                <w:sz w:val="20"/>
                <w:szCs w:val="20"/>
              </w:rPr>
            </w:pPr>
          </w:p>
        </w:tc>
      </w:tr>
    </w:tbl>
    <w:p w14:paraId="7D86EF75" w14:textId="77777777" w:rsidR="009F3774" w:rsidRDefault="009F3774" w:rsidP="004332C1">
      <w:pPr>
        <w:pStyle w:val="NormalWeb"/>
        <w:spacing w:line="360" w:lineRule="auto"/>
        <w:rPr>
          <w:rFonts w:ascii="Arial" w:hAnsi="Arial" w:cs="Arial"/>
          <w:color w:val="000000" w:themeColor="text1"/>
          <w:sz w:val="22"/>
          <w:szCs w:val="22"/>
        </w:rPr>
      </w:pPr>
      <w:r w:rsidRPr="009F3774">
        <w:rPr>
          <w:rFonts w:ascii="Arial" w:hAnsi="Arial" w:cs="Arial"/>
          <w:color w:val="000000" w:themeColor="text1"/>
          <w:sz w:val="22"/>
          <w:szCs w:val="22"/>
        </w:rPr>
        <w:t>The typical interest coverage ratio in the retail industry generally falls between 3 and 5, according to Corporate Finance Institute (2024). The interest coverage ratio is a key financial metric that measures a company's ability to meet its interest obligations, as noted by the Corporate Finance Institute (2023). This ratio is calculated by dividing earnings before interest and taxes (EBIT) by the company's interest expenses. In the retail sector, a ratio within this range indicates that the company can cover its interest costs three to five times over. A higher ratio is generally preferred, as it suggests lower financial risk by demonstrating that the company has a strong capacity to meet its interest payments.</w:t>
      </w:r>
    </w:p>
    <w:p w14:paraId="3FFC78B5" w14:textId="13995CB9" w:rsidR="00921F01" w:rsidRDefault="00951013" w:rsidP="004332C1">
      <w:pPr>
        <w:pStyle w:val="NormalWeb"/>
        <w:spacing w:line="360" w:lineRule="auto"/>
        <w:rPr>
          <w:rFonts w:ascii="Arial" w:hAnsi="Arial" w:cs="Arial"/>
          <w:color w:val="000000" w:themeColor="text1"/>
          <w:sz w:val="22"/>
          <w:szCs w:val="22"/>
        </w:rPr>
      </w:pPr>
      <w:r w:rsidRPr="00951013">
        <w:rPr>
          <w:rFonts w:ascii="Arial" w:hAnsi="Arial" w:cs="Arial"/>
          <w:color w:val="000000" w:themeColor="text1"/>
          <w:sz w:val="22"/>
          <w:szCs w:val="22"/>
        </w:rPr>
        <w:lastRenderedPageBreak/>
        <w:t xml:space="preserve">Tesco PLC’s interest coverage ratio from 2020 to 2024 shows a clear </w:t>
      </w:r>
      <w:r>
        <w:rPr>
          <w:rFonts w:ascii="Arial" w:hAnsi="Arial" w:cs="Arial"/>
          <w:color w:val="000000" w:themeColor="text1"/>
          <w:sz w:val="22"/>
          <w:szCs w:val="22"/>
        </w:rPr>
        <w:t>way</w:t>
      </w:r>
      <w:r w:rsidRPr="00951013">
        <w:rPr>
          <w:rFonts w:ascii="Arial" w:hAnsi="Arial" w:cs="Arial"/>
          <w:color w:val="000000" w:themeColor="text1"/>
          <w:sz w:val="22"/>
          <w:szCs w:val="22"/>
        </w:rPr>
        <w:t xml:space="preserve"> of improvement, reflecting the company’s growing ability to manage its debt-related expenses. In 2020, Tesco’s ratio was 2.81, indicating that it had just under three times the earnings needed to cover its interest expenses. However, the ratio dropped to 1.94 in 2021, possibly due to increased borrowing costs or lower earnings during the height of the COVID-19 pandemic. </w:t>
      </w:r>
      <w:r w:rsidR="00ED1EC2" w:rsidRPr="00ED1EC2">
        <w:rPr>
          <w:rFonts w:ascii="Arial" w:hAnsi="Arial" w:cs="Arial"/>
          <w:color w:val="000000" w:themeColor="text1"/>
          <w:sz w:val="22"/>
          <w:szCs w:val="22"/>
        </w:rPr>
        <w:t>A ratio below 2.0 suggests some difficulty in covering interest payments, which could indicate financial difficulties.</w:t>
      </w:r>
      <w:r w:rsidR="00ED1EC2">
        <w:rPr>
          <w:rFonts w:ascii="Arial" w:hAnsi="Arial" w:cs="Arial"/>
          <w:color w:val="000000" w:themeColor="text1"/>
          <w:sz w:val="22"/>
          <w:szCs w:val="22"/>
        </w:rPr>
        <w:t xml:space="preserve"> </w:t>
      </w:r>
      <w:r w:rsidR="001F42A1" w:rsidRPr="001F42A1">
        <w:rPr>
          <w:rFonts w:ascii="Arial" w:hAnsi="Arial" w:cs="Arial"/>
          <w:color w:val="000000" w:themeColor="text1"/>
          <w:sz w:val="22"/>
          <w:szCs w:val="22"/>
        </w:rPr>
        <w:t>Tesco's interest coverage ratio showed significant growth starting in 2022 and reached 4.39 in 2022, 4.68 in 2023, and 5.07 in 2024. The increase in revenue indicates that Tesco was able to either grow earnings or decrease interest expenses, which improved its ability to pay out its debt. This improvement most likely results from a mix of improved debt management techniques, like refinancing or lowering total debt levels, and revenues that have recovered since the pandemic.</w:t>
      </w:r>
      <w:r w:rsidR="001F42A1">
        <w:rPr>
          <w:rFonts w:ascii="Arial" w:hAnsi="Arial" w:cs="Arial"/>
          <w:color w:val="000000" w:themeColor="text1"/>
          <w:sz w:val="22"/>
          <w:szCs w:val="22"/>
        </w:rPr>
        <w:t xml:space="preserve"> </w:t>
      </w:r>
    </w:p>
    <w:p w14:paraId="5EAE5367" w14:textId="0A0052AA" w:rsidR="003E327D" w:rsidRDefault="003E327D" w:rsidP="004332C1">
      <w:pPr>
        <w:pStyle w:val="NormalWeb"/>
        <w:spacing w:line="360" w:lineRule="auto"/>
        <w:rPr>
          <w:rFonts w:ascii="Arial" w:hAnsi="Arial" w:cs="Arial"/>
          <w:color w:val="000000" w:themeColor="text1"/>
          <w:sz w:val="22"/>
          <w:szCs w:val="22"/>
        </w:rPr>
      </w:pPr>
      <w:r w:rsidRPr="003E327D">
        <w:rPr>
          <w:rFonts w:ascii="Arial" w:hAnsi="Arial" w:cs="Arial"/>
          <w:color w:val="000000" w:themeColor="text1"/>
          <w:sz w:val="22"/>
          <w:szCs w:val="22"/>
        </w:rPr>
        <w:t>Marks and Spencer (M&amp;S) had a stronger position in terms of covering interest expenses in 2024, as seen by their exceptionally high</w:t>
      </w:r>
      <w:r w:rsidR="002F4730">
        <w:rPr>
          <w:rFonts w:ascii="Arial" w:hAnsi="Arial" w:cs="Arial"/>
          <w:color w:val="000000" w:themeColor="text1"/>
          <w:sz w:val="22"/>
          <w:szCs w:val="22"/>
        </w:rPr>
        <w:t xml:space="preserve"> </w:t>
      </w:r>
      <w:r w:rsidRPr="003E327D">
        <w:rPr>
          <w:rFonts w:ascii="Arial" w:hAnsi="Arial" w:cs="Arial"/>
          <w:color w:val="000000" w:themeColor="text1"/>
          <w:sz w:val="22"/>
          <w:szCs w:val="22"/>
        </w:rPr>
        <w:t xml:space="preserve">interest coverage ratio of 17.13 </w:t>
      </w:r>
      <w:r w:rsidR="00076EE5">
        <w:rPr>
          <w:rFonts w:ascii="ArialMT" w:hAnsi="ArialMT"/>
          <w:color w:val="000000" w:themeColor="text1"/>
          <w:sz w:val="22"/>
          <w:szCs w:val="22"/>
        </w:rPr>
        <w:t>(Corporate.marksandspencer.com 2024)</w:t>
      </w:r>
      <w:r w:rsidR="002F4730">
        <w:rPr>
          <w:rFonts w:ascii="Arial" w:hAnsi="Arial" w:cs="Arial"/>
          <w:color w:val="000000" w:themeColor="text1"/>
          <w:sz w:val="22"/>
          <w:szCs w:val="22"/>
        </w:rPr>
        <w:t xml:space="preserve">. </w:t>
      </w:r>
      <w:r w:rsidRPr="003E327D">
        <w:rPr>
          <w:rFonts w:ascii="Arial" w:hAnsi="Arial" w:cs="Arial"/>
          <w:color w:val="000000" w:themeColor="text1"/>
          <w:sz w:val="22"/>
          <w:szCs w:val="22"/>
        </w:rPr>
        <w:t>This huge difference indicates that M&amp;S has a far lower debt profile t</w:t>
      </w:r>
      <w:r w:rsidR="002F4730">
        <w:rPr>
          <w:rFonts w:ascii="Arial" w:hAnsi="Arial" w:cs="Arial"/>
          <w:color w:val="000000" w:themeColor="text1"/>
          <w:sz w:val="22"/>
          <w:szCs w:val="22"/>
        </w:rPr>
        <w:t>han</w:t>
      </w:r>
      <w:r w:rsidRPr="003E327D">
        <w:rPr>
          <w:rFonts w:ascii="Arial" w:hAnsi="Arial" w:cs="Arial"/>
          <w:color w:val="000000" w:themeColor="text1"/>
          <w:sz w:val="22"/>
          <w:szCs w:val="22"/>
        </w:rPr>
        <w:t xml:space="preserve"> its earnings. Tesco may need to keep concentrating on lowering debt or raising earnings to improve financial stability, even while its improving ratio currently trails below M&amp;S and perhaps the sector average.</w:t>
      </w:r>
    </w:p>
    <w:p w14:paraId="4EBD74CF" w14:textId="77777777" w:rsidR="007F16DD" w:rsidRDefault="007F16DD" w:rsidP="00DB030F">
      <w:pPr>
        <w:pStyle w:val="NormalWeb"/>
        <w:rPr>
          <w:rFonts w:ascii="Arial" w:hAnsi="Arial" w:cs="Arial"/>
          <w:b/>
          <w:bCs/>
          <w:color w:val="000000" w:themeColor="text1"/>
          <w:sz w:val="22"/>
          <w:szCs w:val="22"/>
        </w:rPr>
      </w:pPr>
      <w:r>
        <w:rPr>
          <w:rFonts w:ascii="Arial" w:hAnsi="Arial" w:cs="Arial"/>
          <w:b/>
          <w:bCs/>
          <w:color w:val="000000" w:themeColor="text1"/>
          <w:sz w:val="22"/>
          <w:szCs w:val="22"/>
        </w:rPr>
        <w:t xml:space="preserve">PART </w:t>
      </w:r>
      <w:r w:rsidR="001257CB" w:rsidRPr="00771AE8">
        <w:rPr>
          <w:rFonts w:ascii="Arial" w:hAnsi="Arial" w:cs="Arial"/>
          <w:b/>
          <w:bCs/>
          <w:color w:val="000000" w:themeColor="text1"/>
          <w:sz w:val="22"/>
          <w:szCs w:val="22"/>
        </w:rPr>
        <w:t>B2</w:t>
      </w:r>
    </w:p>
    <w:p w14:paraId="2B446ACA" w14:textId="3F30D08D" w:rsidR="00771AE8" w:rsidRPr="00771AE8" w:rsidRDefault="00771AE8" w:rsidP="007F16DD">
      <w:pPr>
        <w:pStyle w:val="Heading1"/>
      </w:pPr>
      <w:r w:rsidRPr="00771AE8">
        <w:t xml:space="preserve"> </w:t>
      </w:r>
      <w:bookmarkStart w:id="10" w:name="_Toc174983272"/>
      <w:r w:rsidRPr="00771AE8">
        <w:t>Overview of Capital Structure Theories</w:t>
      </w:r>
      <w:bookmarkEnd w:id="10"/>
    </w:p>
    <w:p w14:paraId="5BB9B7F3" w14:textId="5AA6F41F" w:rsidR="00771AE8" w:rsidRDefault="009F3774" w:rsidP="00DB030F">
      <w:pPr>
        <w:pStyle w:val="NormalWeb"/>
        <w:spacing w:line="360" w:lineRule="auto"/>
        <w:rPr>
          <w:rFonts w:ascii="Arial" w:hAnsi="Arial" w:cs="Arial"/>
          <w:color w:val="000000" w:themeColor="text1"/>
          <w:sz w:val="22"/>
          <w:szCs w:val="22"/>
        </w:rPr>
      </w:pPr>
      <w:r w:rsidRPr="009F3774">
        <w:rPr>
          <w:rFonts w:ascii="Arial" w:hAnsi="Arial" w:cs="Arial"/>
          <w:color w:val="000000" w:themeColor="text1"/>
          <w:sz w:val="22"/>
          <w:szCs w:val="22"/>
        </w:rPr>
        <w:t>The term "capital structure" refers to the combination of debt and equity that a company employs to fund its operations and fuel its growth (Accaglobal.com, 2022).</w:t>
      </w:r>
      <w:r>
        <w:rPr>
          <w:rFonts w:ascii="Arial" w:hAnsi="Arial" w:cs="Arial"/>
          <w:color w:val="000000" w:themeColor="text1"/>
          <w:sz w:val="22"/>
          <w:szCs w:val="22"/>
        </w:rPr>
        <w:t xml:space="preserve"> </w:t>
      </w:r>
      <w:r w:rsidR="00771AE8" w:rsidRPr="00771AE8">
        <w:rPr>
          <w:rFonts w:ascii="Arial" w:hAnsi="Arial" w:cs="Arial"/>
          <w:color w:val="000000" w:themeColor="text1"/>
          <w:sz w:val="22"/>
          <w:szCs w:val="22"/>
        </w:rPr>
        <w:t>Several theories have been proposed to explain how firms decide on their capital structures, each offering different perspectives on the implications of debt and equity financing.</w:t>
      </w:r>
    </w:p>
    <w:p w14:paraId="418ED7AB" w14:textId="568C3428" w:rsidR="00771AE8" w:rsidRDefault="00771AE8" w:rsidP="00DB030F">
      <w:pPr>
        <w:pStyle w:val="NormalWeb"/>
        <w:spacing w:line="360" w:lineRule="auto"/>
        <w:rPr>
          <w:rFonts w:ascii="Arial" w:hAnsi="Arial" w:cs="Arial"/>
          <w:color w:val="000000" w:themeColor="text1"/>
          <w:sz w:val="22"/>
          <w:szCs w:val="22"/>
          <w:u w:val="single"/>
        </w:rPr>
      </w:pPr>
      <w:r w:rsidRPr="00771AE8">
        <w:rPr>
          <w:rFonts w:ascii="Arial" w:hAnsi="Arial" w:cs="Arial"/>
          <w:color w:val="000000" w:themeColor="text1"/>
          <w:sz w:val="22"/>
          <w:szCs w:val="22"/>
          <w:u w:val="single"/>
        </w:rPr>
        <w:t>Modigliani-Miller (1958) Capital Structure Irrelevance Theory</w:t>
      </w:r>
    </w:p>
    <w:p w14:paraId="1D6AE919" w14:textId="74ADAAAB" w:rsidR="00771AE8" w:rsidRDefault="00771AE8" w:rsidP="00DB030F">
      <w:pPr>
        <w:pStyle w:val="NormalWeb"/>
        <w:spacing w:line="360" w:lineRule="auto"/>
        <w:rPr>
          <w:rFonts w:ascii="Arial" w:hAnsi="Arial" w:cs="Arial"/>
          <w:color w:val="000000" w:themeColor="text1"/>
          <w:sz w:val="22"/>
          <w:szCs w:val="22"/>
        </w:rPr>
      </w:pPr>
      <w:r w:rsidRPr="00771AE8">
        <w:rPr>
          <w:rFonts w:ascii="Arial" w:hAnsi="Arial" w:cs="Arial"/>
          <w:color w:val="000000" w:themeColor="text1"/>
          <w:sz w:val="22"/>
          <w:szCs w:val="22"/>
        </w:rPr>
        <w:t>One of the basic concepts related to capital structure is the Modigliani-Miller (M&amp;M) theory, which was first out in 1958. It says a company's capital structure has no impact on its value in a perfect market with no taxes, bankruptcy fees, or asymmetric knowledge</w:t>
      </w:r>
      <w:r w:rsidR="00E02695">
        <w:rPr>
          <w:rFonts w:ascii="Arial" w:hAnsi="Arial" w:cs="Arial"/>
          <w:color w:val="000000" w:themeColor="text1"/>
          <w:sz w:val="22"/>
          <w:szCs w:val="22"/>
        </w:rPr>
        <w:t xml:space="preserve"> (corporatefinanceinstitute.com 2020).</w:t>
      </w:r>
      <w:r w:rsidRPr="00771AE8">
        <w:rPr>
          <w:rFonts w:ascii="Arial" w:hAnsi="Arial" w:cs="Arial"/>
          <w:color w:val="000000" w:themeColor="text1"/>
          <w:sz w:val="22"/>
          <w:szCs w:val="22"/>
        </w:rPr>
        <w:t xml:space="preserve"> This suggests that a company's total worth is unaffected by the ratio of debt to equity used to fund its operations</w:t>
      </w:r>
      <w:r w:rsidR="00E02695">
        <w:rPr>
          <w:rFonts w:ascii="Arial" w:hAnsi="Arial" w:cs="Arial"/>
          <w:color w:val="000000" w:themeColor="text1"/>
          <w:sz w:val="22"/>
          <w:szCs w:val="22"/>
        </w:rPr>
        <w:t xml:space="preserve"> (</w:t>
      </w:r>
      <w:r w:rsidR="00E02695" w:rsidRPr="00E02695">
        <w:rPr>
          <w:rFonts w:ascii="Arial" w:eastAsiaTheme="minorEastAsia" w:hAnsi="Arial" w:cs="Arial"/>
          <w:sz w:val="22"/>
          <w:szCs w:val="22"/>
          <w:lang w:val="en-US"/>
        </w:rPr>
        <w:t>Modigliani, F. &amp; Miller, M.H., 2016</w:t>
      </w:r>
      <w:r w:rsidR="00E02695">
        <w:rPr>
          <w:rFonts w:ascii="Arial" w:eastAsiaTheme="minorEastAsia" w:hAnsi="Arial" w:cs="Arial"/>
          <w:sz w:val="22"/>
          <w:szCs w:val="22"/>
          <w:lang w:val="en-US"/>
        </w:rPr>
        <w:t>)</w:t>
      </w:r>
      <w:r w:rsidR="00E02695" w:rsidRPr="00E02695">
        <w:rPr>
          <w:rFonts w:ascii="Arial" w:eastAsiaTheme="minorEastAsia" w:hAnsi="Arial" w:cs="Arial"/>
          <w:sz w:val="22"/>
          <w:szCs w:val="22"/>
          <w:lang w:val="en-US"/>
        </w:rPr>
        <w:t xml:space="preserve">. </w:t>
      </w:r>
      <w:r w:rsidR="00E02695">
        <w:rPr>
          <w:rFonts w:ascii="Arial" w:hAnsi="Arial" w:cs="Arial"/>
          <w:color w:val="000000" w:themeColor="text1"/>
          <w:sz w:val="22"/>
          <w:szCs w:val="22"/>
        </w:rPr>
        <w:t xml:space="preserve"> </w:t>
      </w:r>
      <w:r w:rsidR="00E02695" w:rsidRPr="00E02695">
        <w:rPr>
          <w:rFonts w:ascii="Arial" w:hAnsi="Arial" w:cs="Arial"/>
          <w:color w:val="000000" w:themeColor="text1"/>
          <w:sz w:val="22"/>
          <w:szCs w:val="22"/>
        </w:rPr>
        <w:t xml:space="preserve">According to M&amp;M, what matters is the </w:t>
      </w:r>
      <w:r w:rsidR="00E02695">
        <w:rPr>
          <w:rFonts w:ascii="Arial" w:hAnsi="Arial" w:cs="Arial"/>
          <w:color w:val="000000" w:themeColor="text1"/>
          <w:sz w:val="22"/>
          <w:szCs w:val="22"/>
        </w:rPr>
        <w:t>company’s</w:t>
      </w:r>
      <w:r w:rsidR="00E02695" w:rsidRPr="00E02695">
        <w:rPr>
          <w:rFonts w:ascii="Arial" w:hAnsi="Arial" w:cs="Arial"/>
          <w:color w:val="000000" w:themeColor="text1"/>
          <w:sz w:val="22"/>
          <w:szCs w:val="22"/>
        </w:rPr>
        <w:t xml:space="preserve"> underlying assets and operations, not how it is financed. This theory, however, is based on highly ideali</w:t>
      </w:r>
      <w:r w:rsidR="00E02695">
        <w:rPr>
          <w:rFonts w:ascii="Arial" w:hAnsi="Arial" w:cs="Arial"/>
          <w:color w:val="000000" w:themeColor="text1"/>
          <w:sz w:val="22"/>
          <w:szCs w:val="22"/>
        </w:rPr>
        <w:t>s</w:t>
      </w:r>
      <w:r w:rsidR="00E02695" w:rsidRPr="00E02695">
        <w:rPr>
          <w:rFonts w:ascii="Arial" w:hAnsi="Arial" w:cs="Arial"/>
          <w:color w:val="000000" w:themeColor="text1"/>
          <w:sz w:val="22"/>
          <w:szCs w:val="22"/>
        </w:rPr>
        <w:t xml:space="preserve">ed </w:t>
      </w:r>
      <w:r w:rsidR="00E02695" w:rsidRPr="00E02695">
        <w:rPr>
          <w:rFonts w:ascii="Arial" w:hAnsi="Arial" w:cs="Arial"/>
          <w:color w:val="000000" w:themeColor="text1"/>
          <w:sz w:val="22"/>
          <w:szCs w:val="22"/>
        </w:rPr>
        <w:lastRenderedPageBreak/>
        <w:t>assumptions, and its relevance diminishes in real-world scenarios where market imperfections exist.</w:t>
      </w:r>
    </w:p>
    <w:p w14:paraId="1B6162F0" w14:textId="4665F233" w:rsidR="00E02695" w:rsidRDefault="00E02695" w:rsidP="00DB030F">
      <w:pPr>
        <w:pStyle w:val="NormalWeb"/>
        <w:spacing w:line="360" w:lineRule="auto"/>
        <w:rPr>
          <w:rFonts w:ascii="Arial" w:hAnsi="Arial" w:cs="Arial"/>
          <w:color w:val="000000" w:themeColor="text1"/>
          <w:sz w:val="22"/>
          <w:szCs w:val="22"/>
          <w:u w:val="single"/>
        </w:rPr>
      </w:pPr>
      <w:r w:rsidRPr="00E02695">
        <w:rPr>
          <w:rFonts w:ascii="Arial" w:hAnsi="Arial" w:cs="Arial"/>
          <w:color w:val="000000" w:themeColor="text1"/>
          <w:sz w:val="22"/>
          <w:szCs w:val="22"/>
          <w:u w:val="single"/>
        </w:rPr>
        <w:t>Modigliani-Miller (1962) with Taxation</w:t>
      </w:r>
    </w:p>
    <w:p w14:paraId="16B8D002" w14:textId="7080C243" w:rsidR="00E02695" w:rsidRDefault="00C14B90" w:rsidP="00DB030F">
      <w:pPr>
        <w:pStyle w:val="NormalWeb"/>
        <w:spacing w:line="360" w:lineRule="auto"/>
        <w:rPr>
          <w:rFonts w:ascii="Arial" w:hAnsi="Arial" w:cs="Arial"/>
          <w:color w:val="000000" w:themeColor="text1"/>
          <w:sz w:val="22"/>
          <w:szCs w:val="22"/>
        </w:rPr>
      </w:pPr>
      <w:r w:rsidRPr="00C14B90">
        <w:rPr>
          <w:rFonts w:ascii="Arial" w:hAnsi="Arial" w:cs="Arial"/>
          <w:color w:val="000000" w:themeColor="text1"/>
          <w:sz w:val="22"/>
          <w:szCs w:val="22"/>
        </w:rPr>
        <w:t>Modigliani and Miller updated their initial idea in 1962 to take corporation taxes into consideration. In this version, they admitted that debt financing provides an exemption from taxes due to the tax-deductible nature of interest payments on debt, which can reduce taxable income and raise the value of a business. According to the hypothesis, a company's worth rises when it uses debt because of the tax advantages in a world where corporation taxes are in place.</w:t>
      </w:r>
      <w:r w:rsidR="00352C01">
        <w:rPr>
          <w:rFonts w:ascii="Arial" w:hAnsi="Arial" w:cs="Arial"/>
          <w:color w:val="000000" w:themeColor="text1"/>
          <w:sz w:val="22"/>
          <w:szCs w:val="22"/>
        </w:rPr>
        <w:t xml:space="preserve"> </w:t>
      </w:r>
      <w:r w:rsidR="00352C01" w:rsidRPr="00352C01">
        <w:rPr>
          <w:rFonts w:ascii="Arial" w:hAnsi="Arial" w:cs="Arial"/>
          <w:color w:val="000000" w:themeColor="text1"/>
          <w:sz w:val="22"/>
          <w:szCs w:val="22"/>
        </w:rPr>
        <w:t>However, this leads to the conclusion that firms should finance themselves entirely with debt to maximize their value, which is unrealistic in practice due to the associated financial risks.</w:t>
      </w:r>
    </w:p>
    <w:p w14:paraId="523B1B58" w14:textId="59C92FA8" w:rsidR="00352C01" w:rsidRDefault="00352C01" w:rsidP="00DB030F">
      <w:pPr>
        <w:pStyle w:val="NormalWeb"/>
        <w:spacing w:line="360" w:lineRule="auto"/>
        <w:rPr>
          <w:rFonts w:ascii="Arial" w:hAnsi="Arial" w:cs="Arial"/>
          <w:color w:val="000000" w:themeColor="text1"/>
          <w:sz w:val="22"/>
          <w:szCs w:val="22"/>
          <w:u w:val="single"/>
        </w:rPr>
      </w:pPr>
      <w:r w:rsidRPr="00352C01">
        <w:rPr>
          <w:rFonts w:ascii="Arial" w:hAnsi="Arial" w:cs="Arial"/>
          <w:color w:val="000000" w:themeColor="text1"/>
          <w:sz w:val="22"/>
          <w:szCs w:val="22"/>
          <w:u w:val="single"/>
        </w:rPr>
        <w:t xml:space="preserve">Trade off Theory </w:t>
      </w:r>
    </w:p>
    <w:p w14:paraId="3EA667AF" w14:textId="15E15976" w:rsidR="00352C01" w:rsidRDefault="00352C01" w:rsidP="00DB030F">
      <w:pPr>
        <w:pStyle w:val="NormalWeb"/>
        <w:spacing w:line="360" w:lineRule="auto"/>
        <w:rPr>
          <w:rFonts w:ascii="Arial" w:hAnsi="Arial" w:cs="Arial"/>
          <w:color w:val="000000" w:themeColor="text1"/>
          <w:sz w:val="22"/>
          <w:szCs w:val="22"/>
        </w:rPr>
      </w:pPr>
      <w:r w:rsidRPr="00352C01">
        <w:rPr>
          <w:rFonts w:ascii="Arial" w:hAnsi="Arial" w:cs="Arial"/>
          <w:color w:val="000000" w:themeColor="text1"/>
          <w:sz w:val="22"/>
          <w:szCs w:val="22"/>
        </w:rPr>
        <w:t xml:space="preserve">Building on the research of M&amp;M, the trade-off hypothesis proposes that businesses choose their ideal capital structure by balancing the tax advantages of debt against the expenses of </w:t>
      </w:r>
      <w:r>
        <w:rPr>
          <w:rFonts w:ascii="Arial" w:hAnsi="Arial" w:cs="Arial"/>
          <w:color w:val="000000" w:themeColor="text1"/>
          <w:sz w:val="22"/>
          <w:szCs w:val="22"/>
        </w:rPr>
        <w:t xml:space="preserve">the </w:t>
      </w:r>
      <w:r w:rsidRPr="00352C01">
        <w:rPr>
          <w:rFonts w:ascii="Arial" w:hAnsi="Arial" w:cs="Arial"/>
          <w:color w:val="000000" w:themeColor="text1"/>
          <w:sz w:val="22"/>
          <w:szCs w:val="22"/>
        </w:rPr>
        <w:t>financial crisis</w:t>
      </w:r>
      <w:r>
        <w:rPr>
          <w:rFonts w:ascii="Arial" w:hAnsi="Arial" w:cs="Arial"/>
          <w:color w:val="000000" w:themeColor="text1"/>
          <w:sz w:val="22"/>
          <w:szCs w:val="22"/>
        </w:rPr>
        <w:t xml:space="preserve"> (</w:t>
      </w:r>
      <w:r w:rsidRPr="00352C01">
        <w:rPr>
          <w:rFonts w:ascii="Arial" w:eastAsiaTheme="minorEastAsia" w:hAnsi="Arial" w:cs="Arial"/>
          <w:sz w:val="22"/>
          <w:szCs w:val="22"/>
          <w:lang w:val="en-US"/>
        </w:rPr>
        <w:t>Modigliani, F. and Miller, M.H., 1963</w:t>
      </w:r>
      <w:r>
        <w:rPr>
          <w:rFonts w:ascii="Arial" w:eastAsiaTheme="minorEastAsia" w:hAnsi="Arial" w:cs="Arial"/>
          <w:sz w:val="22"/>
          <w:szCs w:val="22"/>
          <w:lang w:val="en-US"/>
        </w:rPr>
        <w:t xml:space="preserve">). </w:t>
      </w:r>
      <w:r w:rsidRPr="00352C01">
        <w:rPr>
          <w:rFonts w:ascii="Arial" w:hAnsi="Arial" w:cs="Arial"/>
          <w:color w:val="000000" w:themeColor="text1"/>
          <w:sz w:val="22"/>
          <w:szCs w:val="22"/>
        </w:rPr>
        <w:t xml:space="preserve">This optimal point is where the tax </w:t>
      </w:r>
      <w:r>
        <w:rPr>
          <w:rFonts w:ascii="Arial" w:hAnsi="Arial" w:cs="Arial"/>
          <w:color w:val="000000" w:themeColor="text1"/>
          <w:sz w:val="22"/>
          <w:szCs w:val="22"/>
        </w:rPr>
        <w:t>exemption</w:t>
      </w:r>
      <w:r w:rsidRPr="00352C01">
        <w:rPr>
          <w:rFonts w:ascii="Arial" w:hAnsi="Arial" w:cs="Arial"/>
          <w:color w:val="000000" w:themeColor="text1"/>
          <w:sz w:val="22"/>
          <w:szCs w:val="22"/>
        </w:rPr>
        <w:t xml:space="preserve"> benefits of debt equal the costs of potential bankruptcy and financial</w:t>
      </w:r>
      <w:r>
        <w:rPr>
          <w:rFonts w:ascii="Arial" w:hAnsi="Arial" w:cs="Arial"/>
          <w:color w:val="000000" w:themeColor="text1"/>
          <w:sz w:val="22"/>
          <w:szCs w:val="22"/>
        </w:rPr>
        <w:t xml:space="preserve"> difficulties. </w:t>
      </w:r>
      <w:r w:rsidRPr="00352C01">
        <w:rPr>
          <w:rFonts w:ascii="Arial" w:hAnsi="Arial" w:cs="Arial"/>
          <w:color w:val="000000" w:themeColor="text1"/>
          <w:sz w:val="22"/>
          <w:szCs w:val="22"/>
        </w:rPr>
        <w:t>This hypothesis is supported by empirical research, which demonstrates that companies in less hazardous sectors with fewer physical assets usually use more debt, whereas companies in more volatile industries with fewer physical assets choose equity to avoid the increased risks associated with financial difficulty.</w:t>
      </w:r>
    </w:p>
    <w:p w14:paraId="3C111437" w14:textId="77777777" w:rsidR="009F3774" w:rsidRDefault="00352C01" w:rsidP="009F3774">
      <w:pPr>
        <w:pStyle w:val="NormalWeb"/>
        <w:spacing w:line="360" w:lineRule="auto"/>
        <w:rPr>
          <w:rFonts w:ascii="Arial" w:hAnsi="Arial" w:cs="Arial"/>
          <w:color w:val="000000" w:themeColor="text1"/>
          <w:sz w:val="22"/>
          <w:szCs w:val="22"/>
          <w:u w:val="single"/>
        </w:rPr>
      </w:pPr>
      <w:r w:rsidRPr="00352C01">
        <w:rPr>
          <w:rFonts w:ascii="Arial" w:hAnsi="Arial" w:cs="Arial"/>
          <w:color w:val="000000" w:themeColor="text1"/>
          <w:sz w:val="22"/>
          <w:szCs w:val="22"/>
          <w:u w:val="single"/>
        </w:rPr>
        <w:t xml:space="preserve">Pecking Order Theory </w:t>
      </w:r>
    </w:p>
    <w:p w14:paraId="32B5C6FE" w14:textId="27D685A5" w:rsidR="00F73ABF" w:rsidRPr="009F3774" w:rsidRDefault="009F3774" w:rsidP="009F3774">
      <w:pPr>
        <w:pStyle w:val="NormalWeb"/>
        <w:spacing w:line="360" w:lineRule="auto"/>
        <w:rPr>
          <w:rFonts w:ascii="Arial" w:hAnsi="Arial" w:cs="Arial"/>
          <w:color w:val="000000" w:themeColor="text1"/>
          <w:sz w:val="22"/>
          <w:szCs w:val="22"/>
          <w:u w:val="single"/>
        </w:rPr>
      </w:pPr>
      <w:r w:rsidRPr="009F3774">
        <w:rPr>
          <w:rFonts w:ascii="Arial" w:hAnsi="Arial" w:cs="Arial"/>
          <w:color w:val="000000" w:themeColor="text1"/>
          <w:sz w:val="22"/>
          <w:szCs w:val="22"/>
        </w:rPr>
        <w:t xml:space="preserve">The pecking order theory, proposed by Myers and </w:t>
      </w:r>
      <w:proofErr w:type="spellStart"/>
      <w:r w:rsidRPr="009F3774">
        <w:rPr>
          <w:rFonts w:ascii="Arial" w:hAnsi="Arial" w:cs="Arial"/>
          <w:color w:val="000000" w:themeColor="text1"/>
          <w:sz w:val="22"/>
          <w:szCs w:val="22"/>
        </w:rPr>
        <w:t>Majluf</w:t>
      </w:r>
      <w:proofErr w:type="spellEnd"/>
      <w:r w:rsidRPr="009F3774">
        <w:rPr>
          <w:rFonts w:ascii="Arial" w:hAnsi="Arial" w:cs="Arial"/>
          <w:color w:val="000000" w:themeColor="text1"/>
          <w:sz w:val="22"/>
          <w:szCs w:val="22"/>
        </w:rPr>
        <w:t xml:space="preserve"> in 1984, posits that companies prioriti</w:t>
      </w:r>
      <w:r w:rsidR="00725F9D">
        <w:rPr>
          <w:rFonts w:ascii="Arial" w:hAnsi="Arial" w:cs="Arial"/>
          <w:color w:val="000000" w:themeColor="text1"/>
          <w:sz w:val="22"/>
          <w:szCs w:val="22"/>
        </w:rPr>
        <w:t>s</w:t>
      </w:r>
      <w:r w:rsidRPr="009F3774">
        <w:rPr>
          <w:rFonts w:ascii="Arial" w:hAnsi="Arial" w:cs="Arial"/>
          <w:color w:val="000000" w:themeColor="text1"/>
          <w:sz w:val="22"/>
          <w:szCs w:val="22"/>
        </w:rPr>
        <w:t>e their financing sources based on the principle of minimi</w:t>
      </w:r>
      <w:r w:rsidR="00725F9D">
        <w:rPr>
          <w:rFonts w:ascii="Arial" w:hAnsi="Arial" w:cs="Arial"/>
          <w:color w:val="000000" w:themeColor="text1"/>
          <w:sz w:val="22"/>
          <w:szCs w:val="22"/>
        </w:rPr>
        <w:t>s</w:t>
      </w:r>
      <w:r w:rsidRPr="009F3774">
        <w:rPr>
          <w:rFonts w:ascii="Arial" w:hAnsi="Arial" w:cs="Arial"/>
          <w:color w:val="000000" w:themeColor="text1"/>
          <w:sz w:val="22"/>
          <w:szCs w:val="22"/>
        </w:rPr>
        <w:t xml:space="preserve">ing costs or effort. They typically prefer to use internal financing (such as retained earnings) first, followed by debt, and resort to issuing equity only as a last option (Myers &amp; </w:t>
      </w:r>
      <w:proofErr w:type="spellStart"/>
      <w:r w:rsidRPr="009F3774">
        <w:rPr>
          <w:rFonts w:ascii="Arial" w:hAnsi="Arial" w:cs="Arial"/>
          <w:color w:val="000000" w:themeColor="text1"/>
          <w:sz w:val="22"/>
          <w:szCs w:val="22"/>
        </w:rPr>
        <w:t>Majluf</w:t>
      </w:r>
      <w:proofErr w:type="spellEnd"/>
      <w:r w:rsidRPr="009F3774">
        <w:rPr>
          <w:rFonts w:ascii="Arial" w:hAnsi="Arial" w:cs="Arial"/>
          <w:color w:val="000000" w:themeColor="text1"/>
          <w:sz w:val="22"/>
          <w:szCs w:val="22"/>
        </w:rPr>
        <w:t xml:space="preserve">, 1984). This preference arises from the information asymmetry between managers and investors, where managers may avoid issuing new equity to prevent sending a negative signal that the firm might be overvalued. Empirical evidence often supports this theory, showing that profitable </w:t>
      </w:r>
      <w:r>
        <w:rPr>
          <w:rFonts w:ascii="Arial" w:hAnsi="Arial" w:cs="Arial"/>
          <w:color w:val="000000" w:themeColor="text1"/>
          <w:sz w:val="22"/>
          <w:szCs w:val="22"/>
        </w:rPr>
        <w:t>companies</w:t>
      </w:r>
      <w:r w:rsidRPr="009F3774">
        <w:rPr>
          <w:rFonts w:ascii="Arial" w:hAnsi="Arial" w:cs="Arial"/>
          <w:color w:val="000000" w:themeColor="text1"/>
          <w:sz w:val="22"/>
          <w:szCs w:val="22"/>
        </w:rPr>
        <w:t xml:space="preserve">, which generate </w:t>
      </w:r>
      <w:r w:rsidR="00725F9D">
        <w:rPr>
          <w:rFonts w:ascii="Arial" w:hAnsi="Arial" w:cs="Arial"/>
          <w:color w:val="000000" w:themeColor="text1"/>
          <w:sz w:val="22"/>
          <w:szCs w:val="22"/>
        </w:rPr>
        <w:t xml:space="preserve">plenty of </w:t>
      </w:r>
      <w:r w:rsidRPr="009F3774">
        <w:rPr>
          <w:rFonts w:ascii="Arial" w:hAnsi="Arial" w:cs="Arial"/>
          <w:color w:val="000000" w:themeColor="text1"/>
          <w:sz w:val="22"/>
          <w:szCs w:val="22"/>
        </w:rPr>
        <w:t xml:space="preserve">internal funds, tend to have lower debt levels (Titman &amp; Wessels, 1988). Conversely, less profitable companies or those with substantial investment opportunities might </w:t>
      </w:r>
      <w:r w:rsidR="00725F9D">
        <w:rPr>
          <w:rFonts w:ascii="Arial" w:hAnsi="Arial" w:cs="Arial"/>
          <w:color w:val="000000" w:themeColor="text1"/>
          <w:sz w:val="22"/>
          <w:szCs w:val="22"/>
        </w:rPr>
        <w:t xml:space="preserve">choose to </w:t>
      </w:r>
      <w:r w:rsidRPr="009F3774">
        <w:rPr>
          <w:rFonts w:ascii="Arial" w:hAnsi="Arial" w:cs="Arial"/>
          <w:color w:val="000000" w:themeColor="text1"/>
          <w:sz w:val="22"/>
          <w:szCs w:val="22"/>
        </w:rPr>
        <w:t>debt financing before considering new equity</w:t>
      </w:r>
      <w:r>
        <w:rPr>
          <w:rFonts w:ascii="Arial" w:hAnsi="Arial" w:cs="Arial"/>
          <w:color w:val="000000" w:themeColor="text1"/>
          <w:sz w:val="22"/>
          <w:szCs w:val="22"/>
        </w:rPr>
        <w:t xml:space="preserve"> release</w:t>
      </w:r>
      <w:r w:rsidR="00725F9D">
        <w:rPr>
          <w:rFonts w:ascii="Arial" w:hAnsi="Arial" w:cs="Arial"/>
          <w:color w:val="000000" w:themeColor="text1"/>
          <w:sz w:val="22"/>
          <w:szCs w:val="22"/>
        </w:rPr>
        <w:t>s</w:t>
      </w:r>
      <w:r w:rsidRPr="009F3774">
        <w:rPr>
          <w:rFonts w:ascii="Arial" w:hAnsi="Arial" w:cs="Arial"/>
          <w:color w:val="000000" w:themeColor="text1"/>
          <w:sz w:val="22"/>
          <w:szCs w:val="22"/>
        </w:rPr>
        <w:t>.</w:t>
      </w:r>
    </w:p>
    <w:p w14:paraId="1F386E4E" w14:textId="2BDD19C8" w:rsidR="00352C01" w:rsidRDefault="005B0DD5" w:rsidP="007F16DD">
      <w:pPr>
        <w:pStyle w:val="Heading1"/>
      </w:pPr>
      <w:bookmarkStart w:id="11" w:name="_Toc174983273"/>
      <w:r w:rsidRPr="005B0DD5">
        <w:lastRenderedPageBreak/>
        <w:t>M</w:t>
      </w:r>
      <w:r w:rsidRPr="005B0DD5">
        <w:t>onthly share prices</w:t>
      </w:r>
      <w:r w:rsidRPr="005B0DD5">
        <w:t xml:space="preserve"> Tesco PLC 20</w:t>
      </w:r>
      <w:r w:rsidR="003B3487">
        <w:t>19</w:t>
      </w:r>
      <w:r w:rsidRPr="005B0DD5">
        <w:t xml:space="preserve"> </w:t>
      </w:r>
      <w:r w:rsidR="005310BA">
        <w:t>–</w:t>
      </w:r>
      <w:r w:rsidRPr="005B0DD5">
        <w:t xml:space="preserve"> 2024</w:t>
      </w:r>
      <w:bookmarkEnd w:id="11"/>
    </w:p>
    <w:p w14:paraId="3AA92856" w14:textId="1BF394CE" w:rsidR="00F50BCA" w:rsidRDefault="00E22DF9" w:rsidP="00F50BCA">
      <w:pPr>
        <w:pStyle w:val="NormalWeb"/>
        <w:spacing w:line="360" w:lineRule="auto"/>
        <w:rPr>
          <w:rFonts w:ascii="Arial" w:hAnsi="Arial" w:cs="Arial"/>
          <w:color w:val="000000" w:themeColor="text1"/>
          <w:sz w:val="22"/>
          <w:szCs w:val="22"/>
        </w:rPr>
      </w:pPr>
      <w:r w:rsidRPr="00E22DF9">
        <w:rPr>
          <w:rFonts w:ascii="Arial" w:hAnsi="Arial" w:cs="Arial"/>
          <w:color w:val="000000" w:themeColor="text1"/>
          <w:sz w:val="22"/>
          <w:szCs w:val="22"/>
        </w:rPr>
        <w:t xml:space="preserve">The average annual share returns for Tesco PLC over the past five years </w:t>
      </w:r>
      <w:r w:rsidR="00C074A1">
        <w:rPr>
          <w:rFonts w:ascii="Arial" w:hAnsi="Arial" w:cs="Arial"/>
          <w:color w:val="000000" w:themeColor="text1"/>
          <w:sz w:val="22"/>
          <w:szCs w:val="22"/>
        </w:rPr>
        <w:t xml:space="preserve">are </w:t>
      </w:r>
      <w:r w:rsidRPr="00E22DF9">
        <w:rPr>
          <w:rFonts w:ascii="Arial" w:hAnsi="Arial" w:cs="Arial"/>
          <w:color w:val="000000" w:themeColor="text1"/>
          <w:sz w:val="22"/>
          <w:szCs w:val="22"/>
        </w:rPr>
        <w:t>calculated from monthly returns based on adjusted closing prices</w:t>
      </w:r>
      <w:r w:rsidR="00D05E95">
        <w:rPr>
          <w:rFonts w:ascii="Arial" w:hAnsi="Arial" w:cs="Arial"/>
          <w:color w:val="000000" w:themeColor="text1"/>
          <w:sz w:val="22"/>
          <w:szCs w:val="22"/>
        </w:rPr>
        <w:t xml:space="preserve"> - Retrieved from Yahoo Finance</w:t>
      </w:r>
    </w:p>
    <w:p w14:paraId="4B9F14E4" w14:textId="6F1F2FA8" w:rsidR="008A177A" w:rsidRDefault="008A177A" w:rsidP="008A177A">
      <w:pPr>
        <w:pStyle w:val="Caption"/>
        <w:keepNext/>
      </w:pPr>
      <w:bookmarkStart w:id="12" w:name="_Toc174983296"/>
      <w:r>
        <w:t xml:space="preserve">Figure </w:t>
      </w:r>
      <w:r>
        <w:fldChar w:fldCharType="begin"/>
      </w:r>
      <w:r>
        <w:instrText xml:space="preserve"> SEQ Figure \* ARABIC </w:instrText>
      </w:r>
      <w:r>
        <w:fldChar w:fldCharType="separate"/>
      </w:r>
      <w:r w:rsidR="00717194">
        <w:rPr>
          <w:noProof/>
        </w:rPr>
        <w:t>5</w:t>
      </w:r>
      <w:r>
        <w:fldChar w:fldCharType="end"/>
      </w:r>
      <w:r>
        <w:t>-</w:t>
      </w:r>
      <w:r w:rsidRPr="003B4734">
        <w:t>Monthly share prices Tesco PLC 2019 – 2024</w:t>
      </w:r>
      <w:r>
        <w:t xml:space="preserve"> [source: Author</w:t>
      </w:r>
      <w:r w:rsidR="00B267BE">
        <w:t xml:space="preserve"> – </w:t>
      </w:r>
      <w:proofErr w:type="gramStart"/>
      <w:r w:rsidR="00B267BE">
        <w:t>calculated  from</w:t>
      </w:r>
      <w:proofErr w:type="gramEnd"/>
      <w:r w:rsidR="00B267BE">
        <w:t xml:space="preserve"> Yahoo.finance.com</w:t>
      </w:r>
      <w:r w:rsidR="00717194">
        <w:t xml:space="preserve"> – Refer to Appendix</w:t>
      </w:r>
      <w:r w:rsidR="00B267BE">
        <w:t>]</w:t>
      </w:r>
      <w:bookmarkEnd w:id="12"/>
    </w:p>
    <w:tbl>
      <w:tblPr>
        <w:tblStyle w:val="TableGrid"/>
        <w:tblW w:w="0" w:type="auto"/>
        <w:tblLook w:val="04A0" w:firstRow="1" w:lastRow="0" w:firstColumn="1" w:lastColumn="0" w:noHBand="0" w:noVBand="1"/>
      </w:tblPr>
      <w:tblGrid>
        <w:gridCol w:w="1640"/>
        <w:gridCol w:w="1600"/>
        <w:gridCol w:w="1560"/>
        <w:gridCol w:w="2600"/>
      </w:tblGrid>
      <w:tr w:rsidR="008A177A" w:rsidRPr="008A177A" w14:paraId="37088BB5" w14:textId="77777777" w:rsidTr="008A177A">
        <w:trPr>
          <w:trHeight w:val="320"/>
        </w:trPr>
        <w:tc>
          <w:tcPr>
            <w:tcW w:w="1640" w:type="dxa"/>
            <w:noWrap/>
            <w:hideMark/>
          </w:tcPr>
          <w:p w14:paraId="28E38475" w14:textId="77777777" w:rsidR="008A177A" w:rsidRPr="008A177A" w:rsidRDefault="008A177A" w:rsidP="008A177A">
            <w:pPr>
              <w:pStyle w:val="NormalWeb"/>
              <w:spacing w:line="360" w:lineRule="auto"/>
              <w:rPr>
                <w:rFonts w:ascii="Arial" w:hAnsi="Arial" w:cs="Arial"/>
                <w:color w:val="000000" w:themeColor="text1"/>
                <w:sz w:val="22"/>
                <w:szCs w:val="22"/>
              </w:rPr>
            </w:pPr>
            <w:r w:rsidRPr="008A177A">
              <w:rPr>
                <w:rFonts w:ascii="Arial" w:hAnsi="Arial" w:cs="Arial"/>
                <w:color w:val="000000" w:themeColor="text1"/>
                <w:sz w:val="22"/>
                <w:szCs w:val="22"/>
              </w:rPr>
              <w:t xml:space="preserve">Year </w:t>
            </w:r>
          </w:p>
        </w:tc>
        <w:tc>
          <w:tcPr>
            <w:tcW w:w="1600" w:type="dxa"/>
            <w:noWrap/>
            <w:hideMark/>
          </w:tcPr>
          <w:p w14:paraId="3B5D5093" w14:textId="77777777" w:rsidR="008A177A" w:rsidRPr="008A177A" w:rsidRDefault="008A177A" w:rsidP="008A177A">
            <w:pPr>
              <w:pStyle w:val="NormalWeb"/>
              <w:spacing w:line="360" w:lineRule="auto"/>
              <w:rPr>
                <w:rFonts w:ascii="Arial" w:hAnsi="Arial" w:cs="Arial"/>
                <w:color w:val="000000" w:themeColor="text1"/>
                <w:sz w:val="22"/>
                <w:szCs w:val="22"/>
              </w:rPr>
            </w:pPr>
            <w:r w:rsidRPr="008A177A">
              <w:rPr>
                <w:rFonts w:ascii="Arial" w:hAnsi="Arial" w:cs="Arial"/>
                <w:color w:val="3A7C22" w:themeColor="accent6" w:themeShade="BF"/>
                <w:sz w:val="22"/>
                <w:szCs w:val="22"/>
              </w:rPr>
              <w:t xml:space="preserve">Strat Price </w:t>
            </w:r>
          </w:p>
        </w:tc>
        <w:tc>
          <w:tcPr>
            <w:tcW w:w="1560" w:type="dxa"/>
            <w:noWrap/>
            <w:hideMark/>
          </w:tcPr>
          <w:p w14:paraId="05E8E99A" w14:textId="77777777" w:rsidR="008A177A" w:rsidRPr="008A177A" w:rsidRDefault="008A177A" w:rsidP="008A177A">
            <w:pPr>
              <w:pStyle w:val="NormalWeb"/>
              <w:spacing w:line="360" w:lineRule="auto"/>
              <w:rPr>
                <w:rFonts w:ascii="Arial" w:hAnsi="Arial" w:cs="Arial"/>
                <w:color w:val="000000" w:themeColor="text1"/>
                <w:sz w:val="22"/>
                <w:szCs w:val="22"/>
              </w:rPr>
            </w:pPr>
            <w:r w:rsidRPr="008A177A">
              <w:rPr>
                <w:rFonts w:ascii="Arial" w:hAnsi="Arial" w:cs="Arial"/>
                <w:color w:val="0B769F" w:themeColor="accent4" w:themeShade="BF"/>
                <w:sz w:val="22"/>
                <w:szCs w:val="22"/>
              </w:rPr>
              <w:t xml:space="preserve">End Price </w:t>
            </w:r>
          </w:p>
        </w:tc>
        <w:tc>
          <w:tcPr>
            <w:tcW w:w="2600" w:type="dxa"/>
            <w:noWrap/>
            <w:hideMark/>
          </w:tcPr>
          <w:p w14:paraId="53567663" w14:textId="1E664FD1" w:rsidR="008A177A" w:rsidRPr="008A177A" w:rsidRDefault="008A177A" w:rsidP="008A177A">
            <w:pPr>
              <w:pStyle w:val="NormalWeb"/>
              <w:spacing w:line="360" w:lineRule="auto"/>
              <w:rPr>
                <w:rFonts w:ascii="Arial" w:hAnsi="Arial" w:cs="Arial"/>
                <w:color w:val="000000" w:themeColor="text1"/>
                <w:sz w:val="22"/>
                <w:szCs w:val="22"/>
              </w:rPr>
            </w:pPr>
            <w:r w:rsidRPr="008A177A">
              <w:rPr>
                <w:rFonts w:ascii="Arial" w:hAnsi="Arial" w:cs="Arial"/>
                <w:color w:val="77206D" w:themeColor="accent5" w:themeShade="BF"/>
                <w:sz w:val="22"/>
                <w:szCs w:val="22"/>
              </w:rPr>
              <w:t>Av</w:t>
            </w:r>
            <w:r w:rsidRPr="008A177A">
              <w:rPr>
                <w:rFonts w:ascii="Arial" w:hAnsi="Arial" w:cs="Arial"/>
                <w:color w:val="77206D" w:themeColor="accent5" w:themeShade="BF"/>
                <w:sz w:val="22"/>
                <w:szCs w:val="22"/>
              </w:rPr>
              <w:t>e</w:t>
            </w:r>
            <w:r w:rsidRPr="008A177A">
              <w:rPr>
                <w:rFonts w:ascii="Arial" w:hAnsi="Arial" w:cs="Arial"/>
                <w:color w:val="77206D" w:themeColor="accent5" w:themeShade="BF"/>
                <w:sz w:val="22"/>
                <w:szCs w:val="22"/>
              </w:rPr>
              <w:t xml:space="preserve">rage Annual Return </w:t>
            </w:r>
          </w:p>
        </w:tc>
      </w:tr>
      <w:tr w:rsidR="008A177A" w:rsidRPr="008A177A" w14:paraId="5D3F3355" w14:textId="77777777" w:rsidTr="008A177A">
        <w:trPr>
          <w:trHeight w:val="320"/>
        </w:trPr>
        <w:tc>
          <w:tcPr>
            <w:tcW w:w="1640" w:type="dxa"/>
            <w:noWrap/>
            <w:hideMark/>
          </w:tcPr>
          <w:p w14:paraId="5DE46D21" w14:textId="77777777" w:rsidR="008A177A" w:rsidRPr="008A177A" w:rsidRDefault="008A177A" w:rsidP="008A177A">
            <w:pPr>
              <w:pStyle w:val="NormalWeb"/>
              <w:spacing w:line="360" w:lineRule="auto"/>
              <w:rPr>
                <w:rFonts w:ascii="Arial" w:hAnsi="Arial" w:cs="Arial"/>
                <w:color w:val="000000" w:themeColor="text1"/>
                <w:sz w:val="22"/>
                <w:szCs w:val="22"/>
              </w:rPr>
            </w:pPr>
            <w:r w:rsidRPr="008A177A">
              <w:rPr>
                <w:rFonts w:ascii="Arial" w:hAnsi="Arial" w:cs="Arial"/>
                <w:color w:val="000000" w:themeColor="text1"/>
                <w:sz w:val="22"/>
                <w:szCs w:val="22"/>
              </w:rPr>
              <w:t>2019-2020</w:t>
            </w:r>
          </w:p>
        </w:tc>
        <w:tc>
          <w:tcPr>
            <w:tcW w:w="1600" w:type="dxa"/>
            <w:noWrap/>
            <w:hideMark/>
          </w:tcPr>
          <w:p w14:paraId="1F3B64AE" w14:textId="77777777" w:rsidR="008A177A" w:rsidRPr="008A177A" w:rsidRDefault="008A177A" w:rsidP="008A177A">
            <w:pPr>
              <w:pStyle w:val="NormalWeb"/>
              <w:spacing w:line="360" w:lineRule="auto"/>
              <w:rPr>
                <w:rFonts w:ascii="Arial" w:hAnsi="Arial" w:cs="Arial"/>
                <w:color w:val="000000" w:themeColor="text1"/>
                <w:sz w:val="22"/>
                <w:szCs w:val="22"/>
              </w:rPr>
            </w:pPr>
            <w:r w:rsidRPr="008A177A">
              <w:rPr>
                <w:rFonts w:ascii="Arial" w:hAnsi="Arial" w:cs="Arial"/>
                <w:color w:val="000000" w:themeColor="text1"/>
                <w:sz w:val="22"/>
                <w:szCs w:val="22"/>
              </w:rPr>
              <w:t>206.6</w:t>
            </w:r>
          </w:p>
        </w:tc>
        <w:tc>
          <w:tcPr>
            <w:tcW w:w="1560" w:type="dxa"/>
            <w:noWrap/>
            <w:hideMark/>
          </w:tcPr>
          <w:p w14:paraId="44922AF2" w14:textId="77777777" w:rsidR="008A177A" w:rsidRPr="008A177A" w:rsidRDefault="008A177A" w:rsidP="008A177A">
            <w:pPr>
              <w:pStyle w:val="NormalWeb"/>
              <w:spacing w:line="360" w:lineRule="auto"/>
              <w:rPr>
                <w:rFonts w:ascii="Arial" w:hAnsi="Arial" w:cs="Arial"/>
                <w:color w:val="000000" w:themeColor="text1"/>
                <w:sz w:val="22"/>
                <w:szCs w:val="22"/>
              </w:rPr>
            </w:pPr>
            <w:r w:rsidRPr="008A177A">
              <w:rPr>
                <w:rFonts w:ascii="Arial" w:hAnsi="Arial" w:cs="Arial"/>
                <w:color w:val="000000" w:themeColor="text1"/>
                <w:sz w:val="22"/>
                <w:szCs w:val="22"/>
              </w:rPr>
              <w:t>214.1</w:t>
            </w:r>
          </w:p>
        </w:tc>
        <w:tc>
          <w:tcPr>
            <w:tcW w:w="2600" w:type="dxa"/>
            <w:noWrap/>
            <w:hideMark/>
          </w:tcPr>
          <w:p w14:paraId="3686678C" w14:textId="77777777" w:rsidR="008A177A" w:rsidRPr="008A177A" w:rsidRDefault="008A177A" w:rsidP="008A177A">
            <w:pPr>
              <w:pStyle w:val="NormalWeb"/>
              <w:spacing w:line="360" w:lineRule="auto"/>
              <w:rPr>
                <w:rFonts w:ascii="Arial" w:hAnsi="Arial" w:cs="Arial"/>
                <w:color w:val="000000" w:themeColor="text1"/>
                <w:sz w:val="22"/>
                <w:szCs w:val="22"/>
              </w:rPr>
            </w:pPr>
            <w:r w:rsidRPr="008A177A">
              <w:rPr>
                <w:rFonts w:ascii="Arial" w:hAnsi="Arial" w:cs="Arial"/>
                <w:color w:val="000000" w:themeColor="text1"/>
                <w:sz w:val="22"/>
                <w:szCs w:val="22"/>
              </w:rPr>
              <w:t>3.66%</w:t>
            </w:r>
          </w:p>
        </w:tc>
      </w:tr>
      <w:tr w:rsidR="008A177A" w:rsidRPr="008A177A" w14:paraId="38724228" w14:textId="77777777" w:rsidTr="008A177A">
        <w:trPr>
          <w:trHeight w:val="320"/>
        </w:trPr>
        <w:tc>
          <w:tcPr>
            <w:tcW w:w="1640" w:type="dxa"/>
            <w:noWrap/>
            <w:hideMark/>
          </w:tcPr>
          <w:p w14:paraId="5CA13D09" w14:textId="77777777" w:rsidR="008A177A" w:rsidRPr="008A177A" w:rsidRDefault="008A177A" w:rsidP="008A177A">
            <w:pPr>
              <w:pStyle w:val="NormalWeb"/>
              <w:spacing w:line="360" w:lineRule="auto"/>
              <w:rPr>
                <w:rFonts w:ascii="Arial" w:hAnsi="Arial" w:cs="Arial"/>
                <w:color w:val="000000" w:themeColor="text1"/>
                <w:sz w:val="22"/>
                <w:szCs w:val="22"/>
              </w:rPr>
            </w:pPr>
            <w:r w:rsidRPr="008A177A">
              <w:rPr>
                <w:rFonts w:ascii="Arial" w:hAnsi="Arial" w:cs="Arial"/>
                <w:color w:val="000000" w:themeColor="text1"/>
                <w:sz w:val="22"/>
                <w:szCs w:val="22"/>
              </w:rPr>
              <w:t>2020-2021</w:t>
            </w:r>
          </w:p>
        </w:tc>
        <w:tc>
          <w:tcPr>
            <w:tcW w:w="1600" w:type="dxa"/>
            <w:noWrap/>
            <w:hideMark/>
          </w:tcPr>
          <w:p w14:paraId="30AF7775" w14:textId="77777777" w:rsidR="008A177A" w:rsidRPr="008A177A" w:rsidRDefault="008A177A" w:rsidP="008A177A">
            <w:pPr>
              <w:pStyle w:val="NormalWeb"/>
              <w:spacing w:line="360" w:lineRule="auto"/>
              <w:rPr>
                <w:rFonts w:ascii="Arial" w:hAnsi="Arial" w:cs="Arial"/>
                <w:color w:val="000000" w:themeColor="text1"/>
                <w:sz w:val="22"/>
                <w:szCs w:val="22"/>
              </w:rPr>
            </w:pPr>
            <w:r w:rsidRPr="008A177A">
              <w:rPr>
                <w:rFonts w:ascii="Arial" w:hAnsi="Arial" w:cs="Arial"/>
                <w:color w:val="000000" w:themeColor="text1"/>
                <w:sz w:val="22"/>
                <w:szCs w:val="22"/>
              </w:rPr>
              <w:t>214.1</w:t>
            </w:r>
          </w:p>
        </w:tc>
        <w:tc>
          <w:tcPr>
            <w:tcW w:w="1560" w:type="dxa"/>
            <w:noWrap/>
            <w:hideMark/>
          </w:tcPr>
          <w:p w14:paraId="5686A0A4" w14:textId="77777777" w:rsidR="008A177A" w:rsidRPr="008A177A" w:rsidRDefault="008A177A" w:rsidP="008A177A">
            <w:pPr>
              <w:pStyle w:val="NormalWeb"/>
              <w:spacing w:line="360" w:lineRule="auto"/>
              <w:rPr>
                <w:rFonts w:ascii="Arial" w:hAnsi="Arial" w:cs="Arial"/>
                <w:color w:val="000000" w:themeColor="text1"/>
                <w:sz w:val="22"/>
                <w:szCs w:val="22"/>
              </w:rPr>
            </w:pPr>
            <w:r w:rsidRPr="008A177A">
              <w:rPr>
                <w:rFonts w:ascii="Arial" w:hAnsi="Arial" w:cs="Arial"/>
                <w:color w:val="000000" w:themeColor="text1"/>
                <w:sz w:val="22"/>
                <w:szCs w:val="22"/>
              </w:rPr>
              <w:t>216.7</w:t>
            </w:r>
          </w:p>
        </w:tc>
        <w:tc>
          <w:tcPr>
            <w:tcW w:w="2600" w:type="dxa"/>
            <w:noWrap/>
            <w:hideMark/>
          </w:tcPr>
          <w:p w14:paraId="05CD84F4" w14:textId="77777777" w:rsidR="008A177A" w:rsidRPr="008A177A" w:rsidRDefault="008A177A" w:rsidP="008A177A">
            <w:pPr>
              <w:pStyle w:val="NormalWeb"/>
              <w:spacing w:line="360" w:lineRule="auto"/>
              <w:rPr>
                <w:rFonts w:ascii="Arial" w:hAnsi="Arial" w:cs="Arial"/>
                <w:color w:val="000000" w:themeColor="text1"/>
                <w:sz w:val="22"/>
                <w:szCs w:val="22"/>
              </w:rPr>
            </w:pPr>
            <w:r w:rsidRPr="008A177A">
              <w:rPr>
                <w:rFonts w:ascii="Arial" w:hAnsi="Arial" w:cs="Arial"/>
                <w:color w:val="000000" w:themeColor="text1"/>
                <w:sz w:val="22"/>
                <w:szCs w:val="22"/>
              </w:rPr>
              <w:t>4.85%</w:t>
            </w:r>
          </w:p>
        </w:tc>
      </w:tr>
      <w:tr w:rsidR="008A177A" w:rsidRPr="008A177A" w14:paraId="283AF63E" w14:textId="77777777" w:rsidTr="008A177A">
        <w:trPr>
          <w:trHeight w:val="320"/>
        </w:trPr>
        <w:tc>
          <w:tcPr>
            <w:tcW w:w="1640" w:type="dxa"/>
            <w:noWrap/>
            <w:hideMark/>
          </w:tcPr>
          <w:p w14:paraId="1260D73E" w14:textId="77777777" w:rsidR="008A177A" w:rsidRPr="008A177A" w:rsidRDefault="008A177A" w:rsidP="008A177A">
            <w:pPr>
              <w:pStyle w:val="NormalWeb"/>
              <w:spacing w:line="360" w:lineRule="auto"/>
              <w:rPr>
                <w:rFonts w:ascii="Arial" w:hAnsi="Arial" w:cs="Arial"/>
                <w:color w:val="000000" w:themeColor="text1"/>
                <w:sz w:val="22"/>
                <w:szCs w:val="22"/>
              </w:rPr>
            </w:pPr>
            <w:r w:rsidRPr="008A177A">
              <w:rPr>
                <w:rFonts w:ascii="Arial" w:hAnsi="Arial" w:cs="Arial"/>
                <w:color w:val="000000" w:themeColor="text1"/>
                <w:sz w:val="22"/>
                <w:szCs w:val="22"/>
              </w:rPr>
              <w:t>2021-2022</w:t>
            </w:r>
          </w:p>
        </w:tc>
        <w:tc>
          <w:tcPr>
            <w:tcW w:w="1600" w:type="dxa"/>
            <w:noWrap/>
            <w:hideMark/>
          </w:tcPr>
          <w:p w14:paraId="282E2FC7" w14:textId="77777777" w:rsidR="008A177A" w:rsidRPr="008A177A" w:rsidRDefault="008A177A" w:rsidP="008A177A">
            <w:pPr>
              <w:pStyle w:val="NormalWeb"/>
              <w:spacing w:line="360" w:lineRule="auto"/>
              <w:rPr>
                <w:rFonts w:ascii="Arial" w:hAnsi="Arial" w:cs="Arial"/>
                <w:color w:val="000000" w:themeColor="text1"/>
                <w:sz w:val="22"/>
                <w:szCs w:val="22"/>
              </w:rPr>
            </w:pPr>
            <w:r w:rsidRPr="008A177A">
              <w:rPr>
                <w:rFonts w:ascii="Arial" w:hAnsi="Arial" w:cs="Arial"/>
                <w:color w:val="000000" w:themeColor="text1"/>
                <w:sz w:val="22"/>
                <w:szCs w:val="22"/>
              </w:rPr>
              <w:t>216.7</w:t>
            </w:r>
          </w:p>
        </w:tc>
        <w:tc>
          <w:tcPr>
            <w:tcW w:w="1560" w:type="dxa"/>
            <w:noWrap/>
            <w:hideMark/>
          </w:tcPr>
          <w:p w14:paraId="0EEBBF5C" w14:textId="77777777" w:rsidR="008A177A" w:rsidRPr="008A177A" w:rsidRDefault="008A177A" w:rsidP="008A177A">
            <w:pPr>
              <w:pStyle w:val="NormalWeb"/>
              <w:spacing w:line="360" w:lineRule="auto"/>
              <w:rPr>
                <w:rFonts w:ascii="Arial" w:hAnsi="Arial" w:cs="Arial"/>
                <w:color w:val="000000" w:themeColor="text1"/>
                <w:sz w:val="22"/>
                <w:szCs w:val="22"/>
              </w:rPr>
            </w:pPr>
            <w:r w:rsidRPr="008A177A">
              <w:rPr>
                <w:rFonts w:ascii="Arial" w:hAnsi="Arial" w:cs="Arial"/>
                <w:color w:val="000000" w:themeColor="text1"/>
                <w:sz w:val="22"/>
                <w:szCs w:val="22"/>
              </w:rPr>
              <w:t>264.7</w:t>
            </w:r>
          </w:p>
        </w:tc>
        <w:tc>
          <w:tcPr>
            <w:tcW w:w="2600" w:type="dxa"/>
            <w:noWrap/>
            <w:hideMark/>
          </w:tcPr>
          <w:p w14:paraId="0518ECA4" w14:textId="77777777" w:rsidR="008A177A" w:rsidRPr="008A177A" w:rsidRDefault="008A177A" w:rsidP="008A177A">
            <w:pPr>
              <w:pStyle w:val="NormalWeb"/>
              <w:spacing w:line="360" w:lineRule="auto"/>
              <w:rPr>
                <w:rFonts w:ascii="Arial" w:hAnsi="Arial" w:cs="Arial"/>
                <w:color w:val="000000" w:themeColor="text1"/>
                <w:sz w:val="22"/>
                <w:szCs w:val="22"/>
              </w:rPr>
            </w:pPr>
            <w:r w:rsidRPr="008A177A">
              <w:rPr>
                <w:rFonts w:ascii="Arial" w:hAnsi="Arial" w:cs="Arial"/>
                <w:color w:val="000000" w:themeColor="text1"/>
                <w:sz w:val="22"/>
                <w:szCs w:val="22"/>
              </w:rPr>
              <w:t>8.60%</w:t>
            </w:r>
          </w:p>
        </w:tc>
      </w:tr>
      <w:tr w:rsidR="008A177A" w:rsidRPr="008A177A" w14:paraId="13FE33C0" w14:textId="77777777" w:rsidTr="008A177A">
        <w:trPr>
          <w:trHeight w:val="320"/>
        </w:trPr>
        <w:tc>
          <w:tcPr>
            <w:tcW w:w="1640" w:type="dxa"/>
            <w:noWrap/>
            <w:hideMark/>
          </w:tcPr>
          <w:p w14:paraId="790577DF" w14:textId="77777777" w:rsidR="008A177A" w:rsidRPr="008A177A" w:rsidRDefault="008A177A" w:rsidP="008A177A">
            <w:pPr>
              <w:pStyle w:val="NormalWeb"/>
              <w:spacing w:line="360" w:lineRule="auto"/>
              <w:rPr>
                <w:rFonts w:ascii="Arial" w:hAnsi="Arial" w:cs="Arial"/>
                <w:color w:val="000000" w:themeColor="text1"/>
                <w:sz w:val="22"/>
                <w:szCs w:val="22"/>
              </w:rPr>
            </w:pPr>
            <w:r w:rsidRPr="008A177A">
              <w:rPr>
                <w:rFonts w:ascii="Arial" w:hAnsi="Arial" w:cs="Arial"/>
                <w:color w:val="000000" w:themeColor="text1"/>
                <w:sz w:val="22"/>
                <w:szCs w:val="22"/>
              </w:rPr>
              <w:t>2022-2023</w:t>
            </w:r>
          </w:p>
        </w:tc>
        <w:tc>
          <w:tcPr>
            <w:tcW w:w="1600" w:type="dxa"/>
            <w:noWrap/>
            <w:hideMark/>
          </w:tcPr>
          <w:p w14:paraId="61D48D90" w14:textId="77777777" w:rsidR="008A177A" w:rsidRPr="008A177A" w:rsidRDefault="008A177A" w:rsidP="008A177A">
            <w:pPr>
              <w:pStyle w:val="NormalWeb"/>
              <w:spacing w:line="360" w:lineRule="auto"/>
              <w:rPr>
                <w:rFonts w:ascii="Arial" w:hAnsi="Arial" w:cs="Arial"/>
                <w:color w:val="000000" w:themeColor="text1"/>
                <w:sz w:val="22"/>
                <w:szCs w:val="22"/>
              </w:rPr>
            </w:pPr>
            <w:r w:rsidRPr="008A177A">
              <w:rPr>
                <w:rFonts w:ascii="Arial" w:hAnsi="Arial" w:cs="Arial"/>
                <w:color w:val="000000" w:themeColor="text1"/>
                <w:sz w:val="22"/>
                <w:szCs w:val="22"/>
              </w:rPr>
              <w:t>264.7</w:t>
            </w:r>
          </w:p>
        </w:tc>
        <w:tc>
          <w:tcPr>
            <w:tcW w:w="1560" w:type="dxa"/>
            <w:noWrap/>
            <w:hideMark/>
          </w:tcPr>
          <w:p w14:paraId="3247A85A" w14:textId="77777777" w:rsidR="008A177A" w:rsidRPr="008A177A" w:rsidRDefault="008A177A" w:rsidP="008A177A">
            <w:pPr>
              <w:pStyle w:val="NormalWeb"/>
              <w:spacing w:line="360" w:lineRule="auto"/>
              <w:rPr>
                <w:rFonts w:ascii="Arial" w:hAnsi="Arial" w:cs="Arial"/>
                <w:color w:val="000000" w:themeColor="text1"/>
                <w:sz w:val="22"/>
                <w:szCs w:val="22"/>
              </w:rPr>
            </w:pPr>
            <w:r w:rsidRPr="008A177A">
              <w:rPr>
                <w:rFonts w:ascii="Arial" w:hAnsi="Arial" w:cs="Arial"/>
                <w:color w:val="000000" w:themeColor="text1"/>
                <w:sz w:val="22"/>
                <w:szCs w:val="22"/>
              </w:rPr>
              <w:t>230.1</w:t>
            </w:r>
          </w:p>
        </w:tc>
        <w:tc>
          <w:tcPr>
            <w:tcW w:w="2600" w:type="dxa"/>
            <w:noWrap/>
            <w:hideMark/>
          </w:tcPr>
          <w:p w14:paraId="021252C6" w14:textId="77777777" w:rsidR="008A177A" w:rsidRPr="008A177A" w:rsidRDefault="008A177A" w:rsidP="008A177A">
            <w:pPr>
              <w:pStyle w:val="NormalWeb"/>
              <w:spacing w:line="360" w:lineRule="auto"/>
              <w:rPr>
                <w:rFonts w:ascii="Arial" w:hAnsi="Arial" w:cs="Arial"/>
                <w:color w:val="000000" w:themeColor="text1"/>
                <w:sz w:val="22"/>
                <w:szCs w:val="22"/>
              </w:rPr>
            </w:pPr>
            <w:r w:rsidRPr="008A177A">
              <w:rPr>
                <w:rFonts w:ascii="Arial" w:hAnsi="Arial" w:cs="Arial"/>
                <w:color w:val="000000" w:themeColor="text1"/>
                <w:sz w:val="22"/>
                <w:szCs w:val="22"/>
              </w:rPr>
              <w:t>2.70%</w:t>
            </w:r>
          </w:p>
        </w:tc>
      </w:tr>
      <w:tr w:rsidR="008A177A" w:rsidRPr="008A177A" w14:paraId="0E64E9A1" w14:textId="77777777" w:rsidTr="008A177A">
        <w:trPr>
          <w:trHeight w:val="320"/>
        </w:trPr>
        <w:tc>
          <w:tcPr>
            <w:tcW w:w="1640" w:type="dxa"/>
            <w:noWrap/>
            <w:hideMark/>
          </w:tcPr>
          <w:p w14:paraId="1A13FA9C" w14:textId="77777777" w:rsidR="008A177A" w:rsidRPr="008A177A" w:rsidRDefault="008A177A" w:rsidP="008A177A">
            <w:pPr>
              <w:pStyle w:val="NormalWeb"/>
              <w:spacing w:line="360" w:lineRule="auto"/>
              <w:rPr>
                <w:rFonts w:ascii="Arial" w:hAnsi="Arial" w:cs="Arial"/>
                <w:color w:val="000000" w:themeColor="text1"/>
                <w:sz w:val="22"/>
                <w:szCs w:val="22"/>
              </w:rPr>
            </w:pPr>
            <w:r w:rsidRPr="008A177A">
              <w:rPr>
                <w:rFonts w:ascii="Arial" w:hAnsi="Arial" w:cs="Arial"/>
                <w:color w:val="000000" w:themeColor="text1"/>
                <w:sz w:val="22"/>
                <w:szCs w:val="22"/>
              </w:rPr>
              <w:t>2023-2024</w:t>
            </w:r>
          </w:p>
        </w:tc>
        <w:tc>
          <w:tcPr>
            <w:tcW w:w="1600" w:type="dxa"/>
            <w:noWrap/>
            <w:hideMark/>
          </w:tcPr>
          <w:p w14:paraId="0B820373" w14:textId="77777777" w:rsidR="008A177A" w:rsidRPr="008A177A" w:rsidRDefault="008A177A" w:rsidP="008A177A">
            <w:pPr>
              <w:pStyle w:val="NormalWeb"/>
              <w:spacing w:line="360" w:lineRule="auto"/>
              <w:rPr>
                <w:rFonts w:ascii="Arial" w:hAnsi="Arial" w:cs="Arial"/>
                <w:color w:val="000000" w:themeColor="text1"/>
                <w:sz w:val="22"/>
                <w:szCs w:val="22"/>
              </w:rPr>
            </w:pPr>
            <w:r w:rsidRPr="008A177A">
              <w:rPr>
                <w:rFonts w:ascii="Arial" w:hAnsi="Arial" w:cs="Arial"/>
                <w:color w:val="000000" w:themeColor="text1"/>
                <w:sz w:val="22"/>
                <w:szCs w:val="22"/>
              </w:rPr>
              <w:t>230.1</w:t>
            </w:r>
          </w:p>
        </w:tc>
        <w:tc>
          <w:tcPr>
            <w:tcW w:w="1560" w:type="dxa"/>
            <w:noWrap/>
            <w:hideMark/>
          </w:tcPr>
          <w:p w14:paraId="15CAFEEA" w14:textId="77777777" w:rsidR="008A177A" w:rsidRPr="008A177A" w:rsidRDefault="008A177A" w:rsidP="008A177A">
            <w:pPr>
              <w:pStyle w:val="NormalWeb"/>
              <w:spacing w:line="360" w:lineRule="auto"/>
              <w:rPr>
                <w:rFonts w:ascii="Arial" w:hAnsi="Arial" w:cs="Arial"/>
                <w:color w:val="000000" w:themeColor="text1"/>
                <w:sz w:val="22"/>
                <w:szCs w:val="22"/>
              </w:rPr>
            </w:pPr>
            <w:r w:rsidRPr="008A177A">
              <w:rPr>
                <w:rFonts w:ascii="Arial" w:hAnsi="Arial" w:cs="Arial"/>
                <w:color w:val="000000" w:themeColor="text1"/>
                <w:sz w:val="22"/>
                <w:szCs w:val="22"/>
              </w:rPr>
              <w:t>279.0</w:t>
            </w:r>
          </w:p>
        </w:tc>
        <w:tc>
          <w:tcPr>
            <w:tcW w:w="2600" w:type="dxa"/>
            <w:noWrap/>
            <w:hideMark/>
          </w:tcPr>
          <w:p w14:paraId="27A209F6" w14:textId="77777777" w:rsidR="008A177A" w:rsidRPr="008A177A" w:rsidRDefault="008A177A" w:rsidP="008A177A">
            <w:pPr>
              <w:pStyle w:val="NormalWeb"/>
              <w:spacing w:line="360" w:lineRule="auto"/>
              <w:rPr>
                <w:rFonts w:ascii="Arial" w:hAnsi="Arial" w:cs="Arial"/>
                <w:color w:val="000000" w:themeColor="text1"/>
                <w:sz w:val="22"/>
                <w:szCs w:val="22"/>
              </w:rPr>
            </w:pPr>
            <w:r w:rsidRPr="008A177A">
              <w:rPr>
                <w:rFonts w:ascii="Arial" w:hAnsi="Arial" w:cs="Arial"/>
                <w:color w:val="000000" w:themeColor="text1"/>
                <w:sz w:val="22"/>
                <w:szCs w:val="22"/>
              </w:rPr>
              <w:t>6.22%</w:t>
            </w:r>
          </w:p>
        </w:tc>
      </w:tr>
      <w:tr w:rsidR="008A177A" w:rsidRPr="008A177A" w14:paraId="18058D47" w14:textId="77777777" w:rsidTr="008A177A">
        <w:trPr>
          <w:trHeight w:val="320"/>
        </w:trPr>
        <w:tc>
          <w:tcPr>
            <w:tcW w:w="1640" w:type="dxa"/>
            <w:noWrap/>
            <w:hideMark/>
          </w:tcPr>
          <w:p w14:paraId="50636EFF" w14:textId="77777777" w:rsidR="008A177A" w:rsidRPr="008A177A" w:rsidRDefault="008A177A" w:rsidP="008A177A">
            <w:pPr>
              <w:pStyle w:val="NormalWeb"/>
              <w:spacing w:line="360" w:lineRule="auto"/>
              <w:rPr>
                <w:rFonts w:ascii="Arial" w:hAnsi="Arial" w:cs="Arial"/>
                <w:color w:val="000000" w:themeColor="text1"/>
                <w:sz w:val="22"/>
                <w:szCs w:val="22"/>
              </w:rPr>
            </w:pPr>
            <w:r w:rsidRPr="008A177A">
              <w:rPr>
                <w:rFonts w:ascii="Arial" w:hAnsi="Arial" w:cs="Arial"/>
                <w:color w:val="000000" w:themeColor="text1"/>
                <w:sz w:val="22"/>
                <w:szCs w:val="22"/>
              </w:rPr>
              <w:t xml:space="preserve">2024- </w:t>
            </w:r>
          </w:p>
        </w:tc>
        <w:tc>
          <w:tcPr>
            <w:tcW w:w="1600" w:type="dxa"/>
            <w:noWrap/>
            <w:hideMark/>
          </w:tcPr>
          <w:p w14:paraId="11A61E9B" w14:textId="77777777" w:rsidR="008A177A" w:rsidRPr="008A177A" w:rsidRDefault="008A177A" w:rsidP="008A177A">
            <w:pPr>
              <w:pStyle w:val="NormalWeb"/>
              <w:spacing w:line="360" w:lineRule="auto"/>
              <w:rPr>
                <w:rFonts w:ascii="Arial" w:hAnsi="Arial" w:cs="Arial"/>
                <w:color w:val="000000" w:themeColor="text1"/>
                <w:sz w:val="22"/>
                <w:szCs w:val="22"/>
              </w:rPr>
            </w:pPr>
            <w:r w:rsidRPr="008A177A">
              <w:rPr>
                <w:rFonts w:ascii="Arial" w:hAnsi="Arial" w:cs="Arial"/>
                <w:color w:val="000000" w:themeColor="text1"/>
                <w:sz w:val="22"/>
                <w:szCs w:val="22"/>
              </w:rPr>
              <w:t>279.0</w:t>
            </w:r>
          </w:p>
        </w:tc>
        <w:tc>
          <w:tcPr>
            <w:tcW w:w="1560" w:type="dxa"/>
            <w:noWrap/>
            <w:hideMark/>
          </w:tcPr>
          <w:p w14:paraId="2CF0DE5A" w14:textId="77777777" w:rsidR="008A177A" w:rsidRPr="008A177A" w:rsidRDefault="008A177A" w:rsidP="008A177A">
            <w:pPr>
              <w:pStyle w:val="NormalWeb"/>
              <w:spacing w:line="360" w:lineRule="auto"/>
              <w:rPr>
                <w:rFonts w:ascii="Arial" w:hAnsi="Arial" w:cs="Arial"/>
                <w:color w:val="000000" w:themeColor="text1"/>
                <w:sz w:val="22"/>
                <w:szCs w:val="22"/>
              </w:rPr>
            </w:pPr>
            <w:r w:rsidRPr="008A177A">
              <w:rPr>
                <w:rFonts w:ascii="Arial" w:hAnsi="Arial" w:cs="Arial"/>
                <w:color w:val="000000" w:themeColor="text1"/>
                <w:sz w:val="22"/>
                <w:szCs w:val="22"/>
              </w:rPr>
              <w:t>341.2</w:t>
            </w:r>
          </w:p>
        </w:tc>
        <w:tc>
          <w:tcPr>
            <w:tcW w:w="2600" w:type="dxa"/>
            <w:noWrap/>
            <w:hideMark/>
          </w:tcPr>
          <w:p w14:paraId="2F8EE575" w14:textId="77777777" w:rsidR="008A177A" w:rsidRPr="008A177A" w:rsidRDefault="008A177A" w:rsidP="008A177A">
            <w:pPr>
              <w:pStyle w:val="NormalWeb"/>
              <w:spacing w:line="360" w:lineRule="auto"/>
              <w:rPr>
                <w:rFonts w:ascii="Arial" w:hAnsi="Arial" w:cs="Arial"/>
                <w:color w:val="000000" w:themeColor="text1"/>
                <w:sz w:val="22"/>
                <w:szCs w:val="22"/>
              </w:rPr>
            </w:pPr>
            <w:r w:rsidRPr="008A177A">
              <w:rPr>
                <w:rFonts w:ascii="Arial" w:hAnsi="Arial" w:cs="Arial"/>
                <w:color w:val="000000" w:themeColor="text1"/>
                <w:sz w:val="22"/>
                <w:szCs w:val="22"/>
              </w:rPr>
              <w:t>8.22%</w:t>
            </w:r>
          </w:p>
        </w:tc>
      </w:tr>
    </w:tbl>
    <w:tbl>
      <w:tblPr>
        <w:tblW w:w="7400" w:type="dxa"/>
        <w:tblLook w:val="04A0" w:firstRow="1" w:lastRow="0" w:firstColumn="1" w:lastColumn="0" w:noHBand="0" w:noVBand="1"/>
      </w:tblPr>
      <w:tblGrid>
        <w:gridCol w:w="7400"/>
      </w:tblGrid>
      <w:tr w:rsidR="008A177A" w14:paraId="01E0231B" w14:textId="77777777" w:rsidTr="008A177A">
        <w:trPr>
          <w:trHeight w:val="320"/>
        </w:trPr>
        <w:tc>
          <w:tcPr>
            <w:tcW w:w="7400" w:type="dxa"/>
            <w:tcBorders>
              <w:top w:val="nil"/>
              <w:left w:val="nil"/>
              <w:bottom w:val="nil"/>
              <w:right w:val="nil"/>
            </w:tcBorders>
            <w:shd w:val="clear" w:color="auto" w:fill="auto"/>
            <w:noWrap/>
            <w:vAlign w:val="bottom"/>
            <w:hideMark/>
          </w:tcPr>
          <w:p w14:paraId="5AA2E27D" w14:textId="77777777" w:rsidR="008A177A" w:rsidRDefault="008A177A">
            <w:pPr>
              <w:rPr>
                <w:rFonts w:ascii="Aptos Narrow" w:hAnsi="Aptos Narrow"/>
                <w:color w:val="000000"/>
              </w:rPr>
            </w:pPr>
          </w:p>
          <w:p w14:paraId="73904CD3" w14:textId="5F286762" w:rsidR="00442D5F" w:rsidRDefault="00442D5F" w:rsidP="00442D5F">
            <w:pPr>
              <w:rPr>
                <w:rFonts w:ascii="Aptos Narrow" w:hAnsi="Aptos Narrow"/>
                <w:color w:val="000000"/>
              </w:rPr>
            </w:pPr>
          </w:p>
        </w:tc>
      </w:tr>
    </w:tbl>
    <w:p w14:paraId="211D8B41" w14:textId="33EF8C6D" w:rsidR="00442D5F" w:rsidRPr="00B61080" w:rsidRDefault="00442D5F" w:rsidP="00442D5F">
      <w:pPr>
        <w:rPr>
          <w:rFonts w:ascii="Arial" w:hAnsi="Arial" w:cs="Arial"/>
          <w:color w:val="000000" w:themeColor="text1"/>
          <w:sz w:val="22"/>
          <w:szCs w:val="22"/>
        </w:rPr>
      </w:pPr>
      <w:r w:rsidRPr="00B61080">
        <w:rPr>
          <w:rFonts w:ascii="Arial" w:hAnsi="Arial" w:cs="Arial"/>
          <w:color w:val="000000" w:themeColor="text1"/>
          <w:sz w:val="22"/>
          <w:szCs w:val="22"/>
        </w:rPr>
        <w:t xml:space="preserve">Average </w:t>
      </w:r>
      <w:r w:rsidR="00B61080" w:rsidRPr="00B61080">
        <w:rPr>
          <w:rFonts w:ascii="Arial" w:hAnsi="Arial" w:cs="Arial"/>
          <w:color w:val="000000" w:themeColor="text1"/>
          <w:sz w:val="22"/>
          <w:szCs w:val="22"/>
        </w:rPr>
        <w:t>R</w:t>
      </w:r>
      <w:r w:rsidRPr="00B61080">
        <w:rPr>
          <w:rFonts w:ascii="Arial" w:hAnsi="Arial" w:cs="Arial"/>
          <w:color w:val="000000" w:themeColor="text1"/>
          <w:sz w:val="22"/>
          <w:szCs w:val="22"/>
        </w:rPr>
        <w:t>eturn = 5.71%</w:t>
      </w:r>
    </w:p>
    <w:p w14:paraId="699C93DE" w14:textId="77777777" w:rsidR="00725F9D" w:rsidRDefault="00F50BCA" w:rsidP="00F50BCA">
      <w:pPr>
        <w:pStyle w:val="NormalWeb"/>
        <w:spacing w:line="360" w:lineRule="auto"/>
        <w:rPr>
          <w:rFonts w:ascii="Arial" w:hAnsi="Arial" w:cs="Arial"/>
          <w:color w:val="000000" w:themeColor="text1"/>
          <w:sz w:val="22"/>
          <w:szCs w:val="22"/>
        </w:rPr>
      </w:pPr>
      <w:r w:rsidRPr="00F50BCA">
        <w:rPr>
          <w:rFonts w:ascii="Arial" w:hAnsi="Arial" w:cs="Arial"/>
          <w:color w:val="000000" w:themeColor="text1"/>
          <w:sz w:val="22"/>
          <w:szCs w:val="22"/>
        </w:rPr>
        <w:t>Over the periods analy</w:t>
      </w:r>
      <w:r w:rsidR="003B3487">
        <w:rPr>
          <w:rFonts w:ascii="Arial" w:hAnsi="Arial" w:cs="Arial"/>
          <w:color w:val="000000" w:themeColor="text1"/>
          <w:sz w:val="22"/>
          <w:szCs w:val="22"/>
        </w:rPr>
        <w:t>s</w:t>
      </w:r>
      <w:r w:rsidRPr="00F50BCA">
        <w:rPr>
          <w:rFonts w:ascii="Arial" w:hAnsi="Arial" w:cs="Arial"/>
          <w:color w:val="000000" w:themeColor="text1"/>
          <w:sz w:val="22"/>
          <w:szCs w:val="22"/>
        </w:rPr>
        <w:t>ed, the yearly returns were 3.66%, 4.85%, 8.60%, 2.70%, 6.22%, and 8.22%.</w:t>
      </w:r>
      <w:r w:rsidR="008A177A">
        <w:rPr>
          <w:rFonts w:ascii="Arial" w:hAnsi="Arial" w:cs="Arial"/>
          <w:color w:val="000000" w:themeColor="text1"/>
          <w:sz w:val="22"/>
          <w:szCs w:val="22"/>
        </w:rPr>
        <w:t xml:space="preserve"> T</w:t>
      </w:r>
      <w:r w:rsidR="008A177A" w:rsidRPr="008A177A">
        <w:rPr>
          <w:rFonts w:ascii="Arial" w:hAnsi="Arial" w:cs="Arial"/>
          <w:color w:val="000000" w:themeColor="text1"/>
          <w:sz w:val="22"/>
          <w:szCs w:val="22"/>
        </w:rPr>
        <w:t>he average return over these six periods is 5.71%</w:t>
      </w:r>
      <w:r w:rsidR="008A177A">
        <w:rPr>
          <w:rFonts w:ascii="Arial" w:hAnsi="Arial" w:cs="Arial"/>
          <w:color w:val="000000" w:themeColor="text1"/>
          <w:sz w:val="22"/>
          <w:szCs w:val="22"/>
        </w:rPr>
        <w:t>.</w:t>
      </w:r>
      <w:r w:rsidR="00F82991">
        <w:rPr>
          <w:rFonts w:ascii="Arial" w:hAnsi="Arial" w:cs="Arial"/>
          <w:color w:val="000000" w:themeColor="text1"/>
          <w:sz w:val="22"/>
          <w:szCs w:val="22"/>
        </w:rPr>
        <w:t xml:space="preserve"> </w:t>
      </w:r>
      <w:r w:rsidR="00F82991" w:rsidRPr="00F82991">
        <w:rPr>
          <w:rFonts w:ascii="Arial" w:hAnsi="Arial" w:cs="Arial"/>
          <w:color w:val="000000" w:themeColor="text1"/>
          <w:sz w:val="22"/>
          <w:szCs w:val="22"/>
        </w:rPr>
        <w:t xml:space="preserve">It appears that the company's success is inconsistent given that these percentages change from year to year. Certain years have higher returns (e.g., 8.60% and 8.22%) than others (e.g., 2.70%). </w:t>
      </w:r>
    </w:p>
    <w:p w14:paraId="07713F91" w14:textId="77777777" w:rsidR="00725F9D" w:rsidRDefault="00F82991" w:rsidP="00F50BCA">
      <w:pPr>
        <w:pStyle w:val="NormalWeb"/>
        <w:spacing w:line="360" w:lineRule="auto"/>
        <w:rPr>
          <w:rFonts w:ascii="Arial" w:hAnsi="Arial" w:cs="Arial"/>
          <w:color w:val="000000" w:themeColor="text1"/>
          <w:sz w:val="22"/>
          <w:szCs w:val="22"/>
        </w:rPr>
      </w:pPr>
      <w:r w:rsidRPr="00F82991">
        <w:rPr>
          <w:rFonts w:ascii="Arial" w:hAnsi="Arial" w:cs="Arial"/>
          <w:color w:val="000000" w:themeColor="text1"/>
          <w:sz w:val="22"/>
          <w:szCs w:val="22"/>
        </w:rPr>
        <w:t>There are several reasons for this diversity.</w:t>
      </w:r>
      <w:r w:rsidR="00F50BCA" w:rsidRPr="00F50BCA">
        <w:rPr>
          <w:rFonts w:ascii="Arial" w:hAnsi="Arial" w:cs="Arial"/>
          <w:color w:val="000000" w:themeColor="text1"/>
          <w:sz w:val="22"/>
          <w:szCs w:val="22"/>
        </w:rPr>
        <w:t xml:space="preserve"> These variations likely reflect a combination of the company's leverage and external factors such as market conditions and operational performance. So, the average return over these six periods is 5.71%, indicating a generally positive but </w:t>
      </w:r>
      <w:r w:rsidR="008A177A">
        <w:rPr>
          <w:rFonts w:ascii="Arial" w:hAnsi="Arial" w:cs="Arial"/>
          <w:color w:val="000000" w:themeColor="text1"/>
          <w:sz w:val="22"/>
          <w:szCs w:val="22"/>
        </w:rPr>
        <w:t xml:space="preserve">varying </w:t>
      </w:r>
      <w:r w:rsidR="00F50BCA" w:rsidRPr="00F50BCA">
        <w:rPr>
          <w:rFonts w:ascii="Arial" w:hAnsi="Arial" w:cs="Arial"/>
          <w:color w:val="000000" w:themeColor="text1"/>
          <w:sz w:val="22"/>
          <w:szCs w:val="22"/>
        </w:rPr>
        <w:t>return profile.</w:t>
      </w:r>
      <w:r w:rsidR="003B3487">
        <w:rPr>
          <w:rFonts w:ascii="Arial" w:hAnsi="Arial" w:cs="Arial"/>
          <w:color w:val="000000" w:themeColor="text1"/>
          <w:sz w:val="22"/>
          <w:szCs w:val="22"/>
        </w:rPr>
        <w:t xml:space="preserve"> </w:t>
      </w:r>
      <w:r w:rsidR="003B3487" w:rsidRPr="003B3487">
        <w:rPr>
          <w:rFonts w:ascii="Arial" w:hAnsi="Arial" w:cs="Arial"/>
          <w:color w:val="000000" w:themeColor="text1"/>
          <w:sz w:val="22"/>
          <w:szCs w:val="22"/>
        </w:rPr>
        <w:t>The relationship between a company's capital structure and its share returns is an important component of financial analysis. A company's capital structure, which is mainly defined by its debt-to-equity ratio, has a direct impact on its risk profile and, as a result, its potential for return</w:t>
      </w:r>
      <w:r w:rsidR="00E4622C">
        <w:rPr>
          <w:rFonts w:ascii="Arial" w:hAnsi="Arial" w:cs="Arial"/>
          <w:color w:val="000000" w:themeColor="text1"/>
          <w:sz w:val="22"/>
          <w:szCs w:val="22"/>
        </w:rPr>
        <w:t xml:space="preserve"> (</w:t>
      </w:r>
      <w:proofErr w:type="spellStart"/>
      <w:r w:rsidR="00B267BE" w:rsidRPr="00E4622C">
        <w:rPr>
          <w:rFonts w:ascii="Arial" w:eastAsiaTheme="minorEastAsia" w:hAnsi="Arial" w:cs="Arial"/>
          <w:sz w:val="22"/>
          <w:szCs w:val="22"/>
          <w:lang w:val="en-US"/>
        </w:rPr>
        <w:t>Arhinful</w:t>
      </w:r>
      <w:proofErr w:type="spellEnd"/>
      <w:r w:rsidR="00B267BE" w:rsidRPr="00E4622C">
        <w:rPr>
          <w:rFonts w:ascii="Arial" w:eastAsiaTheme="minorEastAsia" w:hAnsi="Arial" w:cs="Arial"/>
          <w:sz w:val="22"/>
          <w:szCs w:val="22"/>
          <w:lang w:val="en-US"/>
        </w:rPr>
        <w:t xml:space="preserve">, R. and </w:t>
      </w:r>
      <w:proofErr w:type="spellStart"/>
      <w:r w:rsidR="00B267BE" w:rsidRPr="00E4622C">
        <w:rPr>
          <w:rFonts w:ascii="Arial" w:eastAsiaTheme="minorEastAsia" w:hAnsi="Arial" w:cs="Arial"/>
          <w:sz w:val="22"/>
          <w:szCs w:val="22"/>
          <w:lang w:val="en-US"/>
        </w:rPr>
        <w:t>Radmehr</w:t>
      </w:r>
      <w:proofErr w:type="spellEnd"/>
      <w:r w:rsidR="00B267BE" w:rsidRPr="00E4622C">
        <w:rPr>
          <w:rFonts w:ascii="Arial" w:eastAsiaTheme="minorEastAsia" w:hAnsi="Arial" w:cs="Arial"/>
          <w:sz w:val="22"/>
          <w:szCs w:val="22"/>
          <w:lang w:val="en-US"/>
        </w:rPr>
        <w:t xml:space="preserve">, M., </w:t>
      </w:r>
      <w:r w:rsidR="00B267BE">
        <w:rPr>
          <w:rFonts w:ascii="Arial" w:eastAsiaTheme="minorEastAsia" w:hAnsi="Arial" w:cs="Arial"/>
          <w:sz w:val="22"/>
          <w:szCs w:val="22"/>
          <w:lang w:val="en-US"/>
        </w:rPr>
        <w:t>2</w:t>
      </w:r>
      <w:r w:rsidR="00B267BE" w:rsidRPr="00E4622C">
        <w:rPr>
          <w:rFonts w:ascii="Arial" w:eastAsiaTheme="minorEastAsia" w:hAnsi="Arial" w:cs="Arial"/>
          <w:sz w:val="22"/>
          <w:szCs w:val="22"/>
          <w:lang w:val="en-US"/>
        </w:rPr>
        <w:t>023</w:t>
      </w:r>
      <w:proofErr w:type="gramStart"/>
      <w:r w:rsidR="00B267BE">
        <w:rPr>
          <w:rFonts w:ascii="Arial" w:eastAsiaTheme="minorEastAsia" w:hAnsi="Arial" w:cs="Arial"/>
          <w:sz w:val="22"/>
          <w:szCs w:val="22"/>
          <w:lang w:val="en-US"/>
        </w:rPr>
        <w:t>)</w:t>
      </w:r>
      <w:r w:rsidR="00B267BE" w:rsidRPr="00E4622C">
        <w:rPr>
          <w:rFonts w:ascii="Arial" w:eastAsiaTheme="minorEastAsia" w:hAnsi="Arial" w:cs="Arial"/>
          <w:sz w:val="22"/>
          <w:szCs w:val="22"/>
          <w:lang w:val="en-US"/>
        </w:rPr>
        <w:t xml:space="preserve"> </w:t>
      </w:r>
      <w:r w:rsidR="00B267BE">
        <w:rPr>
          <w:rFonts w:ascii="Arial" w:eastAsiaTheme="minorEastAsia" w:hAnsi="Arial" w:cs="Arial"/>
          <w:sz w:val="22"/>
          <w:szCs w:val="22"/>
          <w:lang w:val="en-US"/>
        </w:rPr>
        <w:t>.</w:t>
      </w:r>
      <w:proofErr w:type="gramEnd"/>
      <w:r w:rsidR="003B3487" w:rsidRPr="003B3487">
        <w:rPr>
          <w:rFonts w:ascii="Arial" w:hAnsi="Arial" w:cs="Arial"/>
          <w:color w:val="000000" w:themeColor="text1"/>
          <w:sz w:val="22"/>
          <w:szCs w:val="22"/>
        </w:rPr>
        <w:t xml:space="preserve"> </w:t>
      </w:r>
    </w:p>
    <w:p w14:paraId="1422CD63" w14:textId="36E1972C" w:rsidR="00731A30" w:rsidRDefault="003B3487" w:rsidP="00F50BCA">
      <w:pPr>
        <w:pStyle w:val="NormalWeb"/>
        <w:spacing w:line="360" w:lineRule="auto"/>
        <w:rPr>
          <w:rFonts w:ascii="Arial" w:hAnsi="Arial" w:cs="Arial"/>
          <w:color w:val="000000" w:themeColor="text1"/>
          <w:sz w:val="22"/>
          <w:szCs w:val="22"/>
        </w:rPr>
      </w:pPr>
      <w:r w:rsidRPr="003B3487">
        <w:rPr>
          <w:rFonts w:ascii="Arial" w:hAnsi="Arial" w:cs="Arial"/>
          <w:color w:val="000000" w:themeColor="text1"/>
          <w:sz w:val="22"/>
          <w:szCs w:val="22"/>
        </w:rPr>
        <w:t>Higher leverage, or having more debt than equity, can increase returns in a profitable business environment because debt financing is typically less expensive than equity, allowing the company to keep more of its profits. However, this higher level of leverage also increases financial risk because the company must service its debt regardless of profitability</w:t>
      </w:r>
      <w:r w:rsidR="00B267BE">
        <w:rPr>
          <w:rFonts w:ascii="Arial" w:hAnsi="Arial" w:cs="Arial"/>
          <w:color w:val="000000" w:themeColor="text1"/>
          <w:sz w:val="22"/>
          <w:szCs w:val="22"/>
        </w:rPr>
        <w:t xml:space="preserve"> (Corporatefinanceistitute.com 2023)</w:t>
      </w:r>
      <w:r w:rsidRPr="003B3487">
        <w:rPr>
          <w:rFonts w:ascii="Arial" w:hAnsi="Arial" w:cs="Arial"/>
          <w:color w:val="000000" w:themeColor="text1"/>
          <w:sz w:val="22"/>
          <w:szCs w:val="22"/>
        </w:rPr>
        <w:t>, which could result in more significant swings in share returns.</w:t>
      </w:r>
      <w:r>
        <w:rPr>
          <w:rFonts w:ascii="Arial" w:hAnsi="Arial" w:cs="Arial"/>
          <w:color w:val="000000" w:themeColor="text1"/>
          <w:sz w:val="22"/>
          <w:szCs w:val="22"/>
        </w:rPr>
        <w:t xml:space="preserve"> </w:t>
      </w:r>
    </w:p>
    <w:p w14:paraId="2591800B" w14:textId="70C7C65F" w:rsidR="00B267BE" w:rsidRDefault="008C7A24" w:rsidP="00F50BCA">
      <w:pPr>
        <w:pStyle w:val="NormalWeb"/>
        <w:spacing w:line="360" w:lineRule="auto"/>
        <w:rPr>
          <w:rFonts w:ascii="Arial" w:hAnsi="Arial" w:cs="Arial"/>
          <w:color w:val="000000" w:themeColor="text1"/>
          <w:sz w:val="22"/>
          <w:szCs w:val="22"/>
        </w:rPr>
      </w:pPr>
      <w:r w:rsidRPr="008C7A24">
        <w:rPr>
          <w:rFonts w:ascii="Arial" w:hAnsi="Arial" w:cs="Arial"/>
          <w:color w:val="000000" w:themeColor="text1"/>
          <w:sz w:val="22"/>
          <w:szCs w:val="22"/>
        </w:rPr>
        <w:t xml:space="preserve">When evaluating the connection between returns and leverage, a pattern frequently shows that, especially under favourable economic situations, more leverage is associated with </w:t>
      </w:r>
      <w:r w:rsidRPr="008C7A24">
        <w:rPr>
          <w:rFonts w:ascii="Arial" w:hAnsi="Arial" w:cs="Arial"/>
          <w:color w:val="000000" w:themeColor="text1"/>
          <w:sz w:val="22"/>
          <w:szCs w:val="22"/>
        </w:rPr>
        <w:lastRenderedPageBreak/>
        <w:t>better returns</w:t>
      </w:r>
      <w:r>
        <w:rPr>
          <w:rFonts w:ascii="Arial" w:hAnsi="Arial" w:cs="Arial"/>
          <w:color w:val="000000" w:themeColor="text1"/>
          <w:sz w:val="22"/>
          <w:szCs w:val="22"/>
        </w:rPr>
        <w:t xml:space="preserve"> </w:t>
      </w:r>
      <w:r w:rsidRPr="008C7A24">
        <w:rPr>
          <w:rFonts w:ascii="Arial" w:hAnsi="Arial" w:cs="Arial"/>
          <w:color w:val="000000" w:themeColor="text1"/>
          <w:sz w:val="22"/>
          <w:szCs w:val="22"/>
        </w:rPr>
        <w:t>(</w:t>
      </w:r>
      <w:r w:rsidRPr="008C7A24">
        <w:rPr>
          <w:rFonts w:ascii="Arial" w:hAnsi="Arial" w:cs="Arial"/>
          <w:color w:val="000000"/>
          <w:sz w:val="22"/>
          <w:szCs w:val="22"/>
        </w:rPr>
        <w:t xml:space="preserve">Baker, M., </w:t>
      </w:r>
      <w:proofErr w:type="spellStart"/>
      <w:r w:rsidRPr="008C7A24">
        <w:rPr>
          <w:rFonts w:ascii="Arial" w:hAnsi="Arial" w:cs="Arial"/>
          <w:color w:val="000000"/>
          <w:sz w:val="22"/>
          <w:szCs w:val="22"/>
        </w:rPr>
        <w:t>Hoeyer</w:t>
      </w:r>
      <w:proofErr w:type="spellEnd"/>
      <w:r w:rsidRPr="008C7A24">
        <w:rPr>
          <w:rFonts w:ascii="Arial" w:hAnsi="Arial" w:cs="Arial"/>
          <w:color w:val="000000"/>
          <w:sz w:val="22"/>
          <w:szCs w:val="22"/>
        </w:rPr>
        <w:t xml:space="preserve">, M.F. and </w:t>
      </w:r>
      <w:proofErr w:type="spellStart"/>
      <w:r w:rsidRPr="008C7A24">
        <w:rPr>
          <w:rFonts w:ascii="Arial" w:hAnsi="Arial" w:cs="Arial"/>
          <w:color w:val="000000"/>
          <w:sz w:val="22"/>
          <w:szCs w:val="22"/>
        </w:rPr>
        <w:t>Wurgler</w:t>
      </w:r>
      <w:proofErr w:type="spellEnd"/>
      <w:r w:rsidRPr="008C7A24">
        <w:rPr>
          <w:rFonts w:ascii="Arial" w:hAnsi="Arial" w:cs="Arial"/>
          <w:color w:val="000000"/>
          <w:sz w:val="22"/>
          <w:szCs w:val="22"/>
        </w:rPr>
        <w:t>, J.,</w:t>
      </w:r>
      <w:r>
        <w:rPr>
          <w:rFonts w:ascii="Arial" w:hAnsi="Arial" w:cs="Arial"/>
          <w:color w:val="000000"/>
          <w:sz w:val="22"/>
          <w:szCs w:val="22"/>
        </w:rPr>
        <w:t>2019)</w:t>
      </w:r>
      <w:r w:rsidR="00B267BE" w:rsidRPr="008C7A24">
        <w:rPr>
          <w:rFonts w:ascii="Arial" w:hAnsi="Arial" w:cs="Arial"/>
          <w:color w:val="000000" w:themeColor="text1"/>
          <w:sz w:val="22"/>
          <w:szCs w:val="22"/>
        </w:rPr>
        <w:t>.</w:t>
      </w:r>
      <w:r w:rsidR="00B267BE" w:rsidRPr="00B267BE">
        <w:rPr>
          <w:rFonts w:ascii="Arial" w:hAnsi="Arial" w:cs="Arial"/>
          <w:color w:val="000000" w:themeColor="text1"/>
          <w:sz w:val="22"/>
          <w:szCs w:val="22"/>
        </w:rPr>
        <w:t xml:space="preserve"> This suggests that the company may have successfully utili</w:t>
      </w:r>
      <w:r w:rsidR="00A51C5B">
        <w:rPr>
          <w:rFonts w:ascii="Arial" w:hAnsi="Arial" w:cs="Arial"/>
          <w:color w:val="000000" w:themeColor="text1"/>
          <w:sz w:val="22"/>
          <w:szCs w:val="22"/>
        </w:rPr>
        <w:t>s</w:t>
      </w:r>
      <w:r w:rsidR="00B267BE" w:rsidRPr="00B267BE">
        <w:rPr>
          <w:rFonts w:ascii="Arial" w:hAnsi="Arial" w:cs="Arial"/>
          <w:color w:val="000000" w:themeColor="text1"/>
          <w:sz w:val="22"/>
          <w:szCs w:val="22"/>
        </w:rPr>
        <w:t>ed its debt to boost profitability, leading to higher returns for shareholders.</w:t>
      </w:r>
      <w:r>
        <w:rPr>
          <w:rFonts w:ascii="Arial" w:hAnsi="Arial" w:cs="Arial"/>
          <w:color w:val="000000" w:themeColor="text1"/>
          <w:sz w:val="22"/>
          <w:szCs w:val="22"/>
        </w:rPr>
        <w:t xml:space="preserve"> In contrast</w:t>
      </w:r>
      <w:r w:rsidR="00B267BE" w:rsidRPr="00B267BE">
        <w:rPr>
          <w:rFonts w:ascii="Arial" w:hAnsi="Arial" w:cs="Arial"/>
          <w:color w:val="000000" w:themeColor="text1"/>
          <w:sz w:val="22"/>
          <w:szCs w:val="22"/>
        </w:rPr>
        <w:t>, periods of lower returns might reflect either a reduction in leverage or challenges in generating sufficient returns on the borrowed capital</w:t>
      </w:r>
      <w:r>
        <w:rPr>
          <w:rFonts w:ascii="Arial" w:hAnsi="Arial" w:cs="Arial"/>
          <w:color w:val="000000" w:themeColor="text1"/>
          <w:sz w:val="22"/>
          <w:szCs w:val="22"/>
        </w:rPr>
        <w:t xml:space="preserve"> </w:t>
      </w:r>
      <w:r w:rsidRPr="008C7A24">
        <w:rPr>
          <w:rFonts w:ascii="Arial" w:eastAsiaTheme="minorEastAsia" w:hAnsi="Arial" w:cs="Arial"/>
          <w:sz w:val="22"/>
          <w:szCs w:val="22"/>
          <w:lang w:val="en-US"/>
        </w:rPr>
        <w:t xml:space="preserve">Ippolito, F., </w:t>
      </w:r>
      <w:proofErr w:type="spellStart"/>
      <w:r w:rsidRPr="008C7A24">
        <w:rPr>
          <w:rFonts w:ascii="Arial" w:eastAsiaTheme="minorEastAsia" w:hAnsi="Arial" w:cs="Arial"/>
          <w:sz w:val="22"/>
          <w:szCs w:val="22"/>
          <w:lang w:val="en-US"/>
        </w:rPr>
        <w:t>Steri</w:t>
      </w:r>
      <w:proofErr w:type="spellEnd"/>
      <w:r w:rsidRPr="008C7A24">
        <w:rPr>
          <w:rFonts w:ascii="Arial" w:eastAsiaTheme="minorEastAsia" w:hAnsi="Arial" w:cs="Arial"/>
          <w:sz w:val="22"/>
          <w:szCs w:val="22"/>
          <w:lang w:val="en-US"/>
        </w:rPr>
        <w:t xml:space="preserve">, R., Tebaldi, C. and Villa, </w:t>
      </w:r>
      <w:proofErr w:type="gramStart"/>
      <w:r w:rsidRPr="008C7A24">
        <w:rPr>
          <w:rFonts w:ascii="Arial" w:eastAsiaTheme="minorEastAsia" w:hAnsi="Arial" w:cs="Arial"/>
          <w:sz w:val="22"/>
          <w:szCs w:val="22"/>
          <w:lang w:val="en-US"/>
        </w:rPr>
        <w:t>A.T.(</w:t>
      </w:r>
      <w:proofErr w:type="gramEnd"/>
      <w:r w:rsidRPr="008C7A24">
        <w:rPr>
          <w:rFonts w:ascii="Arial" w:eastAsiaTheme="minorEastAsia" w:hAnsi="Arial" w:cs="Arial"/>
          <w:sz w:val="22"/>
          <w:szCs w:val="22"/>
          <w:lang w:val="en-US"/>
        </w:rPr>
        <w:t>2022)</w:t>
      </w:r>
      <w:r>
        <w:rPr>
          <w:rFonts w:ascii="Arial" w:eastAsiaTheme="minorEastAsia" w:hAnsi="Arial" w:cs="Arial"/>
          <w:sz w:val="22"/>
          <w:szCs w:val="22"/>
          <w:lang w:val="en-US"/>
        </w:rPr>
        <w:t>.</w:t>
      </w:r>
      <w:r w:rsidR="00B267BE" w:rsidRPr="00B267BE">
        <w:rPr>
          <w:rFonts w:ascii="Arial" w:hAnsi="Arial" w:cs="Arial"/>
          <w:color w:val="000000" w:themeColor="text1"/>
          <w:sz w:val="22"/>
          <w:szCs w:val="22"/>
        </w:rPr>
        <w:t xml:space="preserve"> However, the relationship is not always straightforward. Various other factors, including market volatility, changes in interest rates, and shifts in the economic environment, </w:t>
      </w:r>
      <w:r>
        <w:rPr>
          <w:rFonts w:ascii="Arial" w:hAnsi="Arial" w:cs="Arial"/>
          <w:color w:val="000000" w:themeColor="text1"/>
          <w:sz w:val="22"/>
          <w:szCs w:val="22"/>
        </w:rPr>
        <w:t>will</w:t>
      </w:r>
      <w:r w:rsidR="00B267BE" w:rsidRPr="00B267BE">
        <w:rPr>
          <w:rFonts w:ascii="Arial" w:hAnsi="Arial" w:cs="Arial"/>
          <w:color w:val="000000" w:themeColor="text1"/>
          <w:sz w:val="22"/>
          <w:szCs w:val="22"/>
        </w:rPr>
        <w:t xml:space="preserve"> also significantly impact returns. </w:t>
      </w:r>
    </w:p>
    <w:p w14:paraId="05E05890" w14:textId="0F7A08BC" w:rsidR="001257CB" w:rsidRDefault="001257CB" w:rsidP="00B267BE">
      <w:pPr>
        <w:pStyle w:val="NormalWeb"/>
        <w:rPr>
          <w:rFonts w:ascii="ArialMT" w:hAnsi="ArialMT"/>
          <w:color w:val="FF0000"/>
          <w:sz w:val="22"/>
          <w:szCs w:val="22"/>
        </w:rPr>
      </w:pPr>
    </w:p>
    <w:p w14:paraId="1707D592" w14:textId="4B5B6ADE" w:rsidR="008C7A24" w:rsidRDefault="007F16DD" w:rsidP="00B267BE">
      <w:pPr>
        <w:pStyle w:val="NormalWeb"/>
        <w:rPr>
          <w:rFonts w:ascii="Arial" w:hAnsi="Arial" w:cs="Arial"/>
          <w:b/>
          <w:bCs/>
          <w:color w:val="000000" w:themeColor="text1"/>
          <w:sz w:val="22"/>
          <w:szCs w:val="22"/>
        </w:rPr>
      </w:pPr>
      <w:r>
        <w:rPr>
          <w:rFonts w:ascii="Arial" w:hAnsi="Arial" w:cs="Arial"/>
          <w:b/>
          <w:bCs/>
          <w:color w:val="000000" w:themeColor="text1"/>
          <w:sz w:val="22"/>
          <w:szCs w:val="22"/>
        </w:rPr>
        <w:t>PART C</w:t>
      </w:r>
    </w:p>
    <w:p w14:paraId="5D2512F9" w14:textId="5B3E826E" w:rsidR="000A22EF" w:rsidRDefault="001068F3" w:rsidP="00F73ABF">
      <w:pPr>
        <w:pStyle w:val="Heading1"/>
      </w:pPr>
      <w:bookmarkStart w:id="13" w:name="_Toc174983274"/>
      <w:r>
        <w:t xml:space="preserve">Tesco’s </w:t>
      </w:r>
      <w:r w:rsidR="004E17D4" w:rsidRPr="004E17D4">
        <w:t xml:space="preserve">Investment Activities </w:t>
      </w:r>
      <w:r w:rsidR="00F73ABF">
        <w:t>Review</w:t>
      </w:r>
      <w:bookmarkEnd w:id="13"/>
      <w:r w:rsidR="00F73ABF">
        <w:t xml:space="preserve"> </w:t>
      </w:r>
    </w:p>
    <w:p w14:paraId="0986CAF4" w14:textId="2EDF224F" w:rsidR="00731A30" w:rsidRDefault="000938F5" w:rsidP="00B267BE">
      <w:pPr>
        <w:pStyle w:val="NormalWeb"/>
        <w:spacing w:line="360" w:lineRule="auto"/>
        <w:rPr>
          <w:rFonts w:ascii="Arial" w:hAnsi="Arial" w:cs="Arial"/>
          <w:color w:val="000000" w:themeColor="text1"/>
          <w:sz w:val="22"/>
          <w:szCs w:val="22"/>
        </w:rPr>
      </w:pPr>
      <w:r w:rsidRPr="000938F5">
        <w:rPr>
          <w:rFonts w:ascii="Arial" w:hAnsi="Arial" w:cs="Arial"/>
          <w:color w:val="000000" w:themeColor="text1"/>
          <w:sz w:val="22"/>
          <w:szCs w:val="22"/>
        </w:rPr>
        <w:t>Over the course of the previous five years, Tesco has made significant changes to its dividend policy and investment strategy in response to the opportunities and challenges that come with an evolving market environment</w:t>
      </w:r>
      <w:r w:rsidR="00D05E95">
        <w:rPr>
          <w:rFonts w:ascii="Arial" w:hAnsi="Arial" w:cs="Arial"/>
          <w:color w:val="000000" w:themeColor="text1"/>
          <w:sz w:val="22"/>
          <w:szCs w:val="22"/>
        </w:rPr>
        <w:t xml:space="preserve"> (TescoPlc.com 2024),</w:t>
      </w:r>
      <w:r w:rsidRPr="000938F5">
        <w:rPr>
          <w:rFonts w:ascii="Arial" w:hAnsi="Arial" w:cs="Arial"/>
          <w:color w:val="000000" w:themeColor="text1"/>
          <w:sz w:val="22"/>
          <w:szCs w:val="22"/>
        </w:rPr>
        <w:t xml:space="preserve"> which includes the effects of the COVID-19 </w:t>
      </w:r>
      <w:r>
        <w:rPr>
          <w:rFonts w:ascii="Arial" w:hAnsi="Arial" w:cs="Arial"/>
          <w:color w:val="000000" w:themeColor="text1"/>
          <w:sz w:val="22"/>
          <w:szCs w:val="22"/>
        </w:rPr>
        <w:t>pandemic</w:t>
      </w:r>
      <w:r w:rsidRPr="000938F5">
        <w:rPr>
          <w:rFonts w:ascii="Arial" w:hAnsi="Arial" w:cs="Arial"/>
          <w:color w:val="000000" w:themeColor="text1"/>
          <w:sz w:val="22"/>
          <w:szCs w:val="22"/>
        </w:rPr>
        <w:t xml:space="preserve"> and shifting consumer behaviour.</w:t>
      </w:r>
      <w:r>
        <w:rPr>
          <w:rFonts w:ascii="Arial" w:hAnsi="Arial" w:cs="Arial"/>
          <w:color w:val="000000" w:themeColor="text1"/>
          <w:sz w:val="22"/>
          <w:szCs w:val="22"/>
        </w:rPr>
        <w:t xml:space="preserve"> </w:t>
      </w:r>
    </w:p>
    <w:p w14:paraId="76E020A7" w14:textId="77777777" w:rsidR="004F6A02" w:rsidRDefault="000938F5" w:rsidP="004F6A02">
      <w:pPr>
        <w:pStyle w:val="NormalWeb"/>
        <w:spacing w:line="360" w:lineRule="auto"/>
        <w:rPr>
          <w:rFonts w:ascii="Arial" w:hAnsi="Arial" w:cs="Arial"/>
          <w:color w:val="000000" w:themeColor="text1"/>
          <w:sz w:val="22"/>
          <w:szCs w:val="22"/>
        </w:rPr>
      </w:pPr>
      <w:r w:rsidRPr="000938F5">
        <w:rPr>
          <w:rFonts w:ascii="Arial" w:hAnsi="Arial" w:cs="Arial"/>
          <w:color w:val="000000" w:themeColor="text1"/>
          <w:sz w:val="22"/>
          <w:szCs w:val="22"/>
        </w:rPr>
        <w:t>Tesco's focus on purchases and selling has been one of its main investments in recent years.</w:t>
      </w:r>
      <w:r>
        <w:rPr>
          <w:rFonts w:ascii="Arial" w:hAnsi="Arial" w:cs="Arial"/>
          <w:color w:val="000000" w:themeColor="text1"/>
          <w:sz w:val="22"/>
          <w:szCs w:val="22"/>
        </w:rPr>
        <w:t xml:space="preserve"> </w:t>
      </w:r>
      <w:r w:rsidRPr="000938F5">
        <w:rPr>
          <w:rFonts w:ascii="Arial" w:hAnsi="Arial" w:cs="Arial"/>
          <w:color w:val="000000" w:themeColor="text1"/>
          <w:sz w:val="22"/>
          <w:szCs w:val="22"/>
        </w:rPr>
        <w:t>In 2019, Tesco made headlines with the sale of its operations in Thailand and Malaysia for £8.2 billion</w:t>
      </w:r>
      <w:r>
        <w:rPr>
          <w:rFonts w:ascii="Arial" w:hAnsi="Arial" w:cs="Arial"/>
          <w:color w:val="000000" w:themeColor="text1"/>
          <w:sz w:val="22"/>
          <w:szCs w:val="22"/>
        </w:rPr>
        <w:t xml:space="preserve"> (BBC.co.uk 2020). </w:t>
      </w:r>
      <w:r w:rsidRPr="000938F5">
        <w:rPr>
          <w:rFonts w:ascii="Arial" w:hAnsi="Arial" w:cs="Arial"/>
          <w:color w:val="000000" w:themeColor="text1"/>
          <w:sz w:val="22"/>
          <w:szCs w:val="22"/>
        </w:rPr>
        <w:t xml:space="preserve">Tesco's overall plan included this exit </w:t>
      </w:r>
      <w:proofErr w:type="gramStart"/>
      <w:r w:rsidRPr="000938F5">
        <w:rPr>
          <w:rFonts w:ascii="Arial" w:hAnsi="Arial" w:cs="Arial"/>
          <w:color w:val="000000" w:themeColor="text1"/>
          <w:sz w:val="22"/>
          <w:szCs w:val="22"/>
        </w:rPr>
        <w:t>as a way to</w:t>
      </w:r>
      <w:proofErr w:type="gramEnd"/>
      <w:r w:rsidRPr="000938F5">
        <w:rPr>
          <w:rFonts w:ascii="Arial" w:hAnsi="Arial" w:cs="Arial"/>
          <w:color w:val="000000" w:themeColor="text1"/>
          <w:sz w:val="22"/>
          <w:szCs w:val="22"/>
        </w:rPr>
        <w:t xml:space="preserve"> streamline business processes and concentrate on its main markets, especially in the UK and Europe</w:t>
      </w:r>
      <w:r>
        <w:rPr>
          <w:rFonts w:ascii="Arial" w:hAnsi="Arial" w:cs="Arial"/>
          <w:color w:val="000000" w:themeColor="text1"/>
          <w:sz w:val="22"/>
          <w:szCs w:val="22"/>
        </w:rPr>
        <w:t xml:space="preserve"> (Tescopcl.com 2020)</w:t>
      </w:r>
      <w:r w:rsidRPr="000938F5">
        <w:rPr>
          <w:rFonts w:ascii="Arial" w:hAnsi="Arial" w:cs="Arial"/>
          <w:color w:val="000000" w:themeColor="text1"/>
          <w:sz w:val="22"/>
          <w:szCs w:val="22"/>
        </w:rPr>
        <w:t xml:space="preserve"> With the large funds Tesco received from the sale, it was able to pay down debt and give special dividends to shareholders</w:t>
      </w:r>
      <w:r>
        <w:rPr>
          <w:rFonts w:ascii="Arial" w:hAnsi="Arial" w:cs="Arial"/>
          <w:color w:val="000000" w:themeColor="text1"/>
          <w:sz w:val="22"/>
          <w:szCs w:val="22"/>
        </w:rPr>
        <w:t xml:space="preserve"> (</w:t>
      </w:r>
      <w:r w:rsidR="00036BE3">
        <w:rPr>
          <w:rFonts w:ascii="Arial" w:hAnsi="Arial" w:cs="Arial"/>
          <w:color w:val="000000" w:themeColor="text1"/>
          <w:sz w:val="22"/>
          <w:szCs w:val="22"/>
        </w:rPr>
        <w:t xml:space="preserve">Choong, J. 2023). </w:t>
      </w:r>
    </w:p>
    <w:p w14:paraId="46F4F35E" w14:textId="56F83AA8" w:rsidR="004F6A02" w:rsidRDefault="00D75BB6" w:rsidP="00717194">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Secondly,</w:t>
      </w:r>
      <w:r w:rsidRPr="00A51C5B">
        <w:rPr>
          <w:rFonts w:ascii="Arial" w:hAnsi="Arial" w:cs="Arial"/>
          <w:color w:val="000000" w:themeColor="text1"/>
          <w:sz w:val="22"/>
          <w:szCs w:val="22"/>
        </w:rPr>
        <w:t xml:space="preserve"> Tesco</w:t>
      </w:r>
      <w:r w:rsidR="00A51C5B" w:rsidRPr="00A51C5B">
        <w:rPr>
          <w:rFonts w:ascii="Arial" w:hAnsi="Arial" w:cs="Arial"/>
          <w:color w:val="000000" w:themeColor="text1"/>
          <w:sz w:val="22"/>
          <w:szCs w:val="22"/>
        </w:rPr>
        <w:t xml:space="preserve"> has made considerable investments in the digital transformation space. Tesco has made significant investments in its online infrastructure as a result of its recognition of the increasing importance of e-commerce, which has been </w:t>
      </w:r>
      <w:proofErr w:type="gramStart"/>
      <w:r w:rsidR="00A51C5B" w:rsidRPr="00A51C5B">
        <w:rPr>
          <w:rFonts w:ascii="Arial" w:hAnsi="Arial" w:cs="Arial"/>
          <w:color w:val="000000" w:themeColor="text1"/>
          <w:sz w:val="22"/>
          <w:szCs w:val="22"/>
        </w:rPr>
        <w:t>worsened  by</w:t>
      </w:r>
      <w:proofErr w:type="gramEnd"/>
      <w:r w:rsidR="00A51C5B" w:rsidRPr="00A51C5B">
        <w:rPr>
          <w:rFonts w:ascii="Arial" w:hAnsi="Arial" w:cs="Arial"/>
          <w:color w:val="000000" w:themeColor="text1"/>
          <w:sz w:val="22"/>
          <w:szCs w:val="22"/>
        </w:rPr>
        <w:t xml:space="preserve"> the COVID-19 epidemic. Tesco increased its online order fulfilment capacity between 2020 and 2021, peaking at 1.5 million orders per week</w:t>
      </w:r>
      <w:r w:rsidR="004F6A02">
        <w:rPr>
          <w:rFonts w:ascii="Arial" w:hAnsi="Arial" w:cs="Arial"/>
          <w:color w:val="000000" w:themeColor="text1"/>
          <w:sz w:val="22"/>
          <w:szCs w:val="22"/>
        </w:rPr>
        <w:t xml:space="preserve"> (Tescopcl.com 2022) </w:t>
      </w:r>
      <w:r w:rsidR="00D05E95">
        <w:rPr>
          <w:rFonts w:ascii="Arial" w:hAnsi="Arial" w:cs="Arial"/>
          <w:color w:val="000000" w:themeColor="text1"/>
          <w:sz w:val="22"/>
          <w:szCs w:val="22"/>
        </w:rPr>
        <w:t>T</w:t>
      </w:r>
      <w:r w:rsidR="00A51C5B" w:rsidRPr="00A51C5B">
        <w:rPr>
          <w:rFonts w:ascii="Arial" w:hAnsi="Arial" w:cs="Arial"/>
          <w:color w:val="000000" w:themeColor="text1"/>
          <w:sz w:val="22"/>
          <w:szCs w:val="22"/>
        </w:rPr>
        <w:t>o handle online grocery purchases more quickly and effectively, automated warehouses—also referred to as "urban fulfilment cent</w:t>
      </w:r>
      <w:r w:rsidR="00A51C5B">
        <w:rPr>
          <w:rFonts w:ascii="Arial" w:hAnsi="Arial" w:cs="Arial"/>
          <w:color w:val="000000" w:themeColor="text1"/>
          <w:sz w:val="22"/>
          <w:szCs w:val="22"/>
        </w:rPr>
        <w:t>re</w:t>
      </w:r>
      <w:r w:rsidR="00A51C5B" w:rsidRPr="00A51C5B">
        <w:rPr>
          <w:rFonts w:ascii="Arial" w:hAnsi="Arial" w:cs="Arial"/>
          <w:color w:val="000000" w:themeColor="text1"/>
          <w:sz w:val="22"/>
          <w:szCs w:val="22"/>
        </w:rPr>
        <w:t>s"—were introduced as part of this growth</w:t>
      </w:r>
      <w:r w:rsidR="00D05E95">
        <w:rPr>
          <w:rFonts w:ascii="Arial" w:hAnsi="Arial" w:cs="Arial"/>
          <w:color w:val="000000" w:themeColor="text1"/>
          <w:sz w:val="22"/>
          <w:szCs w:val="22"/>
        </w:rPr>
        <w:t xml:space="preserve"> (</w:t>
      </w:r>
      <w:r w:rsidR="00D05E95">
        <w:rPr>
          <w:rFonts w:ascii="Arial" w:hAnsi="Arial" w:cs="Arial"/>
          <w:color w:val="000000" w:themeColor="text1"/>
          <w:sz w:val="22"/>
          <w:szCs w:val="22"/>
        </w:rPr>
        <w:t>Tescopcl.com 2022)</w:t>
      </w:r>
      <w:r w:rsidR="00D05E95">
        <w:rPr>
          <w:rFonts w:ascii="Arial" w:hAnsi="Arial" w:cs="Arial"/>
          <w:color w:val="000000" w:themeColor="text1"/>
          <w:sz w:val="22"/>
          <w:szCs w:val="22"/>
        </w:rPr>
        <w:t>.</w:t>
      </w:r>
    </w:p>
    <w:p w14:paraId="4D9CC02D" w14:textId="05728B95" w:rsidR="004F6A02" w:rsidRDefault="001068F3" w:rsidP="004F6A02">
      <w:pPr>
        <w:pStyle w:val="NormalWeb"/>
        <w:spacing w:line="360" w:lineRule="auto"/>
        <w:rPr>
          <w:rFonts w:ascii="Arial" w:hAnsi="Arial" w:cs="Arial"/>
          <w:color w:val="000000" w:themeColor="text1"/>
          <w:sz w:val="22"/>
          <w:szCs w:val="22"/>
        </w:rPr>
      </w:pPr>
      <w:r w:rsidRPr="001068F3">
        <w:rPr>
          <w:rFonts w:ascii="Arial" w:hAnsi="Arial" w:cs="Arial"/>
          <w:color w:val="000000" w:themeColor="text1"/>
          <w:sz w:val="22"/>
          <w:szCs w:val="22"/>
        </w:rPr>
        <w:t>Tesco has also been investing in sustainability, aligning its operations with the broader global movement towards environmental responsibility. In 2021, Tesco committed to reaching net-zero carbon emissions by 2035</w:t>
      </w:r>
      <w:r w:rsidR="00D05E95">
        <w:rPr>
          <w:rFonts w:ascii="Arial" w:hAnsi="Arial" w:cs="Arial"/>
          <w:color w:val="000000" w:themeColor="text1"/>
          <w:sz w:val="22"/>
          <w:szCs w:val="22"/>
        </w:rPr>
        <w:t xml:space="preserve"> </w:t>
      </w:r>
      <w:r w:rsidR="00D05E95">
        <w:rPr>
          <w:rFonts w:ascii="Arial" w:hAnsi="Arial" w:cs="Arial"/>
          <w:color w:val="000000" w:themeColor="text1"/>
          <w:sz w:val="22"/>
          <w:szCs w:val="22"/>
        </w:rPr>
        <w:t>(Tescopcl.com 2022)</w:t>
      </w:r>
      <w:r w:rsidR="00D05E95">
        <w:rPr>
          <w:rFonts w:ascii="Arial" w:hAnsi="Arial" w:cs="Arial"/>
          <w:color w:val="000000" w:themeColor="text1"/>
          <w:sz w:val="22"/>
          <w:szCs w:val="22"/>
        </w:rPr>
        <w:t>,</w:t>
      </w:r>
      <w:r w:rsidRPr="001068F3">
        <w:rPr>
          <w:rFonts w:ascii="Arial" w:hAnsi="Arial" w:cs="Arial"/>
          <w:color w:val="000000" w:themeColor="text1"/>
          <w:sz w:val="22"/>
          <w:szCs w:val="22"/>
        </w:rPr>
        <w:t xml:space="preserve"> fifteen years ahead of the UK government’s target. To support this goal, Tesco invested in renewable energy </w:t>
      </w:r>
      <w:r w:rsidRPr="001068F3">
        <w:rPr>
          <w:rFonts w:ascii="Arial" w:hAnsi="Arial" w:cs="Arial"/>
          <w:color w:val="000000" w:themeColor="text1"/>
          <w:sz w:val="22"/>
          <w:szCs w:val="22"/>
        </w:rPr>
        <w:lastRenderedPageBreak/>
        <w:t>projects, including the installation of solar panels across its stores and distribution cent</w:t>
      </w:r>
      <w:r>
        <w:rPr>
          <w:rFonts w:ascii="Arial" w:hAnsi="Arial" w:cs="Arial"/>
          <w:color w:val="000000" w:themeColor="text1"/>
          <w:sz w:val="22"/>
          <w:szCs w:val="22"/>
        </w:rPr>
        <w:t>re</w:t>
      </w:r>
      <w:r w:rsidRPr="001068F3">
        <w:rPr>
          <w:rFonts w:ascii="Arial" w:hAnsi="Arial" w:cs="Arial"/>
          <w:color w:val="000000" w:themeColor="text1"/>
          <w:sz w:val="22"/>
          <w:szCs w:val="22"/>
        </w:rPr>
        <w:t>s</w:t>
      </w:r>
      <w:r w:rsidR="000E3E7B">
        <w:rPr>
          <w:rFonts w:ascii="Arial" w:hAnsi="Arial" w:cs="Arial"/>
          <w:color w:val="000000" w:themeColor="text1"/>
          <w:sz w:val="22"/>
          <w:szCs w:val="22"/>
        </w:rPr>
        <w:t xml:space="preserve"> </w:t>
      </w:r>
      <w:r w:rsidR="000E3E7B">
        <w:rPr>
          <w:rFonts w:ascii="Arial" w:hAnsi="Arial" w:cs="Arial"/>
          <w:color w:val="000000" w:themeColor="text1"/>
          <w:sz w:val="22"/>
          <w:szCs w:val="22"/>
        </w:rPr>
        <w:t>(Tescopcl.com 2022).</w:t>
      </w:r>
    </w:p>
    <w:p w14:paraId="4643FC33" w14:textId="7793CE0C" w:rsidR="004F6A02" w:rsidRDefault="001068F3" w:rsidP="004F6A02">
      <w:pPr>
        <w:pStyle w:val="NormalWeb"/>
        <w:spacing w:line="360" w:lineRule="auto"/>
        <w:rPr>
          <w:rFonts w:ascii="Arial" w:hAnsi="Arial" w:cs="Arial"/>
          <w:color w:val="000000" w:themeColor="text1"/>
          <w:sz w:val="22"/>
          <w:szCs w:val="22"/>
        </w:rPr>
      </w:pPr>
      <w:r w:rsidRPr="001068F3">
        <w:rPr>
          <w:rFonts w:ascii="Arial" w:hAnsi="Arial" w:cs="Arial"/>
          <w:color w:val="000000" w:themeColor="text1"/>
          <w:sz w:val="22"/>
          <w:szCs w:val="22"/>
        </w:rPr>
        <w:t>Tesco has also focused on expanding its convenience store format, particularly through its Tesco Express stores. This investment aligns with changing consumer preferences for quick and easy shopping experiences, particularly in urban areas. The company has strategically located these stores in high-traffic areas to capture the growing demand for convenience.</w:t>
      </w:r>
      <w:r>
        <w:rPr>
          <w:rFonts w:ascii="Arial" w:hAnsi="Arial" w:cs="Arial"/>
          <w:color w:val="000000" w:themeColor="text1"/>
          <w:sz w:val="22"/>
          <w:szCs w:val="22"/>
        </w:rPr>
        <w:t xml:space="preserve"> </w:t>
      </w:r>
      <w:r w:rsidRPr="001068F3">
        <w:rPr>
          <w:rFonts w:ascii="Arial" w:hAnsi="Arial" w:cs="Arial"/>
          <w:color w:val="000000" w:themeColor="text1"/>
          <w:sz w:val="22"/>
          <w:szCs w:val="22"/>
        </w:rPr>
        <w:t>In addition to physical store expansion, Tesco has invested in enhancing its click-and-collect services</w:t>
      </w:r>
      <w:r w:rsidR="000E3E7B">
        <w:rPr>
          <w:rFonts w:ascii="Arial" w:hAnsi="Arial" w:cs="Arial"/>
          <w:color w:val="000000" w:themeColor="text1"/>
          <w:sz w:val="22"/>
          <w:szCs w:val="22"/>
        </w:rPr>
        <w:t xml:space="preserve"> </w:t>
      </w:r>
      <w:r w:rsidR="000E3E7B">
        <w:rPr>
          <w:rFonts w:ascii="Arial" w:hAnsi="Arial" w:cs="Arial"/>
          <w:color w:val="000000" w:themeColor="text1"/>
          <w:sz w:val="22"/>
          <w:szCs w:val="22"/>
        </w:rPr>
        <w:t>(Tescopcl.com 2022)</w:t>
      </w:r>
      <w:r w:rsidR="000E3E7B">
        <w:rPr>
          <w:rFonts w:ascii="Arial" w:hAnsi="Arial" w:cs="Arial"/>
          <w:color w:val="000000" w:themeColor="text1"/>
          <w:sz w:val="22"/>
          <w:szCs w:val="22"/>
        </w:rPr>
        <w:t>,</w:t>
      </w:r>
      <w:r w:rsidRPr="001068F3">
        <w:rPr>
          <w:rFonts w:ascii="Arial" w:hAnsi="Arial" w:cs="Arial"/>
          <w:color w:val="000000" w:themeColor="text1"/>
          <w:sz w:val="22"/>
          <w:szCs w:val="22"/>
        </w:rPr>
        <w:t xml:space="preserve"> which have become increasingly popular. These services complement Tesco's online grocery operations, providing flexibility for customers and driving sales growth.</w:t>
      </w:r>
      <w:r>
        <w:rPr>
          <w:rFonts w:ascii="Arial" w:hAnsi="Arial" w:cs="Arial"/>
          <w:color w:val="000000" w:themeColor="text1"/>
          <w:sz w:val="22"/>
          <w:szCs w:val="22"/>
        </w:rPr>
        <w:t xml:space="preserve"> </w:t>
      </w:r>
    </w:p>
    <w:p w14:paraId="5E7C54FF" w14:textId="6F5B7ED6" w:rsidR="004F6A02" w:rsidRDefault="001068F3" w:rsidP="004F6A02">
      <w:pPr>
        <w:pStyle w:val="NormalWeb"/>
        <w:spacing w:line="360" w:lineRule="auto"/>
        <w:rPr>
          <w:rFonts w:ascii="Arial" w:hAnsi="Arial" w:cs="Arial"/>
          <w:color w:val="000000" w:themeColor="text1"/>
          <w:sz w:val="22"/>
          <w:szCs w:val="22"/>
        </w:rPr>
      </w:pPr>
      <w:r w:rsidRPr="001068F3">
        <w:rPr>
          <w:rFonts w:ascii="Arial" w:hAnsi="Arial" w:cs="Arial"/>
          <w:color w:val="000000" w:themeColor="text1"/>
          <w:sz w:val="22"/>
          <w:szCs w:val="22"/>
        </w:rPr>
        <w:t>Furthermore, Tesco has invested in reducing food waste and improving its supply chain's sustainability</w:t>
      </w:r>
      <w:r w:rsidR="000E3E7B">
        <w:rPr>
          <w:rFonts w:ascii="Arial" w:hAnsi="Arial" w:cs="Arial"/>
          <w:color w:val="000000" w:themeColor="text1"/>
          <w:sz w:val="22"/>
          <w:szCs w:val="22"/>
        </w:rPr>
        <w:t xml:space="preserve"> </w:t>
      </w:r>
      <w:r w:rsidR="000E3E7B">
        <w:rPr>
          <w:rFonts w:ascii="Arial" w:hAnsi="Arial" w:cs="Arial"/>
          <w:color w:val="000000" w:themeColor="text1"/>
          <w:sz w:val="22"/>
          <w:szCs w:val="22"/>
        </w:rPr>
        <w:t>(Tescopcl.com 202</w:t>
      </w:r>
      <w:r w:rsidR="000E3E7B">
        <w:rPr>
          <w:rFonts w:ascii="Arial" w:hAnsi="Arial" w:cs="Arial"/>
          <w:color w:val="000000" w:themeColor="text1"/>
          <w:sz w:val="22"/>
          <w:szCs w:val="22"/>
        </w:rPr>
        <w:t>3</w:t>
      </w:r>
      <w:r w:rsidR="000E3E7B">
        <w:rPr>
          <w:rFonts w:ascii="Arial" w:hAnsi="Arial" w:cs="Arial"/>
          <w:color w:val="000000" w:themeColor="text1"/>
          <w:sz w:val="22"/>
          <w:szCs w:val="22"/>
        </w:rPr>
        <w:t>).</w:t>
      </w:r>
      <w:r w:rsidRPr="001068F3">
        <w:rPr>
          <w:rFonts w:ascii="Arial" w:hAnsi="Arial" w:cs="Arial"/>
          <w:color w:val="000000" w:themeColor="text1"/>
          <w:sz w:val="22"/>
          <w:szCs w:val="22"/>
        </w:rPr>
        <w:t xml:space="preserve"> These investments not only improve Tesco's environmental footprint but also resonate with increasingly eco-conscious consumers, thus enhancing the company’s brand reputation.</w:t>
      </w:r>
      <w:r w:rsidR="004F6A02">
        <w:rPr>
          <w:rFonts w:ascii="Arial" w:hAnsi="Arial" w:cs="Arial"/>
          <w:color w:val="000000" w:themeColor="text1"/>
          <w:sz w:val="22"/>
          <w:szCs w:val="22"/>
        </w:rPr>
        <w:t xml:space="preserve"> </w:t>
      </w:r>
    </w:p>
    <w:p w14:paraId="55FACA92" w14:textId="7FA247FD" w:rsidR="004F6A02" w:rsidRPr="004F6A02" w:rsidRDefault="004F6A02" w:rsidP="004F6A02">
      <w:pPr>
        <w:pStyle w:val="NormalWeb"/>
        <w:spacing w:line="360" w:lineRule="auto"/>
        <w:rPr>
          <w:rFonts w:ascii="Arial" w:hAnsi="Arial" w:cs="Arial"/>
          <w:color w:val="000000" w:themeColor="text1"/>
          <w:sz w:val="22"/>
          <w:szCs w:val="22"/>
        </w:rPr>
      </w:pPr>
      <w:r w:rsidRPr="004F6A02">
        <w:rPr>
          <w:rFonts w:ascii="Arial" w:hAnsi="Arial" w:cs="Arial"/>
          <w:color w:val="000000" w:themeColor="text1"/>
          <w:sz w:val="22"/>
          <w:szCs w:val="22"/>
        </w:rPr>
        <w:t xml:space="preserve">Tesco has </w:t>
      </w:r>
      <w:r>
        <w:rPr>
          <w:rFonts w:ascii="Arial" w:hAnsi="Arial" w:cs="Arial"/>
          <w:color w:val="000000" w:themeColor="text1"/>
          <w:sz w:val="22"/>
          <w:szCs w:val="22"/>
        </w:rPr>
        <w:t xml:space="preserve">also </w:t>
      </w:r>
      <w:r w:rsidRPr="004F6A02">
        <w:rPr>
          <w:rFonts w:ascii="Arial" w:hAnsi="Arial" w:cs="Arial"/>
          <w:color w:val="000000" w:themeColor="text1"/>
          <w:sz w:val="22"/>
          <w:szCs w:val="22"/>
        </w:rPr>
        <w:t>been actively investing in the health and wellness sector, recognizing the growing consumer demand for healthier options. The company has expanded its range of organic, plant-based, and health-focused products</w:t>
      </w:r>
      <w:r w:rsidR="000E3E7B">
        <w:rPr>
          <w:rFonts w:ascii="Arial" w:hAnsi="Arial" w:cs="Arial"/>
          <w:color w:val="000000" w:themeColor="text1"/>
          <w:sz w:val="22"/>
          <w:szCs w:val="22"/>
        </w:rPr>
        <w:t xml:space="preserve"> </w:t>
      </w:r>
      <w:r w:rsidR="000E3E7B">
        <w:rPr>
          <w:rFonts w:ascii="Arial" w:hAnsi="Arial" w:cs="Arial"/>
          <w:color w:val="000000" w:themeColor="text1"/>
          <w:sz w:val="22"/>
          <w:szCs w:val="22"/>
        </w:rPr>
        <w:t>(Tescopcl.com 202</w:t>
      </w:r>
      <w:r w:rsidR="000E3E7B">
        <w:rPr>
          <w:rFonts w:ascii="Arial" w:hAnsi="Arial" w:cs="Arial"/>
          <w:color w:val="000000" w:themeColor="text1"/>
          <w:sz w:val="22"/>
          <w:szCs w:val="22"/>
        </w:rPr>
        <w:t>3</w:t>
      </w:r>
      <w:r w:rsidR="000E3E7B">
        <w:rPr>
          <w:rFonts w:ascii="Arial" w:hAnsi="Arial" w:cs="Arial"/>
          <w:color w:val="000000" w:themeColor="text1"/>
          <w:sz w:val="22"/>
          <w:szCs w:val="22"/>
        </w:rPr>
        <w:t>).</w:t>
      </w:r>
      <w:r w:rsidRPr="004F6A02">
        <w:rPr>
          <w:rFonts w:ascii="Arial" w:hAnsi="Arial" w:cs="Arial"/>
          <w:color w:val="000000" w:themeColor="text1"/>
          <w:sz w:val="22"/>
          <w:szCs w:val="22"/>
        </w:rPr>
        <w:t xml:space="preserve"> Moreover, Tesco has partnered with various health-focused brands to diversify its product offerings.</w:t>
      </w:r>
    </w:p>
    <w:p w14:paraId="689ADD41" w14:textId="77777777" w:rsidR="00725F9D" w:rsidRDefault="004F6A02" w:rsidP="004F6A02">
      <w:pPr>
        <w:pStyle w:val="NormalWeb"/>
        <w:spacing w:line="360" w:lineRule="auto"/>
        <w:rPr>
          <w:rFonts w:ascii="Arial" w:hAnsi="Arial" w:cs="Arial"/>
          <w:color w:val="000000" w:themeColor="text1"/>
          <w:sz w:val="22"/>
          <w:szCs w:val="22"/>
        </w:rPr>
      </w:pPr>
      <w:r w:rsidRPr="004F6A02">
        <w:rPr>
          <w:rFonts w:ascii="Arial" w:hAnsi="Arial" w:cs="Arial"/>
          <w:color w:val="000000" w:themeColor="text1"/>
          <w:sz w:val="22"/>
          <w:szCs w:val="22"/>
        </w:rPr>
        <w:t>These investments have helped Tesco tap into</w:t>
      </w:r>
      <w:r w:rsidR="000E3E7B">
        <w:rPr>
          <w:rFonts w:ascii="Arial" w:hAnsi="Arial" w:cs="Arial"/>
          <w:color w:val="000000" w:themeColor="text1"/>
          <w:sz w:val="22"/>
          <w:szCs w:val="22"/>
        </w:rPr>
        <w:t xml:space="preserve"> </w:t>
      </w:r>
      <w:r w:rsidR="00725F9D">
        <w:rPr>
          <w:rFonts w:ascii="Arial" w:hAnsi="Arial" w:cs="Arial"/>
          <w:color w:val="000000" w:themeColor="text1"/>
          <w:sz w:val="22"/>
          <w:szCs w:val="22"/>
        </w:rPr>
        <w:t xml:space="preserve">the </w:t>
      </w:r>
      <w:r w:rsidRPr="004F6A02">
        <w:rPr>
          <w:rFonts w:ascii="Arial" w:hAnsi="Arial" w:cs="Arial"/>
          <w:color w:val="000000" w:themeColor="text1"/>
          <w:sz w:val="22"/>
          <w:szCs w:val="22"/>
        </w:rPr>
        <w:t>growing market segment, further differentiating its product offerings from competitors and attracting health-conscious consumers.</w:t>
      </w:r>
      <w:r w:rsidR="00B61080">
        <w:rPr>
          <w:rFonts w:ascii="Arial" w:hAnsi="Arial" w:cs="Arial"/>
          <w:color w:val="000000" w:themeColor="text1"/>
          <w:sz w:val="22"/>
          <w:szCs w:val="22"/>
        </w:rPr>
        <w:t xml:space="preserve"> </w:t>
      </w:r>
      <w:r w:rsidRPr="004F6A02">
        <w:rPr>
          <w:rFonts w:ascii="Arial" w:hAnsi="Arial" w:cs="Arial"/>
          <w:color w:val="000000" w:themeColor="text1"/>
          <w:sz w:val="22"/>
          <w:szCs w:val="22"/>
        </w:rPr>
        <w:t>In conclusion</w:t>
      </w:r>
      <w:r w:rsidR="00B61080">
        <w:rPr>
          <w:rFonts w:ascii="Arial" w:hAnsi="Arial" w:cs="Arial"/>
          <w:color w:val="000000" w:themeColor="text1"/>
          <w:sz w:val="22"/>
          <w:szCs w:val="22"/>
        </w:rPr>
        <w:t>,</w:t>
      </w:r>
      <w:r w:rsidRPr="004F6A02">
        <w:rPr>
          <w:rFonts w:ascii="Arial" w:hAnsi="Arial" w:cs="Arial"/>
          <w:color w:val="000000" w:themeColor="text1"/>
          <w:sz w:val="22"/>
          <w:szCs w:val="22"/>
        </w:rPr>
        <w:t xml:space="preserve"> Tesco's major investment activities over the past five years reflect a strategic shift towards digitali</w:t>
      </w:r>
      <w:r>
        <w:rPr>
          <w:rFonts w:ascii="Arial" w:hAnsi="Arial" w:cs="Arial"/>
          <w:color w:val="000000" w:themeColor="text1"/>
          <w:sz w:val="22"/>
          <w:szCs w:val="22"/>
        </w:rPr>
        <w:t>s</w:t>
      </w:r>
      <w:r w:rsidRPr="004F6A02">
        <w:rPr>
          <w:rFonts w:ascii="Arial" w:hAnsi="Arial" w:cs="Arial"/>
          <w:color w:val="000000" w:themeColor="text1"/>
          <w:sz w:val="22"/>
          <w:szCs w:val="22"/>
        </w:rPr>
        <w:t>ation, sustainability, and core market</w:t>
      </w:r>
      <w:r w:rsidR="000E3E7B" w:rsidRPr="000E3E7B">
        <w:t xml:space="preserve"> </w:t>
      </w:r>
      <w:r w:rsidR="000E3E7B" w:rsidRPr="000E3E7B">
        <w:rPr>
          <w:rFonts w:ascii="Arial" w:hAnsi="Arial" w:cs="Arial"/>
          <w:color w:val="000000" w:themeColor="text1"/>
          <w:sz w:val="22"/>
          <w:szCs w:val="22"/>
        </w:rPr>
        <w:t>combining</w:t>
      </w:r>
      <w:r w:rsidRPr="004F6A02">
        <w:rPr>
          <w:rFonts w:ascii="Arial" w:hAnsi="Arial" w:cs="Arial"/>
          <w:color w:val="000000" w:themeColor="text1"/>
          <w:sz w:val="22"/>
          <w:szCs w:val="22"/>
        </w:rPr>
        <w:t>. The company has successfully navigated the challenges posed by the pandemic by expanding its online capabilities and investing in technologies that enhance operational efficiency. Moreover, its focus on sustainability and health aligns with current consumer trends, positioning Tesco as a forward-thinking and responsible retailer.</w:t>
      </w:r>
      <w:r>
        <w:rPr>
          <w:rFonts w:ascii="Arial" w:hAnsi="Arial" w:cs="Arial"/>
          <w:color w:val="000000" w:themeColor="text1"/>
          <w:sz w:val="22"/>
          <w:szCs w:val="22"/>
        </w:rPr>
        <w:t xml:space="preserve"> </w:t>
      </w:r>
    </w:p>
    <w:p w14:paraId="3AAA5015" w14:textId="3160C60E" w:rsidR="004F6A02" w:rsidRDefault="004F6A02" w:rsidP="004F6A02">
      <w:pPr>
        <w:pStyle w:val="NormalWeb"/>
        <w:spacing w:line="360" w:lineRule="auto"/>
        <w:rPr>
          <w:rFonts w:ascii="Arial" w:hAnsi="Arial" w:cs="Arial"/>
          <w:color w:val="000000" w:themeColor="text1"/>
          <w:sz w:val="22"/>
          <w:szCs w:val="22"/>
        </w:rPr>
      </w:pPr>
      <w:r w:rsidRPr="004F6A02">
        <w:rPr>
          <w:rFonts w:ascii="Arial" w:hAnsi="Arial" w:cs="Arial"/>
          <w:color w:val="000000" w:themeColor="text1"/>
          <w:sz w:val="22"/>
          <w:szCs w:val="22"/>
        </w:rPr>
        <w:t>However, these investments are not without risks. The rapid expansion in digital and online operations requires continuous innovation and significant capital</w:t>
      </w:r>
      <w:r w:rsidR="000E3E7B">
        <w:rPr>
          <w:rFonts w:ascii="Arial" w:hAnsi="Arial" w:cs="Arial"/>
          <w:color w:val="000000" w:themeColor="text1"/>
          <w:sz w:val="22"/>
          <w:szCs w:val="22"/>
        </w:rPr>
        <w:t xml:space="preserve"> investment</w:t>
      </w:r>
      <w:r w:rsidRPr="004F6A02">
        <w:rPr>
          <w:rFonts w:ascii="Arial" w:hAnsi="Arial" w:cs="Arial"/>
          <w:color w:val="000000" w:themeColor="text1"/>
          <w:sz w:val="22"/>
          <w:szCs w:val="22"/>
        </w:rPr>
        <w:t>. Moreover, the divestment of international operations, while simplifying the business, could limit growth opportunities in emerging markets. Moving forward, Tesco will need to balance its investment in new technologies and sustainability initiatives with the need to generate consistent returns for shareholders.</w:t>
      </w:r>
    </w:p>
    <w:p w14:paraId="183FB4BB" w14:textId="416E9ECE" w:rsidR="001068F3" w:rsidRPr="001068F3" w:rsidRDefault="001068F3" w:rsidP="00F73ABF">
      <w:pPr>
        <w:pStyle w:val="Heading1"/>
      </w:pPr>
      <w:bookmarkStart w:id="14" w:name="_Toc174983275"/>
      <w:r w:rsidRPr="001068F3">
        <w:lastRenderedPageBreak/>
        <w:t>Tesco's dividend payouts</w:t>
      </w:r>
      <w:bookmarkEnd w:id="14"/>
    </w:p>
    <w:p w14:paraId="5D84CDB7" w14:textId="54B95CCF" w:rsidR="00B507C0" w:rsidRDefault="00B507C0" w:rsidP="00B507C0">
      <w:pPr>
        <w:pStyle w:val="NormalWeb"/>
        <w:spacing w:line="360" w:lineRule="auto"/>
        <w:rPr>
          <w:rFonts w:ascii="Arial" w:hAnsi="Arial" w:cs="Arial"/>
          <w:color w:val="000000" w:themeColor="text1"/>
          <w:sz w:val="22"/>
          <w:szCs w:val="22"/>
        </w:rPr>
      </w:pPr>
      <w:r w:rsidRPr="00B507C0">
        <w:rPr>
          <w:rFonts w:ascii="Arial" w:hAnsi="Arial" w:cs="Arial"/>
          <w:color w:val="000000" w:themeColor="text1"/>
          <w:sz w:val="22"/>
          <w:szCs w:val="22"/>
        </w:rPr>
        <w:t>In the past five years, Tesco's dividend payouts have shown a pattern of</w:t>
      </w:r>
      <w:r w:rsidR="001068F3">
        <w:rPr>
          <w:rFonts w:ascii="Arial" w:hAnsi="Arial" w:cs="Arial"/>
          <w:color w:val="000000" w:themeColor="text1"/>
          <w:sz w:val="22"/>
          <w:szCs w:val="22"/>
        </w:rPr>
        <w:t xml:space="preserve"> variation</w:t>
      </w:r>
      <w:r w:rsidRPr="00B507C0">
        <w:rPr>
          <w:rFonts w:ascii="Arial" w:hAnsi="Arial" w:cs="Arial"/>
          <w:color w:val="000000" w:themeColor="text1"/>
          <w:sz w:val="22"/>
          <w:szCs w:val="22"/>
        </w:rPr>
        <w:t xml:space="preserve">, reflecting both its financial performance and the broader economic conditions. </w:t>
      </w:r>
      <w:r>
        <w:rPr>
          <w:rFonts w:ascii="Arial" w:hAnsi="Arial" w:cs="Arial"/>
          <w:color w:val="000000" w:themeColor="text1"/>
          <w:sz w:val="22"/>
          <w:szCs w:val="22"/>
        </w:rPr>
        <w:t xml:space="preserve">According to Dividentmax.com </w:t>
      </w:r>
      <w:r w:rsidRPr="00B507C0">
        <w:rPr>
          <w:rFonts w:ascii="Arial" w:hAnsi="Arial" w:cs="Arial"/>
          <w:color w:val="000000" w:themeColor="text1"/>
          <w:sz w:val="22"/>
          <w:szCs w:val="22"/>
        </w:rPr>
        <w:t>2019: Tesco paid a dividend of £0.0855 per share.</w:t>
      </w:r>
      <w:r>
        <w:rPr>
          <w:rFonts w:ascii="Arial" w:hAnsi="Arial" w:cs="Arial"/>
          <w:color w:val="000000" w:themeColor="text1"/>
          <w:sz w:val="22"/>
          <w:szCs w:val="22"/>
        </w:rPr>
        <w:t xml:space="preserve"> </w:t>
      </w:r>
      <w:r w:rsidRPr="00B507C0">
        <w:rPr>
          <w:rFonts w:ascii="Arial" w:hAnsi="Arial" w:cs="Arial"/>
          <w:color w:val="000000" w:themeColor="text1"/>
          <w:sz w:val="22"/>
          <w:szCs w:val="22"/>
        </w:rPr>
        <w:t>2020: The dividend increased to £0.1229 per share, reflecting stronger financial results.</w:t>
      </w:r>
      <w:r>
        <w:rPr>
          <w:rFonts w:ascii="Arial" w:hAnsi="Arial" w:cs="Arial"/>
          <w:color w:val="000000" w:themeColor="text1"/>
          <w:sz w:val="22"/>
          <w:szCs w:val="22"/>
        </w:rPr>
        <w:t xml:space="preserve"> </w:t>
      </w:r>
      <w:r w:rsidRPr="00B507C0">
        <w:rPr>
          <w:rFonts w:ascii="Arial" w:hAnsi="Arial" w:cs="Arial"/>
          <w:color w:val="000000" w:themeColor="text1"/>
          <w:sz w:val="22"/>
          <w:szCs w:val="22"/>
        </w:rPr>
        <w:t>2021: Tesco significantly increased its dividend to £0.6008 per share, which included a special dividend following the sale of its Asian business, showcasing a major return of capital to shareholders.</w:t>
      </w:r>
      <w:r>
        <w:rPr>
          <w:rFonts w:ascii="Arial" w:hAnsi="Arial" w:cs="Arial"/>
          <w:color w:val="000000" w:themeColor="text1"/>
          <w:sz w:val="22"/>
          <w:szCs w:val="22"/>
        </w:rPr>
        <w:t xml:space="preserve"> </w:t>
      </w:r>
      <w:r w:rsidRPr="00B507C0">
        <w:rPr>
          <w:rFonts w:ascii="Arial" w:hAnsi="Arial" w:cs="Arial"/>
          <w:color w:val="000000" w:themeColor="text1"/>
          <w:sz w:val="22"/>
          <w:szCs w:val="22"/>
        </w:rPr>
        <w:t>2022: The dividend decreased to £0.1155 per share, as the company returned to a more typical dividend level following the one-off event in 2021.</w:t>
      </w:r>
      <w:r>
        <w:rPr>
          <w:rFonts w:ascii="Arial" w:hAnsi="Arial" w:cs="Arial"/>
          <w:color w:val="000000" w:themeColor="text1"/>
          <w:sz w:val="22"/>
          <w:szCs w:val="22"/>
        </w:rPr>
        <w:t xml:space="preserve"> </w:t>
      </w:r>
      <w:r w:rsidRPr="00B507C0">
        <w:rPr>
          <w:rFonts w:ascii="Arial" w:hAnsi="Arial" w:cs="Arial"/>
          <w:color w:val="000000" w:themeColor="text1"/>
          <w:sz w:val="22"/>
          <w:szCs w:val="22"/>
        </w:rPr>
        <w:t>2023: Tesco declared a dividend of £0.1090 per share, indicating stability in its payout despite challenging economic conditions.</w:t>
      </w:r>
      <w:r>
        <w:rPr>
          <w:rFonts w:ascii="Arial" w:hAnsi="Arial" w:cs="Arial"/>
          <w:color w:val="000000" w:themeColor="text1"/>
          <w:sz w:val="22"/>
          <w:szCs w:val="22"/>
        </w:rPr>
        <w:t xml:space="preserve"> </w:t>
      </w:r>
      <w:r w:rsidRPr="00B507C0">
        <w:rPr>
          <w:rFonts w:ascii="Arial" w:hAnsi="Arial" w:cs="Arial"/>
          <w:color w:val="000000" w:themeColor="text1"/>
          <w:sz w:val="22"/>
          <w:szCs w:val="22"/>
        </w:rPr>
        <w:t>2024: So far, the dividend for the year stands at £0.0825 per share</w:t>
      </w:r>
      <w:r w:rsidR="000E3E7B">
        <w:rPr>
          <w:rFonts w:ascii="Arial" w:hAnsi="Arial" w:cs="Arial"/>
          <w:color w:val="000000" w:themeColor="text1"/>
          <w:sz w:val="22"/>
          <w:szCs w:val="22"/>
        </w:rPr>
        <w:t xml:space="preserve"> (Dividentmax.com 2024). </w:t>
      </w:r>
    </w:p>
    <w:p w14:paraId="5FA70133" w14:textId="77777777" w:rsidR="009F7894" w:rsidRPr="009F7894" w:rsidRDefault="009F7894" w:rsidP="00B507C0">
      <w:pPr>
        <w:pStyle w:val="NormalWeb"/>
        <w:spacing w:line="360" w:lineRule="auto"/>
        <w:rPr>
          <w:rFonts w:ascii="Arial" w:hAnsi="Arial" w:cs="Arial"/>
          <w:color w:val="000000"/>
          <w:sz w:val="22"/>
          <w:szCs w:val="22"/>
        </w:rPr>
      </w:pPr>
      <w:r w:rsidRPr="009F7894">
        <w:rPr>
          <w:rFonts w:ascii="Arial" w:hAnsi="Arial" w:cs="Arial"/>
          <w:color w:val="000000"/>
          <w:sz w:val="22"/>
          <w:szCs w:val="22"/>
        </w:rPr>
        <w:t>Over the past five years, Tesco has maintained a consistent approach to dividend payouts, reflecting its financial health, strategic decisions, and market conditions. A critical review of these dividends shows a company that has balanced its commitments to shareholders with the need for reinvestment in growth and debt reduction.</w:t>
      </w:r>
    </w:p>
    <w:p w14:paraId="24E5DF44" w14:textId="77777777" w:rsidR="009F7894" w:rsidRPr="009F7894" w:rsidRDefault="009F7894" w:rsidP="00F73ABF">
      <w:pPr>
        <w:pStyle w:val="Heading2"/>
      </w:pPr>
      <w:bookmarkStart w:id="15" w:name="_Toc174983276"/>
      <w:r w:rsidRPr="009F7894">
        <w:t>Dividend Payout Analysis</w:t>
      </w:r>
      <w:bookmarkEnd w:id="15"/>
    </w:p>
    <w:p w14:paraId="7FEAAA29" w14:textId="255C68CF" w:rsidR="009F7894" w:rsidRPr="009F7894" w:rsidRDefault="009F7894" w:rsidP="00B507C0">
      <w:pPr>
        <w:pStyle w:val="NormalWeb"/>
        <w:spacing w:line="360" w:lineRule="auto"/>
        <w:rPr>
          <w:rFonts w:ascii="Arial" w:hAnsi="Arial" w:cs="Arial"/>
          <w:color w:val="000000"/>
          <w:sz w:val="22"/>
          <w:szCs w:val="22"/>
        </w:rPr>
      </w:pPr>
      <w:r w:rsidRPr="009F7894">
        <w:rPr>
          <w:rFonts w:ascii="Arial" w:hAnsi="Arial" w:cs="Arial"/>
          <w:color w:val="000000"/>
          <w:sz w:val="22"/>
          <w:szCs w:val="22"/>
        </w:rPr>
        <w:t>In 2019, Tesco announced a total dividend of 5.77p per share, reflecting its robust financial performance, supported by a strategic turnaround plan focused on streamlining operations and reducing debt. This payout was a sign of confidence in the company's ability to generate steady cash flow despite the challenging retail environment.</w:t>
      </w:r>
      <w:r w:rsidR="001068F3">
        <w:rPr>
          <w:rFonts w:ascii="Arial" w:hAnsi="Arial" w:cs="Arial"/>
          <w:color w:val="000000"/>
          <w:sz w:val="22"/>
          <w:szCs w:val="22"/>
        </w:rPr>
        <w:t xml:space="preserve"> </w:t>
      </w:r>
      <w:r w:rsidRPr="009F7894">
        <w:rPr>
          <w:rFonts w:ascii="Arial" w:hAnsi="Arial" w:cs="Arial"/>
          <w:color w:val="000000"/>
          <w:sz w:val="22"/>
          <w:szCs w:val="22"/>
        </w:rPr>
        <w:t>By 2020, the dividend increased to 9.15p per share</w:t>
      </w:r>
      <w:r w:rsidR="00B61080">
        <w:rPr>
          <w:rFonts w:ascii="Arial" w:hAnsi="Arial" w:cs="Arial"/>
          <w:color w:val="000000"/>
          <w:sz w:val="22"/>
          <w:szCs w:val="22"/>
        </w:rPr>
        <w:t xml:space="preserve"> (Dividentmax.com 2024) </w:t>
      </w:r>
      <w:r w:rsidRPr="009F7894">
        <w:rPr>
          <w:rFonts w:ascii="Arial" w:hAnsi="Arial" w:cs="Arial"/>
          <w:color w:val="000000"/>
          <w:sz w:val="22"/>
          <w:szCs w:val="22"/>
        </w:rPr>
        <w:t>This increase came despite the onset of the COVID-19 pandemic, which severely impacted many businesses. Tesco's ability to raise its dividend during this period was largely due to its strategic focus on strengthening its online presence, which saw a surge in demand during lockdowns, and its ability to manage costs effectively. This year also saw the sale of its Asian businesses, which provided a significant cash inflow, further supporting the dividend increase</w:t>
      </w:r>
      <w:r w:rsidR="000E3E7B">
        <w:rPr>
          <w:rFonts w:ascii="Arial" w:hAnsi="Arial" w:cs="Arial"/>
          <w:color w:val="000000"/>
          <w:sz w:val="22"/>
          <w:szCs w:val="22"/>
        </w:rPr>
        <w:t xml:space="preserve"> (TescoPCL.com).</w:t>
      </w:r>
      <w:r w:rsidR="001068F3">
        <w:rPr>
          <w:rFonts w:ascii="Arial" w:hAnsi="Arial" w:cs="Arial"/>
          <w:color w:val="000000"/>
          <w:sz w:val="22"/>
          <w:szCs w:val="22"/>
        </w:rPr>
        <w:t xml:space="preserve"> </w:t>
      </w:r>
      <w:r w:rsidRPr="009F7894">
        <w:rPr>
          <w:rFonts w:ascii="Arial" w:hAnsi="Arial" w:cs="Arial"/>
          <w:color w:val="000000"/>
          <w:sz w:val="22"/>
          <w:szCs w:val="22"/>
        </w:rPr>
        <w:t>In 2021, the dividend was maintained at 9.15p per share</w:t>
      </w:r>
      <w:r w:rsidR="000E3E7B">
        <w:rPr>
          <w:rFonts w:ascii="Arial" w:hAnsi="Arial" w:cs="Arial"/>
          <w:color w:val="000000"/>
          <w:sz w:val="22"/>
          <w:szCs w:val="22"/>
        </w:rPr>
        <w:t xml:space="preserve"> (</w:t>
      </w:r>
      <w:r w:rsidR="000E3E7B">
        <w:rPr>
          <w:rFonts w:ascii="Arial" w:hAnsi="Arial" w:cs="Arial"/>
          <w:color w:val="000000"/>
          <w:sz w:val="22"/>
          <w:szCs w:val="22"/>
        </w:rPr>
        <w:t>Dividentmax.com 202</w:t>
      </w:r>
      <w:r w:rsidR="000E3E7B">
        <w:rPr>
          <w:rFonts w:ascii="Arial" w:hAnsi="Arial" w:cs="Arial"/>
          <w:color w:val="000000"/>
          <w:sz w:val="22"/>
          <w:szCs w:val="22"/>
        </w:rPr>
        <w:t>1</w:t>
      </w:r>
      <w:r w:rsidR="000E3E7B">
        <w:rPr>
          <w:rFonts w:ascii="Arial" w:hAnsi="Arial" w:cs="Arial"/>
          <w:color w:val="000000"/>
          <w:sz w:val="22"/>
          <w:szCs w:val="22"/>
        </w:rPr>
        <w:t>)</w:t>
      </w:r>
      <w:r w:rsidR="000E3E7B">
        <w:rPr>
          <w:rFonts w:ascii="Arial" w:hAnsi="Arial" w:cs="Arial"/>
          <w:color w:val="000000"/>
          <w:sz w:val="22"/>
          <w:szCs w:val="22"/>
        </w:rPr>
        <w:t xml:space="preserve">. </w:t>
      </w:r>
      <w:r w:rsidRPr="009F7894">
        <w:rPr>
          <w:rFonts w:ascii="Arial" w:hAnsi="Arial" w:cs="Arial"/>
          <w:color w:val="000000"/>
          <w:sz w:val="22"/>
          <w:szCs w:val="22"/>
        </w:rPr>
        <w:t>This decision reflected Tesco's cautious approach in an uncertain economic environment, prioriti</w:t>
      </w:r>
      <w:r w:rsidR="000E3E7B">
        <w:rPr>
          <w:rFonts w:ascii="Arial" w:hAnsi="Arial" w:cs="Arial"/>
          <w:color w:val="000000"/>
          <w:sz w:val="22"/>
          <w:szCs w:val="22"/>
        </w:rPr>
        <w:t>s</w:t>
      </w:r>
      <w:r w:rsidRPr="009F7894">
        <w:rPr>
          <w:rFonts w:ascii="Arial" w:hAnsi="Arial" w:cs="Arial"/>
          <w:color w:val="000000"/>
          <w:sz w:val="22"/>
          <w:szCs w:val="22"/>
        </w:rPr>
        <w:t>ing the preservation of cash to weather ongoing disruptions. Despite the challenging conditions, Tesco's strong operational performance and market leadership enabled it to sustain this level of shareholder returns.</w:t>
      </w:r>
      <w:r w:rsidR="001068F3">
        <w:rPr>
          <w:rFonts w:ascii="Arial" w:hAnsi="Arial" w:cs="Arial"/>
          <w:color w:val="000000"/>
          <w:sz w:val="22"/>
          <w:szCs w:val="22"/>
        </w:rPr>
        <w:t xml:space="preserve"> </w:t>
      </w:r>
      <w:r w:rsidRPr="009F7894">
        <w:rPr>
          <w:rFonts w:ascii="Arial" w:hAnsi="Arial" w:cs="Arial"/>
          <w:color w:val="000000"/>
          <w:sz w:val="22"/>
          <w:szCs w:val="22"/>
        </w:rPr>
        <w:t>The 2022 dividend saw a slight increase to 10.90p per share</w:t>
      </w:r>
      <w:r w:rsidR="000E3E7B">
        <w:rPr>
          <w:rFonts w:ascii="Arial" w:hAnsi="Arial" w:cs="Arial"/>
          <w:color w:val="000000"/>
          <w:sz w:val="22"/>
          <w:szCs w:val="22"/>
        </w:rPr>
        <w:t xml:space="preserve"> (</w:t>
      </w:r>
      <w:r w:rsidR="000E3E7B">
        <w:rPr>
          <w:rFonts w:ascii="Arial" w:hAnsi="Arial" w:cs="Arial"/>
          <w:color w:val="000000"/>
          <w:sz w:val="22"/>
          <w:szCs w:val="22"/>
        </w:rPr>
        <w:t>Dividentmax.com 202</w:t>
      </w:r>
      <w:r w:rsidR="000E3E7B">
        <w:rPr>
          <w:rFonts w:ascii="Arial" w:hAnsi="Arial" w:cs="Arial"/>
          <w:color w:val="000000"/>
          <w:sz w:val="22"/>
          <w:szCs w:val="22"/>
        </w:rPr>
        <w:t>2</w:t>
      </w:r>
      <w:r w:rsidR="000E3E7B">
        <w:rPr>
          <w:rFonts w:ascii="Arial" w:hAnsi="Arial" w:cs="Arial"/>
          <w:color w:val="000000"/>
          <w:sz w:val="22"/>
          <w:szCs w:val="22"/>
        </w:rPr>
        <w:t>)</w:t>
      </w:r>
      <w:r w:rsidRPr="009F7894">
        <w:rPr>
          <w:rFonts w:ascii="Arial" w:hAnsi="Arial" w:cs="Arial"/>
          <w:color w:val="000000"/>
          <w:sz w:val="22"/>
          <w:szCs w:val="22"/>
        </w:rPr>
        <w:t xml:space="preserve">, demonstrating Tesco's growing confidence in its recovery post-pandemic. The </w:t>
      </w:r>
      <w:r w:rsidRPr="009F7894">
        <w:rPr>
          <w:rFonts w:ascii="Arial" w:hAnsi="Arial" w:cs="Arial"/>
          <w:color w:val="000000"/>
          <w:sz w:val="22"/>
          <w:szCs w:val="22"/>
        </w:rPr>
        <w:lastRenderedPageBreak/>
        <w:t>company benefited from its strategic investments in digital transformation and efficiency improvements, which translated into higher profitability and free cash flow, enabling a higher dividend payout.</w:t>
      </w:r>
      <w:r w:rsidR="001068F3">
        <w:rPr>
          <w:rFonts w:ascii="Arial" w:hAnsi="Arial" w:cs="Arial"/>
          <w:color w:val="000000"/>
          <w:sz w:val="22"/>
          <w:szCs w:val="22"/>
        </w:rPr>
        <w:t xml:space="preserve"> </w:t>
      </w:r>
      <w:r w:rsidRPr="009F7894">
        <w:rPr>
          <w:rFonts w:ascii="Arial" w:hAnsi="Arial" w:cs="Arial"/>
          <w:color w:val="000000"/>
          <w:sz w:val="22"/>
          <w:szCs w:val="22"/>
        </w:rPr>
        <w:t>In 2023, Tesco further increased its dividend to 10.90p per share</w:t>
      </w:r>
      <w:r w:rsidR="000E3E7B">
        <w:rPr>
          <w:rFonts w:ascii="Arial" w:hAnsi="Arial" w:cs="Arial"/>
          <w:color w:val="000000"/>
          <w:sz w:val="22"/>
          <w:szCs w:val="22"/>
        </w:rPr>
        <w:t xml:space="preserve"> </w:t>
      </w:r>
      <w:r w:rsidR="000E3E7B">
        <w:rPr>
          <w:rFonts w:ascii="Arial" w:hAnsi="Arial" w:cs="Arial"/>
          <w:color w:val="000000"/>
          <w:sz w:val="22"/>
          <w:szCs w:val="22"/>
        </w:rPr>
        <w:t>(Dividentmax.com 202</w:t>
      </w:r>
      <w:r w:rsidR="000E3E7B">
        <w:rPr>
          <w:rFonts w:ascii="Arial" w:hAnsi="Arial" w:cs="Arial"/>
          <w:color w:val="000000"/>
          <w:sz w:val="22"/>
          <w:szCs w:val="22"/>
        </w:rPr>
        <w:t>3)</w:t>
      </w:r>
      <w:r w:rsidRPr="009F7894">
        <w:rPr>
          <w:rFonts w:ascii="Arial" w:hAnsi="Arial" w:cs="Arial"/>
          <w:color w:val="000000"/>
          <w:sz w:val="22"/>
          <w:szCs w:val="22"/>
        </w:rPr>
        <w:t>, signal</w:t>
      </w:r>
      <w:r w:rsidR="001068F3">
        <w:rPr>
          <w:rFonts w:ascii="Arial" w:hAnsi="Arial" w:cs="Arial"/>
          <w:color w:val="000000"/>
          <w:sz w:val="22"/>
          <w:szCs w:val="22"/>
        </w:rPr>
        <w:t>l</w:t>
      </w:r>
      <w:r w:rsidRPr="009F7894">
        <w:rPr>
          <w:rFonts w:ascii="Arial" w:hAnsi="Arial" w:cs="Arial"/>
          <w:color w:val="000000"/>
          <w:sz w:val="22"/>
          <w:szCs w:val="22"/>
        </w:rPr>
        <w:t>ing its continued strong financial performance and commitment to returning value to shareholders. The consistent dividend growth over these years indicates a solid financial foundation and effective capital allocation strategies, balancing shareholder returns with reinvestment needs.</w:t>
      </w:r>
    </w:p>
    <w:p w14:paraId="688EDC9B" w14:textId="77777777" w:rsidR="009F7894" w:rsidRPr="001068F3" w:rsidRDefault="009F7894" w:rsidP="00F73ABF">
      <w:pPr>
        <w:pStyle w:val="Heading2"/>
      </w:pPr>
      <w:bookmarkStart w:id="16" w:name="_Toc174983277"/>
      <w:r w:rsidRPr="001068F3">
        <w:t>Factors Influencing Dividend Decisions</w:t>
      </w:r>
      <w:bookmarkEnd w:id="16"/>
    </w:p>
    <w:p w14:paraId="2464431A" w14:textId="396C72A3" w:rsidR="009F7894" w:rsidRDefault="009F7894" w:rsidP="00B507C0">
      <w:pPr>
        <w:pStyle w:val="NormalWeb"/>
        <w:spacing w:line="360" w:lineRule="auto"/>
        <w:rPr>
          <w:rFonts w:ascii="Arial" w:hAnsi="Arial" w:cs="Arial"/>
          <w:color w:val="000000"/>
          <w:sz w:val="22"/>
          <w:szCs w:val="22"/>
        </w:rPr>
      </w:pPr>
      <w:r w:rsidRPr="009F7894">
        <w:rPr>
          <w:rStyle w:val="Strong"/>
          <w:rFonts w:ascii="Arial" w:eastAsiaTheme="majorEastAsia" w:hAnsi="Arial" w:cs="Arial"/>
          <w:color w:val="000000"/>
          <w:sz w:val="22"/>
          <w:szCs w:val="22"/>
        </w:rPr>
        <w:t>Profitability and Cash Flow</w:t>
      </w:r>
      <w:r w:rsidRPr="009F7894">
        <w:rPr>
          <w:rFonts w:ascii="Arial" w:hAnsi="Arial" w:cs="Arial"/>
          <w:color w:val="000000"/>
          <w:sz w:val="22"/>
          <w:szCs w:val="22"/>
        </w:rPr>
        <w:t>: Tesco’s ability to generate consistent profits and free cash flow has been a critical factor in its ability to maintain and increase dividends. The company’s operational efficiency and strategic decisions, such as the sale of non-core assets, have directly influenced its capacity to return cash to shareholders</w:t>
      </w:r>
      <w:r w:rsidR="00A244F2">
        <w:rPr>
          <w:rFonts w:ascii="Arial" w:hAnsi="Arial" w:cs="Arial"/>
          <w:color w:val="000000"/>
          <w:sz w:val="22"/>
          <w:szCs w:val="22"/>
        </w:rPr>
        <w:t xml:space="preserve"> </w:t>
      </w:r>
      <w:r w:rsidR="00A244F2" w:rsidRPr="00A244F2">
        <w:rPr>
          <w:rFonts w:ascii="Arial" w:hAnsi="Arial" w:cs="Arial"/>
          <w:color w:val="000000"/>
          <w:sz w:val="22"/>
          <w:szCs w:val="22"/>
        </w:rPr>
        <w:t>(Tesco</w:t>
      </w:r>
      <w:r w:rsidR="00A244F2" w:rsidRPr="00A244F2">
        <w:rPr>
          <w:rFonts w:ascii="Arial" w:hAnsi="Arial" w:cs="Arial"/>
          <w:color w:val="000000"/>
          <w:sz w:val="22"/>
          <w:szCs w:val="22"/>
        </w:rPr>
        <w:t xml:space="preserve">plc.com </w:t>
      </w:r>
      <w:r w:rsidR="00A244F2" w:rsidRPr="00A244F2">
        <w:rPr>
          <w:rFonts w:ascii="Arial" w:hAnsi="Arial" w:cs="Arial"/>
          <w:color w:val="000000"/>
          <w:sz w:val="22"/>
          <w:szCs w:val="22"/>
        </w:rPr>
        <w:t>2023)​</w:t>
      </w:r>
      <w:r w:rsidR="00A244F2" w:rsidRPr="00A244F2">
        <w:rPr>
          <w:rStyle w:val="apple-converted-space"/>
          <w:rFonts w:ascii="Arial" w:eastAsiaTheme="majorEastAsia" w:hAnsi="Arial" w:cs="Arial"/>
          <w:color w:val="000000"/>
          <w:sz w:val="22"/>
          <w:szCs w:val="22"/>
        </w:rPr>
        <w:t> </w:t>
      </w:r>
      <w:r w:rsidR="00A244F2" w:rsidRPr="00A244F2">
        <w:rPr>
          <w:rStyle w:val="text-token-text-secondary"/>
          <w:rFonts w:ascii="Arial" w:eastAsiaTheme="majorEastAsia" w:hAnsi="Arial" w:cs="Arial"/>
          <w:color w:val="000000"/>
          <w:sz w:val="22"/>
          <w:szCs w:val="22"/>
        </w:rPr>
        <w:t>(</w:t>
      </w:r>
      <w:hyperlink r:id="rId9" w:tgtFrame="_blank" w:history="1">
        <w:r w:rsidR="00A244F2" w:rsidRPr="00A244F2">
          <w:rPr>
            <w:rStyle w:val="Hyperlink"/>
            <w:rFonts w:ascii="Arial" w:eastAsiaTheme="majorEastAsia" w:hAnsi="Arial" w:cs="Arial"/>
            <w:sz w:val="22"/>
            <w:szCs w:val="22"/>
          </w:rPr>
          <w:t>MarketScreener</w:t>
        </w:r>
      </w:hyperlink>
      <w:r w:rsidR="00A244F2" w:rsidRPr="00A244F2">
        <w:rPr>
          <w:rFonts w:ascii="Arial" w:hAnsi="Arial" w:cs="Arial"/>
          <w:color w:val="000000"/>
          <w:sz w:val="22"/>
          <w:szCs w:val="22"/>
        </w:rPr>
        <w:t>.com 2022</w:t>
      </w:r>
      <w:r w:rsidR="00A244F2" w:rsidRPr="00A244F2">
        <w:rPr>
          <w:rStyle w:val="text-token-text-secondary"/>
          <w:rFonts w:ascii="Arial" w:eastAsiaTheme="majorEastAsia" w:hAnsi="Arial" w:cs="Arial"/>
          <w:color w:val="000000"/>
          <w:sz w:val="22"/>
          <w:szCs w:val="22"/>
        </w:rPr>
        <w:t>)</w:t>
      </w:r>
    </w:p>
    <w:p w14:paraId="4BA8D497" w14:textId="20DC9F1A" w:rsidR="009F7894" w:rsidRPr="009F7894" w:rsidRDefault="009F7894" w:rsidP="00B507C0">
      <w:pPr>
        <w:pStyle w:val="NormalWeb"/>
        <w:spacing w:line="360" w:lineRule="auto"/>
        <w:rPr>
          <w:rFonts w:ascii="Arial" w:hAnsi="Arial" w:cs="Arial"/>
          <w:color w:val="000000"/>
          <w:sz w:val="22"/>
          <w:szCs w:val="22"/>
        </w:rPr>
      </w:pPr>
      <w:r w:rsidRPr="009F7894">
        <w:rPr>
          <w:rStyle w:val="Strong"/>
          <w:rFonts w:ascii="Arial" w:eastAsiaTheme="majorEastAsia" w:hAnsi="Arial" w:cs="Arial"/>
          <w:color w:val="000000"/>
          <w:sz w:val="22"/>
          <w:szCs w:val="22"/>
        </w:rPr>
        <w:t>Debt Levels and Capital Structure</w:t>
      </w:r>
      <w:r w:rsidRPr="009F7894">
        <w:rPr>
          <w:rFonts w:ascii="Arial" w:hAnsi="Arial" w:cs="Arial"/>
          <w:color w:val="000000"/>
          <w:sz w:val="22"/>
          <w:szCs w:val="22"/>
        </w:rPr>
        <w:t>: Tesco has prioritized debt reduction in recent years, which has been a significant factor in its dividend policy. By reducing leverage, Tesco has not only improved its financial stability but also increased its flexibility to manage dividend payouts without compromising its long-term growth prospects</w:t>
      </w:r>
      <w:r w:rsidR="00A244F2">
        <w:rPr>
          <w:rFonts w:ascii="Arial" w:hAnsi="Arial" w:cs="Arial"/>
          <w:color w:val="000000"/>
          <w:sz w:val="22"/>
          <w:szCs w:val="22"/>
        </w:rPr>
        <w:t xml:space="preserve"> </w:t>
      </w:r>
      <w:r w:rsidR="00A244F2" w:rsidRPr="00A244F2">
        <w:rPr>
          <w:rFonts w:ascii="Arial" w:hAnsi="Arial" w:cs="Arial"/>
          <w:color w:val="000000"/>
          <w:sz w:val="22"/>
          <w:szCs w:val="22"/>
        </w:rPr>
        <w:t>(Financial Times, 2023)​</w:t>
      </w:r>
      <w:r w:rsidR="00A244F2" w:rsidRPr="00A244F2">
        <w:rPr>
          <w:rFonts w:ascii="Arial" w:hAnsi="Arial" w:cs="Arial"/>
          <w:color w:val="000000"/>
          <w:sz w:val="22"/>
          <w:szCs w:val="22"/>
        </w:rPr>
        <w:t>.</w:t>
      </w:r>
      <w:r w:rsidR="00A244F2">
        <w:rPr>
          <w:rFonts w:ascii="-webkit-standard" w:hAnsi="-webkit-standard"/>
          <w:color w:val="000000"/>
          <w:sz w:val="27"/>
          <w:szCs w:val="27"/>
        </w:rPr>
        <w:t xml:space="preserve"> </w:t>
      </w:r>
    </w:p>
    <w:p w14:paraId="26F091A7" w14:textId="391F1C38" w:rsidR="009F7894" w:rsidRPr="009F7894" w:rsidRDefault="009F7894" w:rsidP="00B507C0">
      <w:pPr>
        <w:pStyle w:val="NormalWeb"/>
        <w:spacing w:line="360" w:lineRule="auto"/>
        <w:rPr>
          <w:rFonts w:ascii="Arial" w:hAnsi="Arial" w:cs="Arial"/>
          <w:color w:val="000000"/>
          <w:sz w:val="22"/>
          <w:szCs w:val="22"/>
        </w:rPr>
      </w:pPr>
      <w:r w:rsidRPr="009F7894">
        <w:rPr>
          <w:rStyle w:val="Strong"/>
          <w:rFonts w:ascii="Arial" w:eastAsiaTheme="majorEastAsia" w:hAnsi="Arial" w:cs="Arial"/>
          <w:color w:val="000000"/>
          <w:sz w:val="22"/>
          <w:szCs w:val="22"/>
        </w:rPr>
        <w:t>Economic Environment</w:t>
      </w:r>
      <w:r w:rsidRPr="009F7894">
        <w:rPr>
          <w:rFonts w:ascii="Arial" w:hAnsi="Arial" w:cs="Arial"/>
          <w:color w:val="000000"/>
          <w:sz w:val="22"/>
          <w:szCs w:val="22"/>
        </w:rPr>
        <w:t xml:space="preserve">: The broader economic conditions, including the impact of the COVID-19 pandemic, have played a role in Tesco’s dividend decisions. </w:t>
      </w:r>
      <w:r w:rsidR="00A244F2" w:rsidRPr="00A244F2">
        <w:rPr>
          <w:rStyle w:val="text-token-text-secondary"/>
          <w:rFonts w:ascii="Arial" w:eastAsiaTheme="majorEastAsia" w:hAnsi="Arial" w:cs="Arial"/>
          <w:color w:val="000000"/>
          <w:sz w:val="22"/>
          <w:szCs w:val="22"/>
        </w:rPr>
        <w:t>(</w:t>
      </w:r>
      <w:r w:rsidR="00A244F2" w:rsidRPr="00A244F2">
        <w:rPr>
          <w:rStyle w:val="text-token-text-secondary"/>
          <w:rFonts w:ascii="Arial" w:eastAsiaTheme="majorEastAsia" w:hAnsi="Arial" w:cs="Arial"/>
          <w:color w:val="000000"/>
          <w:sz w:val="22"/>
          <w:szCs w:val="22"/>
        </w:rPr>
        <w:t>Hl.cu.uk 2022)</w:t>
      </w:r>
      <w:r w:rsidR="00A244F2">
        <w:rPr>
          <w:rStyle w:val="text-token-text-secondary"/>
          <w:rFonts w:eastAsiaTheme="majorEastAsia"/>
          <w:color w:val="000000"/>
        </w:rPr>
        <w:t xml:space="preserve"> </w:t>
      </w:r>
      <w:r w:rsidRPr="009F7894">
        <w:rPr>
          <w:rFonts w:ascii="Arial" w:hAnsi="Arial" w:cs="Arial"/>
          <w:color w:val="000000"/>
          <w:sz w:val="22"/>
          <w:szCs w:val="22"/>
        </w:rPr>
        <w:t>The company has had to balance the need to reward shareholders with the necessity of preserving cash during periods of uncertainty.</w:t>
      </w:r>
    </w:p>
    <w:p w14:paraId="7610839D" w14:textId="72ED1333" w:rsidR="009F7894" w:rsidRPr="009F7894" w:rsidRDefault="009F7894" w:rsidP="00B507C0">
      <w:pPr>
        <w:pStyle w:val="NormalWeb"/>
        <w:spacing w:line="360" w:lineRule="auto"/>
        <w:rPr>
          <w:rFonts w:ascii="Arial" w:hAnsi="Arial" w:cs="Arial"/>
          <w:color w:val="000000"/>
          <w:sz w:val="22"/>
          <w:szCs w:val="22"/>
        </w:rPr>
      </w:pPr>
      <w:r w:rsidRPr="009F7894">
        <w:rPr>
          <w:rStyle w:val="Strong"/>
          <w:rFonts w:ascii="Arial" w:eastAsiaTheme="majorEastAsia" w:hAnsi="Arial" w:cs="Arial"/>
          <w:color w:val="000000"/>
          <w:sz w:val="22"/>
          <w:szCs w:val="22"/>
        </w:rPr>
        <w:t>Investment Opportunities</w:t>
      </w:r>
      <w:r w:rsidRPr="009F7894">
        <w:rPr>
          <w:rFonts w:ascii="Arial" w:hAnsi="Arial" w:cs="Arial"/>
          <w:color w:val="000000"/>
          <w:sz w:val="22"/>
          <w:szCs w:val="22"/>
        </w:rPr>
        <w:t>: Tesco’s focus on digital transformation and expanding its online and convenience store operations has required significant investment. The company has had to weigh the potential returns from these investments against the desire to increase dividends, leading to a measured approach in dividend increases</w:t>
      </w:r>
      <w:r w:rsidR="00A244F2">
        <w:rPr>
          <w:rFonts w:ascii="Arial" w:hAnsi="Arial" w:cs="Arial"/>
          <w:color w:val="000000"/>
          <w:sz w:val="22"/>
          <w:szCs w:val="22"/>
        </w:rPr>
        <w:t xml:space="preserve"> </w:t>
      </w:r>
      <w:r w:rsidR="00A244F2" w:rsidRPr="00A244F2">
        <w:rPr>
          <w:rFonts w:ascii="Arial" w:hAnsi="Arial" w:cs="Arial"/>
          <w:color w:val="000000"/>
          <w:sz w:val="22"/>
          <w:szCs w:val="22"/>
        </w:rPr>
        <w:t>(Bloomberg, 2023)​</w:t>
      </w:r>
      <w:r w:rsidR="00A244F2" w:rsidRPr="00A244F2">
        <w:rPr>
          <w:rFonts w:ascii="Arial" w:hAnsi="Arial" w:cs="Arial"/>
          <w:color w:val="000000"/>
          <w:sz w:val="22"/>
          <w:szCs w:val="22"/>
        </w:rPr>
        <w:t>.</w:t>
      </w:r>
    </w:p>
    <w:p w14:paraId="729616F7" w14:textId="77777777" w:rsidR="009F7894" w:rsidRPr="00B507C0" w:rsidRDefault="009F7894" w:rsidP="00F73ABF">
      <w:pPr>
        <w:pStyle w:val="Heading2"/>
      </w:pPr>
      <w:bookmarkStart w:id="17" w:name="_Toc174983278"/>
      <w:r w:rsidRPr="00B507C0">
        <w:t>Recommendations</w:t>
      </w:r>
      <w:bookmarkEnd w:id="17"/>
    </w:p>
    <w:p w14:paraId="0814450E" w14:textId="135EE00E" w:rsidR="007C5090" w:rsidRDefault="009F7894" w:rsidP="00B507C0">
      <w:pPr>
        <w:pStyle w:val="NormalWeb"/>
        <w:spacing w:line="360" w:lineRule="auto"/>
        <w:rPr>
          <w:rFonts w:ascii="Arial" w:hAnsi="Arial" w:cs="Arial"/>
          <w:color w:val="000000"/>
          <w:sz w:val="22"/>
          <w:szCs w:val="22"/>
        </w:rPr>
      </w:pPr>
      <w:r w:rsidRPr="009F7894">
        <w:rPr>
          <w:rFonts w:ascii="Arial" w:hAnsi="Arial" w:cs="Arial"/>
          <w:color w:val="000000"/>
          <w:sz w:val="22"/>
          <w:szCs w:val="22"/>
        </w:rPr>
        <w:t>Given Tesco’s current financial position and market conditions, the company should continue its strategy of gradual dividend increases, aligned with its profitability and free cash flow generation. However, Tesco should also remain flexible, ready to adjust its dividend policy in response to any significant changes in the economic environment or its operational performance.</w:t>
      </w:r>
      <w:r w:rsidR="00AF1F66">
        <w:rPr>
          <w:rFonts w:ascii="Arial" w:hAnsi="Arial" w:cs="Arial"/>
          <w:color w:val="000000"/>
          <w:sz w:val="22"/>
          <w:szCs w:val="22"/>
        </w:rPr>
        <w:t xml:space="preserve"> </w:t>
      </w:r>
      <w:proofErr w:type="gramStart"/>
      <w:r w:rsidRPr="009F7894">
        <w:rPr>
          <w:rFonts w:ascii="Arial" w:hAnsi="Arial" w:cs="Arial"/>
          <w:color w:val="000000"/>
          <w:sz w:val="22"/>
          <w:szCs w:val="22"/>
        </w:rPr>
        <w:t>Additionally</w:t>
      </w:r>
      <w:proofErr w:type="gramEnd"/>
      <w:r w:rsidRPr="009F7894">
        <w:rPr>
          <w:rFonts w:ascii="Arial" w:hAnsi="Arial" w:cs="Arial"/>
          <w:color w:val="000000"/>
          <w:sz w:val="22"/>
          <w:szCs w:val="22"/>
        </w:rPr>
        <w:t xml:space="preserve">, Tesco could consider further share buybacks, especially if its </w:t>
      </w:r>
      <w:r w:rsidRPr="009F7894">
        <w:rPr>
          <w:rFonts w:ascii="Arial" w:hAnsi="Arial" w:cs="Arial"/>
          <w:color w:val="000000"/>
          <w:sz w:val="22"/>
          <w:szCs w:val="22"/>
        </w:rPr>
        <w:lastRenderedPageBreak/>
        <w:t xml:space="preserve">share price remains undervalued, as a means to return additional value to shareholders without committing to higher recurring dividends. This approach would provide Tesco with greater flexibility to manage its capital allocation in line with its long-term strategic </w:t>
      </w:r>
      <w:proofErr w:type="spellStart"/>
      <w:proofErr w:type="gramStart"/>
      <w:r w:rsidRPr="009F7894">
        <w:rPr>
          <w:rFonts w:ascii="Arial" w:hAnsi="Arial" w:cs="Arial"/>
          <w:color w:val="000000"/>
          <w:sz w:val="22"/>
          <w:szCs w:val="22"/>
        </w:rPr>
        <w:t>goals.In</w:t>
      </w:r>
      <w:proofErr w:type="spellEnd"/>
      <w:proofErr w:type="gramEnd"/>
      <w:r w:rsidRPr="009F7894">
        <w:rPr>
          <w:rFonts w:ascii="Arial" w:hAnsi="Arial" w:cs="Arial"/>
          <w:color w:val="000000"/>
          <w:sz w:val="22"/>
          <w:szCs w:val="22"/>
        </w:rPr>
        <w:t xml:space="preserve"> conclusion, Tesco’s dividend policy over the past five years reflects a careful balance between rewarding shareholders and ensuring the company’s long-term financial health. By considering profitability, debt levels, economic conditions, and investment needs, Tesco has maintained a prudent and shareholder-friendly approach to dividends.</w:t>
      </w:r>
    </w:p>
    <w:p w14:paraId="5F0D72BD" w14:textId="77777777" w:rsidR="009F7894" w:rsidRDefault="009F7894" w:rsidP="009F7894">
      <w:pPr>
        <w:pStyle w:val="NormalWeb"/>
        <w:rPr>
          <w:rFonts w:ascii="Arial" w:hAnsi="Arial" w:cs="Arial"/>
          <w:color w:val="000000"/>
          <w:sz w:val="22"/>
          <w:szCs w:val="22"/>
        </w:rPr>
      </w:pPr>
    </w:p>
    <w:p w14:paraId="0AA70152" w14:textId="77777777" w:rsidR="00AB276F" w:rsidRDefault="00AB276F" w:rsidP="009F7894">
      <w:pPr>
        <w:pStyle w:val="NormalWeb"/>
        <w:rPr>
          <w:rFonts w:ascii="Arial" w:hAnsi="Arial" w:cs="Arial"/>
          <w:color w:val="000000"/>
          <w:sz w:val="22"/>
          <w:szCs w:val="22"/>
        </w:rPr>
      </w:pPr>
    </w:p>
    <w:p w14:paraId="13199769" w14:textId="77777777" w:rsidR="00AB276F" w:rsidRDefault="00AB276F" w:rsidP="009F7894">
      <w:pPr>
        <w:pStyle w:val="NormalWeb"/>
        <w:rPr>
          <w:rFonts w:ascii="Arial" w:hAnsi="Arial" w:cs="Arial"/>
          <w:color w:val="000000"/>
          <w:sz w:val="22"/>
          <w:szCs w:val="22"/>
        </w:rPr>
      </w:pPr>
    </w:p>
    <w:p w14:paraId="323B625B" w14:textId="77777777" w:rsidR="00AB276F" w:rsidRDefault="00AB276F" w:rsidP="009F7894">
      <w:pPr>
        <w:pStyle w:val="NormalWeb"/>
        <w:rPr>
          <w:rFonts w:ascii="Arial" w:hAnsi="Arial" w:cs="Arial"/>
          <w:color w:val="000000"/>
          <w:sz w:val="22"/>
          <w:szCs w:val="22"/>
        </w:rPr>
      </w:pPr>
    </w:p>
    <w:p w14:paraId="07E9A3F9" w14:textId="77777777" w:rsidR="00AB276F" w:rsidRDefault="00AB276F" w:rsidP="009F7894">
      <w:pPr>
        <w:pStyle w:val="NormalWeb"/>
        <w:rPr>
          <w:rFonts w:ascii="Arial" w:hAnsi="Arial" w:cs="Arial"/>
          <w:color w:val="000000"/>
          <w:sz w:val="22"/>
          <w:szCs w:val="22"/>
        </w:rPr>
      </w:pPr>
    </w:p>
    <w:p w14:paraId="2D067959" w14:textId="77777777" w:rsidR="00AB276F" w:rsidRDefault="00AB276F" w:rsidP="009F7894">
      <w:pPr>
        <w:pStyle w:val="NormalWeb"/>
        <w:rPr>
          <w:rFonts w:ascii="Arial" w:hAnsi="Arial" w:cs="Arial"/>
          <w:color w:val="000000"/>
          <w:sz w:val="22"/>
          <w:szCs w:val="22"/>
        </w:rPr>
      </w:pPr>
    </w:p>
    <w:p w14:paraId="55B0D171" w14:textId="77777777" w:rsidR="00AB276F" w:rsidRDefault="00AB276F" w:rsidP="009F7894">
      <w:pPr>
        <w:pStyle w:val="NormalWeb"/>
        <w:rPr>
          <w:rFonts w:ascii="Arial" w:hAnsi="Arial" w:cs="Arial"/>
          <w:color w:val="000000"/>
          <w:sz w:val="22"/>
          <w:szCs w:val="22"/>
        </w:rPr>
      </w:pPr>
    </w:p>
    <w:p w14:paraId="5D9583B4" w14:textId="77777777" w:rsidR="00AB276F" w:rsidRDefault="00AB276F" w:rsidP="009F7894">
      <w:pPr>
        <w:pStyle w:val="NormalWeb"/>
        <w:rPr>
          <w:rFonts w:ascii="Arial" w:hAnsi="Arial" w:cs="Arial"/>
          <w:color w:val="000000"/>
          <w:sz w:val="22"/>
          <w:szCs w:val="22"/>
        </w:rPr>
      </w:pPr>
    </w:p>
    <w:p w14:paraId="45D606C7" w14:textId="77777777" w:rsidR="00AB276F" w:rsidRDefault="00AB276F" w:rsidP="009F7894">
      <w:pPr>
        <w:pStyle w:val="NormalWeb"/>
        <w:rPr>
          <w:rFonts w:ascii="Arial" w:hAnsi="Arial" w:cs="Arial"/>
          <w:color w:val="000000"/>
          <w:sz w:val="22"/>
          <w:szCs w:val="22"/>
        </w:rPr>
      </w:pPr>
    </w:p>
    <w:p w14:paraId="092220F0" w14:textId="77777777" w:rsidR="00AB276F" w:rsidRDefault="00AB276F" w:rsidP="009F7894">
      <w:pPr>
        <w:pStyle w:val="NormalWeb"/>
        <w:rPr>
          <w:rFonts w:ascii="Arial" w:hAnsi="Arial" w:cs="Arial"/>
          <w:color w:val="000000"/>
          <w:sz w:val="22"/>
          <w:szCs w:val="22"/>
        </w:rPr>
      </w:pPr>
    </w:p>
    <w:p w14:paraId="2593C554" w14:textId="77777777" w:rsidR="00AB276F" w:rsidRDefault="00AB276F" w:rsidP="009F7894">
      <w:pPr>
        <w:pStyle w:val="NormalWeb"/>
        <w:rPr>
          <w:rFonts w:ascii="Arial" w:hAnsi="Arial" w:cs="Arial"/>
          <w:color w:val="000000"/>
          <w:sz w:val="22"/>
          <w:szCs w:val="22"/>
        </w:rPr>
      </w:pPr>
    </w:p>
    <w:p w14:paraId="31DB2DA1" w14:textId="77777777" w:rsidR="00AB276F" w:rsidRDefault="00AB276F" w:rsidP="009F7894">
      <w:pPr>
        <w:pStyle w:val="NormalWeb"/>
        <w:rPr>
          <w:rFonts w:ascii="Arial" w:hAnsi="Arial" w:cs="Arial"/>
          <w:color w:val="000000"/>
          <w:sz w:val="22"/>
          <w:szCs w:val="22"/>
        </w:rPr>
      </w:pPr>
    </w:p>
    <w:p w14:paraId="7B169A5B" w14:textId="77777777" w:rsidR="00AB276F" w:rsidRDefault="00AB276F" w:rsidP="009F7894">
      <w:pPr>
        <w:pStyle w:val="NormalWeb"/>
        <w:rPr>
          <w:rFonts w:ascii="Arial" w:hAnsi="Arial" w:cs="Arial"/>
          <w:color w:val="000000"/>
          <w:sz w:val="22"/>
          <w:szCs w:val="22"/>
        </w:rPr>
      </w:pPr>
    </w:p>
    <w:p w14:paraId="1AFE435E" w14:textId="77777777" w:rsidR="00AB276F" w:rsidRDefault="00AB276F" w:rsidP="009F7894">
      <w:pPr>
        <w:pStyle w:val="NormalWeb"/>
        <w:rPr>
          <w:rFonts w:ascii="Arial" w:hAnsi="Arial" w:cs="Arial"/>
          <w:color w:val="000000"/>
          <w:sz w:val="22"/>
          <w:szCs w:val="22"/>
        </w:rPr>
      </w:pPr>
    </w:p>
    <w:p w14:paraId="79292ED6" w14:textId="77777777" w:rsidR="00AB276F" w:rsidRDefault="00AB276F" w:rsidP="009F7894">
      <w:pPr>
        <w:pStyle w:val="NormalWeb"/>
        <w:rPr>
          <w:rFonts w:ascii="Arial" w:hAnsi="Arial" w:cs="Arial"/>
          <w:color w:val="000000"/>
          <w:sz w:val="22"/>
          <w:szCs w:val="22"/>
        </w:rPr>
      </w:pPr>
    </w:p>
    <w:p w14:paraId="679F4258" w14:textId="77777777" w:rsidR="00AB276F" w:rsidRDefault="00AB276F" w:rsidP="009F7894">
      <w:pPr>
        <w:pStyle w:val="NormalWeb"/>
        <w:rPr>
          <w:rFonts w:ascii="Arial" w:hAnsi="Arial" w:cs="Arial"/>
          <w:color w:val="000000"/>
          <w:sz w:val="22"/>
          <w:szCs w:val="22"/>
        </w:rPr>
      </w:pPr>
    </w:p>
    <w:p w14:paraId="27FEC27C" w14:textId="77777777" w:rsidR="00725F9D" w:rsidRDefault="00725F9D" w:rsidP="009F7894">
      <w:pPr>
        <w:pStyle w:val="NormalWeb"/>
        <w:rPr>
          <w:rFonts w:ascii="Arial" w:hAnsi="Arial" w:cs="Arial"/>
          <w:color w:val="000000"/>
          <w:sz w:val="22"/>
          <w:szCs w:val="22"/>
        </w:rPr>
      </w:pPr>
    </w:p>
    <w:p w14:paraId="57D83909" w14:textId="77777777" w:rsidR="00725F9D" w:rsidRDefault="00725F9D" w:rsidP="009F7894">
      <w:pPr>
        <w:pStyle w:val="NormalWeb"/>
        <w:rPr>
          <w:rFonts w:ascii="Arial" w:hAnsi="Arial" w:cs="Arial"/>
          <w:color w:val="000000"/>
          <w:sz w:val="22"/>
          <w:szCs w:val="22"/>
        </w:rPr>
      </w:pPr>
    </w:p>
    <w:p w14:paraId="4A7BD838" w14:textId="77777777" w:rsidR="00AB276F" w:rsidRPr="009F7894" w:rsidRDefault="00AB276F" w:rsidP="009F7894">
      <w:pPr>
        <w:pStyle w:val="NormalWeb"/>
        <w:rPr>
          <w:rFonts w:ascii="Arial" w:hAnsi="Arial" w:cs="Arial"/>
          <w:color w:val="000000"/>
          <w:sz w:val="22"/>
          <w:szCs w:val="22"/>
        </w:rPr>
      </w:pPr>
    </w:p>
    <w:p w14:paraId="0EBF613E" w14:textId="544E1F3B" w:rsidR="007C5090" w:rsidRDefault="007C5090" w:rsidP="00F73ABF">
      <w:pPr>
        <w:pStyle w:val="Heading1"/>
        <w:rPr>
          <w:rFonts w:eastAsiaTheme="minorEastAsia"/>
          <w:lang w:val="en-US"/>
        </w:rPr>
      </w:pPr>
      <w:bookmarkStart w:id="18" w:name="_Toc174983279"/>
      <w:r>
        <w:rPr>
          <w:rFonts w:eastAsiaTheme="minorEastAsia"/>
          <w:lang w:val="en-US"/>
        </w:rPr>
        <w:lastRenderedPageBreak/>
        <w:t>References</w:t>
      </w:r>
      <w:bookmarkEnd w:id="18"/>
      <w:r>
        <w:rPr>
          <w:rFonts w:eastAsiaTheme="minorEastAsia"/>
          <w:lang w:val="en-US"/>
        </w:rPr>
        <w:t xml:space="preserve"> </w:t>
      </w:r>
    </w:p>
    <w:p w14:paraId="6D8C09AB" w14:textId="77777777" w:rsidR="00AB276F" w:rsidRDefault="00AB276F" w:rsidP="00AB276F">
      <w:pPr>
        <w:rPr>
          <w:rFonts w:eastAsiaTheme="minorEastAsia"/>
          <w:lang w:val="en-US"/>
        </w:rPr>
      </w:pPr>
    </w:p>
    <w:p w14:paraId="51D761CB" w14:textId="77777777" w:rsidR="00AB276F" w:rsidRPr="00AB276F" w:rsidRDefault="00AB276F" w:rsidP="00AB276F">
      <w:pPr>
        <w:spacing w:before="100" w:beforeAutospacing="1" w:after="100" w:afterAutospacing="1"/>
        <w:rPr>
          <w:rFonts w:ascii="Arial" w:hAnsi="Arial" w:cs="Arial"/>
          <w:color w:val="000000"/>
          <w:sz w:val="22"/>
          <w:szCs w:val="22"/>
        </w:rPr>
      </w:pPr>
      <w:r w:rsidRPr="00AB276F">
        <w:rPr>
          <w:rFonts w:ascii="Arial" w:hAnsi="Arial" w:cs="Arial"/>
          <w:color w:val="000000"/>
          <w:sz w:val="22"/>
          <w:szCs w:val="22"/>
        </w:rPr>
        <w:t>Accaglobal.com (2022) The Debt [online] Available at:</w:t>
      </w:r>
      <w:r w:rsidRPr="00AB276F">
        <w:rPr>
          <w:rStyle w:val="apple-converted-space"/>
          <w:rFonts w:ascii="Arial" w:eastAsiaTheme="majorEastAsia" w:hAnsi="Arial" w:cs="Arial"/>
          <w:color w:val="000000"/>
          <w:sz w:val="22"/>
          <w:szCs w:val="22"/>
        </w:rPr>
        <w:t> </w:t>
      </w:r>
      <w:hyperlink r:id="rId10" w:tgtFrame="_new" w:history="1">
        <w:r w:rsidRPr="00AB276F">
          <w:rPr>
            <w:rStyle w:val="Hyperlink"/>
            <w:rFonts w:ascii="Arial" w:eastAsiaTheme="majorEastAsia" w:hAnsi="Arial" w:cs="Arial"/>
            <w:sz w:val="22"/>
            <w:szCs w:val="22"/>
          </w:rPr>
          <w:t>https://www.accaglobal.com/uk/en/student/exam-support-resources/fundamentals-exams-study-resources/f9/technical-articles/optimum-capital-structure.html</w:t>
        </w:r>
      </w:hyperlink>
      <w:r w:rsidRPr="00AB276F">
        <w:rPr>
          <w:rStyle w:val="apple-converted-space"/>
          <w:rFonts w:ascii="Arial" w:eastAsiaTheme="majorEastAsia" w:hAnsi="Arial" w:cs="Arial"/>
          <w:color w:val="000000"/>
          <w:sz w:val="22"/>
          <w:szCs w:val="22"/>
        </w:rPr>
        <w:t> </w:t>
      </w:r>
      <w:r w:rsidRPr="00AB276F">
        <w:rPr>
          <w:rFonts w:ascii="Arial" w:hAnsi="Arial" w:cs="Arial"/>
          <w:color w:val="000000"/>
          <w:sz w:val="22"/>
          <w:szCs w:val="22"/>
        </w:rPr>
        <w:t>[Accessed 19 Aug. 2024].</w:t>
      </w:r>
    </w:p>
    <w:p w14:paraId="4ECF8030" w14:textId="77777777" w:rsidR="00AB276F" w:rsidRPr="00AB276F" w:rsidRDefault="00C53BC2" w:rsidP="00AB276F">
      <w:pPr>
        <w:rPr>
          <w:rFonts w:ascii="Arial" w:hAnsi="Arial" w:cs="Arial"/>
          <w:sz w:val="22"/>
          <w:szCs w:val="22"/>
        </w:rPr>
      </w:pPr>
      <w:r w:rsidRPr="00C53BC2">
        <w:rPr>
          <w:rFonts w:ascii="Arial" w:hAnsi="Arial" w:cs="Arial"/>
          <w:noProof/>
          <w:sz w:val="22"/>
          <w:szCs w:val="22"/>
          <w14:ligatures w14:val="standardContextual"/>
        </w:rPr>
        <w:pict w14:anchorId="5B3F17CC">
          <v:rect id="_x0000_i1060" alt="" style="width:451.3pt;height:.05pt;mso-width-percent:0;mso-height-percent:0;mso-width-percent:0;mso-height-percent:0" o:hralign="center" o:hrstd="t" o:hrnoshade="t" o:hr="t" fillcolor="black" stroked="f"/>
        </w:pict>
      </w:r>
    </w:p>
    <w:p w14:paraId="09758A4E" w14:textId="77777777" w:rsidR="00AB276F" w:rsidRPr="00AB276F" w:rsidRDefault="00AB276F" w:rsidP="00AB276F">
      <w:pPr>
        <w:spacing w:before="100" w:beforeAutospacing="1" w:after="100" w:afterAutospacing="1"/>
        <w:rPr>
          <w:rFonts w:ascii="Arial" w:hAnsi="Arial" w:cs="Arial"/>
          <w:color w:val="000000"/>
          <w:sz w:val="22"/>
          <w:szCs w:val="22"/>
        </w:rPr>
      </w:pPr>
      <w:proofErr w:type="spellStart"/>
      <w:r w:rsidRPr="00AB276F">
        <w:rPr>
          <w:rFonts w:ascii="Arial" w:hAnsi="Arial" w:cs="Arial"/>
          <w:color w:val="000000"/>
          <w:sz w:val="22"/>
          <w:szCs w:val="22"/>
        </w:rPr>
        <w:t>Arhinful</w:t>
      </w:r>
      <w:proofErr w:type="spellEnd"/>
      <w:r w:rsidRPr="00AB276F">
        <w:rPr>
          <w:rFonts w:ascii="Arial" w:hAnsi="Arial" w:cs="Arial"/>
          <w:color w:val="000000"/>
          <w:sz w:val="22"/>
          <w:szCs w:val="22"/>
        </w:rPr>
        <w:t xml:space="preserve">, R. and </w:t>
      </w:r>
      <w:proofErr w:type="spellStart"/>
      <w:r w:rsidRPr="00AB276F">
        <w:rPr>
          <w:rFonts w:ascii="Arial" w:hAnsi="Arial" w:cs="Arial"/>
          <w:color w:val="000000"/>
          <w:sz w:val="22"/>
          <w:szCs w:val="22"/>
        </w:rPr>
        <w:t>Radmehr</w:t>
      </w:r>
      <w:proofErr w:type="spellEnd"/>
      <w:r w:rsidRPr="00AB276F">
        <w:rPr>
          <w:rFonts w:ascii="Arial" w:hAnsi="Arial" w:cs="Arial"/>
          <w:color w:val="000000"/>
          <w:sz w:val="22"/>
          <w:szCs w:val="22"/>
        </w:rPr>
        <w:t>, M., (2023) The Impact of Financial Leverage on the Financial Performance of the Firms Listed on the Tokyo Stock Exchange. SAGE Open, [online] Available at:</w:t>
      </w:r>
      <w:r w:rsidRPr="00AB276F">
        <w:rPr>
          <w:rStyle w:val="apple-converted-space"/>
          <w:rFonts w:ascii="Arial" w:eastAsiaTheme="majorEastAsia" w:hAnsi="Arial" w:cs="Arial"/>
          <w:color w:val="000000"/>
          <w:sz w:val="22"/>
          <w:szCs w:val="22"/>
        </w:rPr>
        <w:t> </w:t>
      </w:r>
      <w:hyperlink r:id="rId11" w:tgtFrame="_new" w:history="1">
        <w:r w:rsidRPr="00AB276F">
          <w:rPr>
            <w:rStyle w:val="Hyperlink"/>
            <w:rFonts w:ascii="Arial" w:eastAsiaTheme="majorEastAsia" w:hAnsi="Arial" w:cs="Arial"/>
            <w:sz w:val="22"/>
            <w:szCs w:val="22"/>
          </w:rPr>
          <w:t>https://doi.org/10.1177/215824402312040</w:t>
        </w:r>
      </w:hyperlink>
      <w:r w:rsidRPr="00AB276F">
        <w:rPr>
          <w:rFonts w:ascii="Arial" w:hAnsi="Arial" w:cs="Arial"/>
          <w:color w:val="000000"/>
          <w:sz w:val="22"/>
          <w:szCs w:val="22"/>
        </w:rPr>
        <w:t>[Accessed 19 Aug. 2024].</w:t>
      </w:r>
    </w:p>
    <w:p w14:paraId="7D479625" w14:textId="77777777" w:rsidR="00AB276F" w:rsidRPr="00AB276F" w:rsidRDefault="00C53BC2" w:rsidP="00AB276F">
      <w:pPr>
        <w:rPr>
          <w:rFonts w:ascii="Arial" w:hAnsi="Arial" w:cs="Arial"/>
          <w:sz w:val="22"/>
          <w:szCs w:val="22"/>
        </w:rPr>
      </w:pPr>
      <w:r w:rsidRPr="00C53BC2">
        <w:rPr>
          <w:rFonts w:ascii="Arial" w:hAnsi="Arial" w:cs="Arial"/>
          <w:noProof/>
          <w:sz w:val="22"/>
          <w:szCs w:val="22"/>
          <w14:ligatures w14:val="standardContextual"/>
        </w:rPr>
        <w:pict w14:anchorId="69FF317F">
          <v:rect id="_x0000_i1059" alt="" style="width:451.3pt;height:.05pt;mso-width-percent:0;mso-height-percent:0;mso-width-percent:0;mso-height-percent:0" o:hralign="center" o:hrstd="t" o:hrnoshade="t" o:hr="t" fillcolor="black" stroked="f"/>
        </w:pict>
      </w:r>
    </w:p>
    <w:p w14:paraId="3E57F20B" w14:textId="77777777" w:rsidR="00AB276F" w:rsidRPr="00AB276F" w:rsidRDefault="00AB276F" w:rsidP="00AB276F">
      <w:pPr>
        <w:spacing w:before="100" w:beforeAutospacing="1" w:after="100" w:afterAutospacing="1"/>
        <w:rPr>
          <w:rFonts w:ascii="Arial" w:hAnsi="Arial" w:cs="Arial"/>
          <w:color w:val="000000"/>
          <w:sz w:val="22"/>
          <w:szCs w:val="22"/>
        </w:rPr>
      </w:pPr>
      <w:r w:rsidRPr="00AB276F">
        <w:rPr>
          <w:rFonts w:ascii="Arial" w:hAnsi="Arial" w:cs="Arial"/>
          <w:color w:val="000000"/>
          <w:sz w:val="22"/>
          <w:szCs w:val="22"/>
        </w:rPr>
        <w:t xml:space="preserve">Baker, M., </w:t>
      </w:r>
      <w:proofErr w:type="spellStart"/>
      <w:r w:rsidRPr="00AB276F">
        <w:rPr>
          <w:rFonts w:ascii="Arial" w:hAnsi="Arial" w:cs="Arial"/>
          <w:color w:val="000000"/>
          <w:sz w:val="22"/>
          <w:szCs w:val="22"/>
        </w:rPr>
        <w:t>Hoeyer</w:t>
      </w:r>
      <w:proofErr w:type="spellEnd"/>
      <w:r w:rsidRPr="00AB276F">
        <w:rPr>
          <w:rFonts w:ascii="Arial" w:hAnsi="Arial" w:cs="Arial"/>
          <w:color w:val="000000"/>
          <w:sz w:val="22"/>
          <w:szCs w:val="22"/>
        </w:rPr>
        <w:t xml:space="preserve">, M.F. and </w:t>
      </w:r>
      <w:proofErr w:type="spellStart"/>
      <w:r w:rsidRPr="00AB276F">
        <w:rPr>
          <w:rFonts w:ascii="Arial" w:hAnsi="Arial" w:cs="Arial"/>
          <w:color w:val="000000"/>
          <w:sz w:val="22"/>
          <w:szCs w:val="22"/>
        </w:rPr>
        <w:t>Wurgler</w:t>
      </w:r>
      <w:proofErr w:type="spellEnd"/>
      <w:r w:rsidRPr="00AB276F">
        <w:rPr>
          <w:rFonts w:ascii="Arial" w:hAnsi="Arial" w:cs="Arial"/>
          <w:color w:val="000000"/>
          <w:sz w:val="22"/>
          <w:szCs w:val="22"/>
        </w:rPr>
        <w:t>, J., (2019) Leverage and the Beta Anomaly. [online] Available at: &lt;URL&gt; [Accessed 19 Aug. 2024].</w:t>
      </w:r>
    </w:p>
    <w:p w14:paraId="4EED595A" w14:textId="77777777" w:rsidR="00AB276F" w:rsidRPr="00AB276F" w:rsidRDefault="00C53BC2" w:rsidP="00AB276F">
      <w:pPr>
        <w:rPr>
          <w:rFonts w:ascii="Arial" w:hAnsi="Arial" w:cs="Arial"/>
          <w:sz w:val="22"/>
          <w:szCs w:val="22"/>
        </w:rPr>
      </w:pPr>
      <w:r w:rsidRPr="00C53BC2">
        <w:rPr>
          <w:rFonts w:ascii="Arial" w:hAnsi="Arial" w:cs="Arial"/>
          <w:noProof/>
          <w:sz w:val="22"/>
          <w:szCs w:val="22"/>
          <w14:ligatures w14:val="standardContextual"/>
        </w:rPr>
        <w:pict w14:anchorId="56A22A83">
          <v:rect id="_x0000_i1058" alt="" style="width:451.3pt;height:.05pt;mso-width-percent:0;mso-height-percent:0;mso-width-percent:0;mso-height-percent:0" o:hralign="center" o:hrstd="t" o:hrnoshade="t" o:hr="t" fillcolor="black" stroked="f"/>
        </w:pict>
      </w:r>
    </w:p>
    <w:p w14:paraId="0289A4DF" w14:textId="77777777" w:rsidR="00AB276F" w:rsidRPr="00AB276F" w:rsidRDefault="00AB276F" w:rsidP="00AB276F">
      <w:pPr>
        <w:spacing w:before="100" w:beforeAutospacing="1" w:after="100" w:afterAutospacing="1"/>
        <w:rPr>
          <w:rFonts w:ascii="Arial" w:hAnsi="Arial" w:cs="Arial"/>
          <w:color w:val="000000"/>
          <w:sz w:val="22"/>
          <w:szCs w:val="22"/>
        </w:rPr>
      </w:pPr>
      <w:r w:rsidRPr="00AB276F">
        <w:rPr>
          <w:rFonts w:ascii="Arial" w:hAnsi="Arial" w:cs="Arial"/>
          <w:color w:val="000000"/>
          <w:sz w:val="22"/>
          <w:szCs w:val="22"/>
        </w:rPr>
        <w:t>BBC.co.uk (2020) Tesco sells its Asian stores in £8bn deal [online] Available at:</w:t>
      </w:r>
      <w:r w:rsidRPr="00AB276F">
        <w:rPr>
          <w:rStyle w:val="apple-converted-space"/>
          <w:rFonts w:ascii="Arial" w:eastAsiaTheme="majorEastAsia" w:hAnsi="Arial" w:cs="Arial"/>
          <w:color w:val="000000"/>
          <w:sz w:val="22"/>
          <w:szCs w:val="22"/>
        </w:rPr>
        <w:t> </w:t>
      </w:r>
      <w:hyperlink r:id="rId12" w:anchor=":~:text=UK%20retail%20giant%20Tesco%20has,to%20Thai%20conglomerate%20CP%20Group" w:tgtFrame="_new" w:history="1">
        <w:r w:rsidRPr="00AB276F">
          <w:rPr>
            <w:rStyle w:val="Hyperlink"/>
            <w:rFonts w:ascii="Arial" w:eastAsiaTheme="majorEastAsia" w:hAnsi="Arial" w:cs="Arial"/>
            <w:sz w:val="22"/>
            <w:szCs w:val="22"/>
          </w:rPr>
          <w:t>https://www.bbc.co.uk/news/business-51796815#:~:text=UK%20retail%20giant%20Tesco%20has,to%20Thai%20conglomerate%20CP%20Group</w:t>
        </w:r>
      </w:hyperlink>
      <w:r w:rsidRPr="00AB276F">
        <w:rPr>
          <w:rFonts w:ascii="Arial" w:hAnsi="Arial" w:cs="Arial"/>
          <w:color w:val="000000"/>
          <w:sz w:val="22"/>
          <w:szCs w:val="22"/>
        </w:rPr>
        <w:t>. [Accessed 9 Aug. 2024].</w:t>
      </w:r>
    </w:p>
    <w:p w14:paraId="7586A3F3" w14:textId="77777777" w:rsidR="00AB276F" w:rsidRPr="00AB276F" w:rsidRDefault="00C53BC2" w:rsidP="00AB276F">
      <w:pPr>
        <w:rPr>
          <w:rFonts w:ascii="Arial" w:hAnsi="Arial" w:cs="Arial"/>
          <w:sz w:val="22"/>
          <w:szCs w:val="22"/>
        </w:rPr>
      </w:pPr>
      <w:r w:rsidRPr="00C53BC2">
        <w:rPr>
          <w:rFonts w:ascii="Arial" w:hAnsi="Arial" w:cs="Arial"/>
          <w:noProof/>
          <w:sz w:val="22"/>
          <w:szCs w:val="22"/>
          <w14:ligatures w14:val="standardContextual"/>
        </w:rPr>
        <w:pict w14:anchorId="4448729A">
          <v:rect id="_x0000_i1057" alt="" style="width:451.3pt;height:.05pt;mso-width-percent:0;mso-height-percent:0;mso-width-percent:0;mso-height-percent:0" o:hralign="center" o:hrstd="t" o:hrnoshade="t" o:hr="t" fillcolor="black" stroked="f"/>
        </w:pict>
      </w:r>
    </w:p>
    <w:p w14:paraId="494C902C" w14:textId="77777777" w:rsidR="00AB276F" w:rsidRPr="00AB276F" w:rsidRDefault="00AB276F" w:rsidP="00AB276F">
      <w:pPr>
        <w:spacing w:before="100" w:beforeAutospacing="1" w:after="100" w:afterAutospacing="1"/>
        <w:rPr>
          <w:rFonts w:ascii="Arial" w:hAnsi="Arial" w:cs="Arial"/>
          <w:color w:val="000000"/>
          <w:sz w:val="22"/>
          <w:szCs w:val="22"/>
        </w:rPr>
      </w:pPr>
      <w:r w:rsidRPr="00AB276F">
        <w:rPr>
          <w:rFonts w:ascii="Arial" w:hAnsi="Arial" w:cs="Arial"/>
          <w:color w:val="000000"/>
          <w:sz w:val="22"/>
          <w:szCs w:val="22"/>
        </w:rPr>
        <w:t>BBC.com, (2017) Tesco fined £129m for overstating profits [online] Available at:</w:t>
      </w:r>
      <w:r w:rsidRPr="00AB276F">
        <w:rPr>
          <w:rStyle w:val="apple-converted-space"/>
          <w:rFonts w:ascii="Arial" w:eastAsiaTheme="majorEastAsia" w:hAnsi="Arial" w:cs="Arial"/>
          <w:color w:val="000000"/>
          <w:sz w:val="22"/>
          <w:szCs w:val="22"/>
        </w:rPr>
        <w:t> </w:t>
      </w:r>
      <w:hyperlink r:id="rId13" w:tgtFrame="_new" w:history="1">
        <w:r w:rsidRPr="00AB276F">
          <w:rPr>
            <w:rStyle w:val="Hyperlink"/>
            <w:rFonts w:ascii="Arial" w:eastAsiaTheme="majorEastAsia" w:hAnsi="Arial" w:cs="Arial"/>
            <w:sz w:val="22"/>
            <w:szCs w:val="22"/>
          </w:rPr>
          <w:t>https://www.bbc.com/news/business-39415681</w:t>
        </w:r>
      </w:hyperlink>
      <w:r w:rsidRPr="00AB276F">
        <w:rPr>
          <w:rStyle w:val="apple-converted-space"/>
          <w:rFonts w:ascii="Arial" w:eastAsiaTheme="majorEastAsia" w:hAnsi="Arial" w:cs="Arial"/>
          <w:color w:val="000000"/>
          <w:sz w:val="22"/>
          <w:szCs w:val="22"/>
        </w:rPr>
        <w:t> </w:t>
      </w:r>
      <w:r w:rsidRPr="00AB276F">
        <w:rPr>
          <w:rFonts w:ascii="Arial" w:hAnsi="Arial" w:cs="Arial"/>
          <w:color w:val="000000"/>
          <w:sz w:val="22"/>
          <w:szCs w:val="22"/>
        </w:rPr>
        <w:t>[Accessed 11 Aug. 2024].</w:t>
      </w:r>
    </w:p>
    <w:p w14:paraId="1943D24F" w14:textId="77777777" w:rsidR="00AB276F" w:rsidRPr="00AB276F" w:rsidRDefault="00C53BC2" w:rsidP="00AB276F">
      <w:pPr>
        <w:rPr>
          <w:rFonts w:ascii="Arial" w:hAnsi="Arial" w:cs="Arial"/>
          <w:sz w:val="22"/>
          <w:szCs w:val="22"/>
        </w:rPr>
      </w:pPr>
      <w:r w:rsidRPr="00C53BC2">
        <w:rPr>
          <w:rFonts w:ascii="Arial" w:hAnsi="Arial" w:cs="Arial"/>
          <w:noProof/>
          <w:sz w:val="22"/>
          <w:szCs w:val="22"/>
          <w14:ligatures w14:val="standardContextual"/>
        </w:rPr>
        <w:pict w14:anchorId="1D076CB3">
          <v:rect id="_x0000_i1056" alt="" style="width:451.3pt;height:.05pt;mso-width-percent:0;mso-height-percent:0;mso-width-percent:0;mso-height-percent:0" o:hralign="center" o:hrstd="t" o:hrnoshade="t" o:hr="t" fillcolor="black" stroked="f"/>
        </w:pict>
      </w:r>
    </w:p>
    <w:p w14:paraId="59E7F0DF" w14:textId="77777777" w:rsidR="00AB276F" w:rsidRPr="00AB276F" w:rsidRDefault="00AB276F" w:rsidP="00AB276F">
      <w:pPr>
        <w:spacing w:before="100" w:beforeAutospacing="1" w:after="100" w:afterAutospacing="1"/>
        <w:rPr>
          <w:rFonts w:ascii="Arial" w:hAnsi="Arial" w:cs="Arial"/>
          <w:color w:val="000000"/>
          <w:sz w:val="22"/>
          <w:szCs w:val="22"/>
        </w:rPr>
      </w:pPr>
      <w:r w:rsidRPr="00AB276F">
        <w:rPr>
          <w:rFonts w:ascii="Arial" w:hAnsi="Arial" w:cs="Arial"/>
          <w:color w:val="000000"/>
          <w:sz w:val="22"/>
          <w:szCs w:val="22"/>
        </w:rPr>
        <w:t>Britishbusinessbank.co.uk (2024) Debt to Equity Ratios for Healthy Business [online] Available at:</w:t>
      </w:r>
      <w:r w:rsidRPr="00AB276F">
        <w:rPr>
          <w:rStyle w:val="apple-converted-space"/>
          <w:rFonts w:ascii="Arial" w:eastAsiaTheme="majorEastAsia" w:hAnsi="Arial" w:cs="Arial"/>
          <w:color w:val="000000"/>
          <w:sz w:val="22"/>
          <w:szCs w:val="22"/>
        </w:rPr>
        <w:t> </w:t>
      </w:r>
      <w:hyperlink r:id="rId14" w:tgtFrame="_new" w:history="1">
        <w:r w:rsidRPr="00AB276F">
          <w:rPr>
            <w:rStyle w:val="Hyperlink"/>
            <w:rFonts w:ascii="Arial" w:eastAsiaTheme="majorEastAsia" w:hAnsi="Arial" w:cs="Arial"/>
            <w:sz w:val="22"/>
            <w:szCs w:val="22"/>
          </w:rPr>
          <w:t>https://www.british-business-bank.co.uk/business-guidance/guidance-articles/finance/what-level-of-debt-is-healthy-for-business</w:t>
        </w:r>
      </w:hyperlink>
      <w:r w:rsidRPr="00AB276F">
        <w:rPr>
          <w:rStyle w:val="apple-converted-space"/>
          <w:rFonts w:ascii="Arial" w:eastAsiaTheme="majorEastAsia" w:hAnsi="Arial" w:cs="Arial"/>
          <w:color w:val="000000"/>
          <w:sz w:val="22"/>
          <w:szCs w:val="22"/>
        </w:rPr>
        <w:t> </w:t>
      </w:r>
      <w:r w:rsidRPr="00AB276F">
        <w:rPr>
          <w:rFonts w:ascii="Arial" w:hAnsi="Arial" w:cs="Arial"/>
          <w:color w:val="000000"/>
          <w:sz w:val="22"/>
          <w:szCs w:val="22"/>
        </w:rPr>
        <w:t>[Accessed 17 Aug. 2024].</w:t>
      </w:r>
    </w:p>
    <w:p w14:paraId="3210827D" w14:textId="77777777" w:rsidR="00AB276F" w:rsidRPr="00AB276F" w:rsidRDefault="00C53BC2" w:rsidP="00AB276F">
      <w:pPr>
        <w:rPr>
          <w:rFonts w:ascii="Arial" w:hAnsi="Arial" w:cs="Arial"/>
          <w:sz w:val="22"/>
          <w:szCs w:val="22"/>
        </w:rPr>
      </w:pPr>
      <w:r w:rsidRPr="00C53BC2">
        <w:rPr>
          <w:rFonts w:ascii="Arial" w:hAnsi="Arial" w:cs="Arial"/>
          <w:noProof/>
          <w:sz w:val="22"/>
          <w:szCs w:val="22"/>
          <w14:ligatures w14:val="standardContextual"/>
        </w:rPr>
        <w:pict w14:anchorId="5BF3B294">
          <v:rect id="_x0000_i1055" alt="" style="width:451.3pt;height:.05pt;mso-width-percent:0;mso-height-percent:0;mso-width-percent:0;mso-height-percent:0" o:hralign="center" o:hrstd="t" o:hrnoshade="t" o:hr="t" fillcolor="black" stroked="f"/>
        </w:pict>
      </w:r>
    </w:p>
    <w:p w14:paraId="3E6AC955" w14:textId="77777777" w:rsidR="00AB276F" w:rsidRPr="00AB276F" w:rsidRDefault="00AB276F" w:rsidP="00AB276F">
      <w:pPr>
        <w:spacing w:before="100" w:beforeAutospacing="1" w:after="100" w:afterAutospacing="1"/>
        <w:rPr>
          <w:rFonts w:ascii="Arial" w:hAnsi="Arial" w:cs="Arial"/>
          <w:color w:val="000000"/>
          <w:sz w:val="22"/>
          <w:szCs w:val="22"/>
        </w:rPr>
      </w:pPr>
      <w:r w:rsidRPr="00AB276F">
        <w:rPr>
          <w:rFonts w:ascii="Arial" w:hAnsi="Arial" w:cs="Arial"/>
          <w:color w:val="000000"/>
          <w:sz w:val="22"/>
          <w:szCs w:val="22"/>
        </w:rPr>
        <w:t>Choong, J., (2023) Tesco shares: a once-in-a-decade opportunity for a massive dividend? [online] Available at:</w:t>
      </w:r>
      <w:r w:rsidRPr="00AB276F">
        <w:rPr>
          <w:rStyle w:val="apple-converted-space"/>
          <w:rFonts w:ascii="Arial" w:eastAsiaTheme="majorEastAsia" w:hAnsi="Arial" w:cs="Arial"/>
          <w:color w:val="000000"/>
          <w:sz w:val="22"/>
          <w:szCs w:val="22"/>
        </w:rPr>
        <w:t> </w:t>
      </w:r>
      <w:hyperlink r:id="rId15" w:anchor=":~:text=Back%20in%202020%2C%20Tesco%20sold,a%20mind%2Dboggling%2020%25" w:tgtFrame="_new" w:history="1">
        <w:r w:rsidRPr="00AB276F">
          <w:rPr>
            <w:rStyle w:val="Hyperlink"/>
            <w:rFonts w:ascii="Arial" w:eastAsiaTheme="majorEastAsia" w:hAnsi="Arial" w:cs="Arial"/>
            <w:sz w:val="22"/>
            <w:szCs w:val="22"/>
          </w:rPr>
          <w:t>https://www.fool.co.uk/2023/02/21/tesco-shares-a-once-in-a-decade-opportunity-for-a-massive-dividend/#:~:text=Back%20in%202020%2C%20Tesco%20sold,a%20mind%2Dboggling%2020%25</w:t>
        </w:r>
      </w:hyperlink>
      <w:r w:rsidRPr="00AB276F">
        <w:rPr>
          <w:rFonts w:ascii="Arial" w:hAnsi="Arial" w:cs="Arial"/>
          <w:color w:val="000000"/>
          <w:sz w:val="22"/>
          <w:szCs w:val="22"/>
        </w:rPr>
        <w:t>. [Accessed 17 Aug. 2024].</w:t>
      </w:r>
    </w:p>
    <w:p w14:paraId="21BA8624" w14:textId="77777777" w:rsidR="00AB276F" w:rsidRPr="00AB276F" w:rsidRDefault="00C53BC2" w:rsidP="00AB276F">
      <w:pPr>
        <w:rPr>
          <w:rFonts w:ascii="Arial" w:hAnsi="Arial" w:cs="Arial"/>
          <w:sz w:val="22"/>
          <w:szCs w:val="22"/>
        </w:rPr>
      </w:pPr>
      <w:r w:rsidRPr="00C53BC2">
        <w:rPr>
          <w:rFonts w:ascii="Arial" w:hAnsi="Arial" w:cs="Arial"/>
          <w:noProof/>
          <w:sz w:val="22"/>
          <w:szCs w:val="22"/>
          <w14:ligatures w14:val="standardContextual"/>
        </w:rPr>
        <w:pict w14:anchorId="44D4DCF7">
          <v:rect id="_x0000_i1054" alt="" style="width:451.3pt;height:.05pt;mso-width-percent:0;mso-height-percent:0;mso-width-percent:0;mso-height-percent:0" o:hralign="center" o:hrstd="t" o:hrnoshade="t" o:hr="t" fillcolor="black" stroked="f"/>
        </w:pict>
      </w:r>
    </w:p>
    <w:p w14:paraId="0BB8D8C4" w14:textId="77777777" w:rsidR="00AB276F" w:rsidRPr="00AB276F" w:rsidRDefault="00AB276F" w:rsidP="00AB276F">
      <w:pPr>
        <w:spacing w:before="100" w:beforeAutospacing="1" w:after="100" w:afterAutospacing="1"/>
        <w:rPr>
          <w:rFonts w:ascii="Arial" w:hAnsi="Arial" w:cs="Arial"/>
          <w:color w:val="000000"/>
          <w:sz w:val="22"/>
          <w:szCs w:val="22"/>
        </w:rPr>
      </w:pPr>
      <w:r w:rsidRPr="00AB276F">
        <w:rPr>
          <w:rFonts w:ascii="Arial" w:hAnsi="Arial" w:cs="Arial"/>
          <w:color w:val="000000"/>
          <w:sz w:val="22"/>
          <w:szCs w:val="22"/>
        </w:rPr>
        <w:t>Corporatefinanceinstitute.com (2020) M&amp;M Theorem [online] Available at:</w:t>
      </w:r>
      <w:r w:rsidRPr="00AB276F">
        <w:rPr>
          <w:rStyle w:val="apple-converted-space"/>
          <w:rFonts w:ascii="Arial" w:eastAsiaTheme="majorEastAsia" w:hAnsi="Arial" w:cs="Arial"/>
          <w:color w:val="000000"/>
          <w:sz w:val="22"/>
          <w:szCs w:val="22"/>
        </w:rPr>
        <w:t> </w:t>
      </w:r>
      <w:hyperlink r:id="rId16" w:tgtFrame="_new" w:history="1">
        <w:r w:rsidRPr="00AB276F">
          <w:rPr>
            <w:rStyle w:val="Hyperlink"/>
            <w:rFonts w:ascii="Arial" w:eastAsiaTheme="majorEastAsia" w:hAnsi="Arial" w:cs="Arial"/>
            <w:sz w:val="22"/>
            <w:szCs w:val="22"/>
          </w:rPr>
          <w:t>https://corporatefinanceinstitute.com/resources/valuation/mm-theorem/</w:t>
        </w:r>
      </w:hyperlink>
      <w:r w:rsidRPr="00AB276F">
        <w:rPr>
          <w:rStyle w:val="apple-converted-space"/>
          <w:rFonts w:ascii="Arial" w:eastAsiaTheme="majorEastAsia" w:hAnsi="Arial" w:cs="Arial"/>
          <w:color w:val="000000"/>
          <w:sz w:val="22"/>
          <w:szCs w:val="22"/>
        </w:rPr>
        <w:t> </w:t>
      </w:r>
      <w:r w:rsidRPr="00AB276F">
        <w:rPr>
          <w:rFonts w:ascii="Arial" w:hAnsi="Arial" w:cs="Arial"/>
          <w:color w:val="000000"/>
          <w:sz w:val="22"/>
          <w:szCs w:val="22"/>
        </w:rPr>
        <w:t>[Accessed 19 Aug. 2024].</w:t>
      </w:r>
    </w:p>
    <w:p w14:paraId="4D6087D5" w14:textId="77777777" w:rsidR="00AB276F" w:rsidRPr="00AB276F" w:rsidRDefault="00C53BC2" w:rsidP="00AB276F">
      <w:pPr>
        <w:rPr>
          <w:rFonts w:ascii="Arial" w:hAnsi="Arial" w:cs="Arial"/>
          <w:sz w:val="22"/>
          <w:szCs w:val="22"/>
        </w:rPr>
      </w:pPr>
      <w:r w:rsidRPr="00C53BC2">
        <w:rPr>
          <w:rFonts w:ascii="Arial" w:hAnsi="Arial" w:cs="Arial"/>
          <w:noProof/>
          <w:sz w:val="22"/>
          <w:szCs w:val="22"/>
          <w14:ligatures w14:val="standardContextual"/>
        </w:rPr>
        <w:pict w14:anchorId="29BFA9DB">
          <v:rect id="_x0000_i1053" alt="" style="width:451.3pt;height:.05pt;mso-width-percent:0;mso-height-percent:0;mso-width-percent:0;mso-height-percent:0" o:hralign="center" o:hrstd="t" o:hrnoshade="t" o:hr="t" fillcolor="black" stroked="f"/>
        </w:pict>
      </w:r>
    </w:p>
    <w:p w14:paraId="0B47CBCD" w14:textId="77777777" w:rsidR="00AB276F" w:rsidRPr="00AB276F" w:rsidRDefault="00AB276F" w:rsidP="00AB276F">
      <w:pPr>
        <w:spacing w:before="100" w:beforeAutospacing="1" w:after="100" w:afterAutospacing="1"/>
        <w:rPr>
          <w:rFonts w:ascii="Arial" w:hAnsi="Arial" w:cs="Arial"/>
          <w:color w:val="000000"/>
          <w:sz w:val="22"/>
          <w:szCs w:val="22"/>
        </w:rPr>
      </w:pPr>
      <w:r w:rsidRPr="00AB276F">
        <w:rPr>
          <w:rFonts w:ascii="Arial" w:hAnsi="Arial" w:cs="Arial"/>
          <w:color w:val="000000"/>
          <w:sz w:val="22"/>
          <w:szCs w:val="22"/>
        </w:rPr>
        <w:lastRenderedPageBreak/>
        <w:t>Corporatefinanceinstitute.com (2023) Financial Leverage [online] Available at:</w:t>
      </w:r>
      <w:r w:rsidRPr="00AB276F">
        <w:rPr>
          <w:rStyle w:val="apple-converted-space"/>
          <w:rFonts w:ascii="Arial" w:eastAsiaTheme="majorEastAsia" w:hAnsi="Arial" w:cs="Arial"/>
          <w:color w:val="000000"/>
          <w:sz w:val="22"/>
          <w:szCs w:val="22"/>
        </w:rPr>
        <w:t> </w:t>
      </w:r>
      <w:hyperlink r:id="rId17" w:tgtFrame="_new" w:history="1">
        <w:r w:rsidRPr="00AB276F">
          <w:rPr>
            <w:rStyle w:val="Hyperlink"/>
            <w:rFonts w:ascii="Arial" w:eastAsiaTheme="majorEastAsia" w:hAnsi="Arial" w:cs="Arial"/>
            <w:sz w:val="22"/>
            <w:szCs w:val="22"/>
          </w:rPr>
          <w:t>https://corporatefinanceinstitute.com/resources/commercial-lending/financial-leverage/</w:t>
        </w:r>
      </w:hyperlink>
      <w:r w:rsidRPr="00AB276F">
        <w:rPr>
          <w:rStyle w:val="apple-converted-space"/>
          <w:rFonts w:ascii="Arial" w:eastAsiaTheme="majorEastAsia" w:hAnsi="Arial" w:cs="Arial"/>
          <w:color w:val="000000"/>
          <w:sz w:val="22"/>
          <w:szCs w:val="22"/>
        </w:rPr>
        <w:t> </w:t>
      </w:r>
      <w:r w:rsidRPr="00AB276F">
        <w:rPr>
          <w:rFonts w:ascii="Arial" w:hAnsi="Arial" w:cs="Arial"/>
          <w:color w:val="000000"/>
          <w:sz w:val="22"/>
          <w:szCs w:val="22"/>
        </w:rPr>
        <w:t>[Accessed 15 Aug. 2024].</w:t>
      </w:r>
    </w:p>
    <w:p w14:paraId="5C622DA5" w14:textId="77777777" w:rsidR="00AB276F" w:rsidRPr="00AB276F" w:rsidRDefault="00C53BC2" w:rsidP="00AB276F">
      <w:pPr>
        <w:rPr>
          <w:rFonts w:ascii="Arial" w:hAnsi="Arial" w:cs="Arial"/>
          <w:sz w:val="22"/>
          <w:szCs w:val="22"/>
        </w:rPr>
      </w:pPr>
      <w:r w:rsidRPr="00C53BC2">
        <w:rPr>
          <w:rFonts w:ascii="Arial" w:hAnsi="Arial" w:cs="Arial"/>
          <w:noProof/>
          <w:sz w:val="22"/>
          <w:szCs w:val="22"/>
          <w14:ligatures w14:val="standardContextual"/>
        </w:rPr>
        <w:pict w14:anchorId="6508C2CD">
          <v:rect id="_x0000_i1052" alt="" style="width:451.3pt;height:.05pt;mso-width-percent:0;mso-height-percent:0;mso-width-percent:0;mso-height-percent:0" o:hralign="center" o:hrstd="t" o:hrnoshade="t" o:hr="t" fillcolor="black" stroked="f"/>
        </w:pict>
      </w:r>
    </w:p>
    <w:p w14:paraId="3D7DF94B" w14:textId="77777777" w:rsidR="00AB276F" w:rsidRPr="00AB276F" w:rsidRDefault="00AB276F" w:rsidP="00AB276F">
      <w:pPr>
        <w:spacing w:before="100" w:beforeAutospacing="1" w:after="100" w:afterAutospacing="1"/>
        <w:rPr>
          <w:rFonts w:ascii="Arial" w:hAnsi="Arial" w:cs="Arial"/>
          <w:color w:val="000000"/>
          <w:sz w:val="22"/>
          <w:szCs w:val="22"/>
        </w:rPr>
      </w:pPr>
      <w:r w:rsidRPr="00AB276F">
        <w:rPr>
          <w:rFonts w:ascii="Arial" w:hAnsi="Arial" w:cs="Arial"/>
          <w:color w:val="000000"/>
          <w:sz w:val="22"/>
          <w:szCs w:val="22"/>
        </w:rPr>
        <w:t>Corporatefinanceinstitute.com (2024) Interest Coverage Ratio [online] Available at:</w:t>
      </w:r>
      <w:r w:rsidRPr="00AB276F">
        <w:rPr>
          <w:rStyle w:val="apple-converted-space"/>
          <w:rFonts w:ascii="Arial" w:eastAsiaTheme="majorEastAsia" w:hAnsi="Arial" w:cs="Arial"/>
          <w:color w:val="000000"/>
          <w:sz w:val="22"/>
          <w:szCs w:val="22"/>
        </w:rPr>
        <w:t> </w:t>
      </w:r>
      <w:hyperlink r:id="rId18" w:tgtFrame="_new" w:history="1">
        <w:r w:rsidRPr="00AB276F">
          <w:rPr>
            <w:rStyle w:val="Hyperlink"/>
            <w:rFonts w:ascii="Arial" w:eastAsiaTheme="majorEastAsia" w:hAnsi="Arial" w:cs="Arial"/>
            <w:sz w:val="22"/>
            <w:szCs w:val="22"/>
          </w:rPr>
          <w:t>https://corporatefinanceinstitute.com/resources/commercial-lending/interest-coverage-ratio/</w:t>
        </w:r>
      </w:hyperlink>
      <w:r w:rsidRPr="00AB276F">
        <w:rPr>
          <w:rStyle w:val="apple-converted-space"/>
          <w:rFonts w:ascii="Arial" w:eastAsiaTheme="majorEastAsia" w:hAnsi="Arial" w:cs="Arial"/>
          <w:color w:val="000000"/>
          <w:sz w:val="22"/>
          <w:szCs w:val="22"/>
        </w:rPr>
        <w:t> </w:t>
      </w:r>
      <w:r w:rsidRPr="00AB276F">
        <w:rPr>
          <w:rFonts w:ascii="Arial" w:hAnsi="Arial" w:cs="Arial"/>
          <w:color w:val="000000"/>
          <w:sz w:val="22"/>
          <w:szCs w:val="22"/>
        </w:rPr>
        <w:t>[Accessed 17 Aug. 2024].</w:t>
      </w:r>
    </w:p>
    <w:p w14:paraId="24D190BC" w14:textId="77777777" w:rsidR="00AB276F" w:rsidRPr="00AB276F" w:rsidRDefault="00C53BC2" w:rsidP="00AB276F">
      <w:pPr>
        <w:rPr>
          <w:rFonts w:ascii="Arial" w:hAnsi="Arial" w:cs="Arial"/>
          <w:sz w:val="22"/>
          <w:szCs w:val="22"/>
        </w:rPr>
      </w:pPr>
      <w:r w:rsidRPr="00C53BC2">
        <w:rPr>
          <w:rFonts w:ascii="Arial" w:hAnsi="Arial" w:cs="Arial"/>
          <w:noProof/>
          <w:sz w:val="22"/>
          <w:szCs w:val="22"/>
          <w14:ligatures w14:val="standardContextual"/>
        </w:rPr>
        <w:pict w14:anchorId="2598FC4E">
          <v:rect id="_x0000_i1051" alt="" style="width:451.3pt;height:.05pt;mso-width-percent:0;mso-height-percent:0;mso-width-percent:0;mso-height-percent:0" o:hralign="center" o:hrstd="t" o:hrnoshade="t" o:hr="t" fillcolor="black" stroked="f"/>
        </w:pict>
      </w:r>
    </w:p>
    <w:p w14:paraId="16AA31A6" w14:textId="77777777" w:rsidR="00AB276F" w:rsidRPr="00AB276F" w:rsidRDefault="00AB276F" w:rsidP="00AB276F">
      <w:pPr>
        <w:spacing w:before="100" w:beforeAutospacing="1" w:after="100" w:afterAutospacing="1"/>
        <w:rPr>
          <w:rFonts w:ascii="Arial" w:hAnsi="Arial" w:cs="Arial"/>
          <w:color w:val="000000"/>
          <w:sz w:val="22"/>
          <w:szCs w:val="22"/>
        </w:rPr>
      </w:pPr>
      <w:r w:rsidRPr="00AB276F">
        <w:rPr>
          <w:rFonts w:ascii="Arial" w:hAnsi="Arial" w:cs="Arial"/>
          <w:color w:val="000000"/>
          <w:sz w:val="22"/>
          <w:szCs w:val="22"/>
        </w:rPr>
        <w:t>CorporateMarksandSpencer.com (2024) Annual Report [online] Available at:</w:t>
      </w:r>
      <w:r w:rsidRPr="00AB276F">
        <w:rPr>
          <w:rStyle w:val="apple-converted-space"/>
          <w:rFonts w:ascii="Arial" w:eastAsiaTheme="majorEastAsia" w:hAnsi="Arial" w:cs="Arial"/>
          <w:color w:val="000000"/>
          <w:sz w:val="22"/>
          <w:szCs w:val="22"/>
        </w:rPr>
        <w:t> </w:t>
      </w:r>
      <w:hyperlink r:id="rId19" w:tgtFrame="_new" w:history="1">
        <w:r w:rsidRPr="00AB276F">
          <w:rPr>
            <w:rStyle w:val="Hyperlink"/>
            <w:rFonts w:ascii="Arial" w:eastAsiaTheme="majorEastAsia" w:hAnsi="Arial" w:cs="Arial"/>
            <w:sz w:val="22"/>
            <w:szCs w:val="22"/>
          </w:rPr>
          <w:t>https://corporate.marksandspencer.com/investors/our-performance-updates/2024-annual-report</w:t>
        </w:r>
      </w:hyperlink>
      <w:r w:rsidRPr="00AB276F">
        <w:rPr>
          <w:rStyle w:val="apple-converted-space"/>
          <w:rFonts w:ascii="Arial" w:eastAsiaTheme="majorEastAsia" w:hAnsi="Arial" w:cs="Arial"/>
          <w:color w:val="000000"/>
          <w:sz w:val="22"/>
          <w:szCs w:val="22"/>
        </w:rPr>
        <w:t> </w:t>
      </w:r>
      <w:r w:rsidRPr="00AB276F">
        <w:rPr>
          <w:rFonts w:ascii="Arial" w:hAnsi="Arial" w:cs="Arial"/>
          <w:color w:val="000000"/>
          <w:sz w:val="22"/>
          <w:szCs w:val="22"/>
        </w:rPr>
        <w:t>[Accessed 15 Aug. 2024].</w:t>
      </w:r>
    </w:p>
    <w:p w14:paraId="1A3F6D5F" w14:textId="77777777" w:rsidR="00AB276F" w:rsidRPr="00AB276F" w:rsidRDefault="00C53BC2" w:rsidP="00AB276F">
      <w:pPr>
        <w:rPr>
          <w:rFonts w:ascii="Arial" w:hAnsi="Arial" w:cs="Arial"/>
          <w:sz w:val="22"/>
          <w:szCs w:val="22"/>
        </w:rPr>
      </w:pPr>
      <w:r w:rsidRPr="00C53BC2">
        <w:rPr>
          <w:rFonts w:ascii="Arial" w:hAnsi="Arial" w:cs="Arial"/>
          <w:noProof/>
          <w:sz w:val="22"/>
          <w:szCs w:val="22"/>
          <w14:ligatures w14:val="standardContextual"/>
        </w:rPr>
        <w:pict w14:anchorId="3AD685CF">
          <v:rect id="_x0000_i1050" alt="" style="width:451.3pt;height:.05pt;mso-width-percent:0;mso-height-percent:0;mso-width-percent:0;mso-height-percent:0" o:hralign="center" o:hrstd="t" o:hrnoshade="t" o:hr="t" fillcolor="black" stroked="f"/>
        </w:pict>
      </w:r>
    </w:p>
    <w:p w14:paraId="0E53949B" w14:textId="77777777" w:rsidR="00AB276F" w:rsidRPr="00AB276F" w:rsidRDefault="00AB276F" w:rsidP="00AB276F">
      <w:pPr>
        <w:spacing w:before="100" w:beforeAutospacing="1" w:after="100" w:afterAutospacing="1"/>
        <w:rPr>
          <w:rFonts w:ascii="Arial" w:hAnsi="Arial" w:cs="Arial"/>
          <w:color w:val="000000"/>
          <w:sz w:val="22"/>
          <w:szCs w:val="22"/>
        </w:rPr>
      </w:pPr>
      <w:r w:rsidRPr="00AB276F">
        <w:rPr>
          <w:rFonts w:ascii="Arial" w:hAnsi="Arial" w:cs="Arial"/>
          <w:color w:val="000000"/>
          <w:sz w:val="22"/>
          <w:szCs w:val="22"/>
        </w:rPr>
        <w:t>Coulon, Y., (2012) Ratio Analysis Fundamentals: How 17 Financial Ratios Can Allow You to Analyse Any Business on the Planet. Independently Published.</w:t>
      </w:r>
    </w:p>
    <w:p w14:paraId="3778AF8A" w14:textId="77777777" w:rsidR="00AB276F" w:rsidRPr="00AB276F" w:rsidRDefault="00C53BC2" w:rsidP="00AB276F">
      <w:pPr>
        <w:rPr>
          <w:rFonts w:ascii="Arial" w:hAnsi="Arial" w:cs="Arial"/>
          <w:sz w:val="22"/>
          <w:szCs w:val="22"/>
        </w:rPr>
      </w:pPr>
      <w:r w:rsidRPr="00C53BC2">
        <w:rPr>
          <w:rFonts w:ascii="Arial" w:hAnsi="Arial" w:cs="Arial"/>
          <w:noProof/>
          <w:sz w:val="22"/>
          <w:szCs w:val="22"/>
          <w14:ligatures w14:val="standardContextual"/>
        </w:rPr>
        <w:pict w14:anchorId="1526CD04">
          <v:rect id="_x0000_i1049" alt="" style="width:451.3pt;height:.05pt;mso-width-percent:0;mso-height-percent:0;mso-width-percent:0;mso-height-percent:0" o:hralign="center" o:hrstd="t" o:hrnoshade="t" o:hr="t" fillcolor="black" stroked="f"/>
        </w:pict>
      </w:r>
    </w:p>
    <w:p w14:paraId="2BF30193" w14:textId="77777777" w:rsidR="00AB276F" w:rsidRPr="00AB276F" w:rsidRDefault="00AB276F" w:rsidP="00AB276F">
      <w:pPr>
        <w:spacing w:before="100" w:beforeAutospacing="1" w:after="100" w:afterAutospacing="1"/>
        <w:rPr>
          <w:rFonts w:ascii="Arial" w:hAnsi="Arial" w:cs="Arial"/>
          <w:color w:val="000000"/>
          <w:sz w:val="22"/>
          <w:szCs w:val="22"/>
        </w:rPr>
      </w:pPr>
      <w:r w:rsidRPr="00AB276F">
        <w:rPr>
          <w:rFonts w:ascii="Arial" w:hAnsi="Arial" w:cs="Arial"/>
          <w:color w:val="000000"/>
          <w:sz w:val="22"/>
          <w:szCs w:val="22"/>
        </w:rPr>
        <w:t xml:space="preserve">Coulon, Y., (2019) Rational Investing with Ratios: Implementing Ratios with Enterprise Value and </w:t>
      </w:r>
      <w:proofErr w:type="spellStart"/>
      <w:r w:rsidRPr="00AB276F">
        <w:rPr>
          <w:rFonts w:ascii="Arial" w:hAnsi="Arial" w:cs="Arial"/>
          <w:color w:val="000000"/>
          <w:sz w:val="22"/>
          <w:szCs w:val="22"/>
        </w:rPr>
        <w:t>Behavioral</w:t>
      </w:r>
      <w:proofErr w:type="spellEnd"/>
      <w:r w:rsidRPr="00AB276F">
        <w:rPr>
          <w:rFonts w:ascii="Arial" w:hAnsi="Arial" w:cs="Arial"/>
          <w:color w:val="000000"/>
          <w:sz w:val="22"/>
          <w:szCs w:val="22"/>
        </w:rPr>
        <w:t xml:space="preserve"> Finance. London: Routledge.</w:t>
      </w:r>
    </w:p>
    <w:p w14:paraId="24901FF9" w14:textId="77777777" w:rsidR="00AB276F" w:rsidRPr="00AB276F" w:rsidRDefault="00C53BC2" w:rsidP="00AB276F">
      <w:pPr>
        <w:rPr>
          <w:rFonts w:ascii="Arial" w:hAnsi="Arial" w:cs="Arial"/>
          <w:sz w:val="22"/>
          <w:szCs w:val="22"/>
        </w:rPr>
      </w:pPr>
      <w:r w:rsidRPr="00C53BC2">
        <w:rPr>
          <w:rFonts w:ascii="Arial" w:hAnsi="Arial" w:cs="Arial"/>
          <w:noProof/>
          <w:sz w:val="22"/>
          <w:szCs w:val="22"/>
          <w14:ligatures w14:val="standardContextual"/>
        </w:rPr>
        <w:pict w14:anchorId="02242C9C">
          <v:rect id="_x0000_i1048" alt="" style="width:451.3pt;height:.05pt;mso-width-percent:0;mso-height-percent:0;mso-width-percent:0;mso-height-percent:0" o:hralign="center" o:hrstd="t" o:hrnoshade="t" o:hr="t" fillcolor="black" stroked="f"/>
        </w:pict>
      </w:r>
    </w:p>
    <w:p w14:paraId="48275671" w14:textId="77777777" w:rsidR="00AB276F" w:rsidRPr="00AB276F" w:rsidRDefault="00AB276F" w:rsidP="00AB276F">
      <w:pPr>
        <w:spacing w:before="100" w:beforeAutospacing="1" w:after="100" w:afterAutospacing="1"/>
        <w:rPr>
          <w:rFonts w:ascii="Arial" w:hAnsi="Arial" w:cs="Arial"/>
          <w:color w:val="000000"/>
          <w:sz w:val="22"/>
          <w:szCs w:val="22"/>
        </w:rPr>
      </w:pPr>
      <w:r w:rsidRPr="00AB276F">
        <w:rPr>
          <w:rFonts w:ascii="Arial" w:hAnsi="Arial" w:cs="Arial"/>
          <w:color w:val="000000"/>
          <w:sz w:val="22"/>
          <w:szCs w:val="22"/>
        </w:rPr>
        <w:t>Dividentmax.com (2024) Tesco PLC [online] Available at:</w:t>
      </w:r>
      <w:r w:rsidRPr="00AB276F">
        <w:rPr>
          <w:rStyle w:val="apple-converted-space"/>
          <w:rFonts w:ascii="Arial" w:eastAsiaTheme="majorEastAsia" w:hAnsi="Arial" w:cs="Arial"/>
          <w:color w:val="000000"/>
          <w:sz w:val="22"/>
          <w:szCs w:val="22"/>
        </w:rPr>
        <w:t> </w:t>
      </w:r>
      <w:hyperlink r:id="rId20" w:tgtFrame="_new" w:history="1">
        <w:r w:rsidRPr="00AB276F">
          <w:rPr>
            <w:rStyle w:val="Hyperlink"/>
            <w:rFonts w:ascii="Arial" w:eastAsiaTheme="majorEastAsia" w:hAnsi="Arial" w:cs="Arial"/>
            <w:sz w:val="22"/>
            <w:szCs w:val="22"/>
          </w:rPr>
          <w:t>https://www.dividendmax.com/united-kingdom/london-stock-exchange/food-and-drug-retailers/tesco-plc/dividends</w:t>
        </w:r>
      </w:hyperlink>
      <w:r w:rsidRPr="00AB276F">
        <w:rPr>
          <w:rStyle w:val="apple-converted-space"/>
          <w:rFonts w:ascii="Arial" w:eastAsiaTheme="majorEastAsia" w:hAnsi="Arial" w:cs="Arial"/>
          <w:color w:val="000000"/>
          <w:sz w:val="22"/>
          <w:szCs w:val="22"/>
        </w:rPr>
        <w:t> </w:t>
      </w:r>
      <w:r w:rsidRPr="00AB276F">
        <w:rPr>
          <w:rFonts w:ascii="Arial" w:hAnsi="Arial" w:cs="Arial"/>
          <w:color w:val="000000"/>
          <w:sz w:val="22"/>
          <w:szCs w:val="22"/>
        </w:rPr>
        <w:t>[Accessed 15 Aug. 2024].</w:t>
      </w:r>
    </w:p>
    <w:p w14:paraId="282C15BA" w14:textId="77777777" w:rsidR="00AB276F" w:rsidRPr="00AB276F" w:rsidRDefault="00C53BC2" w:rsidP="00AB276F">
      <w:pPr>
        <w:rPr>
          <w:rFonts w:ascii="Arial" w:hAnsi="Arial" w:cs="Arial"/>
          <w:sz w:val="22"/>
          <w:szCs w:val="22"/>
        </w:rPr>
      </w:pPr>
      <w:r w:rsidRPr="00C53BC2">
        <w:rPr>
          <w:rFonts w:ascii="Arial" w:hAnsi="Arial" w:cs="Arial"/>
          <w:noProof/>
          <w:sz w:val="22"/>
          <w:szCs w:val="22"/>
          <w14:ligatures w14:val="standardContextual"/>
        </w:rPr>
        <w:pict w14:anchorId="00A150FA">
          <v:rect id="_x0000_i1047" alt="" style="width:451.3pt;height:.05pt;mso-width-percent:0;mso-height-percent:0;mso-width-percent:0;mso-height-percent:0" o:hralign="center" o:hrstd="t" o:hrnoshade="t" o:hr="t" fillcolor="black" stroked="f"/>
        </w:pict>
      </w:r>
    </w:p>
    <w:p w14:paraId="3E4A50E5" w14:textId="77777777" w:rsidR="00AB276F" w:rsidRPr="00AB276F" w:rsidRDefault="00AB276F" w:rsidP="00AB276F">
      <w:pPr>
        <w:spacing w:before="100" w:beforeAutospacing="1" w:after="100" w:afterAutospacing="1"/>
        <w:rPr>
          <w:rFonts w:ascii="Arial" w:hAnsi="Arial" w:cs="Arial"/>
          <w:color w:val="000000"/>
          <w:sz w:val="22"/>
          <w:szCs w:val="22"/>
        </w:rPr>
      </w:pPr>
      <w:r w:rsidRPr="00AB276F">
        <w:rPr>
          <w:rFonts w:ascii="Arial" w:hAnsi="Arial" w:cs="Arial"/>
          <w:color w:val="000000"/>
          <w:sz w:val="22"/>
          <w:szCs w:val="22"/>
        </w:rPr>
        <w:t xml:space="preserve">Drake, P.P. and </w:t>
      </w:r>
      <w:proofErr w:type="spellStart"/>
      <w:r w:rsidRPr="00AB276F">
        <w:rPr>
          <w:rFonts w:ascii="Arial" w:hAnsi="Arial" w:cs="Arial"/>
          <w:color w:val="000000"/>
          <w:sz w:val="22"/>
          <w:szCs w:val="22"/>
        </w:rPr>
        <w:t>Fabozzi</w:t>
      </w:r>
      <w:proofErr w:type="spellEnd"/>
      <w:r w:rsidRPr="00AB276F">
        <w:rPr>
          <w:rFonts w:ascii="Arial" w:hAnsi="Arial" w:cs="Arial"/>
          <w:color w:val="000000"/>
          <w:sz w:val="22"/>
          <w:szCs w:val="22"/>
        </w:rPr>
        <w:t>, F.J., (2012) Analysis of Financial Statements. 3rd ed. Hoboken: John Wiley &amp; Sons.</w:t>
      </w:r>
    </w:p>
    <w:p w14:paraId="440E303E" w14:textId="77777777" w:rsidR="00AB276F" w:rsidRPr="00AB276F" w:rsidRDefault="00C53BC2" w:rsidP="00AB276F">
      <w:pPr>
        <w:rPr>
          <w:rFonts w:ascii="Arial" w:hAnsi="Arial" w:cs="Arial"/>
          <w:sz w:val="22"/>
          <w:szCs w:val="22"/>
        </w:rPr>
      </w:pPr>
      <w:r w:rsidRPr="00C53BC2">
        <w:rPr>
          <w:rFonts w:ascii="Arial" w:hAnsi="Arial" w:cs="Arial"/>
          <w:noProof/>
          <w:sz w:val="22"/>
          <w:szCs w:val="22"/>
          <w14:ligatures w14:val="standardContextual"/>
        </w:rPr>
        <w:pict w14:anchorId="3E37A5C1">
          <v:rect id="_x0000_i1046" alt="" style="width:451.3pt;height:.05pt;mso-width-percent:0;mso-height-percent:0;mso-width-percent:0;mso-height-percent:0" o:hralign="center" o:hrstd="t" o:hrnoshade="t" o:hr="t" fillcolor="black" stroked="f"/>
        </w:pict>
      </w:r>
    </w:p>
    <w:p w14:paraId="6F5D8633" w14:textId="77777777" w:rsidR="00AB276F" w:rsidRPr="00AB276F" w:rsidRDefault="00AB276F" w:rsidP="00AB276F">
      <w:pPr>
        <w:spacing w:before="100" w:beforeAutospacing="1" w:after="100" w:afterAutospacing="1"/>
        <w:rPr>
          <w:rFonts w:ascii="Arial" w:hAnsi="Arial" w:cs="Arial"/>
          <w:color w:val="000000"/>
          <w:sz w:val="22"/>
          <w:szCs w:val="22"/>
        </w:rPr>
      </w:pPr>
      <w:r w:rsidRPr="00AB276F">
        <w:rPr>
          <w:rFonts w:ascii="Arial" w:hAnsi="Arial" w:cs="Arial"/>
          <w:color w:val="000000"/>
          <w:sz w:val="22"/>
          <w:szCs w:val="22"/>
        </w:rPr>
        <w:t>Fernando, J., (2024) Debt-to-Equity (D/E) Ratio Formula and How to Interpret It [online] Available at:</w:t>
      </w:r>
      <w:r w:rsidRPr="00AB276F">
        <w:rPr>
          <w:rStyle w:val="apple-converted-space"/>
          <w:rFonts w:ascii="Arial" w:eastAsiaTheme="majorEastAsia" w:hAnsi="Arial" w:cs="Arial"/>
          <w:color w:val="000000"/>
          <w:sz w:val="22"/>
          <w:szCs w:val="22"/>
        </w:rPr>
        <w:t> </w:t>
      </w:r>
      <w:hyperlink r:id="rId21" w:tgtFrame="_new" w:history="1">
        <w:r w:rsidRPr="00AB276F">
          <w:rPr>
            <w:rStyle w:val="Hyperlink"/>
            <w:rFonts w:ascii="Arial" w:eastAsiaTheme="majorEastAsia" w:hAnsi="Arial" w:cs="Arial"/>
            <w:sz w:val="22"/>
            <w:szCs w:val="22"/>
          </w:rPr>
          <w:t>https://www.investopedia.com/terms/d/debtequityratio.asp</w:t>
        </w:r>
      </w:hyperlink>
      <w:r w:rsidRPr="00AB276F">
        <w:rPr>
          <w:rStyle w:val="apple-converted-space"/>
          <w:rFonts w:ascii="Arial" w:eastAsiaTheme="majorEastAsia" w:hAnsi="Arial" w:cs="Arial"/>
          <w:color w:val="000000"/>
          <w:sz w:val="22"/>
          <w:szCs w:val="22"/>
        </w:rPr>
        <w:t> </w:t>
      </w:r>
      <w:r w:rsidRPr="00AB276F">
        <w:rPr>
          <w:rFonts w:ascii="Arial" w:hAnsi="Arial" w:cs="Arial"/>
          <w:color w:val="000000"/>
          <w:sz w:val="22"/>
          <w:szCs w:val="22"/>
        </w:rPr>
        <w:t>[Accessed 17 Aug. 2024].</w:t>
      </w:r>
    </w:p>
    <w:p w14:paraId="71F23DE6" w14:textId="77777777" w:rsidR="00AB276F" w:rsidRPr="00AB276F" w:rsidRDefault="00C53BC2" w:rsidP="00AB276F">
      <w:pPr>
        <w:rPr>
          <w:rFonts w:ascii="Arial" w:hAnsi="Arial" w:cs="Arial"/>
          <w:sz w:val="22"/>
          <w:szCs w:val="22"/>
        </w:rPr>
      </w:pPr>
      <w:r w:rsidRPr="00C53BC2">
        <w:rPr>
          <w:rFonts w:ascii="Arial" w:hAnsi="Arial" w:cs="Arial"/>
          <w:noProof/>
          <w:sz w:val="22"/>
          <w:szCs w:val="22"/>
          <w14:ligatures w14:val="standardContextual"/>
        </w:rPr>
        <w:pict w14:anchorId="583A8E23">
          <v:rect id="_x0000_i1045" alt="" style="width:451.3pt;height:.05pt;mso-width-percent:0;mso-height-percent:0;mso-width-percent:0;mso-height-percent:0" o:hralign="center" o:hrstd="t" o:hrnoshade="t" o:hr="t" fillcolor="black" stroked="f"/>
        </w:pict>
      </w:r>
    </w:p>
    <w:p w14:paraId="753D85A1" w14:textId="77777777" w:rsidR="00AB276F" w:rsidRPr="00AB276F" w:rsidRDefault="00AB276F" w:rsidP="00AB276F">
      <w:pPr>
        <w:spacing w:before="100" w:beforeAutospacing="1" w:after="100" w:afterAutospacing="1"/>
        <w:rPr>
          <w:rFonts w:ascii="Arial" w:hAnsi="Arial" w:cs="Arial"/>
          <w:color w:val="000000"/>
          <w:sz w:val="22"/>
          <w:szCs w:val="22"/>
        </w:rPr>
      </w:pPr>
      <w:r w:rsidRPr="00AB276F">
        <w:rPr>
          <w:rFonts w:ascii="Arial" w:hAnsi="Arial" w:cs="Arial"/>
          <w:color w:val="000000"/>
          <w:sz w:val="22"/>
          <w:szCs w:val="22"/>
        </w:rPr>
        <w:t>Freshbooks.co.uk (2023) What is a Good Liquidity Ratio? [online] Available at:</w:t>
      </w:r>
      <w:r w:rsidRPr="00AB276F">
        <w:rPr>
          <w:rStyle w:val="apple-converted-space"/>
          <w:rFonts w:ascii="Arial" w:eastAsiaTheme="majorEastAsia" w:hAnsi="Arial" w:cs="Arial"/>
          <w:color w:val="000000"/>
          <w:sz w:val="22"/>
          <w:szCs w:val="22"/>
        </w:rPr>
        <w:t> </w:t>
      </w:r>
      <w:hyperlink r:id="rId22" w:anchor=":~:text=Obviously%2C%20a%20higher%20current%20ratio,liabilities%20to%20covers%20its%20debts" w:tgtFrame="_new" w:history="1">
        <w:r w:rsidRPr="00AB276F">
          <w:rPr>
            <w:rStyle w:val="Hyperlink"/>
            <w:rFonts w:ascii="Arial" w:eastAsiaTheme="majorEastAsia" w:hAnsi="Arial" w:cs="Arial"/>
            <w:sz w:val="22"/>
            <w:szCs w:val="22"/>
          </w:rPr>
          <w:t>https://www.freshbooks.com/hub/accounting/good-liquidity-ratio#:~:text=Obviously%2C%20a%20higher%20current%20ratio,liabilities%20to%20covers%20its%20debts</w:t>
        </w:r>
      </w:hyperlink>
      <w:r w:rsidRPr="00AB276F">
        <w:rPr>
          <w:rFonts w:ascii="Arial" w:hAnsi="Arial" w:cs="Arial"/>
          <w:color w:val="000000"/>
          <w:sz w:val="22"/>
          <w:szCs w:val="22"/>
        </w:rPr>
        <w:t>. [Accessed 17 Aug. 2024].</w:t>
      </w:r>
    </w:p>
    <w:p w14:paraId="543C730A" w14:textId="77777777" w:rsidR="00AB276F" w:rsidRPr="00AB276F" w:rsidRDefault="00C53BC2" w:rsidP="00AB276F">
      <w:pPr>
        <w:rPr>
          <w:rFonts w:ascii="Arial" w:hAnsi="Arial" w:cs="Arial"/>
          <w:sz w:val="22"/>
          <w:szCs w:val="22"/>
        </w:rPr>
      </w:pPr>
      <w:r w:rsidRPr="00C53BC2">
        <w:rPr>
          <w:rFonts w:ascii="Arial" w:hAnsi="Arial" w:cs="Arial"/>
          <w:noProof/>
          <w:sz w:val="22"/>
          <w:szCs w:val="22"/>
          <w14:ligatures w14:val="standardContextual"/>
        </w:rPr>
        <w:pict w14:anchorId="14C6C149">
          <v:rect id="_x0000_i1044" alt="" style="width:451.3pt;height:.05pt;mso-width-percent:0;mso-height-percent:0;mso-width-percent:0;mso-height-percent:0" o:hralign="center" o:hrstd="t" o:hrnoshade="t" o:hr="t" fillcolor="black" stroked="f"/>
        </w:pict>
      </w:r>
    </w:p>
    <w:p w14:paraId="2E1622B9" w14:textId="77777777" w:rsidR="00AB276F" w:rsidRPr="00AB276F" w:rsidRDefault="00AB276F" w:rsidP="00AB276F">
      <w:pPr>
        <w:spacing w:before="100" w:beforeAutospacing="1" w:after="100" w:afterAutospacing="1"/>
        <w:rPr>
          <w:rFonts w:ascii="Arial" w:hAnsi="Arial" w:cs="Arial"/>
          <w:color w:val="000000"/>
          <w:sz w:val="22"/>
          <w:szCs w:val="22"/>
        </w:rPr>
      </w:pPr>
      <w:r w:rsidRPr="00AB276F">
        <w:rPr>
          <w:rFonts w:ascii="Arial" w:hAnsi="Arial" w:cs="Arial"/>
          <w:color w:val="000000"/>
          <w:sz w:val="22"/>
          <w:szCs w:val="22"/>
        </w:rPr>
        <w:lastRenderedPageBreak/>
        <w:t>Fullratio.com (2022) Quick Ratio by industry [online] Available at:</w:t>
      </w:r>
      <w:r w:rsidRPr="00AB276F">
        <w:rPr>
          <w:rStyle w:val="apple-converted-space"/>
          <w:rFonts w:ascii="Arial" w:eastAsiaTheme="majorEastAsia" w:hAnsi="Arial" w:cs="Arial"/>
          <w:color w:val="000000"/>
          <w:sz w:val="22"/>
          <w:szCs w:val="22"/>
        </w:rPr>
        <w:t> </w:t>
      </w:r>
      <w:hyperlink r:id="rId23" w:tgtFrame="_new" w:history="1">
        <w:r w:rsidRPr="00AB276F">
          <w:rPr>
            <w:rStyle w:val="Hyperlink"/>
            <w:rFonts w:ascii="Arial" w:eastAsiaTheme="majorEastAsia" w:hAnsi="Arial" w:cs="Arial"/>
            <w:sz w:val="22"/>
            <w:szCs w:val="22"/>
          </w:rPr>
          <w:t>https://fullratio.com/quick-ratio-by-industry#</w:t>
        </w:r>
      </w:hyperlink>
      <w:r w:rsidRPr="00AB276F">
        <w:rPr>
          <w:rFonts w:ascii="Arial" w:hAnsi="Arial" w:cs="Arial"/>
          <w:color w:val="000000"/>
          <w:sz w:val="22"/>
          <w:szCs w:val="22"/>
        </w:rPr>
        <w:t>[Accessed 17 Aug. 2024].</w:t>
      </w:r>
    </w:p>
    <w:p w14:paraId="223ECFC0" w14:textId="77777777" w:rsidR="00AB276F" w:rsidRPr="00AB276F" w:rsidRDefault="00C53BC2" w:rsidP="00AB276F">
      <w:pPr>
        <w:rPr>
          <w:rFonts w:ascii="Arial" w:hAnsi="Arial" w:cs="Arial"/>
          <w:sz w:val="22"/>
          <w:szCs w:val="22"/>
        </w:rPr>
      </w:pPr>
      <w:r w:rsidRPr="00C53BC2">
        <w:rPr>
          <w:rFonts w:ascii="Arial" w:hAnsi="Arial" w:cs="Arial"/>
          <w:noProof/>
          <w:sz w:val="22"/>
          <w:szCs w:val="22"/>
          <w14:ligatures w14:val="standardContextual"/>
        </w:rPr>
        <w:pict w14:anchorId="69EFB129">
          <v:rect id="_x0000_i1043" alt="" style="width:451.3pt;height:.05pt;mso-width-percent:0;mso-height-percent:0;mso-width-percent:0;mso-height-percent:0" o:hralign="center" o:hrstd="t" o:hrnoshade="t" o:hr="t" fillcolor="black" stroked="f"/>
        </w:pict>
      </w:r>
    </w:p>
    <w:p w14:paraId="5EB4C999" w14:textId="77777777" w:rsidR="00AB276F" w:rsidRPr="00AB276F" w:rsidRDefault="00AB276F" w:rsidP="00AB276F">
      <w:pPr>
        <w:spacing w:before="100" w:beforeAutospacing="1" w:after="100" w:afterAutospacing="1"/>
        <w:rPr>
          <w:rFonts w:ascii="Arial" w:hAnsi="Arial" w:cs="Arial"/>
          <w:color w:val="000000"/>
          <w:sz w:val="22"/>
          <w:szCs w:val="22"/>
        </w:rPr>
      </w:pPr>
      <w:r w:rsidRPr="00AB276F">
        <w:rPr>
          <w:rFonts w:ascii="Arial" w:hAnsi="Arial" w:cs="Arial"/>
          <w:color w:val="000000"/>
          <w:sz w:val="22"/>
          <w:szCs w:val="22"/>
        </w:rPr>
        <w:t>Gallo, A., (2015) A Refresher on Current Ratio [online] Available at:</w:t>
      </w:r>
      <w:r w:rsidRPr="00AB276F">
        <w:rPr>
          <w:rStyle w:val="apple-converted-space"/>
          <w:rFonts w:ascii="Arial" w:eastAsiaTheme="majorEastAsia" w:hAnsi="Arial" w:cs="Arial"/>
          <w:color w:val="000000"/>
          <w:sz w:val="22"/>
          <w:szCs w:val="22"/>
        </w:rPr>
        <w:t> </w:t>
      </w:r>
      <w:hyperlink r:id="rId24" w:tgtFrame="_new" w:history="1">
        <w:r w:rsidRPr="00AB276F">
          <w:rPr>
            <w:rStyle w:val="Hyperlink"/>
            <w:rFonts w:ascii="Arial" w:eastAsiaTheme="majorEastAsia" w:hAnsi="Arial" w:cs="Arial"/>
            <w:sz w:val="22"/>
            <w:szCs w:val="22"/>
          </w:rPr>
          <w:t>https://hbr.org/2015/09/a-refresher-on-current-ratio</w:t>
        </w:r>
      </w:hyperlink>
      <w:r w:rsidRPr="00AB276F">
        <w:rPr>
          <w:rStyle w:val="apple-converted-space"/>
          <w:rFonts w:ascii="Arial" w:eastAsiaTheme="majorEastAsia" w:hAnsi="Arial" w:cs="Arial"/>
          <w:color w:val="000000"/>
          <w:sz w:val="22"/>
          <w:szCs w:val="22"/>
        </w:rPr>
        <w:t> </w:t>
      </w:r>
      <w:r w:rsidRPr="00AB276F">
        <w:rPr>
          <w:rFonts w:ascii="Arial" w:hAnsi="Arial" w:cs="Arial"/>
          <w:color w:val="000000"/>
          <w:sz w:val="22"/>
          <w:szCs w:val="22"/>
        </w:rPr>
        <w:t>[Accessed 15 Aug. 2024].</w:t>
      </w:r>
    </w:p>
    <w:p w14:paraId="58A6CC0C" w14:textId="77777777" w:rsidR="00AB276F" w:rsidRPr="00AB276F" w:rsidRDefault="00C53BC2" w:rsidP="00AB276F">
      <w:pPr>
        <w:rPr>
          <w:rFonts w:ascii="Arial" w:hAnsi="Arial" w:cs="Arial"/>
          <w:sz w:val="22"/>
          <w:szCs w:val="22"/>
        </w:rPr>
      </w:pPr>
      <w:r w:rsidRPr="00C53BC2">
        <w:rPr>
          <w:rFonts w:ascii="Arial" w:hAnsi="Arial" w:cs="Arial"/>
          <w:noProof/>
          <w:sz w:val="22"/>
          <w:szCs w:val="22"/>
          <w14:ligatures w14:val="standardContextual"/>
        </w:rPr>
        <w:pict w14:anchorId="14CBFFEA">
          <v:rect id="_x0000_i1042" alt="" style="width:451.3pt;height:.05pt;mso-width-percent:0;mso-height-percent:0;mso-width-percent:0;mso-height-percent:0" o:hralign="center" o:hrstd="t" o:hrnoshade="t" o:hr="t" fillcolor="black" stroked="f"/>
        </w:pict>
      </w:r>
    </w:p>
    <w:p w14:paraId="11EEBD8E" w14:textId="77777777" w:rsidR="00AB276F" w:rsidRPr="00AB276F" w:rsidRDefault="00AB276F" w:rsidP="00AB276F">
      <w:pPr>
        <w:spacing w:before="100" w:beforeAutospacing="1" w:after="100" w:afterAutospacing="1"/>
        <w:rPr>
          <w:rFonts w:ascii="Arial" w:hAnsi="Arial" w:cs="Arial"/>
          <w:color w:val="000000"/>
          <w:sz w:val="22"/>
          <w:szCs w:val="22"/>
        </w:rPr>
      </w:pPr>
      <w:r w:rsidRPr="00AB276F">
        <w:rPr>
          <w:rFonts w:ascii="Arial" w:hAnsi="Arial" w:cs="Arial"/>
          <w:color w:val="000000"/>
          <w:sz w:val="22"/>
          <w:szCs w:val="22"/>
        </w:rPr>
        <w:t>Gallagher, T.J. and Andrew, J.D., (2007) Financial Management: Principles and Practice. 5th ed. Upper Saddle River: Prentice Hall.</w:t>
      </w:r>
    </w:p>
    <w:p w14:paraId="0EEAB839" w14:textId="77777777" w:rsidR="00AB276F" w:rsidRPr="00AB276F" w:rsidRDefault="00C53BC2" w:rsidP="00AB276F">
      <w:pPr>
        <w:rPr>
          <w:rFonts w:ascii="Arial" w:hAnsi="Arial" w:cs="Arial"/>
          <w:sz w:val="22"/>
          <w:szCs w:val="22"/>
        </w:rPr>
      </w:pPr>
      <w:r w:rsidRPr="00C53BC2">
        <w:rPr>
          <w:rFonts w:ascii="Arial" w:hAnsi="Arial" w:cs="Arial"/>
          <w:noProof/>
          <w:sz w:val="22"/>
          <w:szCs w:val="22"/>
          <w14:ligatures w14:val="standardContextual"/>
        </w:rPr>
        <w:pict w14:anchorId="250798BD">
          <v:rect id="_x0000_i1041" alt="" style="width:451.3pt;height:.05pt;mso-width-percent:0;mso-height-percent:0;mso-width-percent:0;mso-height-percent:0" o:hralign="center" o:hrstd="t" o:hrnoshade="t" o:hr="t" fillcolor="black" stroked="f"/>
        </w:pict>
      </w:r>
    </w:p>
    <w:p w14:paraId="5DAA08B2" w14:textId="77777777" w:rsidR="00AB276F" w:rsidRPr="00AB276F" w:rsidRDefault="00AB276F" w:rsidP="00AB276F">
      <w:pPr>
        <w:spacing w:before="100" w:beforeAutospacing="1" w:after="100" w:afterAutospacing="1"/>
        <w:rPr>
          <w:rFonts w:ascii="Arial" w:hAnsi="Arial" w:cs="Arial"/>
          <w:color w:val="000000"/>
          <w:sz w:val="22"/>
          <w:szCs w:val="22"/>
        </w:rPr>
      </w:pPr>
      <w:r w:rsidRPr="00AB276F">
        <w:rPr>
          <w:rFonts w:ascii="Arial" w:hAnsi="Arial" w:cs="Arial"/>
          <w:color w:val="000000"/>
          <w:sz w:val="22"/>
          <w:szCs w:val="22"/>
        </w:rPr>
        <w:t>Hl.co.uk (2024) Tesco PLC [online] Available at:</w:t>
      </w:r>
      <w:r w:rsidRPr="00AB276F">
        <w:rPr>
          <w:rStyle w:val="apple-converted-space"/>
          <w:rFonts w:ascii="Arial" w:eastAsiaTheme="majorEastAsia" w:hAnsi="Arial" w:cs="Arial"/>
          <w:color w:val="000000"/>
          <w:sz w:val="22"/>
          <w:szCs w:val="22"/>
        </w:rPr>
        <w:t> </w:t>
      </w:r>
      <w:hyperlink r:id="rId25" w:tgtFrame="_new" w:history="1">
        <w:r w:rsidRPr="00AB276F">
          <w:rPr>
            <w:rStyle w:val="Hyperlink"/>
            <w:rFonts w:ascii="Arial" w:eastAsiaTheme="majorEastAsia" w:hAnsi="Arial" w:cs="Arial"/>
            <w:sz w:val="22"/>
            <w:szCs w:val="22"/>
          </w:rPr>
          <w:t>https://www.hl.co.uk/shares/shares-search-results/t/tesco-plc-ordinary-6.333p/financial-statements-and-reports</w:t>
        </w:r>
      </w:hyperlink>
      <w:r w:rsidRPr="00AB276F">
        <w:rPr>
          <w:rStyle w:val="apple-converted-space"/>
          <w:rFonts w:ascii="Arial" w:eastAsiaTheme="majorEastAsia" w:hAnsi="Arial" w:cs="Arial"/>
          <w:color w:val="000000"/>
          <w:sz w:val="22"/>
          <w:szCs w:val="22"/>
        </w:rPr>
        <w:t> </w:t>
      </w:r>
      <w:r w:rsidRPr="00AB276F">
        <w:rPr>
          <w:rFonts w:ascii="Arial" w:hAnsi="Arial" w:cs="Arial"/>
          <w:color w:val="000000"/>
          <w:sz w:val="22"/>
          <w:szCs w:val="22"/>
        </w:rPr>
        <w:t>[Accessed 15 Aug. 2024].</w:t>
      </w:r>
    </w:p>
    <w:p w14:paraId="5F1C7206" w14:textId="77777777" w:rsidR="00AB276F" w:rsidRPr="00AB276F" w:rsidRDefault="00C53BC2" w:rsidP="00AB276F">
      <w:pPr>
        <w:rPr>
          <w:rFonts w:ascii="Arial" w:hAnsi="Arial" w:cs="Arial"/>
          <w:sz w:val="22"/>
          <w:szCs w:val="22"/>
        </w:rPr>
      </w:pPr>
      <w:r w:rsidRPr="00C53BC2">
        <w:rPr>
          <w:rFonts w:ascii="Arial" w:hAnsi="Arial" w:cs="Arial"/>
          <w:noProof/>
          <w:sz w:val="22"/>
          <w:szCs w:val="22"/>
          <w14:ligatures w14:val="standardContextual"/>
        </w:rPr>
        <w:pict w14:anchorId="44CA682C">
          <v:rect id="_x0000_i1040" alt="" style="width:451.3pt;height:.05pt;mso-width-percent:0;mso-height-percent:0;mso-width-percent:0;mso-height-percent:0" o:hralign="center" o:hrstd="t" o:hrnoshade="t" o:hr="t" fillcolor="black" stroked="f"/>
        </w:pict>
      </w:r>
    </w:p>
    <w:p w14:paraId="614F3675" w14:textId="77777777" w:rsidR="00AB276F" w:rsidRPr="00AB276F" w:rsidRDefault="00AB276F" w:rsidP="00AB276F">
      <w:pPr>
        <w:spacing w:before="100" w:beforeAutospacing="1" w:after="100" w:afterAutospacing="1"/>
        <w:rPr>
          <w:rFonts w:ascii="Arial" w:hAnsi="Arial" w:cs="Arial"/>
          <w:color w:val="000000"/>
          <w:sz w:val="22"/>
          <w:szCs w:val="22"/>
        </w:rPr>
      </w:pPr>
      <w:r w:rsidRPr="00AB276F">
        <w:rPr>
          <w:rFonts w:ascii="Arial" w:hAnsi="Arial" w:cs="Arial"/>
          <w:color w:val="000000"/>
          <w:sz w:val="22"/>
          <w:szCs w:val="22"/>
        </w:rPr>
        <w:t>Hunt, D., (2024) Tesco's Accounting Scandal: a Cautionary Tale for the Deal Economy [online] Available at:</w:t>
      </w:r>
      <w:r w:rsidRPr="00AB276F">
        <w:rPr>
          <w:rStyle w:val="apple-converted-space"/>
          <w:rFonts w:ascii="Arial" w:eastAsiaTheme="majorEastAsia" w:hAnsi="Arial" w:cs="Arial"/>
          <w:color w:val="000000"/>
          <w:sz w:val="22"/>
          <w:szCs w:val="22"/>
        </w:rPr>
        <w:t> </w:t>
      </w:r>
      <w:hyperlink r:id="rId26" w:tgtFrame="_new" w:history="1">
        <w:r w:rsidRPr="00AB276F">
          <w:rPr>
            <w:rStyle w:val="Hyperlink"/>
            <w:rFonts w:ascii="Arial" w:eastAsiaTheme="majorEastAsia" w:hAnsi="Arial" w:cs="Arial"/>
            <w:sz w:val="22"/>
            <w:szCs w:val="22"/>
          </w:rPr>
          <w:t>https://enable.com/blog/tescos-accounting-scandal-a-cautionary-tale-for-the-deal-economy</w:t>
        </w:r>
      </w:hyperlink>
      <w:r w:rsidRPr="00AB276F">
        <w:rPr>
          <w:rStyle w:val="apple-converted-space"/>
          <w:rFonts w:ascii="Arial" w:eastAsiaTheme="majorEastAsia" w:hAnsi="Arial" w:cs="Arial"/>
          <w:color w:val="000000"/>
          <w:sz w:val="22"/>
          <w:szCs w:val="22"/>
        </w:rPr>
        <w:t> </w:t>
      </w:r>
      <w:r w:rsidRPr="00AB276F">
        <w:rPr>
          <w:rFonts w:ascii="Arial" w:hAnsi="Arial" w:cs="Arial"/>
          <w:color w:val="000000"/>
          <w:sz w:val="22"/>
          <w:szCs w:val="22"/>
        </w:rPr>
        <w:t>[Accessed 11 Aug. 2024].</w:t>
      </w:r>
    </w:p>
    <w:p w14:paraId="36E8FE05" w14:textId="77777777" w:rsidR="00AB276F" w:rsidRPr="00AB276F" w:rsidRDefault="00C53BC2" w:rsidP="00AB276F">
      <w:pPr>
        <w:rPr>
          <w:rFonts w:ascii="Arial" w:hAnsi="Arial" w:cs="Arial"/>
          <w:sz w:val="22"/>
          <w:szCs w:val="22"/>
        </w:rPr>
      </w:pPr>
      <w:r w:rsidRPr="00C53BC2">
        <w:rPr>
          <w:rFonts w:ascii="Arial" w:hAnsi="Arial" w:cs="Arial"/>
          <w:noProof/>
          <w:sz w:val="22"/>
          <w:szCs w:val="22"/>
          <w14:ligatures w14:val="standardContextual"/>
        </w:rPr>
        <w:pict w14:anchorId="5B109BCE">
          <v:rect id="_x0000_i1039" alt="" style="width:451.3pt;height:.05pt;mso-width-percent:0;mso-height-percent:0;mso-width-percent:0;mso-height-percent:0" o:hralign="center" o:hrstd="t" o:hrnoshade="t" o:hr="t" fillcolor="black" stroked="f"/>
        </w:pict>
      </w:r>
    </w:p>
    <w:p w14:paraId="2365E5A7" w14:textId="77777777" w:rsidR="00AB276F" w:rsidRPr="00AB276F" w:rsidRDefault="00AB276F" w:rsidP="00AB276F">
      <w:pPr>
        <w:spacing w:before="100" w:beforeAutospacing="1" w:after="100" w:afterAutospacing="1"/>
        <w:rPr>
          <w:rFonts w:ascii="Arial" w:hAnsi="Arial" w:cs="Arial"/>
          <w:color w:val="000000"/>
          <w:sz w:val="22"/>
          <w:szCs w:val="22"/>
        </w:rPr>
      </w:pPr>
      <w:proofErr w:type="spellStart"/>
      <w:r w:rsidRPr="00AB276F">
        <w:rPr>
          <w:rFonts w:ascii="Arial" w:hAnsi="Arial" w:cs="Arial"/>
          <w:color w:val="000000"/>
          <w:sz w:val="22"/>
          <w:szCs w:val="22"/>
        </w:rPr>
        <w:t>İnal</w:t>
      </w:r>
      <w:proofErr w:type="spellEnd"/>
      <w:r w:rsidRPr="00AB276F">
        <w:rPr>
          <w:rFonts w:ascii="Arial" w:hAnsi="Arial" w:cs="Arial"/>
          <w:color w:val="000000"/>
          <w:sz w:val="22"/>
          <w:szCs w:val="22"/>
        </w:rPr>
        <w:t>, İ.H., (2023) The Strategist's Financial Management Handbook. Ankara: Nobel Academic Publishing.</w:t>
      </w:r>
    </w:p>
    <w:p w14:paraId="1727F75C" w14:textId="77777777" w:rsidR="00AB276F" w:rsidRPr="00AB276F" w:rsidRDefault="00C53BC2" w:rsidP="00AB276F">
      <w:pPr>
        <w:rPr>
          <w:rFonts w:ascii="Arial" w:hAnsi="Arial" w:cs="Arial"/>
          <w:sz w:val="22"/>
          <w:szCs w:val="22"/>
        </w:rPr>
      </w:pPr>
      <w:r w:rsidRPr="00C53BC2">
        <w:rPr>
          <w:rFonts w:ascii="Arial" w:hAnsi="Arial" w:cs="Arial"/>
          <w:noProof/>
          <w:sz w:val="22"/>
          <w:szCs w:val="22"/>
          <w14:ligatures w14:val="standardContextual"/>
        </w:rPr>
        <w:pict w14:anchorId="37067030">
          <v:rect id="_x0000_i1038" alt="" style="width:451.3pt;height:.05pt;mso-width-percent:0;mso-height-percent:0;mso-width-percent:0;mso-height-percent:0" o:hralign="center" o:hrstd="t" o:hrnoshade="t" o:hr="t" fillcolor="black" stroked="f"/>
        </w:pict>
      </w:r>
    </w:p>
    <w:p w14:paraId="73494708" w14:textId="77777777" w:rsidR="00AB276F" w:rsidRPr="00AB276F" w:rsidRDefault="00AB276F" w:rsidP="00AB276F">
      <w:pPr>
        <w:spacing w:before="100" w:beforeAutospacing="1" w:after="100" w:afterAutospacing="1"/>
        <w:rPr>
          <w:rFonts w:ascii="Arial" w:hAnsi="Arial" w:cs="Arial"/>
          <w:color w:val="000000"/>
          <w:sz w:val="22"/>
          <w:szCs w:val="22"/>
        </w:rPr>
      </w:pPr>
      <w:r w:rsidRPr="00AB276F">
        <w:rPr>
          <w:rFonts w:ascii="Arial" w:hAnsi="Arial" w:cs="Arial"/>
          <w:color w:val="000000"/>
          <w:sz w:val="22"/>
          <w:szCs w:val="22"/>
        </w:rPr>
        <w:t xml:space="preserve">Ippolito, F., </w:t>
      </w:r>
      <w:proofErr w:type="spellStart"/>
      <w:r w:rsidRPr="00AB276F">
        <w:rPr>
          <w:rFonts w:ascii="Arial" w:hAnsi="Arial" w:cs="Arial"/>
          <w:color w:val="000000"/>
          <w:sz w:val="22"/>
          <w:szCs w:val="22"/>
        </w:rPr>
        <w:t>Steri</w:t>
      </w:r>
      <w:proofErr w:type="spellEnd"/>
      <w:r w:rsidRPr="00AB276F">
        <w:rPr>
          <w:rFonts w:ascii="Arial" w:hAnsi="Arial" w:cs="Arial"/>
          <w:color w:val="000000"/>
          <w:sz w:val="22"/>
          <w:szCs w:val="22"/>
        </w:rPr>
        <w:t>, R., Tebaldi, C. and Villa, A.T. (2022) Levered Returns and Capital Structure Imbalances. [online] Available at: &lt;URL&gt; [Accessed 19 Aug. 2024].</w:t>
      </w:r>
    </w:p>
    <w:p w14:paraId="5D36EA1A" w14:textId="77777777" w:rsidR="00AB276F" w:rsidRPr="00AB276F" w:rsidRDefault="00C53BC2" w:rsidP="00AB276F">
      <w:pPr>
        <w:rPr>
          <w:rFonts w:ascii="Arial" w:hAnsi="Arial" w:cs="Arial"/>
          <w:sz w:val="22"/>
          <w:szCs w:val="22"/>
        </w:rPr>
      </w:pPr>
      <w:r w:rsidRPr="00C53BC2">
        <w:rPr>
          <w:rFonts w:ascii="Arial" w:hAnsi="Arial" w:cs="Arial"/>
          <w:noProof/>
          <w:sz w:val="22"/>
          <w:szCs w:val="22"/>
          <w14:ligatures w14:val="standardContextual"/>
        </w:rPr>
        <w:pict w14:anchorId="159B9456">
          <v:rect id="_x0000_i1037" alt="" style="width:451.3pt;height:.05pt;mso-width-percent:0;mso-height-percent:0;mso-width-percent:0;mso-height-percent:0" o:hralign="center" o:hrstd="t" o:hrnoshade="t" o:hr="t" fillcolor="black" stroked="f"/>
        </w:pict>
      </w:r>
    </w:p>
    <w:p w14:paraId="1EBFCC60" w14:textId="77777777" w:rsidR="00AB276F" w:rsidRPr="00AB276F" w:rsidRDefault="00AB276F" w:rsidP="00AB276F">
      <w:pPr>
        <w:spacing w:before="100" w:beforeAutospacing="1" w:after="100" w:afterAutospacing="1"/>
        <w:rPr>
          <w:rFonts w:ascii="Arial" w:hAnsi="Arial" w:cs="Arial"/>
          <w:color w:val="000000"/>
          <w:sz w:val="22"/>
          <w:szCs w:val="22"/>
        </w:rPr>
      </w:pPr>
      <w:r w:rsidRPr="00AB276F">
        <w:rPr>
          <w:rFonts w:ascii="Arial" w:hAnsi="Arial" w:cs="Arial"/>
          <w:color w:val="000000"/>
          <w:sz w:val="22"/>
          <w:szCs w:val="22"/>
        </w:rPr>
        <w:t>Markets.ft.com, (2024) Financial Times – Equities – Tesco PLC [online] Available at:</w:t>
      </w:r>
      <w:r w:rsidRPr="00AB276F">
        <w:rPr>
          <w:rStyle w:val="apple-converted-space"/>
          <w:rFonts w:ascii="Arial" w:eastAsiaTheme="majorEastAsia" w:hAnsi="Arial" w:cs="Arial"/>
          <w:color w:val="000000"/>
          <w:sz w:val="22"/>
          <w:szCs w:val="22"/>
        </w:rPr>
        <w:t> </w:t>
      </w:r>
      <w:hyperlink r:id="rId27" w:tgtFrame="_new" w:history="1">
        <w:r w:rsidRPr="00AB276F">
          <w:rPr>
            <w:rStyle w:val="Hyperlink"/>
            <w:rFonts w:ascii="Arial" w:eastAsiaTheme="majorEastAsia" w:hAnsi="Arial" w:cs="Arial"/>
            <w:sz w:val="22"/>
            <w:szCs w:val="22"/>
          </w:rPr>
          <w:t>https://markets.ft.com/data/equities/tearsheet/summary?s=TSCO:LSE</w:t>
        </w:r>
      </w:hyperlink>
      <w:r w:rsidRPr="00AB276F">
        <w:rPr>
          <w:rStyle w:val="apple-converted-space"/>
          <w:rFonts w:ascii="Arial" w:eastAsiaTheme="majorEastAsia" w:hAnsi="Arial" w:cs="Arial"/>
          <w:color w:val="000000"/>
          <w:sz w:val="22"/>
          <w:szCs w:val="22"/>
        </w:rPr>
        <w:t> </w:t>
      </w:r>
      <w:r w:rsidRPr="00AB276F">
        <w:rPr>
          <w:rFonts w:ascii="Arial" w:hAnsi="Arial" w:cs="Arial"/>
          <w:color w:val="000000"/>
          <w:sz w:val="22"/>
          <w:szCs w:val="22"/>
        </w:rPr>
        <w:t>[Accessed 11 Aug. 2024].</w:t>
      </w:r>
    </w:p>
    <w:p w14:paraId="3F104C0D" w14:textId="77777777" w:rsidR="00AB276F" w:rsidRPr="00AB276F" w:rsidRDefault="00C53BC2" w:rsidP="00AB276F">
      <w:pPr>
        <w:rPr>
          <w:rFonts w:ascii="Arial" w:hAnsi="Arial" w:cs="Arial"/>
          <w:sz w:val="22"/>
          <w:szCs w:val="22"/>
        </w:rPr>
      </w:pPr>
      <w:r w:rsidRPr="00C53BC2">
        <w:rPr>
          <w:rFonts w:ascii="Arial" w:hAnsi="Arial" w:cs="Arial"/>
          <w:noProof/>
          <w:sz w:val="22"/>
          <w:szCs w:val="22"/>
          <w14:ligatures w14:val="standardContextual"/>
        </w:rPr>
        <w:pict w14:anchorId="0E9A9074">
          <v:rect id="_x0000_i1036" alt="" style="width:451.3pt;height:.05pt;mso-width-percent:0;mso-height-percent:0;mso-width-percent:0;mso-height-percent:0" o:hralign="center" o:hrstd="t" o:hrnoshade="t" o:hr="t" fillcolor="black" stroked="f"/>
        </w:pict>
      </w:r>
    </w:p>
    <w:p w14:paraId="6F426C01" w14:textId="77777777" w:rsidR="00AB276F" w:rsidRPr="00AB276F" w:rsidRDefault="00AB276F" w:rsidP="00AB276F">
      <w:pPr>
        <w:spacing w:before="100" w:beforeAutospacing="1" w:after="100" w:afterAutospacing="1"/>
        <w:rPr>
          <w:rFonts w:ascii="Arial" w:hAnsi="Arial" w:cs="Arial"/>
          <w:color w:val="000000"/>
          <w:sz w:val="22"/>
          <w:szCs w:val="22"/>
        </w:rPr>
      </w:pPr>
      <w:r w:rsidRPr="00AB276F">
        <w:rPr>
          <w:rFonts w:ascii="Arial" w:hAnsi="Arial" w:cs="Arial"/>
          <w:color w:val="000000"/>
          <w:sz w:val="22"/>
          <w:szCs w:val="22"/>
        </w:rPr>
        <w:t>Marketscenner.com (2024) Tesco PLC [online] Available at:</w:t>
      </w:r>
      <w:r w:rsidRPr="00AB276F">
        <w:rPr>
          <w:rStyle w:val="apple-converted-space"/>
          <w:rFonts w:ascii="Arial" w:eastAsiaTheme="majorEastAsia" w:hAnsi="Arial" w:cs="Arial"/>
          <w:color w:val="000000"/>
          <w:sz w:val="22"/>
          <w:szCs w:val="22"/>
        </w:rPr>
        <w:t> </w:t>
      </w:r>
      <w:hyperlink r:id="rId28" w:tgtFrame="_new" w:history="1">
        <w:r w:rsidRPr="00AB276F">
          <w:rPr>
            <w:rStyle w:val="Hyperlink"/>
            <w:rFonts w:ascii="Arial" w:eastAsiaTheme="majorEastAsia" w:hAnsi="Arial" w:cs="Arial"/>
            <w:sz w:val="22"/>
            <w:szCs w:val="22"/>
          </w:rPr>
          <w:t>https://www.marketscreener.com/quote/stock/TESCO-PLC-4000540/news/Tesco-Annual-Report-and-Financial-Statements-2023-24-46718100/</w:t>
        </w:r>
      </w:hyperlink>
      <w:r w:rsidRPr="00AB276F">
        <w:rPr>
          <w:rStyle w:val="apple-converted-space"/>
          <w:rFonts w:ascii="Arial" w:eastAsiaTheme="majorEastAsia" w:hAnsi="Arial" w:cs="Arial"/>
          <w:color w:val="000000"/>
          <w:sz w:val="22"/>
          <w:szCs w:val="22"/>
        </w:rPr>
        <w:t> </w:t>
      </w:r>
      <w:r w:rsidRPr="00AB276F">
        <w:rPr>
          <w:rFonts w:ascii="Arial" w:hAnsi="Arial" w:cs="Arial"/>
          <w:color w:val="000000"/>
          <w:sz w:val="22"/>
          <w:szCs w:val="22"/>
        </w:rPr>
        <w:t>[Accessed 15 Aug. 2024].</w:t>
      </w:r>
    </w:p>
    <w:p w14:paraId="62366809" w14:textId="77777777" w:rsidR="00AB276F" w:rsidRPr="00AB276F" w:rsidRDefault="00C53BC2" w:rsidP="00AB276F">
      <w:pPr>
        <w:rPr>
          <w:rFonts w:ascii="Arial" w:hAnsi="Arial" w:cs="Arial"/>
          <w:sz w:val="22"/>
          <w:szCs w:val="22"/>
        </w:rPr>
      </w:pPr>
      <w:r w:rsidRPr="00C53BC2">
        <w:rPr>
          <w:rFonts w:ascii="Arial" w:hAnsi="Arial" w:cs="Arial"/>
          <w:noProof/>
          <w:sz w:val="22"/>
          <w:szCs w:val="22"/>
          <w14:ligatures w14:val="standardContextual"/>
        </w:rPr>
        <w:pict w14:anchorId="2B6E40F3">
          <v:rect id="_x0000_i1035" alt="" style="width:451.3pt;height:.05pt;mso-width-percent:0;mso-height-percent:0;mso-width-percent:0;mso-height-percent:0" o:hralign="center" o:hrstd="t" o:hrnoshade="t" o:hr="t" fillcolor="black" stroked="f"/>
        </w:pict>
      </w:r>
    </w:p>
    <w:p w14:paraId="5C41FCE8" w14:textId="77777777" w:rsidR="00AB276F" w:rsidRPr="00AB276F" w:rsidRDefault="00AB276F" w:rsidP="00AB276F">
      <w:pPr>
        <w:spacing w:before="100" w:beforeAutospacing="1" w:after="100" w:afterAutospacing="1"/>
        <w:rPr>
          <w:rFonts w:ascii="Arial" w:hAnsi="Arial" w:cs="Arial"/>
          <w:color w:val="000000"/>
          <w:sz w:val="22"/>
          <w:szCs w:val="22"/>
        </w:rPr>
      </w:pPr>
      <w:r w:rsidRPr="00AB276F">
        <w:rPr>
          <w:rFonts w:ascii="Arial" w:hAnsi="Arial" w:cs="Arial"/>
          <w:color w:val="000000"/>
          <w:sz w:val="22"/>
          <w:szCs w:val="22"/>
        </w:rPr>
        <w:t>Modigliani, F. and Miller, M.H., (1963) Corporate Income Taxes and the Cost of Capital: A Correction. The American Economic Review, 53(3), pp.433-443.</w:t>
      </w:r>
    </w:p>
    <w:p w14:paraId="6A902FBD" w14:textId="77777777" w:rsidR="00AB276F" w:rsidRPr="00AB276F" w:rsidRDefault="00C53BC2" w:rsidP="00AB276F">
      <w:pPr>
        <w:rPr>
          <w:rFonts w:ascii="Arial" w:hAnsi="Arial" w:cs="Arial"/>
          <w:sz w:val="22"/>
          <w:szCs w:val="22"/>
        </w:rPr>
      </w:pPr>
      <w:r w:rsidRPr="00C53BC2">
        <w:rPr>
          <w:rFonts w:ascii="Arial" w:hAnsi="Arial" w:cs="Arial"/>
          <w:noProof/>
          <w:sz w:val="22"/>
          <w:szCs w:val="22"/>
          <w14:ligatures w14:val="standardContextual"/>
        </w:rPr>
        <w:pict w14:anchorId="135616DE">
          <v:rect id="_x0000_i1034" alt="" style="width:451.3pt;height:.05pt;mso-width-percent:0;mso-height-percent:0;mso-width-percent:0;mso-height-percent:0" o:hralign="center" o:hrstd="t" o:hrnoshade="t" o:hr="t" fillcolor="black" stroked="f"/>
        </w:pict>
      </w:r>
    </w:p>
    <w:p w14:paraId="38844F3C" w14:textId="77777777" w:rsidR="00AB276F" w:rsidRPr="00AB276F" w:rsidRDefault="00AB276F" w:rsidP="00AB276F">
      <w:pPr>
        <w:spacing w:before="100" w:beforeAutospacing="1" w:after="100" w:afterAutospacing="1"/>
        <w:rPr>
          <w:rFonts w:ascii="Arial" w:hAnsi="Arial" w:cs="Arial"/>
          <w:color w:val="000000"/>
          <w:sz w:val="22"/>
          <w:szCs w:val="22"/>
        </w:rPr>
      </w:pPr>
      <w:r w:rsidRPr="00AB276F">
        <w:rPr>
          <w:rFonts w:ascii="Arial" w:hAnsi="Arial" w:cs="Arial"/>
          <w:color w:val="000000"/>
          <w:sz w:val="22"/>
          <w:szCs w:val="22"/>
        </w:rPr>
        <w:lastRenderedPageBreak/>
        <w:t xml:space="preserve">Modigliani, F. &amp; Miller, M.H., (2016) Capital Structure. In E. Baker, G. </w:t>
      </w:r>
      <w:proofErr w:type="spellStart"/>
      <w:r w:rsidRPr="00AB276F">
        <w:rPr>
          <w:rFonts w:ascii="Arial" w:hAnsi="Arial" w:cs="Arial"/>
          <w:color w:val="000000"/>
          <w:sz w:val="22"/>
          <w:szCs w:val="22"/>
        </w:rPr>
        <w:t>Filbeck</w:t>
      </w:r>
      <w:proofErr w:type="spellEnd"/>
      <w:r w:rsidRPr="00AB276F">
        <w:rPr>
          <w:rFonts w:ascii="Arial" w:hAnsi="Arial" w:cs="Arial"/>
          <w:color w:val="000000"/>
          <w:sz w:val="22"/>
          <w:szCs w:val="22"/>
        </w:rPr>
        <w:t xml:space="preserve">, &amp; J. Harris (Eds.), Financial </w:t>
      </w:r>
      <w:proofErr w:type="spellStart"/>
      <w:r w:rsidRPr="00AB276F">
        <w:rPr>
          <w:rFonts w:ascii="Arial" w:hAnsi="Arial" w:cs="Arial"/>
          <w:color w:val="000000"/>
          <w:sz w:val="22"/>
          <w:szCs w:val="22"/>
        </w:rPr>
        <w:t>Behavior</w:t>
      </w:r>
      <w:proofErr w:type="spellEnd"/>
      <w:r w:rsidRPr="00AB276F">
        <w:rPr>
          <w:rFonts w:ascii="Arial" w:hAnsi="Arial" w:cs="Arial"/>
          <w:color w:val="000000"/>
          <w:sz w:val="22"/>
          <w:szCs w:val="22"/>
        </w:rPr>
        <w:t>: Players, Services, Products, and Markets. Hoboken: Wiley. Available at:</w:t>
      </w:r>
      <w:r w:rsidRPr="00AB276F">
        <w:rPr>
          <w:rStyle w:val="apple-converted-space"/>
          <w:rFonts w:ascii="Arial" w:eastAsiaTheme="majorEastAsia" w:hAnsi="Arial" w:cs="Arial"/>
          <w:color w:val="000000"/>
          <w:sz w:val="22"/>
          <w:szCs w:val="22"/>
        </w:rPr>
        <w:t> </w:t>
      </w:r>
      <w:hyperlink r:id="rId29" w:anchor=":~:text=M%26M%20referred%20to%20capital%20structure,268" w:tgtFrame="_new" w:history="1">
        <w:r w:rsidRPr="00AB276F">
          <w:rPr>
            <w:rStyle w:val="Hyperlink"/>
            <w:rFonts w:ascii="Arial" w:eastAsiaTheme="majorEastAsia" w:hAnsi="Arial" w:cs="Arial"/>
            <w:sz w:val="22"/>
            <w:szCs w:val="22"/>
          </w:rPr>
          <w:t>https://onlinelibrary.wiley.com/doi/pdf/10.1002/9781119201243.app1#:~:text=M%26M%20referred%20to%20capital%20structure,268</w:t>
        </w:r>
      </w:hyperlink>
      <w:r w:rsidRPr="00AB276F">
        <w:rPr>
          <w:rFonts w:ascii="Arial" w:hAnsi="Arial" w:cs="Arial"/>
          <w:color w:val="000000"/>
          <w:sz w:val="22"/>
          <w:szCs w:val="22"/>
        </w:rPr>
        <w:t>). [Accessed 18 Aug. 2024].</w:t>
      </w:r>
    </w:p>
    <w:p w14:paraId="46E08803" w14:textId="77777777" w:rsidR="00AB276F" w:rsidRPr="00AB276F" w:rsidRDefault="00C53BC2" w:rsidP="00AB276F">
      <w:pPr>
        <w:rPr>
          <w:rFonts w:ascii="Arial" w:hAnsi="Arial" w:cs="Arial"/>
          <w:sz w:val="22"/>
          <w:szCs w:val="22"/>
        </w:rPr>
      </w:pPr>
      <w:r w:rsidRPr="00C53BC2">
        <w:rPr>
          <w:rFonts w:ascii="Arial" w:hAnsi="Arial" w:cs="Arial"/>
          <w:noProof/>
          <w:sz w:val="22"/>
          <w:szCs w:val="22"/>
          <w14:ligatures w14:val="standardContextual"/>
        </w:rPr>
        <w:pict w14:anchorId="6978352D">
          <v:rect id="_x0000_i1033" alt="" style="width:451.3pt;height:.05pt;mso-width-percent:0;mso-height-percent:0;mso-width-percent:0;mso-height-percent:0" o:hralign="center" o:hrstd="t" o:hrnoshade="t" o:hr="t" fillcolor="black" stroked="f"/>
        </w:pict>
      </w:r>
    </w:p>
    <w:p w14:paraId="2ECEC56A" w14:textId="77777777" w:rsidR="00AB276F" w:rsidRPr="00AB276F" w:rsidRDefault="00AB276F" w:rsidP="00AB276F">
      <w:pPr>
        <w:spacing w:before="100" w:beforeAutospacing="1" w:after="100" w:afterAutospacing="1"/>
        <w:rPr>
          <w:rFonts w:ascii="Arial" w:hAnsi="Arial" w:cs="Arial"/>
          <w:color w:val="000000"/>
          <w:sz w:val="22"/>
          <w:szCs w:val="22"/>
        </w:rPr>
      </w:pPr>
      <w:r w:rsidRPr="00AB276F">
        <w:rPr>
          <w:rFonts w:ascii="Arial" w:hAnsi="Arial" w:cs="Arial"/>
          <w:color w:val="000000"/>
          <w:sz w:val="22"/>
          <w:szCs w:val="22"/>
        </w:rPr>
        <w:t xml:space="preserve">Myers, S.C. and </w:t>
      </w:r>
      <w:proofErr w:type="spellStart"/>
      <w:r w:rsidRPr="00AB276F">
        <w:rPr>
          <w:rFonts w:ascii="Arial" w:hAnsi="Arial" w:cs="Arial"/>
          <w:color w:val="000000"/>
          <w:sz w:val="22"/>
          <w:szCs w:val="22"/>
        </w:rPr>
        <w:t>Majluf</w:t>
      </w:r>
      <w:proofErr w:type="spellEnd"/>
      <w:r w:rsidRPr="00AB276F">
        <w:rPr>
          <w:rFonts w:ascii="Arial" w:hAnsi="Arial" w:cs="Arial"/>
          <w:color w:val="000000"/>
          <w:sz w:val="22"/>
          <w:szCs w:val="22"/>
        </w:rPr>
        <w:t>, N.S., (1984) Corporate Financing and Investment Decisions When Firms Have Information That Investors Do Not Have. Journal of Financial Economics, 13(2), pp.187-221.</w:t>
      </w:r>
    </w:p>
    <w:p w14:paraId="4D7843AE" w14:textId="77777777" w:rsidR="00AB276F" w:rsidRPr="00AB276F" w:rsidRDefault="00C53BC2" w:rsidP="00AB276F">
      <w:pPr>
        <w:rPr>
          <w:rFonts w:ascii="Arial" w:hAnsi="Arial" w:cs="Arial"/>
          <w:sz w:val="22"/>
          <w:szCs w:val="22"/>
        </w:rPr>
      </w:pPr>
      <w:r w:rsidRPr="00C53BC2">
        <w:rPr>
          <w:rFonts w:ascii="Arial" w:hAnsi="Arial" w:cs="Arial"/>
          <w:noProof/>
          <w:sz w:val="22"/>
          <w:szCs w:val="22"/>
          <w14:ligatures w14:val="standardContextual"/>
        </w:rPr>
        <w:pict w14:anchorId="7874455F">
          <v:rect id="_x0000_i1032" alt="" style="width:451.3pt;height:.05pt;mso-width-percent:0;mso-height-percent:0;mso-width-percent:0;mso-height-percent:0" o:hralign="center" o:hrstd="t" o:hrnoshade="t" o:hr="t" fillcolor="black" stroked="f"/>
        </w:pict>
      </w:r>
    </w:p>
    <w:p w14:paraId="19C951B1" w14:textId="77777777" w:rsidR="00AB276F" w:rsidRPr="00AB276F" w:rsidRDefault="00AB276F" w:rsidP="00AB276F">
      <w:pPr>
        <w:spacing w:before="100" w:beforeAutospacing="1" w:after="100" w:afterAutospacing="1"/>
        <w:rPr>
          <w:rFonts w:ascii="Arial" w:hAnsi="Arial" w:cs="Arial"/>
          <w:color w:val="000000"/>
          <w:sz w:val="22"/>
          <w:szCs w:val="22"/>
        </w:rPr>
      </w:pPr>
      <w:r w:rsidRPr="00AB276F">
        <w:rPr>
          <w:rFonts w:ascii="Arial" w:hAnsi="Arial" w:cs="Arial"/>
          <w:color w:val="000000"/>
          <w:sz w:val="22"/>
          <w:szCs w:val="22"/>
        </w:rPr>
        <w:t>Tescoplc.com (2019) Dave Lewis to step down as Chief Executive next year, Ken Murphy appointed as his successor [online] Available at:</w:t>
      </w:r>
      <w:r w:rsidRPr="00AB276F">
        <w:rPr>
          <w:rStyle w:val="apple-converted-space"/>
          <w:rFonts w:ascii="Arial" w:eastAsiaTheme="majorEastAsia" w:hAnsi="Arial" w:cs="Arial"/>
          <w:color w:val="000000"/>
          <w:sz w:val="22"/>
          <w:szCs w:val="22"/>
        </w:rPr>
        <w:t> </w:t>
      </w:r>
      <w:hyperlink r:id="rId30" w:tgtFrame="_new" w:history="1">
        <w:r w:rsidRPr="00AB276F">
          <w:rPr>
            <w:rStyle w:val="Hyperlink"/>
            <w:rFonts w:ascii="Arial" w:eastAsiaTheme="majorEastAsia" w:hAnsi="Arial" w:cs="Arial"/>
            <w:sz w:val="22"/>
            <w:szCs w:val="22"/>
          </w:rPr>
          <w:t>https://www.tescoplc.com/dave-lewis-to-step-down-succeeded-by-ken-murphy/</w:t>
        </w:r>
      </w:hyperlink>
      <w:r w:rsidRPr="00AB276F">
        <w:rPr>
          <w:rFonts w:ascii="Arial" w:hAnsi="Arial" w:cs="Arial"/>
          <w:color w:val="000000"/>
          <w:sz w:val="22"/>
          <w:szCs w:val="22"/>
        </w:rPr>
        <w:t>[Accessed 9 Aug. 2024].</w:t>
      </w:r>
    </w:p>
    <w:p w14:paraId="5B4FA0DB" w14:textId="77777777" w:rsidR="00AB276F" w:rsidRPr="00AB276F" w:rsidRDefault="00C53BC2" w:rsidP="00AB276F">
      <w:pPr>
        <w:rPr>
          <w:rFonts w:ascii="Arial" w:hAnsi="Arial" w:cs="Arial"/>
          <w:sz w:val="22"/>
          <w:szCs w:val="22"/>
        </w:rPr>
      </w:pPr>
      <w:r w:rsidRPr="00C53BC2">
        <w:rPr>
          <w:rFonts w:ascii="Arial" w:hAnsi="Arial" w:cs="Arial"/>
          <w:noProof/>
          <w:sz w:val="22"/>
          <w:szCs w:val="22"/>
          <w14:ligatures w14:val="standardContextual"/>
        </w:rPr>
        <w:pict w14:anchorId="52D51887">
          <v:rect id="_x0000_i1031" alt="" style="width:451.3pt;height:.05pt;mso-width-percent:0;mso-height-percent:0;mso-width-percent:0;mso-height-percent:0" o:hralign="center" o:hrstd="t" o:hrnoshade="t" o:hr="t" fillcolor="black" stroked="f"/>
        </w:pict>
      </w:r>
    </w:p>
    <w:p w14:paraId="18DADC2F" w14:textId="77777777" w:rsidR="00AB276F" w:rsidRPr="00AB276F" w:rsidRDefault="00AB276F" w:rsidP="00AB276F">
      <w:pPr>
        <w:spacing w:before="100" w:beforeAutospacing="1" w:after="100" w:afterAutospacing="1"/>
        <w:rPr>
          <w:rFonts w:ascii="Arial" w:hAnsi="Arial" w:cs="Arial"/>
          <w:color w:val="000000"/>
          <w:sz w:val="22"/>
          <w:szCs w:val="22"/>
        </w:rPr>
      </w:pPr>
      <w:r w:rsidRPr="00AB276F">
        <w:rPr>
          <w:rFonts w:ascii="Arial" w:hAnsi="Arial" w:cs="Arial"/>
          <w:color w:val="000000"/>
          <w:sz w:val="22"/>
          <w:szCs w:val="22"/>
        </w:rPr>
        <w:t>Tescoplc.com (2020) Tesco agrees to sell its businesses in Thailand and Malaysia; significant return to shareholders, simplification and further de-risking [online] Available at:</w:t>
      </w:r>
      <w:r w:rsidRPr="00AB276F">
        <w:rPr>
          <w:rStyle w:val="apple-converted-space"/>
          <w:rFonts w:ascii="Arial" w:eastAsiaTheme="majorEastAsia" w:hAnsi="Arial" w:cs="Arial"/>
          <w:color w:val="000000"/>
          <w:sz w:val="22"/>
          <w:szCs w:val="22"/>
        </w:rPr>
        <w:t> </w:t>
      </w:r>
      <w:hyperlink r:id="rId31" w:tgtFrame="_new" w:history="1">
        <w:r w:rsidRPr="00AB276F">
          <w:rPr>
            <w:rStyle w:val="Hyperlink"/>
            <w:rFonts w:ascii="Arial" w:eastAsiaTheme="majorEastAsia" w:hAnsi="Arial" w:cs="Arial"/>
            <w:sz w:val="22"/>
            <w:szCs w:val="22"/>
          </w:rPr>
          <w:t>https://www.tescoplc.com/tesco-agrees-to-sell-its-businesses-in-thailand-and-malaysia-significant-return-to-shareholders-simplification-and-further-de-risking/</w:t>
        </w:r>
      </w:hyperlink>
      <w:r w:rsidRPr="00AB276F">
        <w:rPr>
          <w:rFonts w:ascii="Arial" w:hAnsi="Arial" w:cs="Arial"/>
          <w:color w:val="000000"/>
          <w:sz w:val="22"/>
          <w:szCs w:val="22"/>
        </w:rPr>
        <w:t>[Accessed 9 Aug. 2024].</w:t>
      </w:r>
    </w:p>
    <w:p w14:paraId="1F3DBCC3" w14:textId="77777777" w:rsidR="00AB276F" w:rsidRPr="00AB276F" w:rsidRDefault="00C53BC2" w:rsidP="00AB276F">
      <w:pPr>
        <w:rPr>
          <w:rFonts w:ascii="Arial" w:hAnsi="Arial" w:cs="Arial"/>
          <w:sz w:val="22"/>
          <w:szCs w:val="22"/>
        </w:rPr>
      </w:pPr>
      <w:r w:rsidRPr="00C53BC2">
        <w:rPr>
          <w:rFonts w:ascii="Arial" w:hAnsi="Arial" w:cs="Arial"/>
          <w:noProof/>
          <w:sz w:val="22"/>
          <w:szCs w:val="22"/>
          <w14:ligatures w14:val="standardContextual"/>
        </w:rPr>
        <w:pict w14:anchorId="3DEFB13F">
          <v:rect id="_x0000_i1030" alt="" style="width:451.3pt;height:.05pt;mso-width-percent:0;mso-height-percent:0;mso-width-percent:0;mso-height-percent:0" o:hralign="center" o:hrstd="t" o:hrnoshade="t" o:hr="t" fillcolor="black" stroked="f"/>
        </w:pict>
      </w:r>
    </w:p>
    <w:p w14:paraId="1E7F3578" w14:textId="77777777" w:rsidR="00AB276F" w:rsidRPr="00AB276F" w:rsidRDefault="00AB276F" w:rsidP="00AB276F">
      <w:pPr>
        <w:spacing w:before="100" w:beforeAutospacing="1" w:after="100" w:afterAutospacing="1"/>
        <w:rPr>
          <w:rFonts w:ascii="Arial" w:hAnsi="Arial" w:cs="Arial"/>
          <w:color w:val="000000"/>
          <w:sz w:val="22"/>
          <w:szCs w:val="22"/>
        </w:rPr>
      </w:pPr>
      <w:r w:rsidRPr="00AB276F">
        <w:rPr>
          <w:rFonts w:ascii="Arial" w:hAnsi="Arial" w:cs="Arial"/>
          <w:color w:val="000000"/>
          <w:sz w:val="22"/>
          <w:szCs w:val="22"/>
        </w:rPr>
        <w:t>Tescoplc.com (2024) About Us [online] Available at:</w:t>
      </w:r>
      <w:r w:rsidRPr="00AB276F">
        <w:rPr>
          <w:rStyle w:val="apple-converted-space"/>
          <w:rFonts w:ascii="Arial" w:eastAsiaTheme="majorEastAsia" w:hAnsi="Arial" w:cs="Arial"/>
          <w:color w:val="000000"/>
          <w:sz w:val="22"/>
          <w:szCs w:val="22"/>
        </w:rPr>
        <w:t> </w:t>
      </w:r>
      <w:hyperlink r:id="rId32" w:tgtFrame="_new" w:history="1">
        <w:r w:rsidRPr="00AB276F">
          <w:rPr>
            <w:rStyle w:val="Hyperlink"/>
            <w:rFonts w:ascii="Arial" w:eastAsiaTheme="majorEastAsia" w:hAnsi="Arial" w:cs="Arial"/>
            <w:sz w:val="22"/>
            <w:szCs w:val="22"/>
          </w:rPr>
          <w:t>https://www.tescoplc.com/about</w:t>
        </w:r>
      </w:hyperlink>
      <w:r w:rsidRPr="00AB276F">
        <w:rPr>
          <w:rStyle w:val="apple-converted-space"/>
          <w:rFonts w:ascii="Arial" w:eastAsiaTheme="majorEastAsia" w:hAnsi="Arial" w:cs="Arial"/>
          <w:color w:val="000000"/>
          <w:sz w:val="22"/>
          <w:szCs w:val="22"/>
        </w:rPr>
        <w:t> </w:t>
      </w:r>
      <w:r w:rsidRPr="00AB276F">
        <w:rPr>
          <w:rFonts w:ascii="Arial" w:hAnsi="Arial" w:cs="Arial"/>
          <w:color w:val="000000"/>
          <w:sz w:val="22"/>
          <w:szCs w:val="22"/>
        </w:rPr>
        <w:t>[Accessed 11 Aug. 2024].</w:t>
      </w:r>
    </w:p>
    <w:p w14:paraId="11331204" w14:textId="77777777" w:rsidR="00AB276F" w:rsidRPr="00AB276F" w:rsidRDefault="00C53BC2" w:rsidP="00AB276F">
      <w:pPr>
        <w:rPr>
          <w:rFonts w:ascii="Arial" w:hAnsi="Arial" w:cs="Arial"/>
          <w:sz w:val="22"/>
          <w:szCs w:val="22"/>
        </w:rPr>
      </w:pPr>
      <w:r w:rsidRPr="00C53BC2">
        <w:rPr>
          <w:rFonts w:ascii="Arial" w:hAnsi="Arial" w:cs="Arial"/>
          <w:noProof/>
          <w:sz w:val="22"/>
          <w:szCs w:val="22"/>
          <w14:ligatures w14:val="standardContextual"/>
        </w:rPr>
        <w:pict w14:anchorId="6E33F400">
          <v:rect id="_x0000_i1029" alt="" style="width:451.3pt;height:.05pt;mso-width-percent:0;mso-height-percent:0;mso-width-percent:0;mso-height-percent:0" o:hralign="center" o:hrstd="t" o:hrnoshade="t" o:hr="t" fillcolor="black" stroked="f"/>
        </w:pict>
      </w:r>
    </w:p>
    <w:p w14:paraId="6F46D9A0" w14:textId="77777777" w:rsidR="00AB276F" w:rsidRPr="00AB276F" w:rsidRDefault="00AB276F" w:rsidP="00AB276F">
      <w:pPr>
        <w:spacing w:before="100" w:beforeAutospacing="1" w:after="100" w:afterAutospacing="1"/>
        <w:rPr>
          <w:rFonts w:ascii="Arial" w:hAnsi="Arial" w:cs="Arial"/>
          <w:color w:val="000000"/>
          <w:sz w:val="22"/>
          <w:szCs w:val="22"/>
        </w:rPr>
      </w:pPr>
      <w:r w:rsidRPr="00AB276F">
        <w:rPr>
          <w:rFonts w:ascii="Arial" w:hAnsi="Arial" w:cs="Arial"/>
          <w:color w:val="000000"/>
          <w:sz w:val="22"/>
          <w:szCs w:val="22"/>
        </w:rPr>
        <w:t>Tescoplc.com (2024) Annual Report 2020, 2021, 2022, 2023, 2024 [online] Available at:</w:t>
      </w:r>
      <w:r w:rsidRPr="00AB276F">
        <w:rPr>
          <w:rStyle w:val="apple-converted-space"/>
          <w:rFonts w:ascii="Arial" w:eastAsiaTheme="majorEastAsia" w:hAnsi="Arial" w:cs="Arial"/>
          <w:color w:val="000000"/>
          <w:sz w:val="22"/>
          <w:szCs w:val="22"/>
        </w:rPr>
        <w:t> </w:t>
      </w:r>
      <w:hyperlink r:id="rId33" w:tgtFrame="_new" w:history="1">
        <w:r w:rsidRPr="00AB276F">
          <w:rPr>
            <w:rStyle w:val="Hyperlink"/>
            <w:rFonts w:ascii="Arial" w:eastAsiaTheme="majorEastAsia" w:hAnsi="Arial" w:cs="Arial"/>
            <w:sz w:val="22"/>
            <w:szCs w:val="22"/>
          </w:rPr>
          <w:t>https://www.tescoplc.com/investors/reports-results-and-presentations/annual-report-2024</w:t>
        </w:r>
      </w:hyperlink>
      <w:r w:rsidRPr="00AB276F">
        <w:rPr>
          <w:rStyle w:val="apple-converted-space"/>
          <w:rFonts w:ascii="Arial" w:eastAsiaTheme="majorEastAsia" w:hAnsi="Arial" w:cs="Arial"/>
          <w:color w:val="000000"/>
          <w:sz w:val="22"/>
          <w:szCs w:val="22"/>
        </w:rPr>
        <w:t> </w:t>
      </w:r>
      <w:r w:rsidRPr="00AB276F">
        <w:rPr>
          <w:rFonts w:ascii="Arial" w:hAnsi="Arial" w:cs="Arial"/>
          <w:color w:val="000000"/>
          <w:sz w:val="22"/>
          <w:szCs w:val="22"/>
        </w:rPr>
        <w:t>[Accessed 9 Aug. 2024].</w:t>
      </w:r>
    </w:p>
    <w:p w14:paraId="4D4637D5" w14:textId="77777777" w:rsidR="00AB276F" w:rsidRPr="00AB276F" w:rsidRDefault="00AB276F" w:rsidP="00AB276F">
      <w:pPr>
        <w:rPr>
          <w:rFonts w:ascii="Arial" w:eastAsiaTheme="minorEastAsia" w:hAnsi="Arial" w:cs="Arial"/>
          <w:sz w:val="22"/>
          <w:szCs w:val="22"/>
          <w:lang w:val="en-US"/>
        </w:rPr>
      </w:pPr>
    </w:p>
    <w:p w14:paraId="2C100D3F" w14:textId="0E971A87" w:rsidR="00AB276F" w:rsidRPr="00AB276F" w:rsidRDefault="00AB276F" w:rsidP="00AB276F">
      <w:pPr>
        <w:spacing w:before="100" w:beforeAutospacing="1" w:after="100" w:afterAutospacing="1"/>
        <w:rPr>
          <w:rFonts w:ascii="Arial" w:hAnsi="Arial" w:cs="Arial"/>
          <w:color w:val="000000"/>
          <w:sz w:val="22"/>
          <w:szCs w:val="22"/>
        </w:rPr>
      </w:pPr>
      <w:r w:rsidRPr="00AB276F">
        <w:rPr>
          <w:rFonts w:ascii="Arial" w:hAnsi="Arial" w:cs="Arial"/>
          <w:color w:val="000000"/>
          <w:sz w:val="22"/>
          <w:szCs w:val="22"/>
        </w:rPr>
        <w:t xml:space="preserve"> </w:t>
      </w:r>
      <w:r w:rsidRPr="00AB276F">
        <w:rPr>
          <w:rFonts w:ascii="Arial" w:hAnsi="Arial" w:cs="Arial"/>
          <w:color w:val="000000"/>
          <w:sz w:val="22"/>
          <w:szCs w:val="22"/>
        </w:rPr>
        <w:t>Tescoplc.com (2024) Tesco agrees long-term strategic partnership with Barclays to provide customers with Tesco-branded banking products and services. Existing Tesco banking operations to be sold to Barclays with majority of cash to be returned to shareholders. [online] Available at:</w:t>
      </w:r>
      <w:r w:rsidRPr="00AB276F">
        <w:rPr>
          <w:rStyle w:val="apple-converted-space"/>
          <w:rFonts w:ascii="Arial" w:eastAsiaTheme="majorEastAsia" w:hAnsi="Arial" w:cs="Arial"/>
          <w:color w:val="000000"/>
          <w:sz w:val="22"/>
          <w:szCs w:val="22"/>
        </w:rPr>
        <w:t> </w:t>
      </w:r>
      <w:hyperlink r:id="rId34" w:tgtFrame="_new" w:history="1">
        <w:r w:rsidRPr="00AB276F">
          <w:rPr>
            <w:rStyle w:val="Hyperlink"/>
            <w:rFonts w:ascii="Arial" w:eastAsiaTheme="majorEastAsia" w:hAnsi="Arial" w:cs="Arial"/>
            <w:sz w:val="22"/>
            <w:szCs w:val="22"/>
          </w:rPr>
          <w:t>https://www.tescoplc.com/tesco-agrees-long-term-strategic-partnership-with-barclays/</w:t>
        </w:r>
      </w:hyperlink>
      <w:r w:rsidRPr="00AB276F">
        <w:rPr>
          <w:rStyle w:val="apple-converted-space"/>
          <w:rFonts w:ascii="Arial" w:eastAsiaTheme="majorEastAsia" w:hAnsi="Arial" w:cs="Arial"/>
          <w:color w:val="000000"/>
          <w:sz w:val="22"/>
          <w:szCs w:val="22"/>
        </w:rPr>
        <w:t> </w:t>
      </w:r>
      <w:r w:rsidRPr="00AB276F">
        <w:rPr>
          <w:rFonts w:ascii="Arial" w:hAnsi="Arial" w:cs="Arial"/>
          <w:color w:val="000000"/>
          <w:sz w:val="22"/>
          <w:szCs w:val="22"/>
        </w:rPr>
        <w:t>[Accessed 9 Aug. 2024].</w:t>
      </w:r>
    </w:p>
    <w:p w14:paraId="7ED8FD21" w14:textId="77777777" w:rsidR="00AB276F" w:rsidRPr="00AB276F" w:rsidRDefault="00C53BC2" w:rsidP="00AB276F">
      <w:pPr>
        <w:rPr>
          <w:rFonts w:ascii="Arial" w:hAnsi="Arial" w:cs="Arial"/>
          <w:sz w:val="22"/>
          <w:szCs w:val="22"/>
        </w:rPr>
      </w:pPr>
      <w:r w:rsidRPr="00C53BC2">
        <w:rPr>
          <w:rFonts w:ascii="Arial" w:hAnsi="Arial" w:cs="Arial"/>
          <w:noProof/>
          <w:sz w:val="22"/>
          <w:szCs w:val="22"/>
          <w14:ligatures w14:val="standardContextual"/>
        </w:rPr>
        <w:pict w14:anchorId="1F4563D6">
          <v:rect id="_x0000_i1028" alt="" style="width:451.3pt;height:.05pt;mso-width-percent:0;mso-height-percent:0;mso-width-percent:0;mso-height-percent:0" o:hralign="center" o:hrstd="t" o:hrnoshade="t" o:hr="t" fillcolor="black" stroked="f"/>
        </w:pict>
      </w:r>
    </w:p>
    <w:p w14:paraId="6573D39F" w14:textId="77777777" w:rsidR="00AB276F" w:rsidRPr="00AB276F" w:rsidRDefault="00AB276F" w:rsidP="00AB276F">
      <w:pPr>
        <w:spacing w:before="100" w:beforeAutospacing="1" w:after="100" w:afterAutospacing="1"/>
        <w:rPr>
          <w:rFonts w:ascii="Arial" w:hAnsi="Arial" w:cs="Arial"/>
          <w:color w:val="000000"/>
          <w:sz w:val="22"/>
          <w:szCs w:val="22"/>
        </w:rPr>
      </w:pPr>
      <w:r w:rsidRPr="00AB276F">
        <w:rPr>
          <w:rFonts w:ascii="Arial" w:hAnsi="Arial" w:cs="Arial"/>
          <w:color w:val="000000"/>
          <w:sz w:val="22"/>
          <w:szCs w:val="22"/>
        </w:rPr>
        <w:t>Tescoplc.com (2024) TSR Chart [online] Available at:</w:t>
      </w:r>
      <w:r w:rsidRPr="00AB276F">
        <w:rPr>
          <w:rStyle w:val="apple-converted-space"/>
          <w:rFonts w:ascii="Arial" w:eastAsiaTheme="majorEastAsia" w:hAnsi="Arial" w:cs="Arial"/>
          <w:color w:val="000000"/>
          <w:sz w:val="22"/>
          <w:szCs w:val="22"/>
        </w:rPr>
        <w:t> </w:t>
      </w:r>
      <w:hyperlink r:id="rId35" w:tgtFrame="_new" w:history="1">
        <w:r w:rsidRPr="00AB276F">
          <w:rPr>
            <w:rStyle w:val="Hyperlink"/>
            <w:rFonts w:ascii="Arial" w:eastAsiaTheme="majorEastAsia" w:hAnsi="Arial" w:cs="Arial"/>
            <w:sz w:val="22"/>
            <w:szCs w:val="22"/>
          </w:rPr>
          <w:t>https://www.tescoplc.com/investors/share-price-information/tsr-chart</w:t>
        </w:r>
      </w:hyperlink>
      <w:r w:rsidRPr="00AB276F">
        <w:rPr>
          <w:rStyle w:val="apple-converted-space"/>
          <w:rFonts w:ascii="Arial" w:eastAsiaTheme="majorEastAsia" w:hAnsi="Arial" w:cs="Arial"/>
          <w:color w:val="000000"/>
          <w:sz w:val="22"/>
          <w:szCs w:val="22"/>
        </w:rPr>
        <w:t> </w:t>
      </w:r>
      <w:r w:rsidRPr="00AB276F">
        <w:rPr>
          <w:rFonts w:ascii="Arial" w:hAnsi="Arial" w:cs="Arial"/>
          <w:color w:val="000000"/>
          <w:sz w:val="22"/>
          <w:szCs w:val="22"/>
        </w:rPr>
        <w:t>[Accessed 9 Aug. 2024].</w:t>
      </w:r>
    </w:p>
    <w:p w14:paraId="278A65B0" w14:textId="77777777" w:rsidR="00AB276F" w:rsidRPr="00AB276F" w:rsidRDefault="00C53BC2" w:rsidP="00AB276F">
      <w:pPr>
        <w:rPr>
          <w:rFonts w:ascii="Arial" w:hAnsi="Arial" w:cs="Arial"/>
          <w:sz w:val="22"/>
          <w:szCs w:val="22"/>
        </w:rPr>
      </w:pPr>
      <w:r w:rsidRPr="00C53BC2">
        <w:rPr>
          <w:rFonts w:ascii="Arial" w:hAnsi="Arial" w:cs="Arial"/>
          <w:noProof/>
          <w:sz w:val="22"/>
          <w:szCs w:val="22"/>
          <w14:ligatures w14:val="standardContextual"/>
        </w:rPr>
        <w:pict w14:anchorId="04EA7579">
          <v:rect id="_x0000_i1027" alt="" style="width:451.3pt;height:.05pt;mso-width-percent:0;mso-height-percent:0;mso-width-percent:0;mso-height-percent:0" o:hralign="center" o:hrstd="t" o:hrnoshade="t" o:hr="t" fillcolor="black" stroked="f"/>
        </w:pict>
      </w:r>
    </w:p>
    <w:p w14:paraId="036BCC23" w14:textId="77777777" w:rsidR="00AB276F" w:rsidRPr="00AB276F" w:rsidRDefault="00AB276F" w:rsidP="00AB276F">
      <w:pPr>
        <w:spacing w:before="100" w:beforeAutospacing="1" w:after="100" w:afterAutospacing="1"/>
        <w:rPr>
          <w:rFonts w:ascii="Arial" w:hAnsi="Arial" w:cs="Arial"/>
          <w:color w:val="000000"/>
          <w:sz w:val="22"/>
          <w:szCs w:val="22"/>
        </w:rPr>
      </w:pPr>
      <w:r w:rsidRPr="00AB276F">
        <w:rPr>
          <w:rFonts w:ascii="Arial" w:hAnsi="Arial" w:cs="Arial"/>
          <w:color w:val="000000"/>
          <w:sz w:val="22"/>
          <w:szCs w:val="22"/>
        </w:rPr>
        <w:lastRenderedPageBreak/>
        <w:t>Titman, S. and Wessels, R., (1988) The Determinants of Capital Structure Choice. The Journal of Finance, 43(1), pp.1-19.</w:t>
      </w:r>
    </w:p>
    <w:p w14:paraId="5982FADC" w14:textId="77777777" w:rsidR="00AB276F" w:rsidRPr="00AB276F" w:rsidRDefault="00C53BC2" w:rsidP="00AB276F">
      <w:pPr>
        <w:rPr>
          <w:rFonts w:ascii="Arial" w:hAnsi="Arial" w:cs="Arial"/>
          <w:sz w:val="22"/>
          <w:szCs w:val="22"/>
        </w:rPr>
      </w:pPr>
      <w:r w:rsidRPr="00C53BC2">
        <w:rPr>
          <w:rFonts w:ascii="Arial" w:hAnsi="Arial" w:cs="Arial"/>
          <w:noProof/>
          <w:sz w:val="22"/>
          <w:szCs w:val="22"/>
          <w14:ligatures w14:val="standardContextual"/>
        </w:rPr>
        <w:pict w14:anchorId="3235D505">
          <v:rect id="_x0000_i1026" alt="" style="width:451.3pt;height:.05pt;mso-width-percent:0;mso-height-percent:0;mso-width-percent:0;mso-height-percent:0" o:hralign="center" o:hrstd="t" o:hrnoshade="t" o:hr="t" fillcolor="black" stroked="f"/>
        </w:pict>
      </w:r>
    </w:p>
    <w:p w14:paraId="10DEA0D8" w14:textId="44B0B099" w:rsidR="00AB276F" w:rsidRPr="00AB276F" w:rsidRDefault="00AB276F" w:rsidP="00AB276F">
      <w:pPr>
        <w:spacing w:before="100" w:beforeAutospacing="1" w:after="100" w:afterAutospacing="1"/>
        <w:rPr>
          <w:rFonts w:ascii="Arial" w:hAnsi="Arial" w:cs="Arial"/>
          <w:color w:val="000000"/>
          <w:sz w:val="22"/>
          <w:szCs w:val="22"/>
        </w:rPr>
      </w:pPr>
      <w:r w:rsidRPr="00AB276F">
        <w:rPr>
          <w:rFonts w:ascii="Arial" w:hAnsi="Arial" w:cs="Arial"/>
          <w:color w:val="000000"/>
          <w:sz w:val="22"/>
          <w:szCs w:val="22"/>
        </w:rPr>
        <w:t>Uk.finance.yahoo.com (2024) Tesco PLC. [online] Available at:</w:t>
      </w:r>
      <w:r w:rsidRPr="00AB276F">
        <w:rPr>
          <w:rStyle w:val="apple-converted-space"/>
          <w:rFonts w:ascii="Arial" w:eastAsiaTheme="majorEastAsia" w:hAnsi="Arial" w:cs="Arial"/>
          <w:color w:val="000000"/>
          <w:sz w:val="22"/>
          <w:szCs w:val="22"/>
        </w:rPr>
        <w:t> </w:t>
      </w:r>
      <w:hyperlink r:id="rId36" w:tgtFrame="_new" w:history="1">
        <w:r w:rsidRPr="00AB276F">
          <w:rPr>
            <w:rStyle w:val="Hyperlink"/>
            <w:rFonts w:ascii="Arial" w:eastAsiaTheme="majorEastAsia" w:hAnsi="Arial" w:cs="Arial"/>
            <w:sz w:val="22"/>
            <w:szCs w:val="22"/>
          </w:rPr>
          <w:t>https://uk.finance.yahoo.com/quote/TSCO.L/history/?period1=1692442116&amp;period2=1724064516&amp;interval=1d&amp;filter=history&amp;frequency=1d&amp;includeAdjustedClose=true</w:t>
        </w:r>
      </w:hyperlink>
      <w:r w:rsidRPr="00AB276F">
        <w:rPr>
          <w:rFonts w:ascii="Arial" w:hAnsi="Arial" w:cs="Arial"/>
          <w:color w:val="000000"/>
          <w:sz w:val="22"/>
          <w:szCs w:val="22"/>
        </w:rPr>
        <w:t>[Accessed 19 Aug. 2024].</w:t>
      </w:r>
    </w:p>
    <w:p w14:paraId="47CD268E" w14:textId="77777777" w:rsidR="00AB276F" w:rsidRPr="00AB276F" w:rsidRDefault="00C53BC2" w:rsidP="00AB276F">
      <w:pPr>
        <w:rPr>
          <w:rFonts w:ascii="Arial" w:hAnsi="Arial" w:cs="Arial"/>
          <w:sz w:val="22"/>
          <w:szCs w:val="22"/>
        </w:rPr>
      </w:pPr>
      <w:r w:rsidRPr="00C53BC2">
        <w:rPr>
          <w:rFonts w:ascii="Arial" w:hAnsi="Arial" w:cs="Arial"/>
          <w:noProof/>
          <w:sz w:val="22"/>
          <w:szCs w:val="22"/>
          <w14:ligatures w14:val="standardContextual"/>
        </w:rPr>
        <w:pict w14:anchorId="6D79CCCA">
          <v:rect id="_x0000_i1025" alt="" style="width:451.3pt;height:.05pt;mso-width-percent:0;mso-height-percent:0;mso-width-percent:0;mso-height-percent:0" o:hralign="center" o:hrstd="t" o:hrnoshade="t" o:hr="t" fillcolor="black" stroked="f"/>
        </w:pict>
      </w:r>
    </w:p>
    <w:p w14:paraId="244CF63F" w14:textId="77777777" w:rsidR="00AB276F" w:rsidRPr="00AB276F" w:rsidRDefault="00AB276F" w:rsidP="00AB276F">
      <w:pPr>
        <w:spacing w:before="100" w:beforeAutospacing="1" w:after="100" w:afterAutospacing="1"/>
        <w:rPr>
          <w:rFonts w:ascii="Arial" w:hAnsi="Arial" w:cs="Arial"/>
          <w:color w:val="000000"/>
          <w:sz w:val="22"/>
          <w:szCs w:val="22"/>
        </w:rPr>
      </w:pPr>
      <w:r w:rsidRPr="00AB276F">
        <w:rPr>
          <w:rFonts w:ascii="Arial" w:hAnsi="Arial" w:cs="Arial"/>
          <w:color w:val="000000"/>
          <w:sz w:val="22"/>
          <w:szCs w:val="22"/>
        </w:rPr>
        <w:t>Walker, P., (2019) Tesco reveals digital transformation plans. Retail Systems. [online] Available at:</w:t>
      </w:r>
      <w:r w:rsidRPr="00AB276F">
        <w:rPr>
          <w:rStyle w:val="apple-converted-space"/>
          <w:rFonts w:ascii="Arial" w:eastAsiaTheme="majorEastAsia" w:hAnsi="Arial" w:cs="Arial"/>
          <w:color w:val="000000"/>
          <w:sz w:val="22"/>
          <w:szCs w:val="22"/>
        </w:rPr>
        <w:t> </w:t>
      </w:r>
      <w:hyperlink r:id="rId37" w:tgtFrame="_new" w:history="1">
        <w:r w:rsidRPr="00AB276F">
          <w:rPr>
            <w:rStyle w:val="Hyperlink"/>
            <w:rFonts w:ascii="Arial" w:eastAsiaTheme="majorEastAsia" w:hAnsi="Arial" w:cs="Arial"/>
            <w:sz w:val="22"/>
            <w:szCs w:val="22"/>
          </w:rPr>
          <w:t>https://www.retail-systems.com/rs/Tesco_Outlines_Digital_Transformation_Plans.php</w:t>
        </w:r>
      </w:hyperlink>
      <w:r w:rsidRPr="00AB276F">
        <w:rPr>
          <w:rStyle w:val="apple-converted-space"/>
          <w:rFonts w:ascii="Arial" w:eastAsiaTheme="majorEastAsia" w:hAnsi="Arial" w:cs="Arial"/>
          <w:color w:val="000000"/>
          <w:sz w:val="22"/>
          <w:szCs w:val="22"/>
        </w:rPr>
        <w:t> </w:t>
      </w:r>
      <w:r w:rsidRPr="00AB276F">
        <w:rPr>
          <w:rFonts w:ascii="Arial" w:hAnsi="Arial" w:cs="Arial"/>
          <w:color w:val="000000"/>
          <w:sz w:val="22"/>
          <w:szCs w:val="22"/>
        </w:rPr>
        <w:t>[Accessed 19 Aug. 2024].</w:t>
      </w:r>
    </w:p>
    <w:p w14:paraId="4C52997E" w14:textId="77777777" w:rsidR="00AB276F" w:rsidRPr="00AB276F" w:rsidRDefault="00AB276F" w:rsidP="00AB276F">
      <w:pPr>
        <w:rPr>
          <w:rFonts w:ascii="Arial" w:eastAsiaTheme="minorEastAsia" w:hAnsi="Arial" w:cs="Arial"/>
          <w:sz w:val="22"/>
          <w:szCs w:val="22"/>
          <w:lang w:val="en-US"/>
        </w:rPr>
      </w:pPr>
    </w:p>
    <w:p w14:paraId="2B221837" w14:textId="77777777" w:rsidR="00AB276F" w:rsidRPr="00AB276F" w:rsidRDefault="00AB276F" w:rsidP="00AB276F">
      <w:pPr>
        <w:rPr>
          <w:rFonts w:ascii="Arial" w:eastAsiaTheme="minorEastAsia" w:hAnsi="Arial" w:cs="Arial"/>
          <w:sz w:val="22"/>
          <w:szCs w:val="22"/>
          <w:lang w:val="en-US"/>
        </w:rPr>
      </w:pPr>
    </w:p>
    <w:p w14:paraId="03AB6940" w14:textId="77777777" w:rsidR="00AB276F" w:rsidRPr="00AB276F" w:rsidRDefault="00AB276F" w:rsidP="00AB276F">
      <w:pPr>
        <w:rPr>
          <w:rFonts w:ascii="Arial" w:eastAsiaTheme="minorEastAsia" w:hAnsi="Arial" w:cs="Arial"/>
          <w:sz w:val="22"/>
          <w:szCs w:val="22"/>
          <w:lang w:val="en-US"/>
        </w:rPr>
      </w:pPr>
    </w:p>
    <w:p w14:paraId="07749771" w14:textId="77777777" w:rsidR="00AB276F" w:rsidRPr="00AB276F" w:rsidRDefault="00AB276F" w:rsidP="00AB276F">
      <w:pPr>
        <w:rPr>
          <w:rFonts w:ascii="Arial" w:eastAsiaTheme="minorEastAsia" w:hAnsi="Arial" w:cs="Arial"/>
          <w:sz w:val="22"/>
          <w:szCs w:val="22"/>
          <w:lang w:val="en-US"/>
        </w:rPr>
      </w:pPr>
    </w:p>
    <w:p w14:paraId="73FEBE4E" w14:textId="77777777" w:rsidR="00AB276F" w:rsidRPr="00AB276F" w:rsidRDefault="00AB276F" w:rsidP="00AB276F">
      <w:pPr>
        <w:rPr>
          <w:rFonts w:ascii="Arial" w:eastAsiaTheme="minorEastAsia" w:hAnsi="Arial" w:cs="Arial"/>
          <w:sz w:val="22"/>
          <w:szCs w:val="22"/>
          <w:lang w:val="en-US"/>
        </w:rPr>
      </w:pPr>
    </w:p>
    <w:p w14:paraId="01E4DC17" w14:textId="77777777" w:rsidR="00AB276F" w:rsidRPr="00AB276F" w:rsidRDefault="00AB276F" w:rsidP="00AB276F">
      <w:pPr>
        <w:rPr>
          <w:rFonts w:ascii="Arial" w:eastAsiaTheme="minorEastAsia" w:hAnsi="Arial" w:cs="Arial"/>
          <w:sz w:val="22"/>
          <w:szCs w:val="22"/>
          <w:lang w:val="en-US"/>
        </w:rPr>
      </w:pPr>
    </w:p>
    <w:p w14:paraId="6ED570D5" w14:textId="77777777" w:rsidR="00AB276F" w:rsidRPr="00AB276F" w:rsidRDefault="00AB276F" w:rsidP="00AB276F">
      <w:pPr>
        <w:rPr>
          <w:rFonts w:ascii="Arial" w:eastAsiaTheme="minorEastAsia" w:hAnsi="Arial" w:cs="Arial"/>
          <w:sz w:val="22"/>
          <w:szCs w:val="22"/>
          <w:lang w:val="en-US"/>
        </w:rPr>
      </w:pPr>
    </w:p>
    <w:p w14:paraId="4C8A8CAC" w14:textId="77777777" w:rsidR="00AB276F" w:rsidRDefault="00AB276F" w:rsidP="00AB276F">
      <w:pPr>
        <w:rPr>
          <w:rFonts w:eastAsiaTheme="minorEastAsia"/>
          <w:lang w:val="en-US"/>
        </w:rPr>
      </w:pPr>
    </w:p>
    <w:p w14:paraId="09A67218" w14:textId="77777777" w:rsidR="00AB276F" w:rsidRDefault="00AB276F" w:rsidP="00AB276F">
      <w:pPr>
        <w:rPr>
          <w:rFonts w:eastAsiaTheme="minorEastAsia"/>
          <w:lang w:val="en-US"/>
        </w:rPr>
      </w:pPr>
    </w:p>
    <w:p w14:paraId="62350A66" w14:textId="77777777" w:rsidR="00AB276F" w:rsidRDefault="00AB276F" w:rsidP="00AB276F">
      <w:pPr>
        <w:rPr>
          <w:rFonts w:eastAsiaTheme="minorEastAsia"/>
          <w:lang w:val="en-US"/>
        </w:rPr>
      </w:pPr>
    </w:p>
    <w:p w14:paraId="5EAAB222" w14:textId="77777777" w:rsidR="00AB276F" w:rsidRDefault="00AB276F" w:rsidP="00AB276F">
      <w:pPr>
        <w:rPr>
          <w:rFonts w:eastAsiaTheme="minorEastAsia"/>
          <w:lang w:val="en-US"/>
        </w:rPr>
      </w:pPr>
    </w:p>
    <w:p w14:paraId="44B7F5A9" w14:textId="77777777" w:rsidR="00AB276F" w:rsidRDefault="00AB276F" w:rsidP="00AB276F">
      <w:pPr>
        <w:rPr>
          <w:rFonts w:eastAsiaTheme="minorEastAsia"/>
          <w:lang w:val="en-US"/>
        </w:rPr>
      </w:pPr>
    </w:p>
    <w:p w14:paraId="2F6EA270" w14:textId="77777777" w:rsidR="00AB276F" w:rsidRDefault="00AB276F" w:rsidP="00AB276F">
      <w:pPr>
        <w:rPr>
          <w:rFonts w:eastAsiaTheme="minorEastAsia"/>
          <w:lang w:val="en-US"/>
        </w:rPr>
      </w:pPr>
    </w:p>
    <w:p w14:paraId="24B2D55B" w14:textId="77777777" w:rsidR="00AB276F" w:rsidRDefault="00AB276F" w:rsidP="00AB276F">
      <w:pPr>
        <w:rPr>
          <w:rFonts w:eastAsiaTheme="minorEastAsia"/>
          <w:lang w:val="en-US"/>
        </w:rPr>
      </w:pPr>
    </w:p>
    <w:p w14:paraId="20404783" w14:textId="77777777" w:rsidR="00AB276F" w:rsidRDefault="00AB276F" w:rsidP="00AB276F">
      <w:pPr>
        <w:rPr>
          <w:rFonts w:eastAsiaTheme="minorEastAsia"/>
          <w:lang w:val="en-US"/>
        </w:rPr>
      </w:pPr>
    </w:p>
    <w:p w14:paraId="03BEED4C" w14:textId="77777777" w:rsidR="00AB276F" w:rsidRDefault="00AB276F" w:rsidP="00AB276F">
      <w:pPr>
        <w:rPr>
          <w:rFonts w:eastAsiaTheme="minorEastAsia"/>
          <w:lang w:val="en-US"/>
        </w:rPr>
      </w:pPr>
    </w:p>
    <w:p w14:paraId="407A3DE3" w14:textId="77777777" w:rsidR="00AB276F" w:rsidRDefault="00AB276F" w:rsidP="00AB276F">
      <w:pPr>
        <w:rPr>
          <w:rFonts w:eastAsiaTheme="minorEastAsia"/>
          <w:lang w:val="en-US"/>
        </w:rPr>
      </w:pPr>
    </w:p>
    <w:p w14:paraId="516994C4" w14:textId="77777777" w:rsidR="00AB276F" w:rsidRDefault="00AB276F" w:rsidP="00AB276F">
      <w:pPr>
        <w:rPr>
          <w:rFonts w:eastAsiaTheme="minorEastAsia"/>
          <w:lang w:val="en-US"/>
        </w:rPr>
      </w:pPr>
    </w:p>
    <w:p w14:paraId="0A8283F6" w14:textId="77777777" w:rsidR="00AB276F" w:rsidRDefault="00AB276F" w:rsidP="00AB276F">
      <w:pPr>
        <w:rPr>
          <w:rFonts w:eastAsiaTheme="minorEastAsia"/>
          <w:lang w:val="en-US"/>
        </w:rPr>
      </w:pPr>
    </w:p>
    <w:p w14:paraId="308D51D5" w14:textId="77777777" w:rsidR="00AB276F" w:rsidRDefault="00AB276F" w:rsidP="00AB276F">
      <w:pPr>
        <w:rPr>
          <w:rFonts w:eastAsiaTheme="minorEastAsia"/>
          <w:lang w:val="en-US"/>
        </w:rPr>
      </w:pPr>
    </w:p>
    <w:p w14:paraId="7E0E516A" w14:textId="77777777" w:rsidR="00AB276F" w:rsidRDefault="00AB276F" w:rsidP="00AB276F">
      <w:pPr>
        <w:rPr>
          <w:rFonts w:eastAsiaTheme="minorEastAsia"/>
          <w:lang w:val="en-US"/>
        </w:rPr>
      </w:pPr>
    </w:p>
    <w:p w14:paraId="385F4950" w14:textId="77777777" w:rsidR="00AB276F" w:rsidRDefault="00AB276F" w:rsidP="00AB276F">
      <w:pPr>
        <w:rPr>
          <w:rFonts w:eastAsiaTheme="minorEastAsia"/>
          <w:lang w:val="en-US"/>
        </w:rPr>
      </w:pPr>
    </w:p>
    <w:p w14:paraId="34FF267B" w14:textId="77777777" w:rsidR="00AB276F" w:rsidRDefault="00AB276F" w:rsidP="00AB276F">
      <w:pPr>
        <w:rPr>
          <w:rFonts w:eastAsiaTheme="minorEastAsia"/>
          <w:lang w:val="en-US"/>
        </w:rPr>
      </w:pPr>
    </w:p>
    <w:p w14:paraId="6CED62BE" w14:textId="77777777" w:rsidR="00AB276F" w:rsidRDefault="00AB276F" w:rsidP="00AB276F">
      <w:pPr>
        <w:rPr>
          <w:rFonts w:eastAsiaTheme="minorEastAsia"/>
          <w:lang w:val="en-US"/>
        </w:rPr>
      </w:pPr>
    </w:p>
    <w:p w14:paraId="026EBCB9" w14:textId="77777777" w:rsidR="00AB276F" w:rsidRDefault="00AB276F" w:rsidP="00AB276F">
      <w:pPr>
        <w:rPr>
          <w:rFonts w:eastAsiaTheme="minorEastAsia"/>
          <w:lang w:val="en-US"/>
        </w:rPr>
      </w:pPr>
    </w:p>
    <w:p w14:paraId="64209FD4" w14:textId="77777777" w:rsidR="00AB276F" w:rsidRDefault="00AB276F" w:rsidP="00AB276F">
      <w:pPr>
        <w:rPr>
          <w:rFonts w:eastAsiaTheme="minorEastAsia"/>
          <w:lang w:val="en-US"/>
        </w:rPr>
      </w:pPr>
    </w:p>
    <w:p w14:paraId="6FB9CA80" w14:textId="77777777" w:rsidR="00AB276F" w:rsidRDefault="00AB276F" w:rsidP="00AB276F">
      <w:pPr>
        <w:rPr>
          <w:rFonts w:eastAsiaTheme="minorEastAsia"/>
          <w:lang w:val="en-US"/>
        </w:rPr>
      </w:pPr>
    </w:p>
    <w:p w14:paraId="5557DF04" w14:textId="77777777" w:rsidR="00AB276F" w:rsidRDefault="00AB276F" w:rsidP="00AB276F">
      <w:pPr>
        <w:rPr>
          <w:rFonts w:eastAsiaTheme="minorEastAsia"/>
          <w:lang w:val="en-US"/>
        </w:rPr>
      </w:pPr>
    </w:p>
    <w:p w14:paraId="32EFB2ED" w14:textId="77777777" w:rsidR="00AB276F" w:rsidRDefault="00AB276F" w:rsidP="00AB276F">
      <w:pPr>
        <w:rPr>
          <w:rFonts w:eastAsiaTheme="minorEastAsia"/>
          <w:lang w:val="en-US"/>
        </w:rPr>
      </w:pPr>
    </w:p>
    <w:p w14:paraId="68B51BD2" w14:textId="77777777" w:rsidR="00AB276F" w:rsidRDefault="00AB276F" w:rsidP="00AB276F">
      <w:pPr>
        <w:rPr>
          <w:rFonts w:eastAsiaTheme="minorEastAsia"/>
          <w:lang w:val="en-US"/>
        </w:rPr>
      </w:pPr>
    </w:p>
    <w:p w14:paraId="1F8414A3" w14:textId="77777777" w:rsidR="00AB276F" w:rsidRDefault="00AB276F" w:rsidP="00AB276F">
      <w:pPr>
        <w:rPr>
          <w:rFonts w:eastAsiaTheme="minorEastAsia"/>
          <w:lang w:val="en-US"/>
        </w:rPr>
      </w:pPr>
    </w:p>
    <w:p w14:paraId="70C76EF6" w14:textId="77777777" w:rsidR="00717194" w:rsidRDefault="00717194">
      <w:pPr>
        <w:rPr>
          <w:rFonts w:ascii="Arial" w:hAnsi="Arial" w:cs="Arial"/>
          <w:sz w:val="22"/>
          <w:szCs w:val="22"/>
        </w:rPr>
      </w:pPr>
    </w:p>
    <w:p w14:paraId="3D803DB8" w14:textId="77777777" w:rsidR="00717194" w:rsidRDefault="00717194">
      <w:pPr>
        <w:rPr>
          <w:rFonts w:ascii="Arial" w:hAnsi="Arial" w:cs="Arial"/>
          <w:sz w:val="22"/>
          <w:szCs w:val="22"/>
        </w:rPr>
      </w:pPr>
    </w:p>
    <w:p w14:paraId="746BB72A" w14:textId="77777777" w:rsidR="00717194" w:rsidRDefault="00717194">
      <w:pPr>
        <w:rPr>
          <w:rFonts w:ascii="Arial" w:hAnsi="Arial" w:cs="Arial"/>
          <w:sz w:val="22"/>
          <w:szCs w:val="22"/>
        </w:rPr>
      </w:pPr>
    </w:p>
    <w:p w14:paraId="7D481421" w14:textId="70483DF0" w:rsidR="00717194" w:rsidRDefault="00717194" w:rsidP="00F73ABF">
      <w:pPr>
        <w:pStyle w:val="Heading1"/>
      </w:pPr>
      <w:bookmarkStart w:id="19" w:name="_Toc174983280"/>
      <w:r>
        <w:lastRenderedPageBreak/>
        <w:t>APPENDIX</w:t>
      </w:r>
      <w:bookmarkEnd w:id="19"/>
      <w:r>
        <w:t xml:space="preserve"> </w:t>
      </w:r>
    </w:p>
    <w:p w14:paraId="03766D45" w14:textId="77777777" w:rsidR="00717194" w:rsidRDefault="00717194">
      <w:pPr>
        <w:rPr>
          <w:rFonts w:ascii="Arial" w:hAnsi="Arial" w:cs="Arial"/>
          <w:sz w:val="22"/>
          <w:szCs w:val="22"/>
        </w:rPr>
      </w:pPr>
    </w:p>
    <w:p w14:paraId="56CB1C46" w14:textId="7C715511" w:rsidR="00717194" w:rsidRDefault="00717194" w:rsidP="00717194">
      <w:pPr>
        <w:pStyle w:val="Caption"/>
        <w:keepNext/>
      </w:pPr>
      <w:bookmarkStart w:id="20" w:name="_Toc174983297"/>
      <w:r>
        <w:t xml:space="preserve">Figure </w:t>
      </w:r>
      <w:r>
        <w:fldChar w:fldCharType="begin"/>
      </w:r>
      <w:r>
        <w:instrText xml:space="preserve"> SEQ Figure \* ARABIC </w:instrText>
      </w:r>
      <w:r>
        <w:fldChar w:fldCharType="separate"/>
      </w:r>
      <w:r>
        <w:rPr>
          <w:noProof/>
        </w:rPr>
        <w:t>6</w:t>
      </w:r>
      <w:r>
        <w:fldChar w:fldCharType="end"/>
      </w:r>
      <w:r>
        <w:t>- APPENDIX - Ratio Calculations</w:t>
      </w:r>
      <w:bookmarkEnd w:id="20"/>
    </w:p>
    <w:p w14:paraId="56CFE469" w14:textId="20084BFB" w:rsidR="00717194" w:rsidRDefault="00717194">
      <w:pPr>
        <w:rPr>
          <w:rFonts w:ascii="Arial" w:hAnsi="Arial" w:cs="Arial"/>
          <w:sz w:val="22"/>
          <w:szCs w:val="22"/>
        </w:rPr>
      </w:pPr>
      <w:r>
        <w:rPr>
          <w:rFonts w:ascii="Arial" w:hAnsi="Arial" w:cs="Arial"/>
          <w:noProof/>
          <w:sz w:val="22"/>
          <w:szCs w:val="22"/>
          <w14:ligatures w14:val="standardContextual"/>
        </w:rPr>
        <w:drawing>
          <wp:inline distT="0" distB="0" distL="0" distR="0" wp14:anchorId="7957B1E6" wp14:editId="30DB36BF">
            <wp:extent cx="5731510" cy="1788160"/>
            <wp:effectExtent l="0" t="0" r="0" b="2540"/>
            <wp:docPr id="214409804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098048" name="Picture 2144098048"/>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1788160"/>
                    </a:xfrm>
                    <a:prstGeom prst="rect">
                      <a:avLst/>
                    </a:prstGeom>
                  </pic:spPr>
                </pic:pic>
              </a:graphicData>
            </a:graphic>
          </wp:inline>
        </w:drawing>
      </w:r>
    </w:p>
    <w:p w14:paraId="734C39B3" w14:textId="77777777" w:rsidR="00717194" w:rsidRDefault="00717194">
      <w:pPr>
        <w:rPr>
          <w:rFonts w:ascii="Arial" w:hAnsi="Arial" w:cs="Arial"/>
          <w:sz w:val="22"/>
          <w:szCs w:val="22"/>
        </w:rPr>
      </w:pPr>
    </w:p>
    <w:p w14:paraId="334379F3" w14:textId="77777777" w:rsidR="00717194" w:rsidRDefault="00717194">
      <w:pPr>
        <w:rPr>
          <w:rFonts w:ascii="Arial" w:hAnsi="Arial" w:cs="Arial"/>
          <w:sz w:val="22"/>
          <w:szCs w:val="22"/>
        </w:rPr>
      </w:pPr>
    </w:p>
    <w:p w14:paraId="3F4FB138" w14:textId="0EBAC1AF" w:rsidR="00717194" w:rsidRDefault="00717194" w:rsidP="00717194">
      <w:pPr>
        <w:pStyle w:val="Caption"/>
        <w:keepNext/>
      </w:pPr>
      <w:bookmarkStart w:id="21" w:name="_Toc174983298"/>
      <w:r>
        <w:t xml:space="preserve">Figure </w:t>
      </w:r>
      <w:r>
        <w:fldChar w:fldCharType="begin"/>
      </w:r>
      <w:r>
        <w:instrText xml:space="preserve"> SEQ Figure \* ARABIC </w:instrText>
      </w:r>
      <w:r>
        <w:fldChar w:fldCharType="separate"/>
      </w:r>
      <w:r>
        <w:rPr>
          <w:noProof/>
        </w:rPr>
        <w:t>7</w:t>
      </w:r>
      <w:r>
        <w:fldChar w:fldCharType="end"/>
      </w:r>
      <w:r>
        <w:t xml:space="preserve"> - APPENDIX - Average Annual Share Return Calculations</w:t>
      </w:r>
      <w:bookmarkEnd w:id="21"/>
    </w:p>
    <w:p w14:paraId="3E429141" w14:textId="7F8A304A" w:rsidR="00717194" w:rsidRPr="00D221BE" w:rsidRDefault="00717194">
      <w:pPr>
        <w:rPr>
          <w:rFonts w:ascii="Arial" w:hAnsi="Arial" w:cs="Arial"/>
          <w:sz w:val="22"/>
          <w:szCs w:val="22"/>
        </w:rPr>
      </w:pPr>
      <w:r>
        <w:rPr>
          <w:rFonts w:ascii="Arial" w:hAnsi="Arial" w:cs="Arial"/>
          <w:noProof/>
          <w:sz w:val="22"/>
          <w:szCs w:val="22"/>
          <w14:ligatures w14:val="standardContextual"/>
        </w:rPr>
        <w:drawing>
          <wp:inline distT="0" distB="0" distL="0" distR="0" wp14:anchorId="736B782C" wp14:editId="2DA5131E">
            <wp:extent cx="5731510" cy="2865755"/>
            <wp:effectExtent l="0" t="0" r="0" b="4445"/>
            <wp:docPr id="1493487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48788" name="Picture 149348788"/>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inline>
        </w:drawing>
      </w:r>
    </w:p>
    <w:sectPr w:rsidR="00717194" w:rsidRPr="00D221BE">
      <w:footerReference w:type="even"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1C2859" w14:textId="77777777" w:rsidR="00C53BC2" w:rsidRDefault="00C53BC2" w:rsidP="007F16DD">
      <w:r>
        <w:separator/>
      </w:r>
    </w:p>
  </w:endnote>
  <w:endnote w:type="continuationSeparator" w:id="0">
    <w:p w14:paraId="049CB5B5" w14:textId="77777777" w:rsidR="00C53BC2" w:rsidRDefault="00C53BC2" w:rsidP="007F1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pitch w:val="default"/>
  </w:font>
  <w:font w:name="Aptos Narrow">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75662174"/>
      <w:docPartObj>
        <w:docPartGallery w:val="Page Numbers (Bottom of Page)"/>
        <w:docPartUnique/>
      </w:docPartObj>
    </w:sdtPr>
    <w:sdtContent>
      <w:p w14:paraId="584C7D72" w14:textId="759F4918" w:rsidR="007F16DD" w:rsidRDefault="007F16DD" w:rsidP="004523E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EFCB06" w14:textId="77777777" w:rsidR="007F16DD" w:rsidRDefault="007F16DD" w:rsidP="007F16D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100012686"/>
      <w:docPartObj>
        <w:docPartGallery w:val="Page Numbers (Bottom of Page)"/>
        <w:docPartUnique/>
      </w:docPartObj>
    </w:sdtPr>
    <w:sdtContent>
      <w:p w14:paraId="4C32AEAC" w14:textId="39D6619F" w:rsidR="007F16DD" w:rsidRDefault="007F16DD" w:rsidP="004523E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1AE0640" w14:textId="77777777" w:rsidR="007F16DD" w:rsidRDefault="007F16DD" w:rsidP="007F16D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1F6088" w14:textId="77777777" w:rsidR="00C53BC2" w:rsidRDefault="00C53BC2" w:rsidP="007F16DD">
      <w:r>
        <w:separator/>
      </w:r>
    </w:p>
  </w:footnote>
  <w:footnote w:type="continuationSeparator" w:id="0">
    <w:p w14:paraId="50760831" w14:textId="77777777" w:rsidR="00C53BC2" w:rsidRDefault="00C53BC2" w:rsidP="007F16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A3975"/>
    <w:multiLevelType w:val="multilevel"/>
    <w:tmpl w:val="E6CCB72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6E42B0"/>
    <w:multiLevelType w:val="multilevel"/>
    <w:tmpl w:val="5282BA1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CE7E05"/>
    <w:multiLevelType w:val="multilevel"/>
    <w:tmpl w:val="CF64AD9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D13F1E"/>
    <w:multiLevelType w:val="multilevel"/>
    <w:tmpl w:val="2C762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F756C5"/>
    <w:multiLevelType w:val="multilevel"/>
    <w:tmpl w:val="232A5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3E1EF4"/>
    <w:multiLevelType w:val="multilevel"/>
    <w:tmpl w:val="5FA81276"/>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016A56"/>
    <w:multiLevelType w:val="multilevel"/>
    <w:tmpl w:val="6C10FB16"/>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9F3C5E"/>
    <w:multiLevelType w:val="multilevel"/>
    <w:tmpl w:val="43EAE472"/>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FB352D"/>
    <w:multiLevelType w:val="multilevel"/>
    <w:tmpl w:val="7DC09AA4"/>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B0090E"/>
    <w:multiLevelType w:val="multilevel"/>
    <w:tmpl w:val="07269A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31B08ED"/>
    <w:multiLevelType w:val="multilevel"/>
    <w:tmpl w:val="2AD489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CB4611"/>
    <w:multiLevelType w:val="multilevel"/>
    <w:tmpl w:val="9D08E01A"/>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E9149E"/>
    <w:multiLevelType w:val="multilevel"/>
    <w:tmpl w:val="630C253E"/>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D322CD"/>
    <w:multiLevelType w:val="multilevel"/>
    <w:tmpl w:val="827AF1AC"/>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CC6FEE"/>
    <w:multiLevelType w:val="multilevel"/>
    <w:tmpl w:val="9FD422E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9590821"/>
    <w:multiLevelType w:val="multilevel"/>
    <w:tmpl w:val="09F2EC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FE1B13"/>
    <w:multiLevelType w:val="hybridMultilevel"/>
    <w:tmpl w:val="FB0A366C"/>
    <w:lvl w:ilvl="0" w:tplc="D38663E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2BC43326"/>
    <w:multiLevelType w:val="multilevel"/>
    <w:tmpl w:val="09987EC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E7B6B97"/>
    <w:multiLevelType w:val="multilevel"/>
    <w:tmpl w:val="765C2370"/>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30C1EDA"/>
    <w:multiLevelType w:val="multilevel"/>
    <w:tmpl w:val="A6442B5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30F0F8E"/>
    <w:multiLevelType w:val="multilevel"/>
    <w:tmpl w:val="BDCE114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AF61F6C"/>
    <w:multiLevelType w:val="multilevel"/>
    <w:tmpl w:val="55A06AFE"/>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0873776"/>
    <w:multiLevelType w:val="multilevel"/>
    <w:tmpl w:val="B3E03EE0"/>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0E378CE"/>
    <w:multiLevelType w:val="multilevel"/>
    <w:tmpl w:val="8F3EDE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5C015CE"/>
    <w:multiLevelType w:val="multilevel"/>
    <w:tmpl w:val="7F24F4EA"/>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6F0288F"/>
    <w:multiLevelType w:val="hybridMultilevel"/>
    <w:tmpl w:val="0D3AE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2E4950"/>
    <w:multiLevelType w:val="multilevel"/>
    <w:tmpl w:val="67CEE04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CCD1A00"/>
    <w:multiLevelType w:val="multilevel"/>
    <w:tmpl w:val="51E4F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19E6C75"/>
    <w:multiLevelType w:val="multilevel"/>
    <w:tmpl w:val="1E06165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44404DD"/>
    <w:multiLevelType w:val="multilevel"/>
    <w:tmpl w:val="71AC2D1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5CC2D6A"/>
    <w:multiLevelType w:val="multilevel"/>
    <w:tmpl w:val="D21AB95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70C2496"/>
    <w:multiLevelType w:val="multilevel"/>
    <w:tmpl w:val="A8320650"/>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F93AC7"/>
    <w:multiLevelType w:val="multilevel"/>
    <w:tmpl w:val="51361732"/>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02D7B36"/>
    <w:multiLevelType w:val="multilevel"/>
    <w:tmpl w:val="3216FCD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1832DFE"/>
    <w:multiLevelType w:val="multilevel"/>
    <w:tmpl w:val="4B7E95C6"/>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3742530"/>
    <w:multiLevelType w:val="multilevel"/>
    <w:tmpl w:val="A14A30EA"/>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54857D2"/>
    <w:multiLevelType w:val="multilevel"/>
    <w:tmpl w:val="9E70CB9A"/>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6175690"/>
    <w:multiLevelType w:val="multilevel"/>
    <w:tmpl w:val="1ECA902C"/>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62E5276"/>
    <w:multiLevelType w:val="multilevel"/>
    <w:tmpl w:val="7B6C599A"/>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7E87F65"/>
    <w:multiLevelType w:val="multilevel"/>
    <w:tmpl w:val="1ECC0216"/>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A8D6C83"/>
    <w:multiLevelType w:val="multilevel"/>
    <w:tmpl w:val="69FE8B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56A2F93"/>
    <w:multiLevelType w:val="multilevel"/>
    <w:tmpl w:val="B3600EB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686319F"/>
    <w:multiLevelType w:val="multilevel"/>
    <w:tmpl w:val="D68EA7A6"/>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86101711">
    <w:abstractNumId w:val="4"/>
  </w:num>
  <w:num w:numId="2" w16cid:durableId="101923027">
    <w:abstractNumId w:val="9"/>
  </w:num>
  <w:num w:numId="3" w16cid:durableId="732194108">
    <w:abstractNumId w:val="16"/>
  </w:num>
  <w:num w:numId="4" w16cid:durableId="1352027286">
    <w:abstractNumId w:val="27"/>
  </w:num>
  <w:num w:numId="5" w16cid:durableId="637955621">
    <w:abstractNumId w:val="25"/>
  </w:num>
  <w:num w:numId="6" w16cid:durableId="914240667">
    <w:abstractNumId w:val="3"/>
  </w:num>
  <w:num w:numId="7" w16cid:durableId="933512877">
    <w:abstractNumId w:val="40"/>
  </w:num>
  <w:num w:numId="8" w16cid:durableId="552010052">
    <w:abstractNumId w:val="15"/>
  </w:num>
  <w:num w:numId="9" w16cid:durableId="1461797956">
    <w:abstractNumId w:val="23"/>
  </w:num>
  <w:num w:numId="10" w16cid:durableId="1353918231">
    <w:abstractNumId w:val="19"/>
  </w:num>
  <w:num w:numId="11" w16cid:durableId="187180537">
    <w:abstractNumId w:val="29"/>
  </w:num>
  <w:num w:numId="12" w16cid:durableId="1462576287">
    <w:abstractNumId w:val="0"/>
  </w:num>
  <w:num w:numId="13" w16cid:durableId="211961688">
    <w:abstractNumId w:val="10"/>
  </w:num>
  <w:num w:numId="14" w16cid:durableId="1354067927">
    <w:abstractNumId w:val="20"/>
  </w:num>
  <w:num w:numId="15" w16cid:durableId="1270310300">
    <w:abstractNumId w:val="33"/>
  </w:num>
  <w:num w:numId="16" w16cid:durableId="2074549072">
    <w:abstractNumId w:val="28"/>
  </w:num>
  <w:num w:numId="17" w16cid:durableId="1310480630">
    <w:abstractNumId w:val="2"/>
  </w:num>
  <w:num w:numId="18" w16cid:durableId="1333989082">
    <w:abstractNumId w:val="17"/>
  </w:num>
  <w:num w:numId="19" w16cid:durableId="713188769">
    <w:abstractNumId w:val="41"/>
  </w:num>
  <w:num w:numId="20" w16cid:durableId="421029910">
    <w:abstractNumId w:val="14"/>
  </w:num>
  <w:num w:numId="21" w16cid:durableId="1616716796">
    <w:abstractNumId w:val="30"/>
  </w:num>
  <w:num w:numId="22" w16cid:durableId="893544672">
    <w:abstractNumId w:val="22"/>
  </w:num>
  <w:num w:numId="23" w16cid:durableId="257719428">
    <w:abstractNumId w:val="6"/>
  </w:num>
  <w:num w:numId="24" w16cid:durableId="16086833">
    <w:abstractNumId w:val="18"/>
  </w:num>
  <w:num w:numId="25" w16cid:durableId="1659648936">
    <w:abstractNumId w:val="38"/>
  </w:num>
  <w:num w:numId="26" w16cid:durableId="480388866">
    <w:abstractNumId w:val="34"/>
  </w:num>
  <w:num w:numId="27" w16cid:durableId="253591248">
    <w:abstractNumId w:val="12"/>
  </w:num>
  <w:num w:numId="28" w16cid:durableId="1187719610">
    <w:abstractNumId w:val="31"/>
  </w:num>
  <w:num w:numId="29" w16cid:durableId="192572746">
    <w:abstractNumId w:val="42"/>
  </w:num>
  <w:num w:numId="30" w16cid:durableId="978605957">
    <w:abstractNumId w:val="1"/>
  </w:num>
  <w:num w:numId="31" w16cid:durableId="663819387">
    <w:abstractNumId w:val="26"/>
  </w:num>
  <w:num w:numId="32" w16cid:durableId="1787848948">
    <w:abstractNumId w:val="35"/>
  </w:num>
  <w:num w:numId="33" w16cid:durableId="933368798">
    <w:abstractNumId w:val="7"/>
  </w:num>
  <w:num w:numId="34" w16cid:durableId="590743304">
    <w:abstractNumId w:val="32"/>
  </w:num>
  <w:num w:numId="35" w16cid:durableId="866724200">
    <w:abstractNumId w:val="39"/>
  </w:num>
  <w:num w:numId="36" w16cid:durableId="286276992">
    <w:abstractNumId w:val="21"/>
  </w:num>
  <w:num w:numId="37" w16cid:durableId="1051074011">
    <w:abstractNumId w:val="5"/>
  </w:num>
  <w:num w:numId="38" w16cid:durableId="2042777625">
    <w:abstractNumId w:val="11"/>
  </w:num>
  <w:num w:numId="39" w16cid:durableId="188566361">
    <w:abstractNumId w:val="8"/>
  </w:num>
  <w:num w:numId="40" w16cid:durableId="701705114">
    <w:abstractNumId w:val="36"/>
  </w:num>
  <w:num w:numId="41" w16cid:durableId="1099519143">
    <w:abstractNumId w:val="37"/>
  </w:num>
  <w:num w:numId="42" w16cid:durableId="747922442">
    <w:abstractNumId w:val="24"/>
  </w:num>
  <w:num w:numId="43" w16cid:durableId="186301289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090"/>
    <w:rsid w:val="00017506"/>
    <w:rsid w:val="00030284"/>
    <w:rsid w:val="00036BE3"/>
    <w:rsid w:val="00037249"/>
    <w:rsid w:val="00037D55"/>
    <w:rsid w:val="00050B11"/>
    <w:rsid w:val="00051CD1"/>
    <w:rsid w:val="00061DA2"/>
    <w:rsid w:val="00076EE5"/>
    <w:rsid w:val="00076F1A"/>
    <w:rsid w:val="0008053E"/>
    <w:rsid w:val="000938F5"/>
    <w:rsid w:val="000A16F7"/>
    <w:rsid w:val="000A22EF"/>
    <w:rsid w:val="000A45EA"/>
    <w:rsid w:val="000B05D0"/>
    <w:rsid w:val="000E3E7B"/>
    <w:rsid w:val="000E54C6"/>
    <w:rsid w:val="000E65DB"/>
    <w:rsid w:val="001068F3"/>
    <w:rsid w:val="00116807"/>
    <w:rsid w:val="00125031"/>
    <w:rsid w:val="001257CB"/>
    <w:rsid w:val="00155967"/>
    <w:rsid w:val="00167D11"/>
    <w:rsid w:val="001B22FC"/>
    <w:rsid w:val="001B6C71"/>
    <w:rsid w:val="001C0FC1"/>
    <w:rsid w:val="001E26FA"/>
    <w:rsid w:val="001F2AE8"/>
    <w:rsid w:val="001F2CC1"/>
    <w:rsid w:val="001F42A1"/>
    <w:rsid w:val="002064CD"/>
    <w:rsid w:val="0021075D"/>
    <w:rsid w:val="002463C7"/>
    <w:rsid w:val="002607FB"/>
    <w:rsid w:val="0027384B"/>
    <w:rsid w:val="002750A2"/>
    <w:rsid w:val="00281172"/>
    <w:rsid w:val="00284701"/>
    <w:rsid w:val="00290EA8"/>
    <w:rsid w:val="0029159A"/>
    <w:rsid w:val="002B3D5F"/>
    <w:rsid w:val="002D0382"/>
    <w:rsid w:val="002D1BCA"/>
    <w:rsid w:val="002F0966"/>
    <w:rsid w:val="002F4730"/>
    <w:rsid w:val="00313310"/>
    <w:rsid w:val="00341168"/>
    <w:rsid w:val="00344A34"/>
    <w:rsid w:val="0034738C"/>
    <w:rsid w:val="00350ED3"/>
    <w:rsid w:val="00352C01"/>
    <w:rsid w:val="003615C8"/>
    <w:rsid w:val="003838D4"/>
    <w:rsid w:val="003A2BE0"/>
    <w:rsid w:val="003B3487"/>
    <w:rsid w:val="003B5AF2"/>
    <w:rsid w:val="003C0FC0"/>
    <w:rsid w:val="003C2070"/>
    <w:rsid w:val="003D3C5B"/>
    <w:rsid w:val="003E327D"/>
    <w:rsid w:val="004311E2"/>
    <w:rsid w:val="004332C1"/>
    <w:rsid w:val="00442D5F"/>
    <w:rsid w:val="00443F86"/>
    <w:rsid w:val="00453E2D"/>
    <w:rsid w:val="004648A7"/>
    <w:rsid w:val="00474C5A"/>
    <w:rsid w:val="00477952"/>
    <w:rsid w:val="00483563"/>
    <w:rsid w:val="004A778C"/>
    <w:rsid w:val="004B6FDF"/>
    <w:rsid w:val="004D09C3"/>
    <w:rsid w:val="004D0E34"/>
    <w:rsid w:val="004E17D4"/>
    <w:rsid w:val="004E6D81"/>
    <w:rsid w:val="004F1210"/>
    <w:rsid w:val="004F6A02"/>
    <w:rsid w:val="004F7582"/>
    <w:rsid w:val="00525BB4"/>
    <w:rsid w:val="005310BA"/>
    <w:rsid w:val="0054361A"/>
    <w:rsid w:val="0056248D"/>
    <w:rsid w:val="00563868"/>
    <w:rsid w:val="00570B85"/>
    <w:rsid w:val="00576283"/>
    <w:rsid w:val="0058589E"/>
    <w:rsid w:val="005944FE"/>
    <w:rsid w:val="005B0DD5"/>
    <w:rsid w:val="005C71B3"/>
    <w:rsid w:val="005D5AC4"/>
    <w:rsid w:val="005D5C28"/>
    <w:rsid w:val="0060415D"/>
    <w:rsid w:val="006337F2"/>
    <w:rsid w:val="00646CBF"/>
    <w:rsid w:val="00647F47"/>
    <w:rsid w:val="0066239C"/>
    <w:rsid w:val="006649A8"/>
    <w:rsid w:val="006838BE"/>
    <w:rsid w:val="006955D8"/>
    <w:rsid w:val="00696C22"/>
    <w:rsid w:val="006B5179"/>
    <w:rsid w:val="006D50E7"/>
    <w:rsid w:val="006E267C"/>
    <w:rsid w:val="006F547A"/>
    <w:rsid w:val="00702955"/>
    <w:rsid w:val="007113EF"/>
    <w:rsid w:val="00717194"/>
    <w:rsid w:val="007234D6"/>
    <w:rsid w:val="00725F9D"/>
    <w:rsid w:val="00731634"/>
    <w:rsid w:val="00731A30"/>
    <w:rsid w:val="00761751"/>
    <w:rsid w:val="00771AE8"/>
    <w:rsid w:val="00791D1B"/>
    <w:rsid w:val="007C5090"/>
    <w:rsid w:val="007D4A84"/>
    <w:rsid w:val="007F162A"/>
    <w:rsid w:val="007F16DD"/>
    <w:rsid w:val="008512BE"/>
    <w:rsid w:val="00853DF7"/>
    <w:rsid w:val="00863E18"/>
    <w:rsid w:val="008828B9"/>
    <w:rsid w:val="00886C9A"/>
    <w:rsid w:val="008A177A"/>
    <w:rsid w:val="008B2C70"/>
    <w:rsid w:val="008C7A24"/>
    <w:rsid w:val="008D4860"/>
    <w:rsid w:val="008E5B46"/>
    <w:rsid w:val="008E672F"/>
    <w:rsid w:val="008F7FE1"/>
    <w:rsid w:val="00901B57"/>
    <w:rsid w:val="00914E10"/>
    <w:rsid w:val="00921F01"/>
    <w:rsid w:val="0092311B"/>
    <w:rsid w:val="009270CF"/>
    <w:rsid w:val="00947F2A"/>
    <w:rsid w:val="00951013"/>
    <w:rsid w:val="00966135"/>
    <w:rsid w:val="00967D17"/>
    <w:rsid w:val="00977387"/>
    <w:rsid w:val="00987410"/>
    <w:rsid w:val="00994353"/>
    <w:rsid w:val="009B1101"/>
    <w:rsid w:val="009B1743"/>
    <w:rsid w:val="009D62AB"/>
    <w:rsid w:val="009E0861"/>
    <w:rsid w:val="009E48F5"/>
    <w:rsid w:val="009E6DAC"/>
    <w:rsid w:val="009F3774"/>
    <w:rsid w:val="009F7894"/>
    <w:rsid w:val="00A058BC"/>
    <w:rsid w:val="00A05A44"/>
    <w:rsid w:val="00A178DC"/>
    <w:rsid w:val="00A23F33"/>
    <w:rsid w:val="00A244F2"/>
    <w:rsid w:val="00A2543E"/>
    <w:rsid w:val="00A3721E"/>
    <w:rsid w:val="00A37BAF"/>
    <w:rsid w:val="00A430CE"/>
    <w:rsid w:val="00A51C5B"/>
    <w:rsid w:val="00A53F85"/>
    <w:rsid w:val="00A7014C"/>
    <w:rsid w:val="00A7313E"/>
    <w:rsid w:val="00A9630B"/>
    <w:rsid w:val="00AA51D5"/>
    <w:rsid w:val="00AB276F"/>
    <w:rsid w:val="00AD7745"/>
    <w:rsid w:val="00AE15E2"/>
    <w:rsid w:val="00AF1F66"/>
    <w:rsid w:val="00AF3320"/>
    <w:rsid w:val="00B00A98"/>
    <w:rsid w:val="00B03572"/>
    <w:rsid w:val="00B267BE"/>
    <w:rsid w:val="00B507C0"/>
    <w:rsid w:val="00B61080"/>
    <w:rsid w:val="00B625EF"/>
    <w:rsid w:val="00B6764D"/>
    <w:rsid w:val="00B76AFF"/>
    <w:rsid w:val="00B76B75"/>
    <w:rsid w:val="00B862D2"/>
    <w:rsid w:val="00BB330C"/>
    <w:rsid w:val="00BC4347"/>
    <w:rsid w:val="00BD13E8"/>
    <w:rsid w:val="00BD5CE7"/>
    <w:rsid w:val="00BF3727"/>
    <w:rsid w:val="00C01E15"/>
    <w:rsid w:val="00C074A1"/>
    <w:rsid w:val="00C14B90"/>
    <w:rsid w:val="00C175F1"/>
    <w:rsid w:val="00C274E7"/>
    <w:rsid w:val="00C330A1"/>
    <w:rsid w:val="00C52F58"/>
    <w:rsid w:val="00C53BC2"/>
    <w:rsid w:val="00C6500D"/>
    <w:rsid w:val="00C821D6"/>
    <w:rsid w:val="00C92498"/>
    <w:rsid w:val="00CA1F87"/>
    <w:rsid w:val="00CA39FE"/>
    <w:rsid w:val="00CA6E73"/>
    <w:rsid w:val="00CB19AB"/>
    <w:rsid w:val="00CC538A"/>
    <w:rsid w:val="00CD34E2"/>
    <w:rsid w:val="00CE19D3"/>
    <w:rsid w:val="00CE22D0"/>
    <w:rsid w:val="00CE4D36"/>
    <w:rsid w:val="00D03EA6"/>
    <w:rsid w:val="00D05E95"/>
    <w:rsid w:val="00D1707A"/>
    <w:rsid w:val="00D21B72"/>
    <w:rsid w:val="00D221BE"/>
    <w:rsid w:val="00D55AF8"/>
    <w:rsid w:val="00D646D5"/>
    <w:rsid w:val="00D75BB6"/>
    <w:rsid w:val="00DA0AF1"/>
    <w:rsid w:val="00DB030F"/>
    <w:rsid w:val="00DC2ABD"/>
    <w:rsid w:val="00DF0DDB"/>
    <w:rsid w:val="00DF30FA"/>
    <w:rsid w:val="00E01230"/>
    <w:rsid w:val="00E02695"/>
    <w:rsid w:val="00E047F2"/>
    <w:rsid w:val="00E12399"/>
    <w:rsid w:val="00E15A9D"/>
    <w:rsid w:val="00E22DF9"/>
    <w:rsid w:val="00E37E23"/>
    <w:rsid w:val="00E442F7"/>
    <w:rsid w:val="00E4622C"/>
    <w:rsid w:val="00E46BEF"/>
    <w:rsid w:val="00E65DF3"/>
    <w:rsid w:val="00E86240"/>
    <w:rsid w:val="00E904F4"/>
    <w:rsid w:val="00E9798E"/>
    <w:rsid w:val="00ED1EC2"/>
    <w:rsid w:val="00ED2542"/>
    <w:rsid w:val="00ED3F55"/>
    <w:rsid w:val="00EF0063"/>
    <w:rsid w:val="00EF2183"/>
    <w:rsid w:val="00EF4E4B"/>
    <w:rsid w:val="00F0607C"/>
    <w:rsid w:val="00F15F6E"/>
    <w:rsid w:val="00F2499C"/>
    <w:rsid w:val="00F435A2"/>
    <w:rsid w:val="00F45BED"/>
    <w:rsid w:val="00F50BCA"/>
    <w:rsid w:val="00F51839"/>
    <w:rsid w:val="00F53C69"/>
    <w:rsid w:val="00F73ABF"/>
    <w:rsid w:val="00F82991"/>
    <w:rsid w:val="00F86C72"/>
    <w:rsid w:val="00FA762F"/>
    <w:rsid w:val="00FF3743"/>
    <w:rsid w:val="00FF4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69346"/>
  <w15:chartTrackingRefBased/>
  <w15:docId w15:val="{701EDC43-36E2-3440-8767-0A09A3FE5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77A"/>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7C50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C50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50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50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50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509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509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509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509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0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C50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50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50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50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50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50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50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5090"/>
    <w:rPr>
      <w:rFonts w:eastAsiaTheme="majorEastAsia" w:cstheme="majorBidi"/>
      <w:color w:val="272727" w:themeColor="text1" w:themeTint="D8"/>
    </w:rPr>
  </w:style>
  <w:style w:type="paragraph" w:styleId="Title">
    <w:name w:val="Title"/>
    <w:basedOn w:val="Normal"/>
    <w:next w:val="Normal"/>
    <w:link w:val="TitleChar"/>
    <w:uiPriority w:val="10"/>
    <w:qFormat/>
    <w:rsid w:val="007C509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50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50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50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5090"/>
    <w:pPr>
      <w:spacing w:before="160"/>
      <w:jc w:val="center"/>
    </w:pPr>
    <w:rPr>
      <w:i/>
      <w:iCs/>
      <w:color w:val="404040" w:themeColor="text1" w:themeTint="BF"/>
    </w:rPr>
  </w:style>
  <w:style w:type="character" w:customStyle="1" w:styleId="QuoteChar">
    <w:name w:val="Quote Char"/>
    <w:basedOn w:val="DefaultParagraphFont"/>
    <w:link w:val="Quote"/>
    <w:uiPriority w:val="29"/>
    <w:rsid w:val="007C5090"/>
    <w:rPr>
      <w:i/>
      <w:iCs/>
      <w:color w:val="404040" w:themeColor="text1" w:themeTint="BF"/>
    </w:rPr>
  </w:style>
  <w:style w:type="paragraph" w:styleId="ListParagraph">
    <w:name w:val="List Paragraph"/>
    <w:basedOn w:val="Normal"/>
    <w:uiPriority w:val="34"/>
    <w:qFormat/>
    <w:rsid w:val="007C5090"/>
    <w:pPr>
      <w:ind w:left="720"/>
      <w:contextualSpacing/>
    </w:pPr>
  </w:style>
  <w:style w:type="character" w:styleId="IntenseEmphasis">
    <w:name w:val="Intense Emphasis"/>
    <w:basedOn w:val="DefaultParagraphFont"/>
    <w:uiPriority w:val="21"/>
    <w:qFormat/>
    <w:rsid w:val="007C5090"/>
    <w:rPr>
      <w:i/>
      <w:iCs/>
      <w:color w:val="0F4761" w:themeColor="accent1" w:themeShade="BF"/>
    </w:rPr>
  </w:style>
  <w:style w:type="paragraph" w:styleId="IntenseQuote">
    <w:name w:val="Intense Quote"/>
    <w:basedOn w:val="Normal"/>
    <w:next w:val="Normal"/>
    <w:link w:val="IntenseQuoteChar"/>
    <w:uiPriority w:val="30"/>
    <w:qFormat/>
    <w:rsid w:val="007C50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5090"/>
    <w:rPr>
      <w:i/>
      <w:iCs/>
      <w:color w:val="0F4761" w:themeColor="accent1" w:themeShade="BF"/>
    </w:rPr>
  </w:style>
  <w:style w:type="character" w:styleId="IntenseReference">
    <w:name w:val="Intense Reference"/>
    <w:basedOn w:val="DefaultParagraphFont"/>
    <w:uiPriority w:val="32"/>
    <w:qFormat/>
    <w:rsid w:val="007C5090"/>
    <w:rPr>
      <w:b/>
      <w:bCs/>
      <w:smallCaps/>
      <w:color w:val="0F4761" w:themeColor="accent1" w:themeShade="BF"/>
      <w:spacing w:val="5"/>
    </w:rPr>
  </w:style>
  <w:style w:type="character" w:styleId="Hyperlink">
    <w:name w:val="Hyperlink"/>
    <w:basedOn w:val="DefaultParagraphFont"/>
    <w:uiPriority w:val="99"/>
    <w:unhideWhenUsed/>
    <w:rsid w:val="007C5090"/>
    <w:rPr>
      <w:color w:val="467886" w:themeColor="hyperlink"/>
      <w:u w:val="single"/>
    </w:rPr>
  </w:style>
  <w:style w:type="paragraph" w:styleId="NormalWeb">
    <w:name w:val="Normal (Web)"/>
    <w:basedOn w:val="Normal"/>
    <w:uiPriority w:val="99"/>
    <w:unhideWhenUsed/>
    <w:rsid w:val="00791D1B"/>
    <w:pPr>
      <w:spacing w:before="100" w:beforeAutospacing="1" w:after="100" w:afterAutospacing="1"/>
    </w:pPr>
  </w:style>
  <w:style w:type="character" w:styleId="PlaceholderText">
    <w:name w:val="Placeholder Text"/>
    <w:basedOn w:val="DefaultParagraphFont"/>
    <w:uiPriority w:val="99"/>
    <w:semiHidden/>
    <w:rsid w:val="00281172"/>
    <w:rPr>
      <w:color w:val="666666"/>
    </w:rPr>
  </w:style>
  <w:style w:type="character" w:styleId="UnresolvedMention">
    <w:name w:val="Unresolved Mention"/>
    <w:basedOn w:val="DefaultParagraphFont"/>
    <w:uiPriority w:val="99"/>
    <w:semiHidden/>
    <w:unhideWhenUsed/>
    <w:rsid w:val="00E37E23"/>
    <w:rPr>
      <w:color w:val="605E5C"/>
      <w:shd w:val="clear" w:color="auto" w:fill="E1DFDD"/>
    </w:rPr>
  </w:style>
  <w:style w:type="character" w:styleId="FollowedHyperlink">
    <w:name w:val="FollowedHyperlink"/>
    <w:basedOn w:val="DefaultParagraphFont"/>
    <w:uiPriority w:val="99"/>
    <w:semiHidden/>
    <w:unhideWhenUsed/>
    <w:rsid w:val="00D21B72"/>
    <w:rPr>
      <w:color w:val="96607D" w:themeColor="followedHyperlink"/>
      <w:u w:val="single"/>
    </w:rPr>
  </w:style>
  <w:style w:type="paragraph" w:styleId="Caption">
    <w:name w:val="caption"/>
    <w:basedOn w:val="Normal"/>
    <w:next w:val="Normal"/>
    <w:uiPriority w:val="35"/>
    <w:unhideWhenUsed/>
    <w:qFormat/>
    <w:rsid w:val="00987410"/>
    <w:pPr>
      <w:spacing w:after="200"/>
    </w:pPr>
    <w:rPr>
      <w:i/>
      <w:iCs/>
      <w:color w:val="0E2841" w:themeColor="text2"/>
      <w:sz w:val="18"/>
      <w:szCs w:val="18"/>
    </w:rPr>
  </w:style>
  <w:style w:type="character" w:customStyle="1" w:styleId="apple-converted-space">
    <w:name w:val="apple-converted-space"/>
    <w:basedOn w:val="DefaultParagraphFont"/>
    <w:rsid w:val="001257CB"/>
  </w:style>
  <w:style w:type="character" w:styleId="Emphasis">
    <w:name w:val="Emphasis"/>
    <w:basedOn w:val="DefaultParagraphFont"/>
    <w:uiPriority w:val="20"/>
    <w:qFormat/>
    <w:rsid w:val="001257CB"/>
    <w:rPr>
      <w:i/>
      <w:iCs/>
    </w:rPr>
  </w:style>
  <w:style w:type="table" w:styleId="TableGrid">
    <w:name w:val="Table Grid"/>
    <w:basedOn w:val="TableNormal"/>
    <w:uiPriority w:val="39"/>
    <w:rsid w:val="00F829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F7894"/>
    <w:rPr>
      <w:b/>
      <w:bCs/>
    </w:rPr>
  </w:style>
  <w:style w:type="paragraph" w:styleId="Footer">
    <w:name w:val="footer"/>
    <w:basedOn w:val="Normal"/>
    <w:link w:val="FooterChar"/>
    <w:uiPriority w:val="99"/>
    <w:unhideWhenUsed/>
    <w:rsid w:val="007F16DD"/>
    <w:pPr>
      <w:tabs>
        <w:tab w:val="center" w:pos="4513"/>
        <w:tab w:val="right" w:pos="9026"/>
      </w:tabs>
    </w:pPr>
  </w:style>
  <w:style w:type="character" w:customStyle="1" w:styleId="FooterChar">
    <w:name w:val="Footer Char"/>
    <w:basedOn w:val="DefaultParagraphFont"/>
    <w:link w:val="Footer"/>
    <w:uiPriority w:val="99"/>
    <w:rsid w:val="007F16DD"/>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7F16DD"/>
  </w:style>
  <w:style w:type="paragraph" w:styleId="TOCHeading">
    <w:name w:val="TOC Heading"/>
    <w:basedOn w:val="Heading1"/>
    <w:next w:val="Normal"/>
    <w:uiPriority w:val="39"/>
    <w:unhideWhenUsed/>
    <w:qFormat/>
    <w:rsid w:val="00F73ABF"/>
    <w:pPr>
      <w:spacing w:before="480" w:after="0" w:line="276" w:lineRule="auto"/>
      <w:outlineLvl w:val="9"/>
    </w:pPr>
    <w:rPr>
      <w:b/>
      <w:bCs/>
      <w:sz w:val="28"/>
      <w:szCs w:val="28"/>
      <w:lang w:val="en-US" w:eastAsia="en-US"/>
    </w:rPr>
  </w:style>
  <w:style w:type="paragraph" w:styleId="TOC1">
    <w:name w:val="toc 1"/>
    <w:basedOn w:val="Normal"/>
    <w:next w:val="Normal"/>
    <w:autoRedefine/>
    <w:uiPriority w:val="39"/>
    <w:unhideWhenUsed/>
    <w:rsid w:val="00F73ABF"/>
    <w:pPr>
      <w:spacing w:before="120" w:after="120"/>
    </w:pPr>
    <w:rPr>
      <w:rFonts w:asciiTheme="minorHAnsi" w:hAnsiTheme="minorHAnsi"/>
      <w:b/>
      <w:bCs/>
      <w:caps/>
      <w:sz w:val="20"/>
      <w:szCs w:val="20"/>
    </w:rPr>
  </w:style>
  <w:style w:type="paragraph" w:styleId="TOC2">
    <w:name w:val="toc 2"/>
    <w:basedOn w:val="Normal"/>
    <w:next w:val="Normal"/>
    <w:autoRedefine/>
    <w:uiPriority w:val="39"/>
    <w:unhideWhenUsed/>
    <w:rsid w:val="00F73ABF"/>
    <w:pPr>
      <w:ind w:left="240"/>
    </w:pPr>
    <w:rPr>
      <w:rFonts w:asciiTheme="minorHAnsi" w:hAnsiTheme="minorHAnsi"/>
      <w:smallCaps/>
      <w:sz w:val="20"/>
      <w:szCs w:val="20"/>
    </w:rPr>
  </w:style>
  <w:style w:type="paragraph" w:styleId="TOC3">
    <w:name w:val="toc 3"/>
    <w:basedOn w:val="Normal"/>
    <w:next w:val="Normal"/>
    <w:autoRedefine/>
    <w:uiPriority w:val="39"/>
    <w:semiHidden/>
    <w:unhideWhenUsed/>
    <w:rsid w:val="00F73ABF"/>
    <w:pPr>
      <w:ind w:left="480"/>
    </w:pPr>
    <w:rPr>
      <w:rFonts w:asciiTheme="minorHAnsi" w:hAnsiTheme="minorHAnsi"/>
      <w:i/>
      <w:iCs/>
      <w:sz w:val="20"/>
      <w:szCs w:val="20"/>
    </w:rPr>
  </w:style>
  <w:style w:type="paragraph" w:styleId="TOC4">
    <w:name w:val="toc 4"/>
    <w:basedOn w:val="Normal"/>
    <w:next w:val="Normal"/>
    <w:autoRedefine/>
    <w:uiPriority w:val="39"/>
    <w:semiHidden/>
    <w:unhideWhenUsed/>
    <w:rsid w:val="00F73ABF"/>
    <w:pPr>
      <w:ind w:left="720"/>
    </w:pPr>
    <w:rPr>
      <w:rFonts w:asciiTheme="minorHAnsi" w:hAnsiTheme="minorHAnsi"/>
      <w:sz w:val="18"/>
      <w:szCs w:val="18"/>
    </w:rPr>
  </w:style>
  <w:style w:type="paragraph" w:styleId="TOC5">
    <w:name w:val="toc 5"/>
    <w:basedOn w:val="Normal"/>
    <w:next w:val="Normal"/>
    <w:autoRedefine/>
    <w:uiPriority w:val="39"/>
    <w:semiHidden/>
    <w:unhideWhenUsed/>
    <w:rsid w:val="00F73ABF"/>
    <w:pPr>
      <w:ind w:left="960"/>
    </w:pPr>
    <w:rPr>
      <w:rFonts w:asciiTheme="minorHAnsi" w:hAnsiTheme="minorHAnsi"/>
      <w:sz w:val="18"/>
      <w:szCs w:val="18"/>
    </w:rPr>
  </w:style>
  <w:style w:type="paragraph" w:styleId="TOC6">
    <w:name w:val="toc 6"/>
    <w:basedOn w:val="Normal"/>
    <w:next w:val="Normal"/>
    <w:autoRedefine/>
    <w:uiPriority w:val="39"/>
    <w:semiHidden/>
    <w:unhideWhenUsed/>
    <w:rsid w:val="00F73ABF"/>
    <w:pPr>
      <w:ind w:left="1200"/>
    </w:pPr>
    <w:rPr>
      <w:rFonts w:asciiTheme="minorHAnsi" w:hAnsiTheme="minorHAnsi"/>
      <w:sz w:val="18"/>
      <w:szCs w:val="18"/>
    </w:rPr>
  </w:style>
  <w:style w:type="paragraph" w:styleId="TOC7">
    <w:name w:val="toc 7"/>
    <w:basedOn w:val="Normal"/>
    <w:next w:val="Normal"/>
    <w:autoRedefine/>
    <w:uiPriority w:val="39"/>
    <w:semiHidden/>
    <w:unhideWhenUsed/>
    <w:rsid w:val="00F73ABF"/>
    <w:pPr>
      <w:ind w:left="1440"/>
    </w:pPr>
    <w:rPr>
      <w:rFonts w:asciiTheme="minorHAnsi" w:hAnsiTheme="minorHAnsi"/>
      <w:sz w:val="18"/>
      <w:szCs w:val="18"/>
    </w:rPr>
  </w:style>
  <w:style w:type="paragraph" w:styleId="TOC8">
    <w:name w:val="toc 8"/>
    <w:basedOn w:val="Normal"/>
    <w:next w:val="Normal"/>
    <w:autoRedefine/>
    <w:uiPriority w:val="39"/>
    <w:semiHidden/>
    <w:unhideWhenUsed/>
    <w:rsid w:val="00F73ABF"/>
    <w:pPr>
      <w:ind w:left="1680"/>
    </w:pPr>
    <w:rPr>
      <w:rFonts w:asciiTheme="minorHAnsi" w:hAnsiTheme="minorHAnsi"/>
      <w:sz w:val="18"/>
      <w:szCs w:val="18"/>
    </w:rPr>
  </w:style>
  <w:style w:type="paragraph" w:styleId="TOC9">
    <w:name w:val="toc 9"/>
    <w:basedOn w:val="Normal"/>
    <w:next w:val="Normal"/>
    <w:autoRedefine/>
    <w:uiPriority w:val="39"/>
    <w:semiHidden/>
    <w:unhideWhenUsed/>
    <w:rsid w:val="00F73ABF"/>
    <w:pPr>
      <w:ind w:left="1920"/>
    </w:pPr>
    <w:rPr>
      <w:rFonts w:asciiTheme="minorHAnsi" w:hAnsiTheme="minorHAnsi"/>
      <w:sz w:val="18"/>
      <w:szCs w:val="18"/>
    </w:rPr>
  </w:style>
  <w:style w:type="paragraph" w:styleId="TableofFigures">
    <w:name w:val="table of figures"/>
    <w:basedOn w:val="Normal"/>
    <w:next w:val="Normal"/>
    <w:uiPriority w:val="99"/>
    <w:unhideWhenUsed/>
    <w:rsid w:val="00F73ABF"/>
  </w:style>
  <w:style w:type="character" w:customStyle="1" w:styleId="text-token-text-secondary">
    <w:name w:val="text-token-text-secondary"/>
    <w:basedOn w:val="DefaultParagraphFont"/>
    <w:rsid w:val="00A244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05163">
      <w:bodyDiv w:val="1"/>
      <w:marLeft w:val="0"/>
      <w:marRight w:val="0"/>
      <w:marTop w:val="0"/>
      <w:marBottom w:val="0"/>
      <w:divBdr>
        <w:top w:val="none" w:sz="0" w:space="0" w:color="auto"/>
        <w:left w:val="none" w:sz="0" w:space="0" w:color="auto"/>
        <w:bottom w:val="none" w:sz="0" w:space="0" w:color="auto"/>
        <w:right w:val="none" w:sz="0" w:space="0" w:color="auto"/>
      </w:divBdr>
    </w:div>
    <w:div w:id="32314929">
      <w:bodyDiv w:val="1"/>
      <w:marLeft w:val="0"/>
      <w:marRight w:val="0"/>
      <w:marTop w:val="0"/>
      <w:marBottom w:val="0"/>
      <w:divBdr>
        <w:top w:val="none" w:sz="0" w:space="0" w:color="auto"/>
        <w:left w:val="none" w:sz="0" w:space="0" w:color="auto"/>
        <w:bottom w:val="none" w:sz="0" w:space="0" w:color="auto"/>
        <w:right w:val="none" w:sz="0" w:space="0" w:color="auto"/>
      </w:divBdr>
    </w:div>
    <w:div w:id="61566938">
      <w:bodyDiv w:val="1"/>
      <w:marLeft w:val="0"/>
      <w:marRight w:val="0"/>
      <w:marTop w:val="0"/>
      <w:marBottom w:val="0"/>
      <w:divBdr>
        <w:top w:val="none" w:sz="0" w:space="0" w:color="auto"/>
        <w:left w:val="none" w:sz="0" w:space="0" w:color="auto"/>
        <w:bottom w:val="none" w:sz="0" w:space="0" w:color="auto"/>
        <w:right w:val="none" w:sz="0" w:space="0" w:color="auto"/>
      </w:divBdr>
    </w:div>
    <w:div w:id="85076335">
      <w:bodyDiv w:val="1"/>
      <w:marLeft w:val="0"/>
      <w:marRight w:val="0"/>
      <w:marTop w:val="0"/>
      <w:marBottom w:val="0"/>
      <w:divBdr>
        <w:top w:val="none" w:sz="0" w:space="0" w:color="auto"/>
        <w:left w:val="none" w:sz="0" w:space="0" w:color="auto"/>
        <w:bottom w:val="none" w:sz="0" w:space="0" w:color="auto"/>
        <w:right w:val="none" w:sz="0" w:space="0" w:color="auto"/>
      </w:divBdr>
    </w:div>
    <w:div w:id="112940373">
      <w:bodyDiv w:val="1"/>
      <w:marLeft w:val="0"/>
      <w:marRight w:val="0"/>
      <w:marTop w:val="0"/>
      <w:marBottom w:val="0"/>
      <w:divBdr>
        <w:top w:val="none" w:sz="0" w:space="0" w:color="auto"/>
        <w:left w:val="none" w:sz="0" w:space="0" w:color="auto"/>
        <w:bottom w:val="none" w:sz="0" w:space="0" w:color="auto"/>
        <w:right w:val="none" w:sz="0" w:space="0" w:color="auto"/>
      </w:divBdr>
    </w:div>
    <w:div w:id="122889514">
      <w:bodyDiv w:val="1"/>
      <w:marLeft w:val="0"/>
      <w:marRight w:val="0"/>
      <w:marTop w:val="0"/>
      <w:marBottom w:val="0"/>
      <w:divBdr>
        <w:top w:val="none" w:sz="0" w:space="0" w:color="auto"/>
        <w:left w:val="none" w:sz="0" w:space="0" w:color="auto"/>
        <w:bottom w:val="none" w:sz="0" w:space="0" w:color="auto"/>
        <w:right w:val="none" w:sz="0" w:space="0" w:color="auto"/>
      </w:divBdr>
    </w:div>
    <w:div w:id="139155101">
      <w:bodyDiv w:val="1"/>
      <w:marLeft w:val="0"/>
      <w:marRight w:val="0"/>
      <w:marTop w:val="0"/>
      <w:marBottom w:val="0"/>
      <w:divBdr>
        <w:top w:val="none" w:sz="0" w:space="0" w:color="auto"/>
        <w:left w:val="none" w:sz="0" w:space="0" w:color="auto"/>
        <w:bottom w:val="none" w:sz="0" w:space="0" w:color="auto"/>
        <w:right w:val="none" w:sz="0" w:space="0" w:color="auto"/>
      </w:divBdr>
    </w:div>
    <w:div w:id="150602753">
      <w:bodyDiv w:val="1"/>
      <w:marLeft w:val="0"/>
      <w:marRight w:val="0"/>
      <w:marTop w:val="0"/>
      <w:marBottom w:val="0"/>
      <w:divBdr>
        <w:top w:val="none" w:sz="0" w:space="0" w:color="auto"/>
        <w:left w:val="none" w:sz="0" w:space="0" w:color="auto"/>
        <w:bottom w:val="none" w:sz="0" w:space="0" w:color="auto"/>
        <w:right w:val="none" w:sz="0" w:space="0" w:color="auto"/>
      </w:divBdr>
    </w:div>
    <w:div w:id="186675966">
      <w:bodyDiv w:val="1"/>
      <w:marLeft w:val="0"/>
      <w:marRight w:val="0"/>
      <w:marTop w:val="0"/>
      <w:marBottom w:val="0"/>
      <w:divBdr>
        <w:top w:val="none" w:sz="0" w:space="0" w:color="auto"/>
        <w:left w:val="none" w:sz="0" w:space="0" w:color="auto"/>
        <w:bottom w:val="none" w:sz="0" w:space="0" w:color="auto"/>
        <w:right w:val="none" w:sz="0" w:space="0" w:color="auto"/>
      </w:divBdr>
    </w:div>
    <w:div w:id="224755138">
      <w:bodyDiv w:val="1"/>
      <w:marLeft w:val="0"/>
      <w:marRight w:val="0"/>
      <w:marTop w:val="0"/>
      <w:marBottom w:val="0"/>
      <w:divBdr>
        <w:top w:val="none" w:sz="0" w:space="0" w:color="auto"/>
        <w:left w:val="none" w:sz="0" w:space="0" w:color="auto"/>
        <w:bottom w:val="none" w:sz="0" w:space="0" w:color="auto"/>
        <w:right w:val="none" w:sz="0" w:space="0" w:color="auto"/>
      </w:divBdr>
    </w:div>
    <w:div w:id="308480401">
      <w:bodyDiv w:val="1"/>
      <w:marLeft w:val="0"/>
      <w:marRight w:val="0"/>
      <w:marTop w:val="0"/>
      <w:marBottom w:val="0"/>
      <w:divBdr>
        <w:top w:val="none" w:sz="0" w:space="0" w:color="auto"/>
        <w:left w:val="none" w:sz="0" w:space="0" w:color="auto"/>
        <w:bottom w:val="none" w:sz="0" w:space="0" w:color="auto"/>
        <w:right w:val="none" w:sz="0" w:space="0" w:color="auto"/>
      </w:divBdr>
    </w:div>
    <w:div w:id="465126131">
      <w:bodyDiv w:val="1"/>
      <w:marLeft w:val="0"/>
      <w:marRight w:val="0"/>
      <w:marTop w:val="0"/>
      <w:marBottom w:val="0"/>
      <w:divBdr>
        <w:top w:val="none" w:sz="0" w:space="0" w:color="auto"/>
        <w:left w:val="none" w:sz="0" w:space="0" w:color="auto"/>
        <w:bottom w:val="none" w:sz="0" w:space="0" w:color="auto"/>
        <w:right w:val="none" w:sz="0" w:space="0" w:color="auto"/>
      </w:divBdr>
    </w:div>
    <w:div w:id="581304943">
      <w:bodyDiv w:val="1"/>
      <w:marLeft w:val="0"/>
      <w:marRight w:val="0"/>
      <w:marTop w:val="0"/>
      <w:marBottom w:val="0"/>
      <w:divBdr>
        <w:top w:val="none" w:sz="0" w:space="0" w:color="auto"/>
        <w:left w:val="none" w:sz="0" w:space="0" w:color="auto"/>
        <w:bottom w:val="none" w:sz="0" w:space="0" w:color="auto"/>
        <w:right w:val="none" w:sz="0" w:space="0" w:color="auto"/>
      </w:divBdr>
    </w:div>
    <w:div w:id="608581915">
      <w:bodyDiv w:val="1"/>
      <w:marLeft w:val="0"/>
      <w:marRight w:val="0"/>
      <w:marTop w:val="0"/>
      <w:marBottom w:val="0"/>
      <w:divBdr>
        <w:top w:val="none" w:sz="0" w:space="0" w:color="auto"/>
        <w:left w:val="none" w:sz="0" w:space="0" w:color="auto"/>
        <w:bottom w:val="none" w:sz="0" w:space="0" w:color="auto"/>
        <w:right w:val="none" w:sz="0" w:space="0" w:color="auto"/>
      </w:divBdr>
      <w:divsChild>
        <w:div w:id="1072655849">
          <w:marLeft w:val="0"/>
          <w:marRight w:val="0"/>
          <w:marTop w:val="0"/>
          <w:marBottom w:val="0"/>
          <w:divBdr>
            <w:top w:val="none" w:sz="0" w:space="0" w:color="auto"/>
            <w:left w:val="none" w:sz="0" w:space="0" w:color="auto"/>
            <w:bottom w:val="none" w:sz="0" w:space="0" w:color="auto"/>
            <w:right w:val="none" w:sz="0" w:space="0" w:color="auto"/>
          </w:divBdr>
          <w:divsChild>
            <w:div w:id="612983830">
              <w:marLeft w:val="0"/>
              <w:marRight w:val="0"/>
              <w:marTop w:val="0"/>
              <w:marBottom w:val="0"/>
              <w:divBdr>
                <w:top w:val="none" w:sz="0" w:space="0" w:color="auto"/>
                <w:left w:val="none" w:sz="0" w:space="0" w:color="auto"/>
                <w:bottom w:val="none" w:sz="0" w:space="0" w:color="auto"/>
                <w:right w:val="none" w:sz="0" w:space="0" w:color="auto"/>
              </w:divBdr>
              <w:divsChild>
                <w:div w:id="118791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600218">
      <w:bodyDiv w:val="1"/>
      <w:marLeft w:val="0"/>
      <w:marRight w:val="0"/>
      <w:marTop w:val="0"/>
      <w:marBottom w:val="0"/>
      <w:divBdr>
        <w:top w:val="none" w:sz="0" w:space="0" w:color="auto"/>
        <w:left w:val="none" w:sz="0" w:space="0" w:color="auto"/>
        <w:bottom w:val="none" w:sz="0" w:space="0" w:color="auto"/>
        <w:right w:val="none" w:sz="0" w:space="0" w:color="auto"/>
      </w:divBdr>
    </w:div>
    <w:div w:id="616103958">
      <w:bodyDiv w:val="1"/>
      <w:marLeft w:val="0"/>
      <w:marRight w:val="0"/>
      <w:marTop w:val="0"/>
      <w:marBottom w:val="0"/>
      <w:divBdr>
        <w:top w:val="none" w:sz="0" w:space="0" w:color="auto"/>
        <w:left w:val="none" w:sz="0" w:space="0" w:color="auto"/>
        <w:bottom w:val="none" w:sz="0" w:space="0" w:color="auto"/>
        <w:right w:val="none" w:sz="0" w:space="0" w:color="auto"/>
      </w:divBdr>
    </w:div>
    <w:div w:id="620965401">
      <w:bodyDiv w:val="1"/>
      <w:marLeft w:val="0"/>
      <w:marRight w:val="0"/>
      <w:marTop w:val="0"/>
      <w:marBottom w:val="0"/>
      <w:divBdr>
        <w:top w:val="none" w:sz="0" w:space="0" w:color="auto"/>
        <w:left w:val="none" w:sz="0" w:space="0" w:color="auto"/>
        <w:bottom w:val="none" w:sz="0" w:space="0" w:color="auto"/>
        <w:right w:val="none" w:sz="0" w:space="0" w:color="auto"/>
      </w:divBdr>
    </w:div>
    <w:div w:id="670833644">
      <w:bodyDiv w:val="1"/>
      <w:marLeft w:val="0"/>
      <w:marRight w:val="0"/>
      <w:marTop w:val="0"/>
      <w:marBottom w:val="0"/>
      <w:divBdr>
        <w:top w:val="none" w:sz="0" w:space="0" w:color="auto"/>
        <w:left w:val="none" w:sz="0" w:space="0" w:color="auto"/>
        <w:bottom w:val="none" w:sz="0" w:space="0" w:color="auto"/>
        <w:right w:val="none" w:sz="0" w:space="0" w:color="auto"/>
      </w:divBdr>
    </w:div>
    <w:div w:id="703942948">
      <w:bodyDiv w:val="1"/>
      <w:marLeft w:val="0"/>
      <w:marRight w:val="0"/>
      <w:marTop w:val="0"/>
      <w:marBottom w:val="0"/>
      <w:divBdr>
        <w:top w:val="none" w:sz="0" w:space="0" w:color="auto"/>
        <w:left w:val="none" w:sz="0" w:space="0" w:color="auto"/>
        <w:bottom w:val="none" w:sz="0" w:space="0" w:color="auto"/>
        <w:right w:val="none" w:sz="0" w:space="0" w:color="auto"/>
      </w:divBdr>
    </w:div>
    <w:div w:id="764763205">
      <w:bodyDiv w:val="1"/>
      <w:marLeft w:val="0"/>
      <w:marRight w:val="0"/>
      <w:marTop w:val="0"/>
      <w:marBottom w:val="0"/>
      <w:divBdr>
        <w:top w:val="none" w:sz="0" w:space="0" w:color="auto"/>
        <w:left w:val="none" w:sz="0" w:space="0" w:color="auto"/>
        <w:bottom w:val="none" w:sz="0" w:space="0" w:color="auto"/>
        <w:right w:val="none" w:sz="0" w:space="0" w:color="auto"/>
      </w:divBdr>
    </w:div>
    <w:div w:id="784076422">
      <w:bodyDiv w:val="1"/>
      <w:marLeft w:val="0"/>
      <w:marRight w:val="0"/>
      <w:marTop w:val="0"/>
      <w:marBottom w:val="0"/>
      <w:divBdr>
        <w:top w:val="none" w:sz="0" w:space="0" w:color="auto"/>
        <w:left w:val="none" w:sz="0" w:space="0" w:color="auto"/>
        <w:bottom w:val="none" w:sz="0" w:space="0" w:color="auto"/>
        <w:right w:val="none" w:sz="0" w:space="0" w:color="auto"/>
      </w:divBdr>
    </w:div>
    <w:div w:id="826553780">
      <w:bodyDiv w:val="1"/>
      <w:marLeft w:val="0"/>
      <w:marRight w:val="0"/>
      <w:marTop w:val="0"/>
      <w:marBottom w:val="0"/>
      <w:divBdr>
        <w:top w:val="none" w:sz="0" w:space="0" w:color="auto"/>
        <w:left w:val="none" w:sz="0" w:space="0" w:color="auto"/>
        <w:bottom w:val="none" w:sz="0" w:space="0" w:color="auto"/>
        <w:right w:val="none" w:sz="0" w:space="0" w:color="auto"/>
      </w:divBdr>
    </w:div>
    <w:div w:id="832261378">
      <w:bodyDiv w:val="1"/>
      <w:marLeft w:val="0"/>
      <w:marRight w:val="0"/>
      <w:marTop w:val="0"/>
      <w:marBottom w:val="0"/>
      <w:divBdr>
        <w:top w:val="none" w:sz="0" w:space="0" w:color="auto"/>
        <w:left w:val="none" w:sz="0" w:space="0" w:color="auto"/>
        <w:bottom w:val="none" w:sz="0" w:space="0" w:color="auto"/>
        <w:right w:val="none" w:sz="0" w:space="0" w:color="auto"/>
      </w:divBdr>
    </w:div>
    <w:div w:id="892038042">
      <w:bodyDiv w:val="1"/>
      <w:marLeft w:val="0"/>
      <w:marRight w:val="0"/>
      <w:marTop w:val="0"/>
      <w:marBottom w:val="0"/>
      <w:divBdr>
        <w:top w:val="none" w:sz="0" w:space="0" w:color="auto"/>
        <w:left w:val="none" w:sz="0" w:space="0" w:color="auto"/>
        <w:bottom w:val="none" w:sz="0" w:space="0" w:color="auto"/>
        <w:right w:val="none" w:sz="0" w:space="0" w:color="auto"/>
      </w:divBdr>
    </w:div>
    <w:div w:id="973292105">
      <w:bodyDiv w:val="1"/>
      <w:marLeft w:val="0"/>
      <w:marRight w:val="0"/>
      <w:marTop w:val="0"/>
      <w:marBottom w:val="0"/>
      <w:divBdr>
        <w:top w:val="none" w:sz="0" w:space="0" w:color="auto"/>
        <w:left w:val="none" w:sz="0" w:space="0" w:color="auto"/>
        <w:bottom w:val="none" w:sz="0" w:space="0" w:color="auto"/>
        <w:right w:val="none" w:sz="0" w:space="0" w:color="auto"/>
      </w:divBdr>
    </w:div>
    <w:div w:id="1035037734">
      <w:bodyDiv w:val="1"/>
      <w:marLeft w:val="0"/>
      <w:marRight w:val="0"/>
      <w:marTop w:val="0"/>
      <w:marBottom w:val="0"/>
      <w:divBdr>
        <w:top w:val="none" w:sz="0" w:space="0" w:color="auto"/>
        <w:left w:val="none" w:sz="0" w:space="0" w:color="auto"/>
        <w:bottom w:val="none" w:sz="0" w:space="0" w:color="auto"/>
        <w:right w:val="none" w:sz="0" w:space="0" w:color="auto"/>
      </w:divBdr>
    </w:div>
    <w:div w:id="1051539430">
      <w:bodyDiv w:val="1"/>
      <w:marLeft w:val="0"/>
      <w:marRight w:val="0"/>
      <w:marTop w:val="0"/>
      <w:marBottom w:val="0"/>
      <w:divBdr>
        <w:top w:val="none" w:sz="0" w:space="0" w:color="auto"/>
        <w:left w:val="none" w:sz="0" w:space="0" w:color="auto"/>
        <w:bottom w:val="none" w:sz="0" w:space="0" w:color="auto"/>
        <w:right w:val="none" w:sz="0" w:space="0" w:color="auto"/>
      </w:divBdr>
    </w:div>
    <w:div w:id="1107966177">
      <w:bodyDiv w:val="1"/>
      <w:marLeft w:val="0"/>
      <w:marRight w:val="0"/>
      <w:marTop w:val="0"/>
      <w:marBottom w:val="0"/>
      <w:divBdr>
        <w:top w:val="none" w:sz="0" w:space="0" w:color="auto"/>
        <w:left w:val="none" w:sz="0" w:space="0" w:color="auto"/>
        <w:bottom w:val="none" w:sz="0" w:space="0" w:color="auto"/>
        <w:right w:val="none" w:sz="0" w:space="0" w:color="auto"/>
      </w:divBdr>
    </w:div>
    <w:div w:id="1125461659">
      <w:bodyDiv w:val="1"/>
      <w:marLeft w:val="0"/>
      <w:marRight w:val="0"/>
      <w:marTop w:val="0"/>
      <w:marBottom w:val="0"/>
      <w:divBdr>
        <w:top w:val="none" w:sz="0" w:space="0" w:color="auto"/>
        <w:left w:val="none" w:sz="0" w:space="0" w:color="auto"/>
        <w:bottom w:val="none" w:sz="0" w:space="0" w:color="auto"/>
        <w:right w:val="none" w:sz="0" w:space="0" w:color="auto"/>
      </w:divBdr>
    </w:div>
    <w:div w:id="1170676061">
      <w:bodyDiv w:val="1"/>
      <w:marLeft w:val="0"/>
      <w:marRight w:val="0"/>
      <w:marTop w:val="0"/>
      <w:marBottom w:val="0"/>
      <w:divBdr>
        <w:top w:val="none" w:sz="0" w:space="0" w:color="auto"/>
        <w:left w:val="none" w:sz="0" w:space="0" w:color="auto"/>
        <w:bottom w:val="none" w:sz="0" w:space="0" w:color="auto"/>
        <w:right w:val="none" w:sz="0" w:space="0" w:color="auto"/>
      </w:divBdr>
    </w:div>
    <w:div w:id="1203131777">
      <w:bodyDiv w:val="1"/>
      <w:marLeft w:val="0"/>
      <w:marRight w:val="0"/>
      <w:marTop w:val="0"/>
      <w:marBottom w:val="0"/>
      <w:divBdr>
        <w:top w:val="none" w:sz="0" w:space="0" w:color="auto"/>
        <w:left w:val="none" w:sz="0" w:space="0" w:color="auto"/>
        <w:bottom w:val="none" w:sz="0" w:space="0" w:color="auto"/>
        <w:right w:val="none" w:sz="0" w:space="0" w:color="auto"/>
      </w:divBdr>
    </w:div>
    <w:div w:id="1279528467">
      <w:bodyDiv w:val="1"/>
      <w:marLeft w:val="0"/>
      <w:marRight w:val="0"/>
      <w:marTop w:val="0"/>
      <w:marBottom w:val="0"/>
      <w:divBdr>
        <w:top w:val="none" w:sz="0" w:space="0" w:color="auto"/>
        <w:left w:val="none" w:sz="0" w:space="0" w:color="auto"/>
        <w:bottom w:val="none" w:sz="0" w:space="0" w:color="auto"/>
        <w:right w:val="none" w:sz="0" w:space="0" w:color="auto"/>
      </w:divBdr>
    </w:div>
    <w:div w:id="1313635031">
      <w:bodyDiv w:val="1"/>
      <w:marLeft w:val="0"/>
      <w:marRight w:val="0"/>
      <w:marTop w:val="0"/>
      <w:marBottom w:val="0"/>
      <w:divBdr>
        <w:top w:val="none" w:sz="0" w:space="0" w:color="auto"/>
        <w:left w:val="none" w:sz="0" w:space="0" w:color="auto"/>
        <w:bottom w:val="none" w:sz="0" w:space="0" w:color="auto"/>
        <w:right w:val="none" w:sz="0" w:space="0" w:color="auto"/>
      </w:divBdr>
    </w:div>
    <w:div w:id="1345547870">
      <w:bodyDiv w:val="1"/>
      <w:marLeft w:val="0"/>
      <w:marRight w:val="0"/>
      <w:marTop w:val="0"/>
      <w:marBottom w:val="0"/>
      <w:divBdr>
        <w:top w:val="none" w:sz="0" w:space="0" w:color="auto"/>
        <w:left w:val="none" w:sz="0" w:space="0" w:color="auto"/>
        <w:bottom w:val="none" w:sz="0" w:space="0" w:color="auto"/>
        <w:right w:val="none" w:sz="0" w:space="0" w:color="auto"/>
      </w:divBdr>
    </w:div>
    <w:div w:id="1351486516">
      <w:bodyDiv w:val="1"/>
      <w:marLeft w:val="0"/>
      <w:marRight w:val="0"/>
      <w:marTop w:val="0"/>
      <w:marBottom w:val="0"/>
      <w:divBdr>
        <w:top w:val="none" w:sz="0" w:space="0" w:color="auto"/>
        <w:left w:val="none" w:sz="0" w:space="0" w:color="auto"/>
        <w:bottom w:val="none" w:sz="0" w:space="0" w:color="auto"/>
        <w:right w:val="none" w:sz="0" w:space="0" w:color="auto"/>
      </w:divBdr>
    </w:div>
    <w:div w:id="1432362602">
      <w:bodyDiv w:val="1"/>
      <w:marLeft w:val="0"/>
      <w:marRight w:val="0"/>
      <w:marTop w:val="0"/>
      <w:marBottom w:val="0"/>
      <w:divBdr>
        <w:top w:val="none" w:sz="0" w:space="0" w:color="auto"/>
        <w:left w:val="none" w:sz="0" w:space="0" w:color="auto"/>
        <w:bottom w:val="none" w:sz="0" w:space="0" w:color="auto"/>
        <w:right w:val="none" w:sz="0" w:space="0" w:color="auto"/>
      </w:divBdr>
    </w:div>
    <w:div w:id="1489202610">
      <w:bodyDiv w:val="1"/>
      <w:marLeft w:val="0"/>
      <w:marRight w:val="0"/>
      <w:marTop w:val="0"/>
      <w:marBottom w:val="0"/>
      <w:divBdr>
        <w:top w:val="none" w:sz="0" w:space="0" w:color="auto"/>
        <w:left w:val="none" w:sz="0" w:space="0" w:color="auto"/>
        <w:bottom w:val="none" w:sz="0" w:space="0" w:color="auto"/>
        <w:right w:val="none" w:sz="0" w:space="0" w:color="auto"/>
      </w:divBdr>
    </w:div>
    <w:div w:id="1592087114">
      <w:bodyDiv w:val="1"/>
      <w:marLeft w:val="0"/>
      <w:marRight w:val="0"/>
      <w:marTop w:val="0"/>
      <w:marBottom w:val="0"/>
      <w:divBdr>
        <w:top w:val="none" w:sz="0" w:space="0" w:color="auto"/>
        <w:left w:val="none" w:sz="0" w:space="0" w:color="auto"/>
        <w:bottom w:val="none" w:sz="0" w:space="0" w:color="auto"/>
        <w:right w:val="none" w:sz="0" w:space="0" w:color="auto"/>
      </w:divBdr>
    </w:div>
    <w:div w:id="1594124086">
      <w:bodyDiv w:val="1"/>
      <w:marLeft w:val="0"/>
      <w:marRight w:val="0"/>
      <w:marTop w:val="0"/>
      <w:marBottom w:val="0"/>
      <w:divBdr>
        <w:top w:val="none" w:sz="0" w:space="0" w:color="auto"/>
        <w:left w:val="none" w:sz="0" w:space="0" w:color="auto"/>
        <w:bottom w:val="none" w:sz="0" w:space="0" w:color="auto"/>
        <w:right w:val="none" w:sz="0" w:space="0" w:color="auto"/>
      </w:divBdr>
    </w:div>
    <w:div w:id="1662584465">
      <w:bodyDiv w:val="1"/>
      <w:marLeft w:val="0"/>
      <w:marRight w:val="0"/>
      <w:marTop w:val="0"/>
      <w:marBottom w:val="0"/>
      <w:divBdr>
        <w:top w:val="none" w:sz="0" w:space="0" w:color="auto"/>
        <w:left w:val="none" w:sz="0" w:space="0" w:color="auto"/>
        <w:bottom w:val="none" w:sz="0" w:space="0" w:color="auto"/>
        <w:right w:val="none" w:sz="0" w:space="0" w:color="auto"/>
      </w:divBdr>
    </w:div>
    <w:div w:id="1667435361">
      <w:bodyDiv w:val="1"/>
      <w:marLeft w:val="0"/>
      <w:marRight w:val="0"/>
      <w:marTop w:val="0"/>
      <w:marBottom w:val="0"/>
      <w:divBdr>
        <w:top w:val="none" w:sz="0" w:space="0" w:color="auto"/>
        <w:left w:val="none" w:sz="0" w:space="0" w:color="auto"/>
        <w:bottom w:val="none" w:sz="0" w:space="0" w:color="auto"/>
        <w:right w:val="none" w:sz="0" w:space="0" w:color="auto"/>
      </w:divBdr>
    </w:div>
    <w:div w:id="1743601649">
      <w:bodyDiv w:val="1"/>
      <w:marLeft w:val="0"/>
      <w:marRight w:val="0"/>
      <w:marTop w:val="0"/>
      <w:marBottom w:val="0"/>
      <w:divBdr>
        <w:top w:val="none" w:sz="0" w:space="0" w:color="auto"/>
        <w:left w:val="none" w:sz="0" w:space="0" w:color="auto"/>
        <w:bottom w:val="none" w:sz="0" w:space="0" w:color="auto"/>
        <w:right w:val="none" w:sz="0" w:space="0" w:color="auto"/>
      </w:divBdr>
    </w:div>
    <w:div w:id="1771657750">
      <w:bodyDiv w:val="1"/>
      <w:marLeft w:val="0"/>
      <w:marRight w:val="0"/>
      <w:marTop w:val="0"/>
      <w:marBottom w:val="0"/>
      <w:divBdr>
        <w:top w:val="none" w:sz="0" w:space="0" w:color="auto"/>
        <w:left w:val="none" w:sz="0" w:space="0" w:color="auto"/>
        <w:bottom w:val="none" w:sz="0" w:space="0" w:color="auto"/>
        <w:right w:val="none" w:sz="0" w:space="0" w:color="auto"/>
      </w:divBdr>
    </w:div>
    <w:div w:id="1807550029">
      <w:bodyDiv w:val="1"/>
      <w:marLeft w:val="0"/>
      <w:marRight w:val="0"/>
      <w:marTop w:val="0"/>
      <w:marBottom w:val="0"/>
      <w:divBdr>
        <w:top w:val="none" w:sz="0" w:space="0" w:color="auto"/>
        <w:left w:val="none" w:sz="0" w:space="0" w:color="auto"/>
        <w:bottom w:val="none" w:sz="0" w:space="0" w:color="auto"/>
        <w:right w:val="none" w:sz="0" w:space="0" w:color="auto"/>
      </w:divBdr>
    </w:div>
    <w:div w:id="1848519274">
      <w:bodyDiv w:val="1"/>
      <w:marLeft w:val="0"/>
      <w:marRight w:val="0"/>
      <w:marTop w:val="0"/>
      <w:marBottom w:val="0"/>
      <w:divBdr>
        <w:top w:val="none" w:sz="0" w:space="0" w:color="auto"/>
        <w:left w:val="none" w:sz="0" w:space="0" w:color="auto"/>
        <w:bottom w:val="none" w:sz="0" w:space="0" w:color="auto"/>
        <w:right w:val="none" w:sz="0" w:space="0" w:color="auto"/>
      </w:divBdr>
    </w:div>
    <w:div w:id="1925602537">
      <w:bodyDiv w:val="1"/>
      <w:marLeft w:val="0"/>
      <w:marRight w:val="0"/>
      <w:marTop w:val="0"/>
      <w:marBottom w:val="0"/>
      <w:divBdr>
        <w:top w:val="none" w:sz="0" w:space="0" w:color="auto"/>
        <w:left w:val="none" w:sz="0" w:space="0" w:color="auto"/>
        <w:bottom w:val="none" w:sz="0" w:space="0" w:color="auto"/>
        <w:right w:val="none" w:sz="0" w:space="0" w:color="auto"/>
      </w:divBdr>
    </w:div>
    <w:div w:id="1940260569">
      <w:bodyDiv w:val="1"/>
      <w:marLeft w:val="0"/>
      <w:marRight w:val="0"/>
      <w:marTop w:val="0"/>
      <w:marBottom w:val="0"/>
      <w:divBdr>
        <w:top w:val="none" w:sz="0" w:space="0" w:color="auto"/>
        <w:left w:val="none" w:sz="0" w:space="0" w:color="auto"/>
        <w:bottom w:val="none" w:sz="0" w:space="0" w:color="auto"/>
        <w:right w:val="none" w:sz="0" w:space="0" w:color="auto"/>
      </w:divBdr>
    </w:div>
    <w:div w:id="1973485740">
      <w:bodyDiv w:val="1"/>
      <w:marLeft w:val="0"/>
      <w:marRight w:val="0"/>
      <w:marTop w:val="0"/>
      <w:marBottom w:val="0"/>
      <w:divBdr>
        <w:top w:val="none" w:sz="0" w:space="0" w:color="auto"/>
        <w:left w:val="none" w:sz="0" w:space="0" w:color="auto"/>
        <w:bottom w:val="none" w:sz="0" w:space="0" w:color="auto"/>
        <w:right w:val="none" w:sz="0" w:space="0" w:color="auto"/>
      </w:divBdr>
    </w:div>
    <w:div w:id="2031878386">
      <w:bodyDiv w:val="1"/>
      <w:marLeft w:val="0"/>
      <w:marRight w:val="0"/>
      <w:marTop w:val="0"/>
      <w:marBottom w:val="0"/>
      <w:divBdr>
        <w:top w:val="none" w:sz="0" w:space="0" w:color="auto"/>
        <w:left w:val="none" w:sz="0" w:space="0" w:color="auto"/>
        <w:bottom w:val="none" w:sz="0" w:space="0" w:color="auto"/>
        <w:right w:val="none" w:sz="0" w:space="0" w:color="auto"/>
      </w:divBdr>
    </w:div>
    <w:div w:id="2085368521">
      <w:bodyDiv w:val="1"/>
      <w:marLeft w:val="0"/>
      <w:marRight w:val="0"/>
      <w:marTop w:val="0"/>
      <w:marBottom w:val="0"/>
      <w:divBdr>
        <w:top w:val="none" w:sz="0" w:space="0" w:color="auto"/>
        <w:left w:val="none" w:sz="0" w:space="0" w:color="auto"/>
        <w:bottom w:val="none" w:sz="0" w:space="0" w:color="auto"/>
        <w:right w:val="none" w:sz="0" w:space="0" w:color="auto"/>
      </w:divBdr>
    </w:div>
    <w:div w:id="2093811248">
      <w:bodyDiv w:val="1"/>
      <w:marLeft w:val="0"/>
      <w:marRight w:val="0"/>
      <w:marTop w:val="0"/>
      <w:marBottom w:val="0"/>
      <w:divBdr>
        <w:top w:val="none" w:sz="0" w:space="0" w:color="auto"/>
        <w:left w:val="none" w:sz="0" w:space="0" w:color="auto"/>
        <w:bottom w:val="none" w:sz="0" w:space="0" w:color="auto"/>
        <w:right w:val="none" w:sz="0" w:space="0" w:color="auto"/>
      </w:divBdr>
    </w:div>
    <w:div w:id="2112891976">
      <w:bodyDiv w:val="1"/>
      <w:marLeft w:val="0"/>
      <w:marRight w:val="0"/>
      <w:marTop w:val="0"/>
      <w:marBottom w:val="0"/>
      <w:divBdr>
        <w:top w:val="none" w:sz="0" w:space="0" w:color="auto"/>
        <w:left w:val="none" w:sz="0" w:space="0" w:color="auto"/>
        <w:bottom w:val="none" w:sz="0" w:space="0" w:color="auto"/>
        <w:right w:val="none" w:sz="0" w:space="0" w:color="auto"/>
      </w:divBdr>
    </w:div>
    <w:div w:id="2144349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m/news/business-39415681" TargetMode="External"/><Relationship Id="rId18" Type="http://schemas.openxmlformats.org/officeDocument/2006/relationships/hyperlink" Target="https://corporatefinanceinstitute.com/resources/commercial-lending/interest-coverage-ratio/" TargetMode="External"/><Relationship Id="rId26" Type="http://schemas.openxmlformats.org/officeDocument/2006/relationships/hyperlink" Target="https://enable.com/blog/tescos-accounting-scandal-a-cautionary-tale-for-the-deal-economy" TargetMode="External"/><Relationship Id="rId39" Type="http://schemas.openxmlformats.org/officeDocument/2006/relationships/image" Target="media/image3.png"/><Relationship Id="rId21" Type="http://schemas.openxmlformats.org/officeDocument/2006/relationships/hyperlink" Target="https://www.investopedia.com/terms/d/debtequityratio.asp" TargetMode="External"/><Relationship Id="rId34" Type="http://schemas.openxmlformats.org/officeDocument/2006/relationships/hyperlink" Target="https://www.tescoplc.com/tesco-agrees-long-term-strategic-partnership-with-barclays/"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orporatefinanceinstitute.com/resources/valuation/mm-theorem/" TargetMode="External"/><Relationship Id="rId20" Type="http://schemas.openxmlformats.org/officeDocument/2006/relationships/hyperlink" Target="https://www.dividendmax.com/united-kingdom/london-stock-exchange/food-and-drug-retailers/tesco-plc/dividends" TargetMode="External"/><Relationship Id="rId29" Type="http://schemas.openxmlformats.org/officeDocument/2006/relationships/hyperlink" Target="https://onlinelibrary.wiley.com/doi/pdf/10.1002/9781119201243.app1"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215824402312040" TargetMode="External"/><Relationship Id="rId24" Type="http://schemas.openxmlformats.org/officeDocument/2006/relationships/hyperlink" Target="https://hbr.org/2015/09/a-refresher-on-current-ratio" TargetMode="External"/><Relationship Id="rId32" Type="http://schemas.openxmlformats.org/officeDocument/2006/relationships/hyperlink" Target="https://www.tescoplc.com/about" TargetMode="External"/><Relationship Id="rId37" Type="http://schemas.openxmlformats.org/officeDocument/2006/relationships/hyperlink" Target="https://www.retail-systems.com/rs/Tesco_Outlines_Digital_Transformation_Plans.php"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fool.co.uk/2023/02/21/tesco-shares-a-once-in-a-decade-opportunity-for-a-massive-dividend/" TargetMode="External"/><Relationship Id="rId23" Type="http://schemas.openxmlformats.org/officeDocument/2006/relationships/hyperlink" Target="https://fullratio.com/quick-ratio-by-industry" TargetMode="External"/><Relationship Id="rId28" Type="http://schemas.openxmlformats.org/officeDocument/2006/relationships/hyperlink" Target="https://www.marketscreener.com/quote/stock/TESCO-PLC-4000540/news/Tesco-Annual-Report-and-Financial-Statements-2023-24-46718100/" TargetMode="External"/><Relationship Id="rId36" Type="http://schemas.openxmlformats.org/officeDocument/2006/relationships/hyperlink" Target="https://uk.finance.yahoo.com/quote/TSCO.L/history/?period1=1692442116&amp;period2=1724064516&amp;interval=1d&amp;filter=history&amp;frequency=1d&amp;includeAdjustedClose=true" TargetMode="External"/><Relationship Id="rId10" Type="http://schemas.openxmlformats.org/officeDocument/2006/relationships/hyperlink" Target="https://www.accaglobal.com/uk/en/student/exam-support-resources/fundamentals-exams-study-resources/f9/technical-articles/optimum-capital-structure.html" TargetMode="External"/><Relationship Id="rId19" Type="http://schemas.openxmlformats.org/officeDocument/2006/relationships/hyperlink" Target="https://corporate.marksandspencer.com/investors/our-performance-updates/2024-annual-report" TargetMode="External"/><Relationship Id="rId31" Type="http://schemas.openxmlformats.org/officeDocument/2006/relationships/hyperlink" Target="https://www.tescoplc.com/tesco-agrees-to-sell-its-businesses-in-thailand-and-malaysia-significant-return-to-shareholders-simplification-and-further-de-risking/" TargetMode="External"/><Relationship Id="rId4" Type="http://schemas.openxmlformats.org/officeDocument/2006/relationships/settings" Target="settings.xml"/><Relationship Id="rId9" Type="http://schemas.openxmlformats.org/officeDocument/2006/relationships/hyperlink" Target="https://www.marketscreener.com/quote/stock/TESCO-PLC-4000540/news/Tesco-Annual-Report-and-Financial-Statements-2023-24-46718100/" TargetMode="External"/><Relationship Id="rId14" Type="http://schemas.openxmlformats.org/officeDocument/2006/relationships/hyperlink" Target="https://www.british-business-bank.co.uk/business-guidance/guidance-articles/finance/what-level-of-debt-is-healthy-for-business" TargetMode="External"/><Relationship Id="rId22" Type="http://schemas.openxmlformats.org/officeDocument/2006/relationships/hyperlink" Target="https://www.freshbooks.com/hub/accounting/good-liquidity-ratio" TargetMode="External"/><Relationship Id="rId27" Type="http://schemas.openxmlformats.org/officeDocument/2006/relationships/hyperlink" Target="https://markets.ft.com/data/equities/tearsheet/summary?s=TSCO:LSE" TargetMode="External"/><Relationship Id="rId30" Type="http://schemas.openxmlformats.org/officeDocument/2006/relationships/hyperlink" Target="https://www.tescoplc.com/dave-lewis-to-step-down-succeeded-by-ken-murphy/" TargetMode="External"/><Relationship Id="rId35" Type="http://schemas.openxmlformats.org/officeDocument/2006/relationships/hyperlink" Target="https://www.tescoplc.com/investors/share-price-information/tsr-chart"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bbc.co.uk/news/business-51796815" TargetMode="External"/><Relationship Id="rId17" Type="http://schemas.openxmlformats.org/officeDocument/2006/relationships/hyperlink" Target="https://corporatefinanceinstitute.com/resources/commercial-lending/financial-leverage/" TargetMode="External"/><Relationship Id="rId25" Type="http://schemas.openxmlformats.org/officeDocument/2006/relationships/hyperlink" Target="https://www.hl.co.uk/shares/shares-search-results/t/tesco-plc-ordinary-6.333p/financial-statements-and-reports" TargetMode="External"/><Relationship Id="rId33" Type="http://schemas.openxmlformats.org/officeDocument/2006/relationships/hyperlink" Target="https://www.tescoplc.com/investors/reports-results-and-presentations/annual-report-2024" TargetMode="External"/><Relationship Id="rId3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9F662B-313C-D54F-8FA7-3AC1DC6A4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6878</Words>
  <Characters>39211</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Jandova (2020984)</dc:creator>
  <cp:keywords/>
  <dc:description/>
  <cp:lastModifiedBy>Marie Jandova (2020984)</cp:lastModifiedBy>
  <cp:revision>2</cp:revision>
  <dcterms:created xsi:type="dcterms:W3CDTF">2024-08-19T22:08:00Z</dcterms:created>
  <dcterms:modified xsi:type="dcterms:W3CDTF">2024-08-19T22:08:00Z</dcterms:modified>
</cp:coreProperties>
</file>