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47228197"/>
        <w:docPartObj>
          <w:docPartGallery w:val="Cover Pages"/>
          <w:docPartUnique/>
        </w:docPartObj>
      </w:sdtPr>
      <w:sdtContent>
        <w:p w14:paraId="4CBE1719" w14:textId="09E2342A" w:rsidR="00050F10" w:rsidRDefault="00050F10"/>
        <w:p w14:paraId="063EC45A" w14:textId="0CC6987E" w:rsidR="00050F10" w:rsidRDefault="00DA603F">
          <w:r>
            <w:rPr>
              <w:noProof/>
            </w:rPr>
            <mc:AlternateContent>
              <mc:Choice Requires="wps">
                <w:drawing>
                  <wp:anchor distT="0" distB="0" distL="182880" distR="182880" simplePos="0" relativeHeight="251660288" behindDoc="0" locked="0" layoutInCell="1" allowOverlap="1" wp14:anchorId="4D21E465" wp14:editId="1D16BFBE">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981575" cy="1362710"/>
                    <wp:effectExtent l="0" t="0" r="0" b="0"/>
                    <wp:wrapSquare wrapText="bothSides"/>
                    <wp:docPr id="6952010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981575" cy="13627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D0517B" w14:textId="7926FD85" w:rsidR="00050F10" w:rsidRDefault="00050F1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Scenario Question Rework</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4D2DF09" w14:textId="435944D2" w:rsidR="00050F10" w:rsidRDefault="00050F10">
                                    <w:pPr>
                                      <w:pStyle w:val="NoSpacing"/>
                                      <w:spacing w:before="40" w:after="40"/>
                                      <w:rPr>
                                        <w:caps/>
                                        <w:color w:val="1F4E79" w:themeColor="accent5" w:themeShade="80"/>
                                        <w:sz w:val="28"/>
                                        <w:szCs w:val="28"/>
                                      </w:rPr>
                                    </w:pPr>
                                    <w:r>
                                      <w:rPr>
                                        <w:caps/>
                                        <w:color w:val="1F4E79" w:themeColor="accent5" w:themeShade="80"/>
                                        <w:sz w:val="28"/>
                                        <w:szCs w:val="28"/>
                                      </w:rPr>
                                      <w:t>Criminal law – bmpl4009</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8C31FC8" w14:textId="524A23C7" w:rsidR="00050F10" w:rsidRDefault="00050F10">
                                    <w:pPr>
                                      <w:pStyle w:val="NoSpacing"/>
                                      <w:spacing w:before="80" w:after="40"/>
                                      <w:rPr>
                                        <w:caps/>
                                        <w:color w:val="5B9BD5" w:themeColor="accent5"/>
                                        <w:sz w:val="24"/>
                                        <w:szCs w:val="24"/>
                                      </w:rPr>
                                    </w:pPr>
                                    <w:r>
                                      <w:rPr>
                                        <w:caps/>
                                        <w:color w:val="5B9BD5" w:themeColor="accent5"/>
                                        <w:sz w:val="24"/>
                                        <w:szCs w:val="24"/>
                                      </w:rPr>
                                      <w:t>Nicoleta secara 2214822</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4D21E465" id="_x0000_t202" coordsize="21600,21600" o:spt="202" path="m,l,21600r21600,l21600,xe">
                    <v:stroke joinstyle="miter"/>
                    <v:path gradientshapeok="t" o:connecttype="rect"/>
                  </v:shapetype>
                  <v:shape id="Text Box 2" o:spid="_x0000_s1026" type="#_x0000_t202" style="position:absolute;margin-left:0;margin-top:0;width:392.25pt;height:107.3pt;z-index:251660288;visibility:visible;mso-wrap-style:square;mso-width-percent:0;mso-height-percent:350;mso-left-percent:77;mso-top-percent:540;mso-wrap-distance-left:14.4pt;mso-wrap-distance-top:0;mso-wrap-distance-right:14.4pt;mso-wrap-distance-bottom:0;mso-position-horizontal-relative:margin;mso-position-vertical-relative:page;mso-width-percent: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" filled="f" stroked="f" strokeweight=".5pt">
                    <v:textbox style="mso-fit-shape-to-text:t" inset="0,0,0,0">
                      <w:txbxContent>
                        <w:p w14:paraId="7AD0517B" w14:textId="7926FD85" w:rsidR="00050F10" w:rsidRDefault="00050F1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Scenario Question Rework</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4D2DF09" w14:textId="435944D2" w:rsidR="00050F10" w:rsidRDefault="00050F10">
                              <w:pPr>
                                <w:pStyle w:val="NoSpacing"/>
                                <w:spacing w:before="40" w:after="40"/>
                                <w:rPr>
                                  <w:caps/>
                                  <w:color w:val="1F4E79" w:themeColor="accent5" w:themeShade="80"/>
                                  <w:sz w:val="28"/>
                                  <w:szCs w:val="28"/>
                                </w:rPr>
                              </w:pPr>
                              <w:r>
                                <w:rPr>
                                  <w:caps/>
                                  <w:color w:val="1F4E79" w:themeColor="accent5" w:themeShade="80"/>
                                  <w:sz w:val="28"/>
                                  <w:szCs w:val="28"/>
                                </w:rPr>
                                <w:t>Criminal law – bmpl4009</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8C31FC8" w14:textId="524A23C7" w:rsidR="00050F10" w:rsidRDefault="00050F10">
                              <w:pPr>
                                <w:pStyle w:val="NoSpacing"/>
                                <w:spacing w:before="80" w:after="40"/>
                                <w:rPr>
                                  <w:caps/>
                                  <w:color w:val="5B9BD5" w:themeColor="accent5"/>
                                  <w:sz w:val="24"/>
                                  <w:szCs w:val="24"/>
                                </w:rPr>
                              </w:pPr>
                              <w:r>
                                <w:rPr>
                                  <w:caps/>
                                  <w:color w:val="5B9BD5" w:themeColor="accent5"/>
                                  <w:sz w:val="24"/>
                                  <w:szCs w:val="24"/>
                                </w:rPr>
                                <w:t>Nicoleta secara 2214822</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316F92C9" wp14:editId="680180B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74675" cy="1044575"/>
                    <wp:effectExtent l="0" t="0" r="0" b="0"/>
                    <wp:wrapNone/>
                    <wp:docPr id="51372856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74675" cy="104457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22F97171" w14:textId="48F8A1BF" w:rsidR="00050F10" w:rsidRDefault="00050F10">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16F92C9" id="Rectangle 1" o:spid="_x0000_s1027" style="position:absolute;margin-left:-5.95pt;margin-top:0;width:45.25pt;height:82.2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22F97171" w14:textId="48F8A1BF" w:rsidR="00050F10" w:rsidRDefault="00050F10">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rsidR="00050F10">
            <w:br w:type="page"/>
          </w:r>
        </w:p>
      </w:sdtContent>
    </w:sdt>
    <w:p w14:paraId="14B399B9" w14:textId="456AF542" w:rsidR="000D4226" w:rsidRDefault="00050F10">
      <w:r>
        <w:lastRenderedPageBreak/>
        <w:t xml:space="preserve">After a heated argument between the couple formed by Clara and Jamie, Clara ends up stabbing Jamie and he suffered serious injuries. Given this, the assessment will discuss Calara’s potential criminal liability, taking into consideration relevant case law and legislation from the United Kingdom. </w:t>
      </w:r>
    </w:p>
    <w:p w14:paraId="25843207" w14:textId="5C6FDCEB" w:rsidR="006A2E64" w:rsidRDefault="00E76B01">
      <w:r>
        <w:t>Under UK laws, Carla’s actions could lead to charges of murder or manslaughter</w:t>
      </w:r>
      <w:r w:rsidR="00A56ECA">
        <w:t>, depending on the circumstances. For murder, the key elements are the unlawful killing of a human being under the Queen’s peace with malice aforethought</w:t>
      </w:r>
      <w:r w:rsidR="00084018">
        <w:t xml:space="preserve">, which refer to intent to kill or cause grievous bodily harm (GBH). If Carla intended to kill Jamie or cause serious harm by stabbing him this could satisfy the criteria for murder. At the same time Carla could also be </w:t>
      </w:r>
      <w:r w:rsidR="001451C1">
        <w:t xml:space="preserve">facing charges of voluntary manslaughter, if certain </w:t>
      </w:r>
      <w:r w:rsidR="003E7DD1">
        <w:t>mitigating</w:t>
      </w:r>
      <w:r w:rsidR="001451C1">
        <w:t xml:space="preserve"> circumstances exists, such as loss of contro</w:t>
      </w:r>
      <w:r w:rsidR="003E7DD1">
        <w:t xml:space="preserve">l </w:t>
      </w:r>
      <w:r w:rsidR="0091056A">
        <w:t xml:space="preserve">or diminished responsibility. </w:t>
      </w:r>
    </w:p>
    <w:p w14:paraId="09DA13E6" w14:textId="099086DD" w:rsidR="00E02C24" w:rsidRDefault="005378D7">
      <w:r>
        <w:t>However, i</w:t>
      </w:r>
      <w:r w:rsidR="00E02C24">
        <w:t xml:space="preserve">n the context of the UK laws, discussing the Offences Against the Person Act 1861 (OAPA 1861) is </w:t>
      </w:r>
      <w:r>
        <w:t xml:space="preserve">the most </w:t>
      </w:r>
      <w:r w:rsidR="00E02C24">
        <w:t xml:space="preserve">relevant, particularly when examining potential charges against Carla. More specifically, Section 18 of the OAPA 1861 deals with wounding or causing grievous bodily harm with intent. This provision represents one of the most serious non-fatal offences against the person under UK criminal law. </w:t>
      </w:r>
    </w:p>
    <w:p w14:paraId="1F8BE258" w14:textId="40753FC0" w:rsidR="00E02C24" w:rsidRDefault="00E02C24">
      <w:r>
        <w:t xml:space="preserve">Therefore, to secure a conviction under Section 18, the prosecution must prove beyond reasonable doubt that the defendant caused GBH or a wound to the victim (the actus reus) and did so with specific intent to cause GBH (the mens rea). </w:t>
      </w:r>
    </w:p>
    <w:p w14:paraId="50B60BD3" w14:textId="248E745A" w:rsidR="00E02C24" w:rsidRDefault="00E02C24">
      <w:r>
        <w:t xml:space="preserve">In Carla’s case, if Jamie survived the stabbing but sustained serious injuries, a charge under Section 18 could be considered given the severity of his injuries and if it can be demonstrated that Carla acted with specific intent to cause such harm. </w:t>
      </w:r>
    </w:p>
    <w:p w14:paraId="523C55F3" w14:textId="6C842164" w:rsidR="00CC52D7" w:rsidRDefault="00CC52D7">
      <w:r>
        <w:t xml:space="preserve">The Actus Reus is represented by the fact that by stabbing Jamie, Carla has undoubtedly caused a wound, and if the injuries are severe enough to be considered GBH, this element of the offence is satisfied. </w:t>
      </w:r>
    </w:p>
    <w:p w14:paraId="29C00501" w14:textId="03222D83" w:rsidR="00130564" w:rsidRDefault="00CC52D7">
      <w:r>
        <w:t xml:space="preserve">The Mens Rea represents the requirement of specific intent, and that means that the prosecution must prove Carla intended to cause serious harm to Jamie. If her actions were spontaneous, driven by emotional turmoil following Jamie’s confession, establishing this intent might be complicated. The context of their argument and her emotional state could influence the interpretation of her intent. </w:t>
      </w:r>
      <w:r w:rsidR="00130564">
        <w:t>R v. Savage [1991] 4 All ER 689 represents a previous case that is important for under</w:t>
      </w:r>
      <w:r w:rsidR="00522962">
        <w:t>standing the mens rea for Section 18 offences. The court distinguished between intent to harm</w:t>
      </w:r>
      <w:r w:rsidR="000B2263">
        <w:t xml:space="preserve">, sufficient for Section 20, and the specific intent to cause serious harm required for Section 18. For Carla, the prosecution would need to prove she specifically intended to serious harm Jamie. </w:t>
      </w:r>
    </w:p>
    <w:p w14:paraId="21E19853" w14:textId="1B63699B" w:rsidR="00231990" w:rsidRDefault="00231990">
      <w:r>
        <w:t xml:space="preserve">As with murder and manslaughter charges, defences such as loss of control and </w:t>
      </w:r>
      <w:r w:rsidR="00C108AD">
        <w:t xml:space="preserve">diminished responsibility might be relevant to Carla’s case if she is charged under Section 18. </w:t>
      </w:r>
      <w:r w:rsidR="006E5B61">
        <w:t xml:space="preserve">These could potentially mitigate her culpability if it can be shown that her mental state at the time did not allow her to form the specific intent required or if she acted under a loss of control induced by Jamie’s provoking conduct. </w:t>
      </w:r>
    </w:p>
    <w:p w14:paraId="27CB6F17" w14:textId="6F8593DC" w:rsidR="00C13D01" w:rsidRDefault="006E5B61" w:rsidP="00C13D01">
      <w:r>
        <w:t xml:space="preserve">More clearly, the </w:t>
      </w:r>
      <w:r w:rsidR="00C13D01">
        <w:t>Loss of Control under Coroners and Justice Act 2009</w:t>
      </w:r>
      <w:r w:rsidR="004176D5">
        <w:t xml:space="preserve">, which </w:t>
      </w:r>
      <w:r w:rsidR="00C13D01">
        <w:t xml:space="preserve">replaced the old defence of provocation requires that Carla’s loss of control had a qualifying trigger, which could include Jamie’s confession. Carla must also demonstrate that a person of her sex and age, with a normal degree of tolerance and self-restraint and in the circumstances of the defendant, might have reacted in a similar way. </w:t>
      </w:r>
      <w:r w:rsidR="00BE2A5D">
        <w:t>A relevant case here is</w:t>
      </w:r>
      <w:r w:rsidR="00BA2858">
        <w:t xml:space="preserve"> the R v. Clinton, </w:t>
      </w:r>
      <w:r w:rsidR="00A70BF2">
        <w:t>Parker,</w:t>
      </w:r>
      <w:r w:rsidR="00BA2858">
        <w:t xml:space="preserve"> and Evans [2012] EWCA Crim 2</w:t>
      </w:r>
      <w:r w:rsidR="00D06A9C">
        <w:t>, as this case was the one where the court considered factors such as infidelity as potential triggers for loss of control, which could be highly relevant to Carla’s case given Jamie’s confession.</w:t>
      </w:r>
    </w:p>
    <w:p w14:paraId="42719DD9" w14:textId="4E468BE0" w:rsidR="00C13D01" w:rsidRDefault="006E5B61" w:rsidP="00C13D01">
      <w:r>
        <w:t>Additionally,</w:t>
      </w:r>
      <w:r w:rsidR="00C13D01">
        <w:t xml:space="preserve"> the Diminished Responsibility under the Homicide Act 1957, as amended by the Coroners and Justice Act 2009</w:t>
      </w:r>
      <w:r>
        <w:t xml:space="preserve"> can be used i</w:t>
      </w:r>
      <w:r w:rsidR="00C13D01">
        <w:t xml:space="preserve">f Carla can prove that she was suffering from an ‘abnormality of mental functioning’ arising from a recognised medical condition, substantially impairing her ability to understand the nature of her conduct, from a rational judgement, or control herself, </w:t>
      </w:r>
      <w:r w:rsidR="004176D5">
        <w:t xml:space="preserve">and </w:t>
      </w:r>
      <w:r w:rsidR="00C13D01">
        <w:t xml:space="preserve">this could reduce a murder charge to manslaughter. </w:t>
      </w:r>
      <w:r w:rsidR="00B25271">
        <w:t>A relevant case here is R v. Ahluwalia [1992] 4 All ER 889</w:t>
      </w:r>
      <w:r w:rsidR="00D9637D">
        <w:t xml:space="preserve">, which involved a wife who has killed her husband after suffering years of abuse, </w:t>
      </w:r>
      <w:r w:rsidR="00917688">
        <w:t xml:space="preserve">setting a precedent for considering battered woman syndrome under diminished responsibility. Although Carla acted immediately </w:t>
      </w:r>
      <w:r w:rsidR="00385925">
        <w:t xml:space="preserve">after a triggering event, rather from prolonged abuse, aspects of Ahluwalia’s case could potentially be relevant if Carla had been enduring emotional or psychological distress. </w:t>
      </w:r>
    </w:p>
    <w:p w14:paraId="1BC1552B" w14:textId="77777777" w:rsidR="00C13D01" w:rsidRDefault="00C13D01" w:rsidP="00C13D01">
      <w:r>
        <w:t xml:space="preserve">At the same time, based on the provided facts, it is unlikely that Self-Defence can be a viable defence for Carla, as there is no indication that she was under an imminent threat from Jamie at the moment of stabbing. </w:t>
      </w:r>
    </w:p>
    <w:p w14:paraId="0F41A94C" w14:textId="2108C627" w:rsidR="004176D5" w:rsidRDefault="00556C3A" w:rsidP="00C13D01">
      <w:r>
        <w:t>Even more than that, Carla’s emotional state and any history of marital issues could be presented as mitigating factors</w:t>
      </w:r>
      <w:r w:rsidR="00E457AA">
        <w:t xml:space="preserve">, possibly influencing the sentencing phase if she is found guilty. These factors might not exonerate her but could lead to a lesser </w:t>
      </w:r>
      <w:r w:rsidR="00E951B3">
        <w:t>sentence</w:t>
      </w:r>
      <w:r w:rsidR="00E457AA">
        <w:t>.</w:t>
      </w:r>
    </w:p>
    <w:p w14:paraId="57DD065C" w14:textId="19A97E31" w:rsidR="00E951B3" w:rsidRDefault="006741C6" w:rsidP="00C13D01">
      <w:r>
        <w:t>For Carla, the applica</w:t>
      </w:r>
      <w:r w:rsidR="00F41CCD">
        <w:t xml:space="preserve">tion of these principles and cases would depend on the specifics and her actions and state of mind. If Carla’s mental state at the time of the stabbing can be shown to have been severely disturbed by Jamie’s confession, </w:t>
      </w:r>
      <w:r w:rsidR="00481D83" w:rsidRPr="00BE2A5D">
        <w:t xml:space="preserve">such as in cases like </w:t>
      </w:r>
      <w:r w:rsidR="00BE2A5D" w:rsidRPr="00BE2A5D">
        <w:t xml:space="preserve">R v. </w:t>
      </w:r>
      <w:r w:rsidR="00481D83" w:rsidRPr="00BE2A5D">
        <w:t>Ahluwalia</w:t>
      </w:r>
      <w:r w:rsidR="00BE2A5D">
        <w:t xml:space="preserve"> [1992]</w:t>
      </w:r>
      <w:r w:rsidR="00481D83">
        <w:t>, there might be grounds</w:t>
      </w:r>
      <w:r w:rsidR="00385879">
        <w:t xml:space="preserve"> for a defence of diminished responsibility. At the same time, the specifics of Carla’s reaction, whether it was a spontaneous act in a moment of emotional turmoil or a considered action, could be analysed in the </w:t>
      </w:r>
      <w:r w:rsidR="004A6296">
        <w:t xml:space="preserve">context </w:t>
      </w:r>
      <w:r w:rsidR="004A6296" w:rsidRPr="005F1584">
        <w:t>of R v. Savage</w:t>
      </w:r>
      <w:r w:rsidR="000E2932">
        <w:t xml:space="preserve"> [1991]</w:t>
      </w:r>
      <w:r w:rsidR="004A6296">
        <w:t xml:space="preserve"> for establishing the requirement mens rea for a Section 18 offence. </w:t>
      </w:r>
      <w:r w:rsidR="00F623F5">
        <w:t xml:space="preserve">At the same time, her defence might argue loss of control </w:t>
      </w:r>
      <w:r w:rsidR="00F623F5" w:rsidRPr="00E44D07">
        <w:t>using R v. Clinton, Parker, and Evans</w:t>
      </w:r>
      <w:r w:rsidR="00E44D07">
        <w:t xml:space="preserve"> [2012]</w:t>
      </w:r>
      <w:r w:rsidR="00F623F5">
        <w:t xml:space="preserve"> to demonstrate that Jamie’s confession constituted a qualifying trigger, though the success of this defence would depend on whether her response could be seen as understandable in the circumstances. </w:t>
      </w:r>
    </w:p>
    <w:p w14:paraId="2D822B80" w14:textId="48D95587" w:rsidR="00F623F5" w:rsidRDefault="001546EC" w:rsidP="00C13D01">
      <w:r>
        <w:t xml:space="preserve">Jamie’s confession is highly relevant to both the loss of control and diminished responsibility defences. Carla’s emotional state </w:t>
      </w:r>
      <w:r w:rsidR="00825FAF">
        <w:t xml:space="preserve">at the time could significantly impact the assessment of her actions and her legal responsibility. </w:t>
      </w:r>
      <w:r w:rsidR="00F90297">
        <w:t xml:space="preserve">For the loss of control defence, it is important whether her reaction to Jamie’s confession can be seen as something that might cause a person with normal degrees of tolerance and self-restraint </w:t>
      </w:r>
      <w:r w:rsidR="00E92873">
        <w:t xml:space="preserve">to lose control. For diminished responsibility, Carla’s mental state, whether affected by a disorder or not, could have a </w:t>
      </w:r>
      <w:r w:rsidR="00922151">
        <w:t>major impact on her sentence.</w:t>
      </w:r>
    </w:p>
    <w:p w14:paraId="70B22F38" w14:textId="0E36D3CE" w:rsidR="00922151" w:rsidRDefault="00922151" w:rsidP="00C13D01">
      <w:r>
        <w:t xml:space="preserve">Given the serious nature of Carla’s actions and the </w:t>
      </w:r>
      <w:r w:rsidR="00092070">
        <w:t>injuries</w:t>
      </w:r>
      <w:r>
        <w:t xml:space="preserve"> sustained by Jamie, it is crucial for Carla to understand the potential criminal liability</w:t>
      </w:r>
      <w:r w:rsidR="00092070">
        <w:t xml:space="preserve"> she faces under UK law and the steps she should take moving forward. </w:t>
      </w:r>
      <w:r w:rsidR="00C63527">
        <w:t xml:space="preserve">Therefore, Carla should engage a solicitor specialising in criminal law as soon as possible. An experienced solicitor can provide her with advice </w:t>
      </w:r>
      <w:r w:rsidR="002F0770">
        <w:t xml:space="preserve">specific to her circumstances, help her understand her rights, and represent her interests during police interviews and court proceedings. </w:t>
      </w:r>
      <w:r w:rsidR="00773D15">
        <w:t xml:space="preserve">Carla could also understand the charges that she is facing and what defences might work for her. She should also </w:t>
      </w:r>
      <w:r w:rsidR="00E66592">
        <w:t xml:space="preserve">document everything she remembers about the incident and the events leading up to it, including Jamie’s affair and any history of marital discord. Text messages, emails and any relevant communication could be crucial. </w:t>
      </w:r>
      <w:r w:rsidR="00F41117">
        <w:t>At the same time, if Carla’s mental health is to be part of her defence, she should undergo a comprehensive psychological evaluation by forensic psychologist or ps</w:t>
      </w:r>
      <w:r w:rsidR="00752D3C">
        <w:t>ychiatrist. This assessment can provide critical evidence for her legal team.</w:t>
      </w:r>
      <w:r w:rsidR="004128B4">
        <w:t xml:space="preserve"> Beyond legal advice, Carla should consider seeking emotional and psychological support. </w:t>
      </w:r>
    </w:p>
    <w:p w14:paraId="1F4CFF09" w14:textId="0D68B588" w:rsidR="00634136" w:rsidRDefault="009179C5" w:rsidP="00CB6916">
      <w:r>
        <w:t xml:space="preserve">In conclusion, </w:t>
      </w:r>
      <w:r w:rsidR="00DA6AB1">
        <w:t xml:space="preserve">in the UK legal system, Carla’s emotional state and the circumstances leading to the stabbing, particularly Jamie’s confession, are highly relevant to her criminal liability. </w:t>
      </w:r>
      <w:r w:rsidR="004766F6">
        <w:t xml:space="preserve">Given the severity </w:t>
      </w:r>
      <w:r w:rsidR="006F6A8B">
        <w:t xml:space="preserve">of Jamie’s injuries and the circumstances under which they were inflicted, Carla faces the possibility </w:t>
      </w:r>
      <w:r w:rsidR="00182693">
        <w:t xml:space="preserve">of serious charges under UK law, including but not limited to grievous bodily </w:t>
      </w:r>
      <w:r w:rsidR="0015293F">
        <w:t xml:space="preserve">harm with intent, as </w:t>
      </w:r>
      <w:r w:rsidR="004364C0">
        <w:t>outlined in Section 18 of the Offences Against the Person Act</w:t>
      </w:r>
      <w:r w:rsidR="00FB269C">
        <w:t xml:space="preserve"> 1861. </w:t>
      </w:r>
      <w:r w:rsidR="006D3891">
        <w:t xml:space="preserve">Her defence lies in the exploration of her mental state at the time of the incident, </w:t>
      </w:r>
      <w:r w:rsidR="00B628AC">
        <w:t xml:space="preserve">possibly looking at diminished responsibility or loss of control. </w:t>
      </w:r>
    </w:p>
    <w:p w14:paraId="22CDC083" w14:textId="68166EA0" w:rsidR="00230BF7" w:rsidRPr="00B02749" w:rsidRDefault="00230BF7" w:rsidP="00CB6916">
      <w:pPr>
        <w:rPr>
          <w:b/>
          <w:bCs/>
        </w:rPr>
      </w:pPr>
      <w:r w:rsidRPr="00B02749">
        <w:rPr>
          <w:b/>
          <w:bCs/>
        </w:rPr>
        <w:t>Reference List:</w:t>
      </w:r>
    </w:p>
    <w:p w14:paraId="4ED59F6E" w14:textId="3BD15863" w:rsidR="00230BF7" w:rsidRDefault="00764A5E" w:rsidP="00CB6916">
      <w:r>
        <w:t>Coroners and Justice Act 2009, c. 25. Available at:</w:t>
      </w:r>
      <w:r w:rsidR="0059288D">
        <w:t xml:space="preserve"> </w:t>
      </w:r>
      <w:hyperlink r:id="rId5" w:history="1">
        <w:r w:rsidR="0059288D" w:rsidRPr="00B42DBE">
          <w:rPr>
            <w:rStyle w:val="Hyperlink"/>
          </w:rPr>
          <w:t>https://www.legislation.gov.uk/ukpga/2009/25/contents</w:t>
        </w:r>
      </w:hyperlink>
      <w:r w:rsidR="0059288D">
        <w:t xml:space="preserve"> (Accessed: 18 March 2024).</w:t>
      </w:r>
    </w:p>
    <w:p w14:paraId="3ED20CC4" w14:textId="3E13B756" w:rsidR="0059288D" w:rsidRDefault="0059288D" w:rsidP="00CB6916">
      <w:r>
        <w:t xml:space="preserve">Offences Against the Person Act 1861, c. 100. Available at: </w:t>
      </w:r>
      <w:hyperlink r:id="rId6" w:history="1">
        <w:r w:rsidR="00E206AC" w:rsidRPr="00B42DBE">
          <w:rPr>
            <w:rStyle w:val="Hyperlink"/>
          </w:rPr>
          <w:t>https://www.legislation.gov.uk/ukpga/Vict/24-25/100/contents</w:t>
        </w:r>
      </w:hyperlink>
      <w:r w:rsidR="00E206AC">
        <w:t xml:space="preserve"> (Accessed: 18 March 2024).</w:t>
      </w:r>
    </w:p>
    <w:p w14:paraId="1AAE4810" w14:textId="0A4E48BF" w:rsidR="00E206AC" w:rsidRDefault="00E206AC" w:rsidP="00CB6916">
      <w:r>
        <w:t xml:space="preserve">R. v. Ahluwalia [1992] 4 All </w:t>
      </w:r>
      <w:r w:rsidR="0071399B">
        <w:t>ER 889.</w:t>
      </w:r>
    </w:p>
    <w:p w14:paraId="380C2A29" w14:textId="68F3201D" w:rsidR="0071399B" w:rsidRDefault="0071399B" w:rsidP="00CB6916">
      <w:r>
        <w:t>R v. Clinton, Parker, and Evans [2012] EWCA Crim 2.</w:t>
      </w:r>
    </w:p>
    <w:p w14:paraId="4DC62649" w14:textId="5EBD583E" w:rsidR="0071399B" w:rsidRDefault="0071399B" w:rsidP="00CB6916">
      <w:r>
        <w:t>R v. Savage [1991] 4 All ER 698.</w:t>
      </w:r>
    </w:p>
    <w:p w14:paraId="66DDE586" w14:textId="77777777" w:rsidR="002221EF" w:rsidRDefault="002221EF"/>
    <w:sectPr w:rsidR="002221EF" w:rsidSect="0058065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F10"/>
    <w:rsid w:val="00050F10"/>
    <w:rsid w:val="00075340"/>
    <w:rsid w:val="00084018"/>
    <w:rsid w:val="00092070"/>
    <w:rsid w:val="000B2263"/>
    <w:rsid w:val="000D4226"/>
    <w:rsid w:val="000E2932"/>
    <w:rsid w:val="00130564"/>
    <w:rsid w:val="001451C1"/>
    <w:rsid w:val="0015293F"/>
    <w:rsid w:val="001546EC"/>
    <w:rsid w:val="00182693"/>
    <w:rsid w:val="002221EF"/>
    <w:rsid w:val="00230BF7"/>
    <w:rsid w:val="00231990"/>
    <w:rsid w:val="002F0770"/>
    <w:rsid w:val="00376216"/>
    <w:rsid w:val="00385879"/>
    <w:rsid w:val="00385925"/>
    <w:rsid w:val="00391207"/>
    <w:rsid w:val="003E7DD1"/>
    <w:rsid w:val="004128B4"/>
    <w:rsid w:val="004176D5"/>
    <w:rsid w:val="004364C0"/>
    <w:rsid w:val="00445257"/>
    <w:rsid w:val="00445A0E"/>
    <w:rsid w:val="004766F6"/>
    <w:rsid w:val="00481D83"/>
    <w:rsid w:val="004A6296"/>
    <w:rsid w:val="004F3B96"/>
    <w:rsid w:val="00522962"/>
    <w:rsid w:val="005378D7"/>
    <w:rsid w:val="00556C3A"/>
    <w:rsid w:val="00556FA8"/>
    <w:rsid w:val="0058065E"/>
    <w:rsid w:val="0059288D"/>
    <w:rsid w:val="005F1584"/>
    <w:rsid w:val="00634136"/>
    <w:rsid w:val="006741C6"/>
    <w:rsid w:val="006A2E64"/>
    <w:rsid w:val="006D3891"/>
    <w:rsid w:val="006E5B61"/>
    <w:rsid w:val="006F6A8B"/>
    <w:rsid w:val="0071399B"/>
    <w:rsid w:val="00752D3C"/>
    <w:rsid w:val="00764A5E"/>
    <w:rsid w:val="00773D15"/>
    <w:rsid w:val="00825FAF"/>
    <w:rsid w:val="0084390C"/>
    <w:rsid w:val="0091056A"/>
    <w:rsid w:val="00917688"/>
    <w:rsid w:val="009179C5"/>
    <w:rsid w:val="00922151"/>
    <w:rsid w:val="00961F47"/>
    <w:rsid w:val="00A56ECA"/>
    <w:rsid w:val="00A70BF2"/>
    <w:rsid w:val="00A94D58"/>
    <w:rsid w:val="00B02749"/>
    <w:rsid w:val="00B25271"/>
    <w:rsid w:val="00B628AC"/>
    <w:rsid w:val="00BA2858"/>
    <w:rsid w:val="00BE2A5D"/>
    <w:rsid w:val="00C108AD"/>
    <w:rsid w:val="00C13D01"/>
    <w:rsid w:val="00C63527"/>
    <w:rsid w:val="00CB6916"/>
    <w:rsid w:val="00CC52D7"/>
    <w:rsid w:val="00CD1EF5"/>
    <w:rsid w:val="00D06940"/>
    <w:rsid w:val="00D06A9C"/>
    <w:rsid w:val="00D9637D"/>
    <w:rsid w:val="00DA603F"/>
    <w:rsid w:val="00DA6AB1"/>
    <w:rsid w:val="00E02C24"/>
    <w:rsid w:val="00E206AC"/>
    <w:rsid w:val="00E34F7C"/>
    <w:rsid w:val="00E44D07"/>
    <w:rsid w:val="00E457AA"/>
    <w:rsid w:val="00E66592"/>
    <w:rsid w:val="00E76B01"/>
    <w:rsid w:val="00E92873"/>
    <w:rsid w:val="00E951B3"/>
    <w:rsid w:val="00F41117"/>
    <w:rsid w:val="00F41CCD"/>
    <w:rsid w:val="00F623F5"/>
    <w:rsid w:val="00F90297"/>
    <w:rsid w:val="00FB2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9992165"/>
  <w15:docId w15:val="{137A9056-863B-49C0-B512-6EB2D2AE1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50F1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50F10"/>
    <w:rPr>
      <w:rFonts w:eastAsiaTheme="minorEastAsia"/>
      <w:lang w:val="en-US"/>
    </w:rPr>
  </w:style>
  <w:style w:type="character" w:styleId="Hyperlink">
    <w:name w:val="Hyperlink"/>
    <w:basedOn w:val="DefaultParagraphFont"/>
    <w:uiPriority w:val="99"/>
    <w:unhideWhenUsed/>
    <w:rsid w:val="0059288D"/>
    <w:rPr>
      <w:color w:val="0563C1" w:themeColor="hyperlink"/>
      <w:u w:val="single"/>
    </w:rPr>
  </w:style>
  <w:style w:type="character" w:styleId="UnresolvedMention">
    <w:name w:val="Unresolved Mention"/>
    <w:basedOn w:val="DefaultParagraphFont"/>
    <w:uiPriority w:val="99"/>
    <w:semiHidden/>
    <w:unhideWhenUsed/>
    <w:rsid w:val="005928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legislation.gov.uk/ukpga/Vict/24-25/100/contents" TargetMode="External"/><Relationship Id="rId5" Type="http://schemas.openxmlformats.org/officeDocument/2006/relationships/hyperlink" Target="https://www.legislation.gov.uk/ukpga/2009/25/content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1358</Words>
  <Characters>7745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Scenario Question Rework</dc:title>
  <dc:subject>Criminal law – bmpl4009</dc:subject>
  <dc:creator>Nicoleta secara 2214822</dc:creator>
  <cp:keywords/>
  <dc:description/>
  <cp:lastModifiedBy>Alina Culea</cp:lastModifiedBy>
  <cp:revision>2</cp:revision>
  <dcterms:created xsi:type="dcterms:W3CDTF">2024-03-19T14:25:00Z</dcterms:created>
  <dcterms:modified xsi:type="dcterms:W3CDTF">2024-03-19T14:25:00Z</dcterms:modified>
</cp:coreProperties>
</file>