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Middle Ages in Europe</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left"/>
        <w:rPr>
          <w:rFonts w:ascii="Times New Roman" w:hAnsi="Times New Roman" w:cs="Times New Roman" w:eastAsia="Times New Roman"/>
          <w:b/>
          <w:i/>
          <w:color w:val="000000"/>
          <w:spacing w:val="0"/>
          <w:position w:val="0"/>
          <w:sz w:val="24"/>
          <w:shd w:fill="auto" w:val="clear"/>
        </w:rPr>
      </w:pPr>
    </w:p>
    <w:p>
      <w:pPr>
        <w:keepNext w:val="true"/>
        <w:keepLines w:val="true"/>
        <w:spacing w:before="240" w:after="0" w:line="48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Introduction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The essay aims to analyse and discuss the Middle Ages in Europe and the fundamental elements that characterise the era. A historical period known as the Middle Ages began with the fall of the Roman Empire and ended with the rise of the Ottoman Empire (Rosenwien, 2022). This chronological span has been around one millennium long, starting in the late 5th century CE and ending with the Renaissance in the 15th century CE. Significant political upheavals, a wide range of religious views, and exceptional cultural survival are often what set this age apart (Geremek, 2017). The rise and fall of kingdoms, the spread of Christianity, and the thriving advancement of scholarship and the arts were the hallmarks of the mediaeval era, commonly known as this age.</w:t>
      </w:r>
    </w:p>
    <w:p>
      <w:pPr>
        <w:keepNext w:val="true"/>
        <w:keepLines w:val="true"/>
        <w:spacing w:before="240" w:after="0" w:line="48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Discussion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People in the mediaeval era were part of a social framework called a feudal system. At the top of the mediaeval social hierarchy lived the aristocracy, which included kings, lords, and knights (Aguilera &amp; Aguilera, 2015). The knightly caste upheld the ideals of chivalry, thereby embodying the virtues of honesty, courage, and loyalty. According to Keauper (2016), despite its romanticisation, the chivalric code imposed moral standards on the nobility, affecting their conduct in both private and military affairs.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w:t>
      </w:r>
      <w:r>
        <w:rPr>
          <w:rFonts w:ascii="Times New Roman" w:hAnsi="Times New Roman" w:cs="Times New Roman" w:eastAsia="Times New Roman"/>
          <w:i/>
          <w:color w:val="auto"/>
          <w:spacing w:val="0"/>
          <w:position w:val="0"/>
          <w:sz w:val="24"/>
          <w:shd w:fill="auto" w:val="clear"/>
        </w:rPr>
        <w:t xml:space="preserve">Sir Gawain and the Green Knight</w:t>
      </w:r>
      <w:r>
        <w:rPr>
          <w:rFonts w:ascii="Times New Roman" w:hAnsi="Times New Roman" w:cs="Times New Roman" w:eastAsia="Times New Roman"/>
          <w:color w:val="auto"/>
          <w:spacing w:val="0"/>
          <w:position w:val="0"/>
          <w:sz w:val="24"/>
          <w:shd w:fill="auto" w:val="clear"/>
        </w:rPr>
        <w:t xml:space="preserve">" is a literary representation of chivalric values. Gawain, a Knight of the Round Table, embarks on a trip that will test his dedication to the ideas and traditions of chivalry. The poem digs into the underlying contradiction between idealised norms and the complexities of human nature, providing vital insights into the cultural expectations put on the mediaeval aristocratic class (Jakovljevi</w:t>
      </w:r>
      <w:r>
        <w:rPr>
          <w:rFonts w:ascii="Times New Roman" w:hAnsi="Times New Roman" w:cs="Times New Roman" w:eastAsia="Times New Roman"/>
          <w:color w:val="auto"/>
          <w:spacing w:val="0"/>
          <w:position w:val="0"/>
          <w:sz w:val="24"/>
          <w:shd w:fill="auto" w:val="clear"/>
        </w:rPr>
        <w:t xml:space="preserve">ć &amp; Petković, 2019).</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The Middle Ages also saw big historical events with far-reaching and devastating consequences. The Black Death, a pandemic that claimed millions of lives; the Hundred Years War, a protracted conflict between England and France; the Crusades, a series of military expeditions with religious reasons; and the Wars of the Roses, a civil war in England, are among these occurrences (Rich, 2022). The feudal system, which included political and economic institutions, was prevalent during the period under discussion. Within this system, serfs, or peasants, performed grueling tasks and endured physical hardship in exchange for the security and protection afforded by their lords (Eisenstadt, 2017). As a result, unless one held the position of a knight, nobleman, or even the monarch, living throughout the Middle centuries was more difficult than in the following centuries.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Despite popular belief, the Middle Ages gave some significant components to the world, including the Magna Carta, great monastic establishments, musical creations, and advances in art and literature (Shephard and Shephard, 2015). Several notable authors emerged during this period, including Sir Thomas Malory, best known for his work Le Morte d'Arthur; Giovanni Boccaccio, best known for his literary masterpiece the Decameron; Margery Kempe; Dante Alighieri, best known for his work Inferno; Giovanni Boccaccio, author of the Decameron; and William Langland, best known for his literary creation Piers Ploughman. As per White (2022), the volume of Kells, a well-known illuminated volume, displays a combination of Christian imagery and intricate Celtic patterns. This work of art illustrates the tenacity of cultural traditions despite changes in political and religious settings. Great craftsmanship in these manuscripts demonstrates mediaeval scribes' and artists' unwavering devotion to preserving knowledge and aesthetic perfection.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Møller and Doucette (2022) argued that the Catholic Church was crucial in shaping mediaeval Europe's societal framework. The Church operated as a dual entity, embracing both spiritual and secular worlds and wielding significant power over rulers and the common public. As the major seat of ecclesiastical power, the papacy frequently wielded tremendous influence in determining the political environment.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Biblical analogies, such as in Matthew 16:18, where Jesus says, "</w:t>
      </w:r>
      <w:r>
        <w:rPr>
          <w:rFonts w:ascii="Times New Roman" w:hAnsi="Times New Roman" w:cs="Times New Roman" w:eastAsia="Times New Roman"/>
          <w:i/>
          <w:color w:val="auto"/>
          <w:spacing w:val="0"/>
          <w:position w:val="0"/>
          <w:sz w:val="24"/>
          <w:shd w:fill="auto" w:val="clear"/>
        </w:rPr>
        <w:t xml:space="preserve">And I tell you, you are Peter, and on this rock, I will build my church</w:t>
      </w:r>
      <w:r>
        <w:rPr>
          <w:rFonts w:ascii="Times New Roman" w:hAnsi="Times New Roman" w:cs="Times New Roman" w:eastAsia="Times New Roman"/>
          <w:color w:val="auto"/>
          <w:spacing w:val="0"/>
          <w:position w:val="0"/>
          <w:sz w:val="24"/>
          <w:shd w:fill="auto" w:val="clear"/>
        </w:rPr>
        <w:t xml:space="preserve">," emphasise the Church's alleged divine legitimacy. This verse served as a foundational argument for the papal claim of spiritual primacy and significantly impacted the Church's intervention in political events during the Middle Ages (Schoenig, 2016).</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Moreover, The "</w:t>
      </w:r>
      <w:r>
        <w:rPr>
          <w:rFonts w:ascii="Times New Roman" w:hAnsi="Times New Roman" w:cs="Times New Roman" w:eastAsia="Times New Roman"/>
          <w:i/>
          <w:color w:val="auto"/>
          <w:spacing w:val="0"/>
          <w:position w:val="0"/>
          <w:sz w:val="24"/>
          <w:shd w:fill="auto" w:val="clear"/>
        </w:rPr>
        <w:t xml:space="preserve">Oath of Fealty</w:t>
      </w:r>
      <w:r>
        <w:rPr>
          <w:rFonts w:ascii="Times New Roman" w:hAnsi="Times New Roman" w:cs="Times New Roman" w:eastAsia="Times New Roman"/>
          <w:color w:val="auto"/>
          <w:spacing w:val="0"/>
          <w:position w:val="0"/>
          <w:sz w:val="24"/>
          <w:shd w:fill="auto" w:val="clear"/>
        </w:rPr>
        <w:t xml:space="preserve">" represents the contractual aspect inherent in political ties during the Middle Ages; it signifies a strong commitment to allegiance and responsibility (Benham, 2020). As mentioned above, the oath served as a legally binding contract between vassals and their lords, emphasising the reciprocal duties that distinguished the feudal system. The complicated interplay of political authority and the feudal system significantly impacted the power distribution that marked the Middle Ages.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The citizens of the Middle Ages were privileged to have access to armed protection services commanded by the Roman Emperor in the period preceding the Roman Empire's decline. According to Heather (2018), after the Roman Empire's demise, the public became vulnerable due to a lack of legal safeguards; as a result, they relied on their nobility to maintain social order and advocate for their interests. The disputed ruling resulted in the formation of feudalism, a socioeconomic framework marked by a hierarchical organisation of land ownership and associated responsibilities. Because of this, only a small minority of the peasantry was granted liberty. They took on the role of subordinates to the sovereign. Aside from the monarch, all subjects of the feudal system were subordinate to a superior baron, to whom they owed devotion and loyalty. As per Barton (2019), Fiefs, a type of land bestowal, were handed to religious institutions and the nobility on occasion in exchange for military support or the capacity to exert influence over the public; it secured the territory's security. Moreover, the manor, a self-contained entity consisting of a castle, Church, hamlet, and neighbouring agricultural region, housed most of the population, cultivating a sense of seclusion (Catulary, 2021).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Many British literary works try to authentically reflect the essence of mediaeval existence in their creative compositions by considering their economic, political, and social characteristics. Throughout the Middle Ages, the concept of chivalry was extremely popular and depicted in many prose literary works. As per Kaeuper (2016), Knights were expected to follow a strict code of behaviour. Individuals must be loyal to one another and others, demonstrate diligence, and completely understand the ideals inherent in the code of honour. An obvious example can be found in the literary work "</w:t>
      </w:r>
      <w:r>
        <w:rPr>
          <w:rFonts w:ascii="Times New Roman" w:hAnsi="Times New Roman" w:cs="Times New Roman" w:eastAsia="Times New Roman"/>
          <w:i/>
          <w:color w:val="auto"/>
          <w:spacing w:val="0"/>
          <w:position w:val="0"/>
          <w:sz w:val="24"/>
          <w:shd w:fill="auto" w:val="clear"/>
        </w:rPr>
        <w:t xml:space="preserve">Le Morte d'Arthur</w:t>
      </w:r>
      <w:r>
        <w:rPr>
          <w:rFonts w:ascii="Times New Roman" w:hAnsi="Times New Roman" w:cs="Times New Roman" w:eastAsia="Times New Roman"/>
          <w:color w:val="auto"/>
          <w:spacing w:val="0"/>
          <w:position w:val="0"/>
          <w:sz w:val="24"/>
          <w:shd w:fill="auto" w:val="clear"/>
        </w:rPr>
        <w:t xml:space="preserve">," which is rendered as "</w:t>
      </w:r>
      <w:r>
        <w:rPr>
          <w:rFonts w:ascii="Times New Roman" w:hAnsi="Times New Roman" w:cs="Times New Roman" w:eastAsia="Times New Roman"/>
          <w:i/>
          <w:color w:val="auto"/>
          <w:spacing w:val="0"/>
          <w:position w:val="0"/>
          <w:sz w:val="24"/>
          <w:shd w:fill="auto" w:val="clear"/>
        </w:rPr>
        <w:t xml:space="preserve">The Death of Arthur</w:t>
      </w:r>
      <w:r>
        <w:rPr>
          <w:rFonts w:ascii="Times New Roman" w:hAnsi="Times New Roman" w:cs="Times New Roman" w:eastAsia="Times New Roman"/>
          <w:color w:val="auto"/>
          <w:spacing w:val="0"/>
          <w:position w:val="0"/>
          <w:sz w:val="24"/>
          <w:shd w:fill="auto" w:val="clear"/>
        </w:rPr>
        <w:t xml:space="preserve">" upon translation. The literary work delves into the fabled life of King Arthur and provides vital insights into his historical persona during the Middle Ages (Gale, 2015).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Furthermore, the mythological story represented in 'The Sword in the Stone' metaphorically expresses concepts such as authority, protection, and power. The book expertly depicts prejudice's pervasiveness and the impact of intellectual prowess during the historical period under consideration (Buts and Sierra, 2017). This statement highlights the limited educational opportunities available only to individuals of the higher socioeconomic groups who were fortunate enough to be literate. Lower socioeconomic strata, such as serfs and peasants, were required to work in agricultural businesses, mills, or as blacksmiths (Achim, 2017). Because of their reduced social position, these people were denied access to literacy and writing education.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During the Middle Ages, a significant majority of the population was illiterate, except for a privileged group of people known as scribes, who were instrumental in translating the Bible (Paradis et al., 2021). The Church wielded considerable power, which aided in the progress of education. The curriculum subject of the topic of study within academic institutions covers the synthesis of philosophy and religion, with a particular emphasis on Aristotle's teachings. The aim to increase the position and responsibility of the priesthood within the context of society spurred the establishment of educational provisions. The University of Bologna, established in 1088, is a notable example of a secular institution that provided tertiary education in Europe during the Middle Ages (Haskin, 2017). By fostering scholarly endeavours that extended beyond the bounds of religious teaching, this foundation provided the groundwork for the emergence of higher education.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The curriculum also featured arts and scientific instruction as well as religious instruction, with a focus on catering to male students. However, Karwowski et al. (2017) pointed out, the majority of women received exemptions from schooling, and the education they received was restricted to basic creative skills that were considered essential for their day-to-day survival. Particularly women from low-income households were frequently denied access to educational opportunities within the convent.</w:t>
      </w:r>
    </w:p>
    <w:p>
      <w:pPr>
        <w:keepNext w:val="true"/>
        <w:keepLines w:val="true"/>
        <w:spacing w:before="240" w:after="0" w:line="480"/>
        <w:ind w:right="0" w:left="0" w:firstLine="0"/>
        <w:jc w:val="left"/>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Conclusion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Europe's Middle Ages were a dynamic and transformative time characterised by changes in politics, society, and culture. Even though this period was frequently marked by difficulties like feudalism and religious strife, it set the stage for the Renaissance and the later events that moulded the contemporary West. The difficulties and victories of wars and conflicts, the tenacity of mediaeval civilization, and its dedication to knowledge preservation all add to the colourful tapestry of the Middle Ages. This crucial period connects the old and new worlds.</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720" w:hanging="720"/>
        <w:jc w:val="center"/>
        <w:rPr>
          <w:rFonts w:ascii="Times New Roman" w:hAnsi="Times New Roman" w:cs="Times New Roman" w:eastAsia="Times New Roman"/>
          <w:b/>
          <w:i/>
          <w:color w:val="222222"/>
          <w:spacing w:val="0"/>
          <w:position w:val="0"/>
          <w:sz w:val="24"/>
          <w:shd w:fill="FFFFFF" w:val="clear"/>
        </w:rPr>
      </w:pPr>
      <w:r>
        <w:rPr>
          <w:rFonts w:ascii="Times New Roman" w:hAnsi="Times New Roman" w:cs="Times New Roman" w:eastAsia="Times New Roman"/>
          <w:b/>
          <w:i/>
          <w:color w:val="222222"/>
          <w:spacing w:val="0"/>
          <w:position w:val="0"/>
          <w:sz w:val="24"/>
          <w:shd w:fill="FFFFFF" w:val="clear"/>
        </w:rPr>
        <w:t xml:space="preserve">References</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Achim, V., 2017. The Gypsies in the Romanian Lands during the Middle Ages: Slavery. In </w:t>
      </w:r>
      <w:r>
        <w:rPr>
          <w:rFonts w:ascii="Times New Roman" w:hAnsi="Times New Roman" w:cs="Times New Roman" w:eastAsia="Times New Roman"/>
          <w:i/>
          <w:color w:val="222222"/>
          <w:spacing w:val="0"/>
          <w:position w:val="0"/>
          <w:sz w:val="24"/>
          <w:shd w:fill="FFFFFF" w:val="clear"/>
        </w:rPr>
        <w:t xml:space="preserve">Critical Readings on Global Slavery</w:t>
      </w:r>
      <w:r>
        <w:rPr>
          <w:rFonts w:ascii="Times New Roman" w:hAnsi="Times New Roman" w:cs="Times New Roman" w:eastAsia="Times New Roman"/>
          <w:color w:val="222222"/>
          <w:spacing w:val="0"/>
          <w:position w:val="0"/>
          <w:sz w:val="24"/>
          <w:shd w:fill="FFFFFF" w:val="clear"/>
        </w:rPr>
        <w:t xml:space="preserve"> (pp. 983-1043). Brill.</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Aguilera-Barchet, B. and Aguilera-Barchet, B., 2015. From Kings to Monarchs: The Resurgence of Public Power in Late Medieval Europe. </w:t>
      </w:r>
      <w:r>
        <w:rPr>
          <w:rFonts w:ascii="Times New Roman" w:hAnsi="Times New Roman" w:cs="Times New Roman" w:eastAsia="Times New Roman"/>
          <w:i/>
          <w:color w:val="222222"/>
          <w:spacing w:val="0"/>
          <w:position w:val="0"/>
          <w:sz w:val="24"/>
          <w:shd w:fill="FFFFFF" w:val="clear"/>
        </w:rPr>
        <w:t xml:space="preserve">A History of Western Public Law: Between Nation and State</w:t>
      </w:r>
      <w:r>
        <w:rPr>
          <w:rFonts w:ascii="Times New Roman" w:hAnsi="Times New Roman" w:cs="Times New Roman" w:eastAsia="Times New Roman"/>
          <w:color w:val="222222"/>
          <w:spacing w:val="0"/>
          <w:position w:val="0"/>
          <w:sz w:val="24"/>
          <w:shd w:fill="FFFFFF" w:val="clear"/>
        </w:rPr>
        <w:t xml:space="preserve">, pp.177-210.</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Barton, T.W., 2019. </w:t>
      </w:r>
      <w:r>
        <w:rPr>
          <w:rFonts w:ascii="Times New Roman" w:hAnsi="Times New Roman" w:cs="Times New Roman" w:eastAsia="Times New Roman"/>
          <w:i/>
          <w:color w:val="222222"/>
          <w:spacing w:val="0"/>
          <w:position w:val="0"/>
          <w:sz w:val="24"/>
          <w:shd w:fill="FFFFFF" w:val="clear"/>
        </w:rPr>
        <w:t xml:space="preserve">Victory's shadow: conquest and governance in medieval Catalonia</w:t>
      </w:r>
      <w:r>
        <w:rPr>
          <w:rFonts w:ascii="Times New Roman" w:hAnsi="Times New Roman" w:cs="Times New Roman" w:eastAsia="Times New Roman"/>
          <w:color w:val="222222"/>
          <w:spacing w:val="0"/>
          <w:position w:val="0"/>
          <w:sz w:val="24"/>
          <w:shd w:fill="FFFFFF" w:val="clear"/>
        </w:rPr>
        <w:t xml:space="preserve">. Cornell University Press. Heather, P.J., 2018. </w:t>
      </w:r>
      <w:r>
        <w:rPr>
          <w:rFonts w:ascii="Times New Roman" w:hAnsi="Times New Roman" w:cs="Times New Roman" w:eastAsia="Times New Roman"/>
          <w:i/>
          <w:color w:val="222222"/>
          <w:spacing w:val="0"/>
          <w:position w:val="0"/>
          <w:sz w:val="24"/>
          <w:shd w:fill="FFFFFF" w:val="clear"/>
        </w:rPr>
        <w:t xml:space="preserve">Rome resurgent: war and empire in the age of Justinian</w:t>
      </w:r>
      <w:r>
        <w:rPr>
          <w:rFonts w:ascii="Times New Roman" w:hAnsi="Times New Roman" w:cs="Times New Roman" w:eastAsia="Times New Roman"/>
          <w:color w:val="222222"/>
          <w:spacing w:val="0"/>
          <w:position w:val="0"/>
          <w:sz w:val="24"/>
          <w:shd w:fill="FFFFFF" w:val="clear"/>
        </w:rPr>
        <w:t xml:space="preserve">. Oxford University Press.</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Benham, J., 2020. Homage, fealty and gestures of submission. In </w:t>
      </w:r>
      <w:r>
        <w:rPr>
          <w:rFonts w:ascii="Times New Roman" w:hAnsi="Times New Roman" w:cs="Times New Roman" w:eastAsia="Times New Roman"/>
          <w:i/>
          <w:color w:val="222222"/>
          <w:spacing w:val="0"/>
          <w:position w:val="0"/>
          <w:sz w:val="24"/>
          <w:shd w:fill="FFFFFF" w:val="clear"/>
        </w:rPr>
        <w:t xml:space="preserve">Peacemaking in the Middle Ages</w:t>
      </w:r>
      <w:r>
        <w:rPr>
          <w:rFonts w:ascii="Times New Roman" w:hAnsi="Times New Roman" w:cs="Times New Roman" w:eastAsia="Times New Roman"/>
          <w:color w:val="222222"/>
          <w:spacing w:val="0"/>
          <w:position w:val="0"/>
          <w:sz w:val="24"/>
          <w:shd w:fill="FFFFFF" w:val="clear"/>
        </w:rPr>
        <w:t xml:space="preserve"> (pp. 90-114). Manchester University Press.</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Buts, C. and Sierra, J.L.B., 2017. The Sword in the Stone. </w:t>
      </w:r>
      <w:r>
        <w:rPr>
          <w:rFonts w:ascii="Times New Roman" w:hAnsi="Times New Roman" w:cs="Times New Roman" w:eastAsia="Times New Roman"/>
          <w:i/>
          <w:color w:val="222222"/>
          <w:spacing w:val="0"/>
          <w:position w:val="0"/>
          <w:sz w:val="24"/>
          <w:shd w:fill="FFFFFF" w:val="clear"/>
        </w:rPr>
        <w:t xml:space="preserve">European State Aid Law Quarterly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16</w:t>
      </w:r>
      <w:r>
        <w:rPr>
          <w:rFonts w:ascii="Times New Roman" w:hAnsi="Times New Roman" w:cs="Times New Roman" w:eastAsia="Times New Roman"/>
          <w:color w:val="222222"/>
          <w:spacing w:val="0"/>
          <w:position w:val="0"/>
          <w:sz w:val="24"/>
          <w:shd w:fill="FFFFFF" w:val="clear"/>
        </w:rPr>
        <w:t xml:space="preserve">(4), pp.509-511.</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Cartulary IV, O., 2021. The High Middle Ages, 1100</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1350.</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Peasant Perceptions of Landscape: Ewelme Hundred, South Oxfordshire, 500-1650</w:t>
      </w:r>
      <w:r>
        <w:rPr>
          <w:rFonts w:ascii="Times New Roman" w:hAnsi="Times New Roman" w:cs="Times New Roman" w:eastAsia="Times New Roman"/>
          <w:color w:val="222222"/>
          <w:spacing w:val="0"/>
          <w:position w:val="0"/>
          <w:sz w:val="24"/>
          <w:shd w:fill="FFFFFF" w:val="clear"/>
        </w:rPr>
        <w:t xml:space="preserve">, p.147.</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Eisenstadt, S.N., 2017. </w:t>
      </w:r>
      <w:r>
        <w:rPr>
          <w:rFonts w:ascii="Times New Roman" w:hAnsi="Times New Roman" w:cs="Times New Roman" w:eastAsia="Times New Roman"/>
          <w:i/>
          <w:color w:val="222222"/>
          <w:spacing w:val="0"/>
          <w:position w:val="0"/>
          <w:sz w:val="24"/>
          <w:shd w:fill="FFFFFF" w:val="clear"/>
        </w:rPr>
        <w:t xml:space="preserve">The political systems of empires</w:t>
      </w:r>
      <w:r>
        <w:rPr>
          <w:rFonts w:ascii="Times New Roman" w:hAnsi="Times New Roman" w:cs="Times New Roman" w:eastAsia="Times New Roman"/>
          <w:color w:val="222222"/>
          <w:spacing w:val="0"/>
          <w:position w:val="0"/>
          <w:sz w:val="24"/>
          <w:shd w:fill="FFFFFF" w:val="clear"/>
        </w:rPr>
        <w:t xml:space="preserve">. Routledge.</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Gale, C.L., 2015. </w:t>
      </w:r>
      <w:r>
        <w:rPr>
          <w:rFonts w:ascii="Times New Roman" w:hAnsi="Times New Roman" w:cs="Times New Roman" w:eastAsia="Times New Roman"/>
          <w:i/>
          <w:color w:val="222222"/>
          <w:spacing w:val="0"/>
          <w:position w:val="0"/>
          <w:sz w:val="24"/>
          <w:shd w:fill="FFFFFF" w:val="clear"/>
        </w:rPr>
        <w:t xml:space="preserve">A Study Guide for Sir Thomas Malory's Le Morte D'Arthur</w:t>
      </w:r>
      <w:r>
        <w:rPr>
          <w:rFonts w:ascii="Times New Roman" w:hAnsi="Times New Roman" w:cs="Times New Roman" w:eastAsia="Times New Roman"/>
          <w:color w:val="222222"/>
          <w:spacing w:val="0"/>
          <w:position w:val="0"/>
          <w:sz w:val="24"/>
          <w:shd w:fill="FFFFFF" w:val="clear"/>
        </w:rPr>
        <w:t xml:space="preserve">. Gale, Cengage Learning.</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Geremek, B., 2017. On the Middle Ages.</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Haskins, C.H., 2017. </w:t>
      </w:r>
      <w:r>
        <w:rPr>
          <w:rFonts w:ascii="Times New Roman" w:hAnsi="Times New Roman" w:cs="Times New Roman" w:eastAsia="Times New Roman"/>
          <w:i/>
          <w:color w:val="222222"/>
          <w:spacing w:val="0"/>
          <w:position w:val="0"/>
          <w:sz w:val="24"/>
          <w:shd w:fill="FFFFFF" w:val="clear"/>
        </w:rPr>
        <w:t xml:space="preserve">The rise of universities</w:t>
      </w:r>
      <w:r>
        <w:rPr>
          <w:rFonts w:ascii="Times New Roman" w:hAnsi="Times New Roman" w:cs="Times New Roman" w:eastAsia="Times New Roman"/>
          <w:color w:val="222222"/>
          <w:spacing w:val="0"/>
          <w:position w:val="0"/>
          <w:sz w:val="24"/>
          <w:shd w:fill="FFFFFF" w:val="clear"/>
        </w:rPr>
        <w:t xml:space="preserve">. Routledge.</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Heather, P.J., 2018. </w:t>
      </w:r>
      <w:r>
        <w:rPr>
          <w:rFonts w:ascii="Times New Roman" w:hAnsi="Times New Roman" w:cs="Times New Roman" w:eastAsia="Times New Roman"/>
          <w:i/>
          <w:color w:val="222222"/>
          <w:spacing w:val="0"/>
          <w:position w:val="0"/>
          <w:sz w:val="24"/>
          <w:shd w:fill="FFFFFF" w:val="clear"/>
        </w:rPr>
        <w:t xml:space="preserve">Rome resurgent: war and empire in the age of Justinian</w:t>
      </w:r>
      <w:r>
        <w:rPr>
          <w:rFonts w:ascii="Times New Roman" w:hAnsi="Times New Roman" w:cs="Times New Roman" w:eastAsia="Times New Roman"/>
          <w:color w:val="222222"/>
          <w:spacing w:val="0"/>
          <w:position w:val="0"/>
          <w:sz w:val="24"/>
          <w:shd w:fill="FFFFFF" w:val="clear"/>
        </w:rPr>
        <w:t xml:space="preserve">. Oxford University Press.</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Jakovljevi</w:t>
      </w:r>
      <w:r>
        <w:rPr>
          <w:rFonts w:ascii="Times New Roman" w:hAnsi="Times New Roman" w:cs="Times New Roman" w:eastAsia="Times New Roman"/>
          <w:color w:val="222222"/>
          <w:spacing w:val="0"/>
          <w:position w:val="0"/>
          <w:sz w:val="24"/>
          <w:shd w:fill="FFFFFF" w:val="clear"/>
        </w:rPr>
        <w:t xml:space="preserve">ć, M.M. and Petković, V.S.G., 2019. Sir Gawain and the Green Knight: Not Really a Chivalric Romance. </w:t>
      </w:r>
      <w:r>
        <w:rPr>
          <w:rFonts w:ascii="Times New Roman" w:hAnsi="Times New Roman" w:cs="Times New Roman" w:eastAsia="Times New Roman"/>
          <w:i/>
          <w:color w:val="222222"/>
          <w:spacing w:val="0"/>
          <w:position w:val="0"/>
          <w:sz w:val="24"/>
          <w:shd w:fill="FFFFFF" w:val="clear"/>
        </w:rPr>
        <w:t xml:space="preserve">Primerjalna književnost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42</w:t>
      </w:r>
      <w:r>
        <w:rPr>
          <w:rFonts w:ascii="Times New Roman" w:hAnsi="Times New Roman" w:cs="Times New Roman" w:eastAsia="Times New Roman"/>
          <w:color w:val="222222"/>
          <w:spacing w:val="0"/>
          <w:position w:val="0"/>
          <w:sz w:val="24"/>
          <w:shd w:fill="FFFFFF" w:val="clear"/>
        </w:rPr>
        <w:t xml:space="preserve">(3).</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Kaeuper, R.W., 2016. </w:t>
      </w:r>
      <w:r>
        <w:rPr>
          <w:rFonts w:ascii="Times New Roman" w:hAnsi="Times New Roman" w:cs="Times New Roman" w:eastAsia="Times New Roman"/>
          <w:i/>
          <w:color w:val="222222"/>
          <w:spacing w:val="0"/>
          <w:position w:val="0"/>
          <w:sz w:val="24"/>
          <w:shd w:fill="FFFFFF" w:val="clear"/>
        </w:rPr>
        <w:t xml:space="preserve">Medieval chivalry</w:t>
      </w:r>
      <w:r>
        <w:rPr>
          <w:rFonts w:ascii="Times New Roman" w:hAnsi="Times New Roman" w:cs="Times New Roman" w:eastAsia="Times New Roman"/>
          <w:color w:val="222222"/>
          <w:spacing w:val="0"/>
          <w:position w:val="0"/>
          <w:sz w:val="24"/>
          <w:shd w:fill="FFFFFF" w:val="clear"/>
        </w:rPr>
        <w:t xml:space="preserve">. Cambridge University Press.</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Karwowski, M., Kaufman, J.C., Lebuda, I., Szumski, G. and Firkowska-Mankiewicz, A., 2017. Intelligence in childhood and creative achievements in middle-age: The necessary condition approach. </w:t>
      </w:r>
      <w:r>
        <w:rPr>
          <w:rFonts w:ascii="Times New Roman" w:hAnsi="Times New Roman" w:cs="Times New Roman" w:eastAsia="Times New Roman"/>
          <w:i/>
          <w:color w:val="222222"/>
          <w:spacing w:val="0"/>
          <w:position w:val="0"/>
          <w:sz w:val="24"/>
          <w:shd w:fill="FFFFFF" w:val="clear"/>
        </w:rPr>
        <w:t xml:space="preserve">Intelligence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64</w:t>
      </w:r>
      <w:r>
        <w:rPr>
          <w:rFonts w:ascii="Times New Roman" w:hAnsi="Times New Roman" w:cs="Times New Roman" w:eastAsia="Times New Roman"/>
          <w:color w:val="222222"/>
          <w:spacing w:val="0"/>
          <w:position w:val="0"/>
          <w:sz w:val="24"/>
          <w:shd w:fill="FFFFFF" w:val="clear"/>
        </w:rPr>
        <w:t xml:space="preserve">, pp.36-44.</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Pajic, M., 2021. 'Ale for an Englishman is a natural drink': the Dutch and the origins of beer brewing in late medieval England. In </w:t>
      </w:r>
      <w:r>
        <w:rPr>
          <w:rFonts w:ascii="Times New Roman" w:hAnsi="Times New Roman" w:cs="Times New Roman" w:eastAsia="Times New Roman"/>
          <w:i/>
          <w:color w:val="222222"/>
          <w:spacing w:val="0"/>
          <w:position w:val="0"/>
          <w:sz w:val="24"/>
          <w:shd w:fill="FFFFFF" w:val="clear"/>
        </w:rPr>
        <w:t xml:space="preserve">Minority Influences in Medieval Society</w:t>
      </w:r>
      <w:r>
        <w:rPr>
          <w:rFonts w:ascii="Times New Roman" w:hAnsi="Times New Roman" w:cs="Times New Roman" w:eastAsia="Times New Roman"/>
          <w:color w:val="222222"/>
          <w:spacing w:val="0"/>
          <w:position w:val="0"/>
          <w:sz w:val="24"/>
          <w:shd w:fill="FFFFFF" w:val="clear"/>
        </w:rPr>
        <w:t xml:space="preserve"> (pp. 8-23). Routledge.</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Paradis, D., Barnes, S. and Lagemann, A., 2021. The Early Middle Ages. </w:t>
      </w:r>
      <w:r>
        <w:rPr>
          <w:rFonts w:ascii="Times New Roman" w:hAnsi="Times New Roman" w:cs="Times New Roman" w:eastAsia="Times New Roman"/>
          <w:i/>
          <w:color w:val="222222"/>
          <w:spacing w:val="0"/>
          <w:position w:val="0"/>
          <w:sz w:val="24"/>
          <w:shd w:fill="FFFFFF" w:val="clear"/>
        </w:rPr>
        <w:t xml:space="preserve">Origins of European Civilization</w:t>
      </w:r>
      <w:r>
        <w:rPr>
          <w:rFonts w:ascii="Times New Roman" w:hAnsi="Times New Roman" w:cs="Times New Roman" w:eastAsia="Times New Roman"/>
          <w:color w:val="222222"/>
          <w:spacing w:val="0"/>
          <w:position w:val="0"/>
          <w:sz w:val="24"/>
          <w:shd w:fill="FFFFFF" w:val="clear"/>
        </w:rPr>
        <w:t xml:space="preserve">.</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Rosenwein, B.H., 2022. </w:t>
      </w:r>
      <w:r>
        <w:rPr>
          <w:rFonts w:ascii="Times New Roman" w:hAnsi="Times New Roman" w:cs="Times New Roman" w:eastAsia="Times New Roman"/>
          <w:i/>
          <w:color w:val="222222"/>
          <w:spacing w:val="0"/>
          <w:position w:val="0"/>
          <w:sz w:val="24"/>
          <w:shd w:fill="FFFFFF" w:val="clear"/>
        </w:rPr>
        <w:t xml:space="preserve">A short history of the Middle Ages</w:t>
      </w:r>
      <w:r>
        <w:rPr>
          <w:rFonts w:ascii="Times New Roman" w:hAnsi="Times New Roman" w:cs="Times New Roman" w:eastAsia="Times New Roman"/>
          <w:color w:val="222222"/>
          <w:spacing w:val="0"/>
          <w:position w:val="0"/>
          <w:sz w:val="24"/>
          <w:shd w:fill="FFFFFF" w:val="clear"/>
        </w:rPr>
        <w:t xml:space="preserve">. University of Toronto Press.</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Schoenig, S.A., 2016. </w:t>
      </w:r>
      <w:r>
        <w:rPr>
          <w:rFonts w:ascii="Times New Roman" w:hAnsi="Times New Roman" w:cs="Times New Roman" w:eastAsia="Times New Roman"/>
          <w:i/>
          <w:color w:val="222222"/>
          <w:spacing w:val="0"/>
          <w:position w:val="0"/>
          <w:sz w:val="24"/>
          <w:shd w:fill="FFFFFF" w:val="clear"/>
        </w:rPr>
        <w:t xml:space="preserve">Bonds of wool: the pallium and papal power in the Middle Ages</w:t>
      </w:r>
      <w:r>
        <w:rPr>
          <w:rFonts w:ascii="Times New Roman" w:hAnsi="Times New Roman" w:cs="Times New Roman" w:eastAsia="Times New Roman"/>
          <w:color w:val="222222"/>
          <w:spacing w:val="0"/>
          <w:position w:val="0"/>
          <w:sz w:val="24"/>
          <w:shd w:fill="FFFFFF" w:val="clear"/>
        </w:rPr>
        <w:t xml:space="preserve"> (Vol. 15). CUA Press.</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Shephard, R.J. and Shephard, R.J., 2015. The Middle-Ages: monasteries, medical schools and the dawn of state health care. </w:t>
      </w:r>
      <w:r>
        <w:rPr>
          <w:rFonts w:ascii="Times New Roman" w:hAnsi="Times New Roman" w:cs="Times New Roman" w:eastAsia="Times New Roman"/>
          <w:i/>
          <w:color w:val="222222"/>
          <w:spacing w:val="0"/>
          <w:position w:val="0"/>
          <w:sz w:val="24"/>
          <w:shd w:fill="FFFFFF" w:val="clear"/>
        </w:rPr>
        <w:t xml:space="preserve">An Illustrated History of Health and Fitness, from Pre-History to our Post-Modern World</w:t>
      </w:r>
      <w:r>
        <w:rPr>
          <w:rFonts w:ascii="Times New Roman" w:hAnsi="Times New Roman" w:cs="Times New Roman" w:eastAsia="Times New Roman"/>
          <w:color w:val="222222"/>
          <w:spacing w:val="0"/>
          <w:position w:val="0"/>
          <w:sz w:val="24"/>
          <w:shd w:fill="FFFFFF" w:val="clear"/>
        </w:rPr>
        <w:t xml:space="preserve">, pp.241-346.</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White, A., 2022. Christianity in Insular Artwork from the Seventh to Tenth Centuries.</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