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E7963"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This essay aims to explore feminist theory and how the concept of woman is of primary significance (Alcoff, 1998) in relation to social inclusion. Social norms and traditions within societies which underpin intersections of inequalities and social divisions will be discussed. A </w:t>
      </w:r>
      <w:r w:rsidRPr="00DA0F33">
        <w:rPr>
          <w:rFonts w:ascii="Arial" w:hAnsi="Arial" w:cs="Arial"/>
          <w:sz w:val="24"/>
          <w:szCs w:val="24"/>
        </w:rPr>
        <w:t>range of sociological theories of society in the modern world will</w:t>
      </w:r>
      <w:r>
        <w:rPr>
          <w:rFonts w:ascii="Arial" w:hAnsi="Arial" w:cs="Arial"/>
          <w:sz w:val="24"/>
          <w:szCs w:val="24"/>
        </w:rPr>
        <w:t xml:space="preserve"> </w:t>
      </w:r>
      <w:r w:rsidRPr="00DA0F33">
        <w:rPr>
          <w:rFonts w:ascii="Arial" w:hAnsi="Arial" w:cs="Arial"/>
          <w:sz w:val="24"/>
          <w:szCs w:val="24"/>
        </w:rPr>
        <w:t xml:space="preserve">be explored </w:t>
      </w:r>
      <w:r>
        <w:rPr>
          <w:rFonts w:ascii="Arial" w:hAnsi="Arial" w:cs="Arial"/>
          <w:sz w:val="24"/>
          <w:szCs w:val="24"/>
        </w:rPr>
        <w:t>in relation to how these</w:t>
      </w:r>
      <w:r w:rsidRPr="00DA0F33">
        <w:rPr>
          <w:rFonts w:ascii="Arial" w:hAnsi="Arial" w:cs="Arial"/>
          <w:sz w:val="24"/>
          <w:szCs w:val="24"/>
        </w:rPr>
        <w:t xml:space="preserve"> </w:t>
      </w:r>
      <w:r>
        <w:rPr>
          <w:rFonts w:ascii="Arial" w:hAnsi="Arial" w:cs="Arial"/>
          <w:sz w:val="24"/>
          <w:szCs w:val="24"/>
        </w:rPr>
        <w:t>philosophies</w:t>
      </w:r>
      <w:r w:rsidRPr="00DA0F33">
        <w:rPr>
          <w:rFonts w:ascii="Arial" w:hAnsi="Arial" w:cs="Arial"/>
          <w:sz w:val="24"/>
          <w:szCs w:val="24"/>
        </w:rPr>
        <w:t xml:space="preserve"> respond to the agenda of inclusion</w:t>
      </w:r>
      <w:r>
        <w:rPr>
          <w:rFonts w:ascii="Arial" w:hAnsi="Arial" w:cs="Arial"/>
          <w:sz w:val="24"/>
          <w:szCs w:val="24"/>
        </w:rPr>
        <w:t>, not only from a perspective of what it means to be a woman, but also from a perspective of vulnerability and oppression. For instance, Gilson (2011) argues that the fight for gender equality both legally and socially was never a pursuit of freedom; but a quest to transform the powers which create and reinforce subordination that increases women’s vulnerability leaving them more disposed to all forms of discrimination in many societies around the world.</w:t>
      </w:r>
    </w:p>
    <w:p w14:paraId="3BC385EF"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Feminist theory is defined as a philosophical discourse which aims to understand the social construction of gender roles and the concept of difference as a basis for gender inequality (Haralambos and Holborn, 2008; Afshar and Maynard, 2012). This includes examining the diverse experiences of women globally in relation to male and female traditional social roles, interests, domestic duties and feminist politics in a number of different contexts, e.g., psychoanalysis (Chodorow, 1991), anthropology, literature and philosophy (</w:t>
      </w:r>
      <w:r w:rsidRPr="00D00D83">
        <w:rPr>
          <w:rFonts w:ascii="Arial" w:hAnsi="Arial" w:cs="Arial"/>
          <w:sz w:val="24"/>
          <w:szCs w:val="24"/>
        </w:rPr>
        <w:t>Ahmed</w:t>
      </w:r>
      <w:r>
        <w:rPr>
          <w:rFonts w:ascii="Arial" w:hAnsi="Arial" w:cs="Arial"/>
          <w:sz w:val="24"/>
          <w:szCs w:val="24"/>
        </w:rPr>
        <w:t xml:space="preserve"> </w:t>
      </w:r>
      <w:r w:rsidRPr="00D00D83">
        <w:rPr>
          <w:rFonts w:ascii="Arial" w:hAnsi="Arial" w:cs="Arial"/>
          <w:i/>
          <w:iCs/>
          <w:sz w:val="24"/>
          <w:szCs w:val="24"/>
        </w:rPr>
        <w:t>et al</w:t>
      </w:r>
      <w:r>
        <w:rPr>
          <w:rFonts w:ascii="Arial" w:hAnsi="Arial" w:cs="Arial"/>
          <w:sz w:val="24"/>
          <w:szCs w:val="24"/>
        </w:rPr>
        <w:t xml:space="preserve">. 2000). There are a number of feminist approaches such as, radical feminism, liberal feminism, Marxist and socialist feminism, black feminism, postmodern feminism (Haralambos and Holborn, 2008) and eco-feminism. </w:t>
      </w:r>
      <w:r w:rsidRPr="007C0339">
        <w:rPr>
          <w:rFonts w:ascii="Arial" w:hAnsi="Arial" w:cs="Arial"/>
          <w:sz w:val="24"/>
          <w:szCs w:val="24"/>
        </w:rPr>
        <w:t xml:space="preserve">Bryson (1999, </w:t>
      </w:r>
      <w:r w:rsidRPr="007C0339">
        <w:rPr>
          <w:rFonts w:ascii="Arial" w:hAnsi="Arial" w:cs="Arial"/>
          <w:i/>
          <w:iCs/>
          <w:sz w:val="24"/>
          <w:szCs w:val="24"/>
        </w:rPr>
        <w:t>cited</w:t>
      </w:r>
      <w:r w:rsidRPr="007C0339">
        <w:rPr>
          <w:rFonts w:ascii="Arial" w:hAnsi="Arial" w:cs="Arial"/>
          <w:sz w:val="24"/>
          <w:szCs w:val="24"/>
        </w:rPr>
        <w:t xml:space="preserve"> in Haralambos and Holborn, 2008), argues that radical feminists for</w:t>
      </w:r>
      <w:r w:rsidRPr="001E211C">
        <w:rPr>
          <w:rFonts w:ascii="Arial" w:hAnsi="Arial" w:cs="Arial"/>
          <w:sz w:val="24"/>
          <w:szCs w:val="24"/>
        </w:rPr>
        <w:t xml:space="preserve"> instance, </w:t>
      </w:r>
      <w:r>
        <w:rPr>
          <w:rFonts w:ascii="Arial" w:hAnsi="Arial" w:cs="Arial"/>
          <w:sz w:val="24"/>
          <w:szCs w:val="24"/>
        </w:rPr>
        <w:t xml:space="preserve">view women as the oppressed gender whom have had to challenge patriarchal oppression in order to become autonomous. For example, traditional expectations (mainstream liberal theory) of what it means to be a woman influence female members of society into domestic and caring roles in families and in the labour market (Abrams, 1998). In addition, Abrams argues that a woman may choose these roles because she has been socialised from an early age to believe that domestic duties are an appropriate and valued role for women to undertake. Furthermore, Abbott, Wallace and Tyler (2005, </w:t>
      </w:r>
      <w:r w:rsidRPr="007A0E8E">
        <w:rPr>
          <w:rFonts w:ascii="Arial" w:hAnsi="Arial" w:cs="Arial"/>
          <w:i/>
          <w:iCs/>
          <w:sz w:val="24"/>
          <w:szCs w:val="24"/>
        </w:rPr>
        <w:t>cited</w:t>
      </w:r>
      <w:r>
        <w:rPr>
          <w:rFonts w:ascii="Arial" w:hAnsi="Arial" w:cs="Arial"/>
          <w:sz w:val="24"/>
          <w:szCs w:val="24"/>
        </w:rPr>
        <w:t xml:space="preserve"> in Haralambos and Holborn 2008, p. 101) proposes that radical feminists are ‘concerned with women’s rights rather than gender equality’. Whereas, Marxist and socialist feminists take a broader view of the underlying causes of exploitation, e.g., they view capitalism as a key fundamental source of women’s subordination (Haralambos and Holborn, 2008). The intention of </w:t>
      </w:r>
      <w:r>
        <w:rPr>
          <w:rFonts w:ascii="Arial" w:hAnsi="Arial" w:cs="Arial"/>
          <w:sz w:val="24"/>
          <w:szCs w:val="24"/>
        </w:rPr>
        <w:lastRenderedPageBreak/>
        <w:t>this essay is not the focus of a particular feminist approach; but to examine the social structures which may reinforce</w:t>
      </w:r>
      <w:r w:rsidRPr="00736724">
        <w:rPr>
          <w:rFonts w:ascii="Arial" w:hAnsi="Arial" w:cs="Arial"/>
          <w:sz w:val="24"/>
          <w:szCs w:val="24"/>
        </w:rPr>
        <w:t xml:space="preserve"> patriarchal gender norms</w:t>
      </w:r>
      <w:r>
        <w:rPr>
          <w:rFonts w:ascii="Arial" w:hAnsi="Arial" w:cs="Arial"/>
          <w:sz w:val="24"/>
          <w:szCs w:val="24"/>
        </w:rPr>
        <w:t xml:space="preserve"> and inequalities. In particular norms that</w:t>
      </w:r>
      <w:r w:rsidRPr="00736724">
        <w:rPr>
          <w:rFonts w:ascii="Arial" w:hAnsi="Arial" w:cs="Arial"/>
          <w:sz w:val="24"/>
          <w:szCs w:val="24"/>
        </w:rPr>
        <w:t xml:space="preserve"> serve to reproduce gender hierarchies that </w:t>
      </w:r>
      <w:r>
        <w:rPr>
          <w:rFonts w:ascii="Arial" w:hAnsi="Arial" w:cs="Arial"/>
          <w:sz w:val="24"/>
          <w:szCs w:val="24"/>
        </w:rPr>
        <w:t>validate</w:t>
      </w:r>
      <w:r w:rsidRPr="00736724">
        <w:rPr>
          <w:rFonts w:ascii="Arial" w:hAnsi="Arial" w:cs="Arial"/>
          <w:sz w:val="24"/>
          <w:szCs w:val="24"/>
        </w:rPr>
        <w:t xml:space="preserve"> men’s </w:t>
      </w:r>
      <w:r>
        <w:rPr>
          <w:rFonts w:ascii="Arial" w:hAnsi="Arial" w:cs="Arial"/>
          <w:sz w:val="24"/>
          <w:szCs w:val="24"/>
        </w:rPr>
        <w:t xml:space="preserve">dominion of women throughout history. Bullough, Shelton and Slavin (1988) and </w:t>
      </w:r>
      <w:r w:rsidRPr="00F104F0">
        <w:rPr>
          <w:rFonts w:ascii="Arial" w:hAnsi="Arial" w:cs="Arial"/>
          <w:sz w:val="24"/>
          <w:szCs w:val="24"/>
        </w:rPr>
        <w:t xml:space="preserve">Gordon </w:t>
      </w:r>
      <w:r>
        <w:rPr>
          <w:rFonts w:ascii="Arial" w:hAnsi="Arial" w:cs="Arial"/>
          <w:sz w:val="24"/>
          <w:szCs w:val="24"/>
        </w:rPr>
        <w:t>(</w:t>
      </w:r>
      <w:r w:rsidRPr="00F104F0">
        <w:rPr>
          <w:rFonts w:ascii="Arial" w:hAnsi="Arial" w:cs="Arial"/>
          <w:sz w:val="24"/>
          <w:szCs w:val="24"/>
        </w:rPr>
        <w:t>1988</w:t>
      </w:r>
      <w:r>
        <w:rPr>
          <w:rFonts w:ascii="Arial" w:hAnsi="Arial" w:cs="Arial"/>
          <w:sz w:val="24"/>
          <w:szCs w:val="24"/>
        </w:rPr>
        <w:t>) have written extensively about the oppression of women by men. Gordon’s publication ‘Heroes of Their Own Lives’ shares the personal accounts of women who have experienced family violence, and Bullough, Shelton and Slavin’s publication ‘The Subordinated Sex’ describes a history of women living in the shadow of their male counterparts.</w:t>
      </w:r>
    </w:p>
    <w:p w14:paraId="56F5F9CA" w14:textId="77777777" w:rsidR="00127670" w:rsidRPr="00046F68" w:rsidRDefault="00127670" w:rsidP="00127670">
      <w:pPr>
        <w:spacing w:line="360" w:lineRule="auto"/>
        <w:jc w:val="both"/>
        <w:rPr>
          <w:rFonts w:ascii="Arial" w:hAnsi="Arial" w:cs="Arial"/>
          <w:sz w:val="24"/>
          <w:szCs w:val="24"/>
        </w:rPr>
      </w:pPr>
      <w:r>
        <w:rPr>
          <w:rFonts w:ascii="Arial" w:hAnsi="Arial" w:cs="Arial"/>
          <w:sz w:val="24"/>
          <w:szCs w:val="24"/>
        </w:rPr>
        <w:t xml:space="preserve"> A brief overview of the history of feminism will follow and will include the three waves of feminism. The first wave of feminism will begin with Mary Wollstonecraft’s Vindication of the Rights of Woman (2013) a story of her personal anguish and of the difficulties that women faced in </w:t>
      </w:r>
      <w:r w:rsidRPr="005965DE">
        <w:rPr>
          <w:rFonts w:ascii="Arial" w:hAnsi="Arial" w:cs="Arial"/>
          <w:sz w:val="24"/>
          <w:szCs w:val="24"/>
        </w:rPr>
        <w:t xml:space="preserve">eighteenth century </w:t>
      </w:r>
      <w:r>
        <w:rPr>
          <w:rFonts w:ascii="Arial" w:hAnsi="Arial" w:cs="Arial"/>
          <w:sz w:val="24"/>
          <w:szCs w:val="24"/>
        </w:rPr>
        <w:t xml:space="preserve">society. </w:t>
      </w:r>
      <w:r w:rsidRPr="00046F68">
        <w:rPr>
          <w:rFonts w:ascii="Arial" w:hAnsi="Arial" w:cs="Arial"/>
          <w:sz w:val="24"/>
          <w:szCs w:val="24"/>
        </w:rPr>
        <w:t xml:space="preserve">Cavarero (1992, p. 37, </w:t>
      </w:r>
      <w:r w:rsidRPr="00046F68">
        <w:rPr>
          <w:rFonts w:ascii="Arial" w:hAnsi="Arial" w:cs="Arial"/>
          <w:i/>
          <w:iCs/>
          <w:sz w:val="24"/>
          <w:szCs w:val="24"/>
        </w:rPr>
        <w:t xml:space="preserve">cited </w:t>
      </w:r>
      <w:r w:rsidRPr="00046F68">
        <w:rPr>
          <w:rFonts w:ascii="Arial" w:hAnsi="Arial" w:cs="Arial"/>
          <w:sz w:val="24"/>
          <w:szCs w:val="24"/>
        </w:rPr>
        <w:t>in Ta</w:t>
      </w:r>
      <w:r>
        <w:rPr>
          <w:rFonts w:ascii="Arial" w:hAnsi="Arial" w:cs="Arial"/>
          <w:sz w:val="24"/>
          <w:szCs w:val="24"/>
        </w:rPr>
        <w:t>u</w:t>
      </w:r>
      <w:r w:rsidRPr="00046F68">
        <w:rPr>
          <w:rFonts w:ascii="Arial" w:hAnsi="Arial" w:cs="Arial"/>
          <w:sz w:val="24"/>
          <w:szCs w:val="24"/>
        </w:rPr>
        <w:t xml:space="preserve">chert, 2002) argues that the issue for Wollstonecraft was less about focusing on the battle to achieve gender equality, </w:t>
      </w:r>
      <w:r>
        <w:rPr>
          <w:rFonts w:ascii="Arial" w:hAnsi="Arial" w:cs="Arial"/>
          <w:sz w:val="24"/>
          <w:szCs w:val="24"/>
        </w:rPr>
        <w:t>the issue was concerning</w:t>
      </w:r>
      <w:r w:rsidRPr="00046F68">
        <w:rPr>
          <w:rFonts w:ascii="Arial" w:hAnsi="Arial" w:cs="Arial"/>
          <w:sz w:val="24"/>
          <w:szCs w:val="24"/>
        </w:rPr>
        <w:t>:</w:t>
      </w:r>
    </w:p>
    <w:p w14:paraId="357C9DAA" w14:textId="77777777" w:rsidR="00127670" w:rsidRDefault="00127670" w:rsidP="00127670">
      <w:pPr>
        <w:spacing w:after="0" w:line="240" w:lineRule="auto"/>
        <w:ind w:left="576" w:right="1008"/>
        <w:jc w:val="both"/>
        <w:rPr>
          <w:rFonts w:ascii="Arial" w:hAnsi="Arial" w:cs="Arial"/>
          <w:sz w:val="24"/>
          <w:szCs w:val="24"/>
        </w:rPr>
      </w:pPr>
      <w:r w:rsidRPr="00046F68">
        <w:rPr>
          <w:rFonts w:ascii="Arial" w:hAnsi="Arial" w:cs="Arial"/>
          <w:sz w:val="24"/>
          <w:szCs w:val="24"/>
        </w:rPr>
        <w:t>The twofold valency of the male</w:t>
      </w:r>
      <w:r>
        <w:rPr>
          <w:rFonts w:ascii="Arial" w:hAnsi="Arial" w:cs="Arial"/>
          <w:sz w:val="24"/>
          <w:szCs w:val="24"/>
        </w:rPr>
        <w:t>,</w:t>
      </w:r>
      <w:r w:rsidRPr="00046F68">
        <w:rPr>
          <w:rFonts w:ascii="Arial" w:hAnsi="Arial" w:cs="Arial"/>
          <w:sz w:val="24"/>
          <w:szCs w:val="24"/>
        </w:rPr>
        <w:t xml:space="preserve"> </w:t>
      </w:r>
      <w:r>
        <w:rPr>
          <w:rFonts w:ascii="Arial" w:hAnsi="Arial" w:cs="Arial"/>
          <w:sz w:val="24"/>
          <w:szCs w:val="24"/>
        </w:rPr>
        <w:t>o</w:t>
      </w:r>
      <w:r w:rsidRPr="00046F68">
        <w:rPr>
          <w:rFonts w:ascii="Arial" w:hAnsi="Arial" w:cs="Arial"/>
          <w:sz w:val="24"/>
          <w:szCs w:val="24"/>
        </w:rPr>
        <w:t>n the one hand male and on the other neutral or universal which necessitates and allows the repression of female sexual difference, not as an exclusion but as a homologising assimilating inclusion.</w:t>
      </w:r>
    </w:p>
    <w:p w14:paraId="08B95016" w14:textId="77777777" w:rsidR="00127670" w:rsidRDefault="00127670" w:rsidP="00127670">
      <w:pPr>
        <w:spacing w:after="0" w:line="240" w:lineRule="auto"/>
        <w:ind w:left="576" w:right="1584"/>
        <w:jc w:val="both"/>
        <w:rPr>
          <w:rFonts w:ascii="Arial" w:hAnsi="Arial" w:cs="Arial"/>
          <w:sz w:val="24"/>
          <w:szCs w:val="24"/>
        </w:rPr>
      </w:pPr>
    </w:p>
    <w:p w14:paraId="484220DA"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Wollstonecraft</w:t>
      </w:r>
      <w:r w:rsidRPr="005965DE">
        <w:rPr>
          <w:rFonts w:ascii="Arial" w:hAnsi="Arial" w:cs="Arial"/>
          <w:sz w:val="24"/>
          <w:szCs w:val="24"/>
        </w:rPr>
        <w:t xml:space="preserve"> reaso</w:t>
      </w:r>
      <w:r>
        <w:rPr>
          <w:rFonts w:ascii="Arial" w:hAnsi="Arial" w:cs="Arial"/>
          <w:sz w:val="24"/>
          <w:szCs w:val="24"/>
        </w:rPr>
        <w:t>ns</w:t>
      </w:r>
      <w:r w:rsidRPr="005965DE">
        <w:rPr>
          <w:rFonts w:ascii="Arial" w:hAnsi="Arial" w:cs="Arial"/>
          <w:sz w:val="24"/>
          <w:szCs w:val="24"/>
        </w:rPr>
        <w:t xml:space="preserve"> that women are not naturally inferior to men</w:t>
      </w:r>
      <w:r>
        <w:rPr>
          <w:rFonts w:ascii="Arial" w:hAnsi="Arial" w:cs="Arial"/>
          <w:sz w:val="24"/>
          <w:szCs w:val="24"/>
        </w:rPr>
        <w:t xml:space="preserve"> and that social barriers to education for women has created this misconception.</w:t>
      </w:r>
      <w:r w:rsidRPr="005965DE">
        <w:rPr>
          <w:rFonts w:ascii="Arial" w:hAnsi="Arial" w:cs="Arial"/>
          <w:sz w:val="24"/>
          <w:szCs w:val="24"/>
        </w:rPr>
        <w:t xml:space="preserve"> </w:t>
      </w:r>
      <w:r>
        <w:rPr>
          <w:rFonts w:ascii="Arial" w:hAnsi="Arial" w:cs="Arial"/>
          <w:sz w:val="24"/>
          <w:szCs w:val="24"/>
        </w:rPr>
        <w:t>Her vision was</w:t>
      </w:r>
      <w:r w:rsidRPr="005965DE">
        <w:rPr>
          <w:rFonts w:ascii="Arial" w:hAnsi="Arial" w:cs="Arial"/>
          <w:sz w:val="24"/>
          <w:szCs w:val="24"/>
        </w:rPr>
        <w:t xml:space="preserve"> that both </w:t>
      </w:r>
      <w:r>
        <w:rPr>
          <w:rFonts w:ascii="Arial" w:hAnsi="Arial" w:cs="Arial"/>
          <w:sz w:val="24"/>
          <w:szCs w:val="24"/>
        </w:rPr>
        <w:t xml:space="preserve">women </w:t>
      </w:r>
      <w:r w:rsidRPr="005965DE">
        <w:rPr>
          <w:rFonts w:ascii="Arial" w:hAnsi="Arial" w:cs="Arial"/>
          <w:sz w:val="24"/>
          <w:szCs w:val="24"/>
        </w:rPr>
        <w:t xml:space="preserve">and </w:t>
      </w:r>
      <w:r>
        <w:rPr>
          <w:rFonts w:ascii="Arial" w:hAnsi="Arial" w:cs="Arial"/>
          <w:sz w:val="24"/>
          <w:szCs w:val="24"/>
        </w:rPr>
        <w:t>men</w:t>
      </w:r>
      <w:r w:rsidRPr="005965DE">
        <w:rPr>
          <w:rFonts w:ascii="Arial" w:hAnsi="Arial" w:cs="Arial"/>
          <w:sz w:val="24"/>
          <w:szCs w:val="24"/>
        </w:rPr>
        <w:t xml:space="preserve"> </w:t>
      </w:r>
      <w:r>
        <w:rPr>
          <w:rFonts w:ascii="Arial" w:hAnsi="Arial" w:cs="Arial"/>
          <w:sz w:val="24"/>
          <w:szCs w:val="24"/>
        </w:rPr>
        <w:t xml:space="preserve">would </w:t>
      </w:r>
      <w:r w:rsidRPr="005965DE">
        <w:rPr>
          <w:rFonts w:ascii="Arial" w:hAnsi="Arial" w:cs="Arial"/>
          <w:sz w:val="24"/>
          <w:szCs w:val="24"/>
        </w:rPr>
        <w:t xml:space="preserve">be treated as rational beings </w:t>
      </w:r>
      <w:r>
        <w:rPr>
          <w:rFonts w:ascii="Arial" w:hAnsi="Arial" w:cs="Arial"/>
          <w:sz w:val="24"/>
          <w:szCs w:val="24"/>
        </w:rPr>
        <w:t>and would live in</w:t>
      </w:r>
      <w:r w:rsidRPr="005965DE">
        <w:rPr>
          <w:rFonts w:ascii="Arial" w:hAnsi="Arial" w:cs="Arial"/>
          <w:sz w:val="24"/>
          <w:szCs w:val="24"/>
        </w:rPr>
        <w:t xml:space="preserve"> a </w:t>
      </w:r>
      <w:r>
        <w:rPr>
          <w:rFonts w:ascii="Arial" w:hAnsi="Arial" w:cs="Arial"/>
          <w:sz w:val="24"/>
          <w:szCs w:val="24"/>
        </w:rPr>
        <w:t>society that is</w:t>
      </w:r>
      <w:r w:rsidRPr="005965DE">
        <w:rPr>
          <w:rFonts w:ascii="Arial" w:hAnsi="Arial" w:cs="Arial"/>
          <w:sz w:val="24"/>
          <w:szCs w:val="24"/>
        </w:rPr>
        <w:t xml:space="preserve"> </w:t>
      </w:r>
      <w:r>
        <w:rPr>
          <w:rFonts w:ascii="Arial" w:hAnsi="Arial" w:cs="Arial"/>
          <w:sz w:val="24"/>
          <w:szCs w:val="24"/>
        </w:rPr>
        <w:t>established on</w:t>
      </w:r>
      <w:r w:rsidRPr="005965DE">
        <w:rPr>
          <w:rFonts w:ascii="Arial" w:hAnsi="Arial" w:cs="Arial"/>
          <w:sz w:val="24"/>
          <w:szCs w:val="24"/>
        </w:rPr>
        <w:t xml:space="preserve"> reason</w:t>
      </w:r>
      <w:r>
        <w:rPr>
          <w:rFonts w:ascii="Arial" w:hAnsi="Arial" w:cs="Arial"/>
          <w:sz w:val="24"/>
          <w:szCs w:val="24"/>
        </w:rPr>
        <w:t xml:space="preserve"> </w:t>
      </w:r>
      <w:r w:rsidRPr="0018577D">
        <w:rPr>
          <w:rFonts w:ascii="Arial" w:hAnsi="Arial" w:cs="Arial"/>
          <w:sz w:val="24"/>
          <w:szCs w:val="24"/>
        </w:rPr>
        <w:t>(Gamble, 2001).</w:t>
      </w:r>
      <w:r>
        <w:rPr>
          <w:rFonts w:ascii="Arial" w:hAnsi="Arial" w:cs="Arial"/>
          <w:sz w:val="24"/>
          <w:szCs w:val="24"/>
        </w:rPr>
        <w:t xml:space="preserve"> </w:t>
      </w:r>
      <w:r w:rsidRPr="00DC46F6">
        <w:rPr>
          <w:rFonts w:ascii="Arial" w:hAnsi="Arial" w:cs="Arial"/>
          <w:sz w:val="24"/>
          <w:szCs w:val="24"/>
        </w:rPr>
        <w:t>Wollstonecraft is</w:t>
      </w:r>
      <w:r>
        <w:rPr>
          <w:rFonts w:ascii="Arial" w:hAnsi="Arial" w:cs="Arial"/>
          <w:sz w:val="24"/>
          <w:szCs w:val="24"/>
        </w:rPr>
        <w:t xml:space="preserve"> considered</w:t>
      </w:r>
      <w:r w:rsidRPr="00DC46F6">
        <w:rPr>
          <w:rFonts w:ascii="Arial" w:hAnsi="Arial" w:cs="Arial"/>
          <w:sz w:val="24"/>
          <w:szCs w:val="24"/>
        </w:rPr>
        <w:t xml:space="preserve"> as the fore-mother</w:t>
      </w:r>
      <w:r>
        <w:rPr>
          <w:rFonts w:ascii="Arial" w:hAnsi="Arial" w:cs="Arial"/>
          <w:sz w:val="24"/>
          <w:szCs w:val="24"/>
        </w:rPr>
        <w:t xml:space="preserve"> </w:t>
      </w:r>
      <w:r w:rsidRPr="00DC46F6">
        <w:rPr>
          <w:rFonts w:ascii="Arial" w:hAnsi="Arial" w:cs="Arial"/>
          <w:sz w:val="24"/>
          <w:szCs w:val="24"/>
        </w:rPr>
        <w:t xml:space="preserve">of </w:t>
      </w:r>
      <w:r>
        <w:rPr>
          <w:rFonts w:ascii="Arial" w:hAnsi="Arial" w:cs="Arial"/>
          <w:sz w:val="24"/>
          <w:szCs w:val="24"/>
        </w:rPr>
        <w:t>the</w:t>
      </w:r>
      <w:r w:rsidRPr="00DC46F6">
        <w:rPr>
          <w:rFonts w:ascii="Arial" w:hAnsi="Arial" w:cs="Arial"/>
          <w:sz w:val="24"/>
          <w:szCs w:val="24"/>
        </w:rPr>
        <w:t xml:space="preserve"> British feminist crusade and her philosophies formed the rational </w:t>
      </w:r>
      <w:r>
        <w:rPr>
          <w:rFonts w:ascii="Arial" w:hAnsi="Arial" w:cs="Arial"/>
          <w:sz w:val="24"/>
          <w:szCs w:val="24"/>
        </w:rPr>
        <w:t xml:space="preserve">for </w:t>
      </w:r>
      <w:r w:rsidRPr="00DC46F6">
        <w:rPr>
          <w:rFonts w:ascii="Arial" w:hAnsi="Arial" w:cs="Arial"/>
          <w:sz w:val="24"/>
          <w:szCs w:val="24"/>
        </w:rPr>
        <w:t>western</w:t>
      </w:r>
      <w:r w:rsidRPr="001846DD">
        <w:rPr>
          <w:rFonts w:ascii="Arial" w:hAnsi="Arial" w:cs="Arial"/>
          <w:sz w:val="24"/>
          <w:szCs w:val="24"/>
        </w:rPr>
        <w:t xml:space="preserve"> feminist awareness</w:t>
      </w:r>
      <w:r>
        <w:rPr>
          <w:rFonts w:ascii="Arial" w:hAnsi="Arial" w:cs="Arial"/>
          <w:sz w:val="24"/>
          <w:szCs w:val="24"/>
        </w:rPr>
        <w:t xml:space="preserve"> and the s</w:t>
      </w:r>
      <w:r w:rsidRPr="00DC46F6">
        <w:rPr>
          <w:rFonts w:ascii="Arial" w:hAnsi="Arial" w:cs="Arial"/>
          <w:sz w:val="24"/>
          <w:szCs w:val="24"/>
        </w:rPr>
        <w:t>uffragette</w:t>
      </w:r>
      <w:r>
        <w:rPr>
          <w:rFonts w:ascii="Arial" w:hAnsi="Arial" w:cs="Arial"/>
          <w:sz w:val="24"/>
          <w:szCs w:val="24"/>
        </w:rPr>
        <w:t xml:space="preserve"> movement (Tauchert, 2002).</w:t>
      </w:r>
    </w:p>
    <w:p w14:paraId="2BF32243"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In America, early feminists included Elizabeth Cady Stanton and Susan Brownell Anthony. Stanton and Anthony were friends and prominent figures of the suffrage movement (Gordan, 2001). Stanton served as the president of the National Women Suffrage Association and conceived the Declaration of Sentiments a</w:t>
      </w:r>
      <w:r w:rsidRPr="00091F0F">
        <w:rPr>
          <w:rFonts w:ascii="Arial" w:hAnsi="Arial" w:cs="Arial"/>
          <w:sz w:val="24"/>
          <w:szCs w:val="24"/>
        </w:rPr>
        <w:t xml:space="preserve">t the first women’s rights convention </w:t>
      </w:r>
      <w:r>
        <w:rPr>
          <w:rFonts w:ascii="Arial" w:hAnsi="Arial" w:cs="Arial"/>
          <w:sz w:val="24"/>
          <w:szCs w:val="24"/>
        </w:rPr>
        <w:t>in 1948 (Ginzberg, 2009).</w:t>
      </w:r>
      <w:r w:rsidRPr="00091F0F">
        <w:rPr>
          <w:rFonts w:ascii="Arial" w:hAnsi="Arial" w:cs="Arial"/>
          <w:sz w:val="24"/>
          <w:szCs w:val="24"/>
        </w:rPr>
        <w:t xml:space="preserve"> </w:t>
      </w:r>
      <w:r>
        <w:rPr>
          <w:rFonts w:ascii="Arial" w:hAnsi="Arial" w:cs="Arial"/>
          <w:sz w:val="24"/>
          <w:szCs w:val="24"/>
        </w:rPr>
        <w:t xml:space="preserve">Anthony contributed to the forming of the Women’s National League, a group which supported the polices of Abraham Lincoln, the President at that time.  In 1872, however, Anthony was convicted for voting in the presidential election. </w:t>
      </w:r>
    </w:p>
    <w:p w14:paraId="297640BA"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lastRenderedPageBreak/>
        <w:t xml:space="preserve">In the UK, </w:t>
      </w:r>
      <w:r w:rsidRPr="00D7607C">
        <w:rPr>
          <w:rFonts w:ascii="Arial" w:hAnsi="Arial" w:cs="Arial"/>
          <w:sz w:val="24"/>
          <w:szCs w:val="24"/>
        </w:rPr>
        <w:t>Emmeline Pankhurst</w:t>
      </w:r>
      <w:r>
        <w:rPr>
          <w:rFonts w:ascii="Arial" w:hAnsi="Arial" w:cs="Arial"/>
          <w:sz w:val="24"/>
          <w:szCs w:val="24"/>
        </w:rPr>
        <w:t xml:space="preserve"> was best known for her influential role in attaining the vote for women. She led the group, ‘the Women’s Social and political Union’ who were known for being the most notorious group of campaigners of gender equality and the right for women to vote alongside men (Purvis, 2002). Pankhurst’s struggle for the right to vote involved the wearing of many labels, e.g., criminal, hooligan, militant and revolutionary, which she wore with pride (Pankhurst, 2018). Passages from ‘my own story’ her personal account, describe her sacrifices and struggles to include, arrest and imprisonment, hunger strikes and force feeding to achieve political freedom for women. Women over thirty years of age were eventually permitted to vote in 1918 following the first world war and in 1928 were given equal rights to vote alongside men (Pankhurst, 2018).</w:t>
      </w:r>
    </w:p>
    <w:p w14:paraId="389DF7FD"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Other renowned female feminists of this time include, </w:t>
      </w:r>
      <w:r w:rsidRPr="005610AA">
        <w:rPr>
          <w:rFonts w:ascii="Arial" w:hAnsi="Arial" w:cs="Arial"/>
          <w:sz w:val="24"/>
          <w:szCs w:val="24"/>
        </w:rPr>
        <w:t>Simone de Beauvoir</w:t>
      </w:r>
      <w:r>
        <w:rPr>
          <w:rFonts w:ascii="Arial" w:hAnsi="Arial" w:cs="Arial"/>
          <w:sz w:val="24"/>
          <w:szCs w:val="24"/>
        </w:rPr>
        <w:t xml:space="preserve"> and </w:t>
      </w:r>
      <w:r w:rsidRPr="00136FBD">
        <w:rPr>
          <w:rFonts w:ascii="Arial" w:hAnsi="Arial" w:cs="Arial"/>
          <w:sz w:val="24"/>
          <w:szCs w:val="24"/>
        </w:rPr>
        <w:t>Sojourner Truth</w:t>
      </w:r>
      <w:r>
        <w:rPr>
          <w:rFonts w:ascii="Arial" w:hAnsi="Arial" w:cs="Arial"/>
          <w:sz w:val="24"/>
          <w:szCs w:val="24"/>
        </w:rPr>
        <w:t>. Truth</w:t>
      </w:r>
      <w:r w:rsidRPr="00136FBD">
        <w:rPr>
          <w:rFonts w:ascii="Arial" w:hAnsi="Arial" w:cs="Arial"/>
          <w:sz w:val="24"/>
          <w:szCs w:val="24"/>
        </w:rPr>
        <w:t xml:space="preserve"> an African-American women’s </w:t>
      </w:r>
      <w:r>
        <w:rPr>
          <w:rFonts w:ascii="Arial" w:hAnsi="Arial" w:cs="Arial"/>
          <w:sz w:val="24"/>
          <w:szCs w:val="24"/>
        </w:rPr>
        <w:t xml:space="preserve">civil </w:t>
      </w:r>
      <w:r w:rsidRPr="00136FBD">
        <w:rPr>
          <w:rFonts w:ascii="Arial" w:hAnsi="Arial" w:cs="Arial"/>
          <w:sz w:val="24"/>
          <w:szCs w:val="24"/>
        </w:rPr>
        <w:t>rights activist and abolitionist was best-known for her ground breaking speech, “Ain’t I a Woman” at the Ohio Women's Rights Convention in 1851; Truth was born into slavery, but escaped to freedom with her baby daughter in 1826 (Murphy, 2011).</w:t>
      </w:r>
      <w:r>
        <w:rPr>
          <w:rFonts w:ascii="Arial" w:hAnsi="Arial" w:cs="Arial"/>
          <w:sz w:val="24"/>
          <w:szCs w:val="24"/>
        </w:rPr>
        <w:t xml:space="preserve"> De Beauvoir on the other hand was a French writer and an </w:t>
      </w:r>
      <w:r w:rsidRPr="008D3A05">
        <w:rPr>
          <w:rFonts w:ascii="Arial" w:hAnsi="Arial" w:cs="Arial"/>
          <w:sz w:val="24"/>
          <w:szCs w:val="24"/>
        </w:rPr>
        <w:t>existentialist philosopher</w:t>
      </w:r>
      <w:r>
        <w:rPr>
          <w:rFonts w:ascii="Arial" w:hAnsi="Arial" w:cs="Arial"/>
          <w:sz w:val="24"/>
          <w:szCs w:val="24"/>
        </w:rPr>
        <w:t xml:space="preserve"> (O’Brian and </w:t>
      </w:r>
      <w:r w:rsidRPr="00680E7A">
        <w:rPr>
          <w:rFonts w:ascii="Arial" w:hAnsi="Arial" w:cs="Arial"/>
          <w:sz w:val="24"/>
          <w:szCs w:val="24"/>
        </w:rPr>
        <w:t>Embree</w:t>
      </w:r>
      <w:r>
        <w:rPr>
          <w:rFonts w:ascii="Arial" w:hAnsi="Arial" w:cs="Arial"/>
          <w:sz w:val="24"/>
          <w:szCs w:val="24"/>
        </w:rPr>
        <w:t xml:space="preserve">, 2001). Existentialism is a </w:t>
      </w:r>
      <w:r w:rsidRPr="008D3A05">
        <w:rPr>
          <w:rFonts w:ascii="Arial" w:hAnsi="Arial" w:cs="Arial"/>
          <w:sz w:val="24"/>
          <w:szCs w:val="24"/>
        </w:rPr>
        <w:t xml:space="preserve">study </w:t>
      </w:r>
      <w:r>
        <w:rPr>
          <w:rFonts w:ascii="Arial" w:hAnsi="Arial" w:cs="Arial"/>
          <w:sz w:val="24"/>
          <w:szCs w:val="24"/>
        </w:rPr>
        <w:t>of the</w:t>
      </w:r>
      <w:r w:rsidRPr="008D3A05">
        <w:rPr>
          <w:rFonts w:ascii="Arial" w:hAnsi="Arial" w:cs="Arial"/>
          <w:sz w:val="24"/>
          <w:szCs w:val="24"/>
        </w:rPr>
        <w:t xml:space="preserve"> human</w:t>
      </w:r>
      <w:r>
        <w:rPr>
          <w:rFonts w:ascii="Arial" w:hAnsi="Arial" w:cs="Arial"/>
          <w:sz w:val="24"/>
          <w:szCs w:val="24"/>
        </w:rPr>
        <w:t xml:space="preserve"> being as a whole, for example, </w:t>
      </w:r>
      <w:r w:rsidRPr="008D3A05">
        <w:rPr>
          <w:rFonts w:ascii="Arial" w:hAnsi="Arial" w:cs="Arial"/>
          <w:sz w:val="24"/>
          <w:szCs w:val="24"/>
        </w:rPr>
        <w:t>the thinking, acting, feeling</w:t>
      </w:r>
      <w:r>
        <w:rPr>
          <w:rFonts w:ascii="Arial" w:hAnsi="Arial" w:cs="Arial"/>
          <w:sz w:val="24"/>
          <w:szCs w:val="24"/>
        </w:rPr>
        <w:t xml:space="preserve"> </w:t>
      </w:r>
      <w:r w:rsidRPr="008D3A05">
        <w:rPr>
          <w:rFonts w:ascii="Arial" w:hAnsi="Arial" w:cs="Arial"/>
          <w:sz w:val="24"/>
          <w:szCs w:val="24"/>
        </w:rPr>
        <w:t>living human individual</w:t>
      </w:r>
      <w:r>
        <w:rPr>
          <w:rFonts w:ascii="Arial" w:hAnsi="Arial" w:cs="Arial"/>
          <w:sz w:val="24"/>
          <w:szCs w:val="24"/>
        </w:rPr>
        <w:t xml:space="preserve"> (</w:t>
      </w:r>
      <w:r w:rsidRPr="00FA7F1D">
        <w:rPr>
          <w:rFonts w:ascii="Arial" w:hAnsi="Arial" w:cs="Arial"/>
          <w:sz w:val="24"/>
          <w:szCs w:val="24"/>
        </w:rPr>
        <w:t>Macquarie</w:t>
      </w:r>
      <w:r>
        <w:rPr>
          <w:rFonts w:ascii="Arial" w:hAnsi="Arial" w:cs="Arial"/>
          <w:sz w:val="24"/>
          <w:szCs w:val="24"/>
        </w:rPr>
        <w:t>, 1972). In the early 1920’s de Beauvoir focused on her education and studied a number of subjects including, Latin, philosophy, maths and psychology and was the first female to teach in an all-boys school (Simons, 1995). The ‘second sex’ a notorious publication by de Beauvoir,</w:t>
      </w:r>
      <w:r w:rsidRPr="00C92F31">
        <w:rPr>
          <w:rFonts w:ascii="Arial" w:hAnsi="Arial" w:cs="Arial"/>
          <w:sz w:val="24"/>
          <w:szCs w:val="24"/>
        </w:rPr>
        <w:t xml:space="preserve"> discusses </w:t>
      </w:r>
      <w:r>
        <w:rPr>
          <w:rFonts w:ascii="Arial" w:hAnsi="Arial" w:cs="Arial"/>
          <w:sz w:val="24"/>
          <w:szCs w:val="24"/>
        </w:rPr>
        <w:t>how</w:t>
      </w:r>
      <w:r w:rsidRPr="00C92F31">
        <w:rPr>
          <w:rFonts w:ascii="Arial" w:hAnsi="Arial" w:cs="Arial"/>
          <w:sz w:val="24"/>
          <w:szCs w:val="24"/>
        </w:rPr>
        <w:t xml:space="preserve"> women </w:t>
      </w:r>
      <w:r>
        <w:rPr>
          <w:rFonts w:ascii="Arial" w:hAnsi="Arial" w:cs="Arial"/>
          <w:sz w:val="24"/>
          <w:szCs w:val="24"/>
        </w:rPr>
        <w:t xml:space="preserve">have been treated </w:t>
      </w:r>
      <w:r w:rsidRPr="00C92F31">
        <w:rPr>
          <w:rFonts w:ascii="Arial" w:hAnsi="Arial" w:cs="Arial"/>
          <w:sz w:val="24"/>
          <w:szCs w:val="24"/>
        </w:rPr>
        <w:t>throughout history</w:t>
      </w:r>
      <w:r>
        <w:rPr>
          <w:rFonts w:ascii="Arial" w:hAnsi="Arial" w:cs="Arial"/>
          <w:sz w:val="24"/>
          <w:szCs w:val="24"/>
        </w:rPr>
        <w:t xml:space="preserve">. The ‘second sex’ is </w:t>
      </w:r>
      <w:r w:rsidRPr="00C92F31">
        <w:rPr>
          <w:rFonts w:ascii="Arial" w:hAnsi="Arial" w:cs="Arial"/>
          <w:sz w:val="24"/>
          <w:szCs w:val="24"/>
        </w:rPr>
        <w:t xml:space="preserve">frequently </w:t>
      </w:r>
      <w:r>
        <w:rPr>
          <w:rFonts w:ascii="Arial" w:hAnsi="Arial" w:cs="Arial"/>
          <w:sz w:val="24"/>
          <w:szCs w:val="24"/>
        </w:rPr>
        <w:t>considered</w:t>
      </w:r>
      <w:r w:rsidRPr="00C92F31">
        <w:rPr>
          <w:rFonts w:ascii="Arial" w:hAnsi="Arial" w:cs="Arial"/>
          <w:sz w:val="24"/>
          <w:szCs w:val="24"/>
        </w:rPr>
        <w:t xml:space="preserve"> a major work of feminist philosophy </w:t>
      </w:r>
      <w:r>
        <w:rPr>
          <w:rFonts w:ascii="Arial" w:hAnsi="Arial" w:cs="Arial"/>
          <w:sz w:val="24"/>
          <w:szCs w:val="24"/>
        </w:rPr>
        <w:t xml:space="preserve">which led to the </w:t>
      </w:r>
      <w:r w:rsidRPr="00C92F31">
        <w:rPr>
          <w:rFonts w:ascii="Arial" w:hAnsi="Arial" w:cs="Arial"/>
          <w:sz w:val="24"/>
          <w:szCs w:val="24"/>
        </w:rPr>
        <w:t>second wave</w:t>
      </w:r>
      <w:r>
        <w:rPr>
          <w:rFonts w:ascii="Arial" w:hAnsi="Arial" w:cs="Arial"/>
          <w:sz w:val="24"/>
          <w:szCs w:val="24"/>
        </w:rPr>
        <w:t xml:space="preserve"> of</w:t>
      </w:r>
      <w:r w:rsidRPr="00C92F31">
        <w:rPr>
          <w:rFonts w:ascii="Arial" w:hAnsi="Arial" w:cs="Arial"/>
          <w:sz w:val="24"/>
          <w:szCs w:val="24"/>
        </w:rPr>
        <w:t xml:space="preserve"> feminism.</w:t>
      </w:r>
    </w:p>
    <w:p w14:paraId="1F3F6547" w14:textId="77777777" w:rsidR="00127670" w:rsidRPr="00FE7DF2" w:rsidRDefault="00127670" w:rsidP="00127670">
      <w:pPr>
        <w:spacing w:line="360" w:lineRule="auto"/>
        <w:jc w:val="both"/>
        <w:rPr>
          <w:rFonts w:ascii="Arial" w:hAnsi="Arial" w:cs="Arial"/>
          <w:sz w:val="24"/>
          <w:szCs w:val="24"/>
        </w:rPr>
      </w:pPr>
      <w:r>
        <w:rPr>
          <w:rFonts w:ascii="Arial" w:hAnsi="Arial" w:cs="Arial"/>
          <w:sz w:val="24"/>
          <w:szCs w:val="24"/>
        </w:rPr>
        <w:t>T</w:t>
      </w:r>
      <w:r w:rsidRPr="004B2A74">
        <w:rPr>
          <w:rFonts w:ascii="Arial" w:hAnsi="Arial" w:cs="Arial"/>
          <w:sz w:val="24"/>
          <w:szCs w:val="24"/>
        </w:rPr>
        <w:t xml:space="preserve">he </w:t>
      </w:r>
      <w:r>
        <w:rPr>
          <w:rFonts w:ascii="Arial" w:hAnsi="Arial" w:cs="Arial"/>
          <w:sz w:val="24"/>
          <w:szCs w:val="24"/>
        </w:rPr>
        <w:t>S</w:t>
      </w:r>
      <w:r w:rsidRPr="004B2A74">
        <w:rPr>
          <w:rFonts w:ascii="Arial" w:hAnsi="Arial" w:cs="Arial"/>
          <w:sz w:val="24"/>
          <w:szCs w:val="24"/>
        </w:rPr>
        <w:t xml:space="preserve">econd </w:t>
      </w:r>
      <w:r>
        <w:rPr>
          <w:rFonts w:ascii="Arial" w:hAnsi="Arial" w:cs="Arial"/>
          <w:sz w:val="24"/>
          <w:szCs w:val="24"/>
        </w:rPr>
        <w:t>W</w:t>
      </w:r>
      <w:r w:rsidRPr="004B2A74">
        <w:rPr>
          <w:rFonts w:ascii="Arial" w:hAnsi="Arial" w:cs="Arial"/>
          <w:sz w:val="24"/>
          <w:szCs w:val="24"/>
        </w:rPr>
        <w:t xml:space="preserve">orld </w:t>
      </w:r>
      <w:r>
        <w:rPr>
          <w:rFonts w:ascii="Arial" w:hAnsi="Arial" w:cs="Arial"/>
          <w:sz w:val="24"/>
          <w:szCs w:val="24"/>
        </w:rPr>
        <w:t>W</w:t>
      </w:r>
      <w:r w:rsidRPr="004B2A74">
        <w:rPr>
          <w:rFonts w:ascii="Arial" w:hAnsi="Arial" w:cs="Arial"/>
          <w:sz w:val="24"/>
          <w:szCs w:val="24"/>
        </w:rPr>
        <w:t>ar</w:t>
      </w:r>
      <w:r>
        <w:rPr>
          <w:rFonts w:ascii="Arial" w:hAnsi="Arial" w:cs="Arial"/>
          <w:sz w:val="24"/>
          <w:szCs w:val="24"/>
        </w:rPr>
        <w:t xml:space="preserve"> was also significant to the empowering of women and driving forward social change. When the nations men were called to war it was the women who were left behind to fill social roles otherwise filled by</w:t>
      </w:r>
      <w:r w:rsidRPr="004B2A74">
        <w:rPr>
          <w:rFonts w:ascii="Arial" w:hAnsi="Arial" w:cs="Arial"/>
          <w:sz w:val="24"/>
          <w:szCs w:val="24"/>
        </w:rPr>
        <w:t xml:space="preserve"> men</w:t>
      </w:r>
      <w:r>
        <w:rPr>
          <w:rFonts w:ascii="Arial" w:hAnsi="Arial" w:cs="Arial"/>
          <w:sz w:val="24"/>
          <w:szCs w:val="24"/>
        </w:rPr>
        <w:t xml:space="preserve">. </w:t>
      </w:r>
      <w:r w:rsidRPr="004B2A74">
        <w:rPr>
          <w:rFonts w:ascii="Arial" w:hAnsi="Arial" w:cs="Arial"/>
          <w:sz w:val="24"/>
          <w:szCs w:val="24"/>
        </w:rPr>
        <w:t xml:space="preserve"> </w:t>
      </w:r>
      <w:r>
        <w:rPr>
          <w:rFonts w:ascii="Arial" w:hAnsi="Arial" w:cs="Arial"/>
          <w:sz w:val="24"/>
          <w:szCs w:val="24"/>
        </w:rPr>
        <w:t>Similar to the First World War,</w:t>
      </w:r>
      <w:r w:rsidRPr="004B2A74">
        <w:rPr>
          <w:rFonts w:ascii="Arial" w:hAnsi="Arial" w:cs="Arial"/>
          <w:sz w:val="24"/>
          <w:szCs w:val="24"/>
        </w:rPr>
        <w:t xml:space="preserve"> but this time </w:t>
      </w:r>
      <w:r>
        <w:rPr>
          <w:rFonts w:ascii="Arial" w:hAnsi="Arial" w:cs="Arial"/>
          <w:sz w:val="24"/>
          <w:szCs w:val="24"/>
        </w:rPr>
        <w:t>women were given</w:t>
      </w:r>
      <w:r w:rsidRPr="004B2A74">
        <w:rPr>
          <w:rFonts w:ascii="Arial" w:hAnsi="Arial" w:cs="Arial"/>
          <w:sz w:val="24"/>
          <w:szCs w:val="24"/>
        </w:rPr>
        <w:t xml:space="preserve"> roles in the </w:t>
      </w:r>
      <w:r>
        <w:rPr>
          <w:rFonts w:ascii="Arial" w:hAnsi="Arial" w:cs="Arial"/>
          <w:sz w:val="24"/>
          <w:szCs w:val="24"/>
        </w:rPr>
        <w:t>armed f</w:t>
      </w:r>
      <w:r w:rsidRPr="004B2A74">
        <w:rPr>
          <w:rFonts w:ascii="Arial" w:hAnsi="Arial" w:cs="Arial"/>
          <w:sz w:val="24"/>
          <w:szCs w:val="24"/>
        </w:rPr>
        <w:t xml:space="preserve">orces and civil services. </w:t>
      </w:r>
      <w:r>
        <w:rPr>
          <w:rFonts w:ascii="Arial" w:hAnsi="Arial" w:cs="Arial"/>
          <w:sz w:val="24"/>
          <w:szCs w:val="24"/>
        </w:rPr>
        <w:t>However, the</w:t>
      </w:r>
      <w:r w:rsidRPr="004B2A74">
        <w:rPr>
          <w:rFonts w:ascii="Arial" w:hAnsi="Arial" w:cs="Arial"/>
          <w:sz w:val="24"/>
          <w:szCs w:val="24"/>
        </w:rPr>
        <w:t xml:space="preserve"> government </w:t>
      </w:r>
      <w:r>
        <w:rPr>
          <w:rFonts w:ascii="Arial" w:hAnsi="Arial" w:cs="Arial"/>
          <w:sz w:val="24"/>
          <w:szCs w:val="24"/>
        </w:rPr>
        <w:t>viewed women</w:t>
      </w:r>
      <w:r w:rsidRPr="004B2A74">
        <w:rPr>
          <w:rFonts w:ascii="Arial" w:hAnsi="Arial" w:cs="Arial"/>
          <w:sz w:val="24"/>
          <w:szCs w:val="24"/>
        </w:rPr>
        <w:t xml:space="preserve"> as a reserve labour force whilst the men where away at war (Souhami, 1986). </w:t>
      </w:r>
      <w:r>
        <w:rPr>
          <w:rFonts w:ascii="Arial" w:hAnsi="Arial" w:cs="Arial"/>
          <w:sz w:val="24"/>
          <w:szCs w:val="24"/>
        </w:rPr>
        <w:t>As a result, when</w:t>
      </w:r>
      <w:r w:rsidRPr="004B2A74">
        <w:rPr>
          <w:rFonts w:ascii="Arial" w:hAnsi="Arial" w:cs="Arial"/>
          <w:sz w:val="24"/>
          <w:szCs w:val="24"/>
        </w:rPr>
        <w:t xml:space="preserve"> the </w:t>
      </w:r>
      <w:r>
        <w:rPr>
          <w:rFonts w:ascii="Arial" w:hAnsi="Arial" w:cs="Arial"/>
          <w:sz w:val="24"/>
          <w:szCs w:val="24"/>
        </w:rPr>
        <w:t xml:space="preserve">nations </w:t>
      </w:r>
      <w:r w:rsidRPr="004B2A74">
        <w:rPr>
          <w:rFonts w:ascii="Arial" w:hAnsi="Arial" w:cs="Arial"/>
          <w:sz w:val="24"/>
          <w:szCs w:val="24"/>
        </w:rPr>
        <w:t>men returned</w:t>
      </w:r>
      <w:r>
        <w:rPr>
          <w:rFonts w:ascii="Arial" w:hAnsi="Arial" w:cs="Arial"/>
          <w:sz w:val="24"/>
          <w:szCs w:val="24"/>
        </w:rPr>
        <w:t xml:space="preserve"> from war </w:t>
      </w:r>
      <w:r w:rsidRPr="004B2A74">
        <w:rPr>
          <w:rFonts w:ascii="Arial" w:hAnsi="Arial" w:cs="Arial"/>
          <w:sz w:val="24"/>
          <w:szCs w:val="24"/>
        </w:rPr>
        <w:t xml:space="preserve">women </w:t>
      </w:r>
      <w:r>
        <w:rPr>
          <w:rFonts w:ascii="Arial" w:hAnsi="Arial" w:cs="Arial"/>
          <w:sz w:val="24"/>
          <w:szCs w:val="24"/>
        </w:rPr>
        <w:t xml:space="preserve">were expected </w:t>
      </w:r>
      <w:r w:rsidRPr="004B2A74">
        <w:rPr>
          <w:rFonts w:ascii="Arial" w:hAnsi="Arial" w:cs="Arial"/>
          <w:sz w:val="24"/>
          <w:szCs w:val="24"/>
        </w:rPr>
        <w:t xml:space="preserve">to go back to </w:t>
      </w:r>
      <w:r>
        <w:rPr>
          <w:rFonts w:ascii="Arial" w:hAnsi="Arial" w:cs="Arial"/>
          <w:sz w:val="24"/>
          <w:szCs w:val="24"/>
        </w:rPr>
        <w:t>doing domestic work, for example,</w:t>
      </w:r>
      <w:r w:rsidRPr="004B2A74">
        <w:rPr>
          <w:rFonts w:ascii="Arial" w:hAnsi="Arial" w:cs="Arial"/>
          <w:sz w:val="24"/>
          <w:szCs w:val="24"/>
        </w:rPr>
        <w:t xml:space="preserve"> continue the role </w:t>
      </w:r>
      <w:r>
        <w:rPr>
          <w:rFonts w:ascii="Arial" w:hAnsi="Arial" w:cs="Arial"/>
          <w:sz w:val="24"/>
          <w:szCs w:val="24"/>
        </w:rPr>
        <w:t>of</w:t>
      </w:r>
      <w:r w:rsidRPr="004B2A74">
        <w:rPr>
          <w:rFonts w:ascii="Arial" w:hAnsi="Arial" w:cs="Arial"/>
          <w:sz w:val="24"/>
          <w:szCs w:val="24"/>
        </w:rPr>
        <w:t xml:space="preserve"> the ‘maternal’ mother and housewife</w:t>
      </w:r>
      <w:r>
        <w:rPr>
          <w:rFonts w:ascii="Arial" w:hAnsi="Arial" w:cs="Arial"/>
          <w:sz w:val="24"/>
          <w:szCs w:val="24"/>
        </w:rPr>
        <w:t>, reinforcing the</w:t>
      </w:r>
      <w:r w:rsidRPr="004B2A74">
        <w:rPr>
          <w:rFonts w:ascii="Arial" w:hAnsi="Arial" w:cs="Arial"/>
          <w:sz w:val="24"/>
          <w:szCs w:val="24"/>
        </w:rPr>
        <w:t xml:space="preserve"> </w:t>
      </w:r>
      <w:r w:rsidRPr="004B2A74">
        <w:rPr>
          <w:rFonts w:ascii="Arial" w:hAnsi="Arial" w:cs="Arial"/>
          <w:sz w:val="24"/>
          <w:szCs w:val="24"/>
        </w:rPr>
        <w:lastRenderedPageBreak/>
        <w:t>oppress</w:t>
      </w:r>
      <w:r>
        <w:rPr>
          <w:rFonts w:ascii="Arial" w:hAnsi="Arial" w:cs="Arial"/>
          <w:sz w:val="24"/>
          <w:szCs w:val="24"/>
        </w:rPr>
        <w:t>ion of</w:t>
      </w:r>
      <w:r w:rsidRPr="004B2A74">
        <w:rPr>
          <w:rFonts w:ascii="Arial" w:hAnsi="Arial" w:cs="Arial"/>
          <w:sz w:val="24"/>
          <w:szCs w:val="24"/>
        </w:rPr>
        <w:t xml:space="preserve"> women. </w:t>
      </w:r>
      <w:r>
        <w:rPr>
          <w:rFonts w:ascii="Arial" w:hAnsi="Arial" w:cs="Arial"/>
          <w:sz w:val="24"/>
          <w:szCs w:val="24"/>
        </w:rPr>
        <w:t xml:space="preserve"> Nicholson (1997) proposes that the second wave of feminism began to radically question traditional gender roles and was a major influence behind the restructuring of institutions globally. Women began to focus on e</w:t>
      </w:r>
      <w:r w:rsidRPr="004B2A74">
        <w:rPr>
          <w:rFonts w:ascii="Arial" w:hAnsi="Arial" w:cs="Arial"/>
          <w:sz w:val="24"/>
          <w:szCs w:val="24"/>
        </w:rPr>
        <w:t>qual</w:t>
      </w:r>
      <w:r>
        <w:rPr>
          <w:rFonts w:ascii="Arial" w:hAnsi="Arial" w:cs="Arial"/>
          <w:sz w:val="24"/>
          <w:szCs w:val="24"/>
        </w:rPr>
        <w:t xml:space="preserve"> rights and to fully partake in the social order alongside men was a primary focus for feminists at this time; if women</w:t>
      </w:r>
      <w:r w:rsidRPr="004B2A74">
        <w:rPr>
          <w:rFonts w:ascii="Arial" w:hAnsi="Arial" w:cs="Arial"/>
          <w:sz w:val="24"/>
          <w:szCs w:val="24"/>
        </w:rPr>
        <w:t xml:space="preserve"> w</w:t>
      </w:r>
      <w:r>
        <w:rPr>
          <w:rFonts w:ascii="Arial" w:hAnsi="Arial" w:cs="Arial"/>
          <w:sz w:val="24"/>
          <w:szCs w:val="24"/>
        </w:rPr>
        <w:t>ere</w:t>
      </w:r>
      <w:r w:rsidRPr="004B2A74">
        <w:rPr>
          <w:rFonts w:ascii="Arial" w:hAnsi="Arial" w:cs="Arial"/>
          <w:sz w:val="24"/>
          <w:szCs w:val="24"/>
        </w:rPr>
        <w:t xml:space="preserve"> to be </w:t>
      </w:r>
      <w:r>
        <w:rPr>
          <w:rFonts w:ascii="Arial" w:hAnsi="Arial" w:cs="Arial"/>
          <w:sz w:val="24"/>
          <w:szCs w:val="24"/>
        </w:rPr>
        <w:t>seen as more than stay at home domestic carers</w:t>
      </w:r>
      <w:r w:rsidRPr="004B2A74">
        <w:rPr>
          <w:rFonts w:ascii="Arial" w:hAnsi="Arial" w:cs="Arial"/>
          <w:sz w:val="24"/>
          <w:szCs w:val="24"/>
        </w:rPr>
        <w:t xml:space="preserve"> (Franceschet, 2004).   </w:t>
      </w:r>
    </w:p>
    <w:p w14:paraId="5E1D0964"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Although first wave feminism had a substantial impact on a women’s social status, many scholars argue that feminism at this time was primarily focused on the lives of white, middle class women, overlooking the experiences of women of colour (Collins, 2000).  </w:t>
      </w:r>
      <w:r w:rsidRPr="00DF28E9">
        <w:rPr>
          <w:rFonts w:ascii="Arial" w:hAnsi="Arial" w:cs="Arial"/>
          <w:sz w:val="24"/>
          <w:szCs w:val="24"/>
        </w:rPr>
        <w:t>For example, Mirza (1997</w:t>
      </w:r>
      <w:r>
        <w:rPr>
          <w:rFonts w:ascii="Arial" w:hAnsi="Arial" w:cs="Arial"/>
          <w:sz w:val="24"/>
          <w:szCs w:val="24"/>
        </w:rPr>
        <w:t xml:space="preserve">, </w:t>
      </w:r>
      <w:r w:rsidRPr="00D51451">
        <w:rPr>
          <w:rFonts w:ascii="Arial" w:hAnsi="Arial" w:cs="Arial"/>
          <w:i/>
          <w:iCs/>
          <w:sz w:val="24"/>
          <w:szCs w:val="24"/>
        </w:rPr>
        <w:t>cited</w:t>
      </w:r>
      <w:r>
        <w:rPr>
          <w:rFonts w:ascii="Arial" w:hAnsi="Arial" w:cs="Arial"/>
          <w:sz w:val="24"/>
          <w:szCs w:val="24"/>
        </w:rPr>
        <w:t xml:space="preserve"> in Collins, 2000, p. 3) argues that ‘</w:t>
      </w:r>
      <w:r w:rsidRPr="00DF28E9">
        <w:rPr>
          <w:rFonts w:ascii="Arial" w:hAnsi="Arial" w:cs="Arial"/>
          <w:sz w:val="24"/>
          <w:szCs w:val="24"/>
        </w:rPr>
        <w:t>Black British feminism identify their invisibility and silencing in the contemporary United Kingdom</w:t>
      </w:r>
      <w:r>
        <w:rPr>
          <w:rFonts w:ascii="Arial" w:hAnsi="Arial" w:cs="Arial"/>
          <w:sz w:val="24"/>
          <w:szCs w:val="24"/>
        </w:rPr>
        <w:t>’</w:t>
      </w:r>
      <w:r w:rsidRPr="00DF28E9">
        <w:rPr>
          <w:rFonts w:ascii="Arial" w:hAnsi="Arial" w:cs="Arial"/>
          <w:sz w:val="24"/>
          <w:szCs w:val="24"/>
        </w:rPr>
        <w:t>.</w:t>
      </w:r>
      <w:r>
        <w:rPr>
          <w:rFonts w:ascii="Arial" w:hAnsi="Arial" w:cs="Arial"/>
          <w:sz w:val="24"/>
          <w:szCs w:val="24"/>
        </w:rPr>
        <w:t xml:space="preserve"> The second wave of feminism played a monumental part in attaining rights for woman in relation to the labour market, family structure, sexuality, and reproductive rights. For example, the empowerment of women in countries such as the UK and the US began      to grow following the introduction of the contraceptive pill and access to reproductive health care </w:t>
      </w:r>
      <w:r w:rsidRPr="00CB3E04">
        <w:rPr>
          <w:rFonts w:ascii="Arial" w:hAnsi="Arial" w:cs="Arial"/>
          <w:sz w:val="24"/>
          <w:szCs w:val="24"/>
        </w:rPr>
        <w:t>(Whelehan, 1995</w:t>
      </w:r>
      <w:r>
        <w:rPr>
          <w:rFonts w:ascii="Arial" w:hAnsi="Arial" w:cs="Arial"/>
          <w:sz w:val="24"/>
          <w:szCs w:val="24"/>
        </w:rPr>
        <w:t>; Goldin and Katz, 2000</w:t>
      </w:r>
      <w:r w:rsidRPr="00CB3E04">
        <w:rPr>
          <w:rFonts w:ascii="Arial" w:hAnsi="Arial" w:cs="Arial"/>
          <w:sz w:val="24"/>
          <w:szCs w:val="24"/>
        </w:rPr>
        <w:t>)</w:t>
      </w:r>
      <w:r>
        <w:rPr>
          <w:rFonts w:ascii="Arial" w:hAnsi="Arial" w:cs="Arial"/>
          <w:sz w:val="24"/>
          <w:szCs w:val="24"/>
        </w:rPr>
        <w:t xml:space="preserve">. </w:t>
      </w:r>
    </w:p>
    <w:p w14:paraId="1AFE2ECD"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Hegemonic feminism lacked consideration and marginalized the activism concerning women of colour (Thompson, 2002). Joseph (2002) defines hegemony as the use of power from social groups who attain dominance over others. As discussed earlier in relation to the first wave being dominated by white, middle class feminists (Collins, 2000). Thompson (2002) argues hegemonic feminism ignores intersections such as class and race and focuses primarily on sexism. For instance, an important part of history for woman of colour was when a feminist Rosa Parks who was of black ethnicity refused to give up her seat on a public bus and was later prosecuted for her actions. However, this act of deviance impacted on traditional norms (Theoharis, 2015). Crenshaw was recognised as a feminist, activist, who created waves of social change by addressing the foundations of intersectionality in relation to Black women being marginalized, alongside antiracist theory and politics </w:t>
      </w:r>
      <w:r w:rsidRPr="001A3361">
        <w:rPr>
          <w:rFonts w:ascii="Arial" w:hAnsi="Arial" w:cs="Arial"/>
          <w:sz w:val="24"/>
          <w:szCs w:val="24"/>
        </w:rPr>
        <w:t>(Carbado et al., 2013)</w:t>
      </w:r>
      <w:r>
        <w:rPr>
          <w:rFonts w:ascii="Arial" w:hAnsi="Arial" w:cs="Arial"/>
          <w:sz w:val="24"/>
          <w:szCs w:val="24"/>
        </w:rPr>
        <w:t xml:space="preserve">. </w:t>
      </w:r>
    </w:p>
    <w:p w14:paraId="24563069"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Holland </w:t>
      </w:r>
      <w:r w:rsidRPr="0032393B">
        <w:rPr>
          <w:rFonts w:ascii="Arial" w:hAnsi="Arial" w:cs="Arial"/>
          <w:i/>
          <w:iCs/>
          <w:sz w:val="24"/>
          <w:szCs w:val="24"/>
        </w:rPr>
        <w:t>et al</w:t>
      </w:r>
      <w:r>
        <w:rPr>
          <w:rFonts w:ascii="Arial" w:hAnsi="Arial" w:cs="Arial"/>
          <w:sz w:val="24"/>
          <w:szCs w:val="24"/>
        </w:rPr>
        <w:t xml:space="preserve"> (1990 </w:t>
      </w:r>
      <w:r w:rsidRPr="0099231E">
        <w:rPr>
          <w:rFonts w:ascii="Arial" w:hAnsi="Arial" w:cs="Arial"/>
          <w:i/>
          <w:iCs/>
          <w:sz w:val="24"/>
          <w:szCs w:val="24"/>
        </w:rPr>
        <w:t>cited</w:t>
      </w:r>
      <w:r>
        <w:rPr>
          <w:rFonts w:ascii="Arial" w:hAnsi="Arial" w:cs="Arial"/>
          <w:sz w:val="24"/>
          <w:szCs w:val="24"/>
        </w:rPr>
        <w:t xml:space="preserve"> in Jackson and Scott, 1996) illustrates the ongoing issues woman were subjected to in relation to sexual experiences with men. They propose that in western societies, sexual relations between men and women have been centrally revolved around a man’s ‘needs’ and fulfilment, often disregarding the needs </w:t>
      </w:r>
      <w:r>
        <w:rPr>
          <w:rFonts w:ascii="Arial" w:hAnsi="Arial" w:cs="Arial"/>
          <w:sz w:val="24"/>
          <w:szCs w:val="24"/>
        </w:rPr>
        <w:lastRenderedPageBreak/>
        <w:t xml:space="preserve">of women. Catherine MacKinnon, a feminist and activist raised concerns about the oppression, sexual abuse and the sexualisation of woman. MacKinnon (1989 </w:t>
      </w:r>
      <w:r w:rsidRPr="0099231E">
        <w:rPr>
          <w:rFonts w:ascii="Arial" w:hAnsi="Arial" w:cs="Arial"/>
          <w:i/>
          <w:iCs/>
          <w:sz w:val="24"/>
          <w:szCs w:val="24"/>
        </w:rPr>
        <w:t>cited</w:t>
      </w:r>
      <w:r>
        <w:rPr>
          <w:rFonts w:ascii="Arial" w:hAnsi="Arial" w:cs="Arial"/>
          <w:sz w:val="24"/>
          <w:szCs w:val="24"/>
        </w:rPr>
        <w:t xml:space="preserve"> in Jackson and Scott, 1996) states how Marxism and feminist theories view societal inequalities. For instance, Marxism, focuses on power and social class, thus a man may be disadvantaged by his social position. Feminism on the other hand proposes that a woman is disadvantaged by simply being a woman.</w:t>
      </w:r>
    </w:p>
    <w:p w14:paraId="198BFFFE"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In Ireland, Jackon (1983;1984;1986, </w:t>
      </w:r>
      <w:r w:rsidRPr="007C0339">
        <w:rPr>
          <w:rFonts w:ascii="Arial" w:hAnsi="Arial" w:cs="Arial"/>
          <w:i/>
          <w:iCs/>
          <w:sz w:val="24"/>
          <w:szCs w:val="24"/>
        </w:rPr>
        <w:t>Cited in</w:t>
      </w:r>
      <w:r>
        <w:rPr>
          <w:rFonts w:ascii="Arial" w:hAnsi="Arial" w:cs="Arial"/>
          <w:sz w:val="24"/>
          <w:szCs w:val="24"/>
        </w:rPr>
        <w:t xml:space="preserve">, Dahlerup, 1990) argues that woman have experienced sexual oppression in relation to autonomy, sexuality and reproduction. For example, divorce, abortion and contraception was forbidden as early as the 1860’s. As a result of this, women were placed at a significant risk in relation to health and wellbeing. Jackson also highlights that women were forced to explore alternative ways to address issues of contraception and unwanted pregnancies. This entailed accessing imported contraception and travelling to England to terminate a pregnancy. These women also were at risk of facing prosecution on their return due to the illegal nature of their actions, for example, those who ignored the law could face strict penalties. This essentially means, women had to stay in unhappy marriages with the risk of abuse and unwanted pregnancies. </w:t>
      </w:r>
    </w:p>
    <w:p w14:paraId="2AE87091"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On the other hand, in England the introduction to modern contraception gave women an empowering experience. Browne (2011) suggests throughout the 1960’s the contraceptive pill proved to be more reliable; preventing unwanted pregnancies and giving women more control over their fertility and life choices. Although during this period there was little research to raise issues of the health risks and side effects which may stem from taking contraception </w:t>
      </w:r>
      <w:r w:rsidRPr="004358CC">
        <w:rPr>
          <w:rFonts w:ascii="Arial" w:hAnsi="Arial" w:cs="Arial"/>
          <w:sz w:val="24"/>
          <w:szCs w:val="24"/>
        </w:rPr>
        <w:t>(Chadwick et al., 2011)</w:t>
      </w:r>
      <w:r>
        <w:rPr>
          <w:rFonts w:ascii="Arial" w:hAnsi="Arial" w:cs="Arial"/>
          <w:sz w:val="24"/>
          <w:szCs w:val="24"/>
        </w:rPr>
        <w:t xml:space="preserve">. Browne (2011) also pointed out that the benefits of contraception led to the decrease of the family structure enabling woman to take up more positions in the labour force; along with the support of compulsory education for children starting from ages 3 and 4, this further promoted the independence of woman affording them more free time. In addition, Browne argues that working mothers faced discrimination under the assumption that a woman will be unable to manage family life and employment simultaneously, which brings us to the third wave of feminism. </w:t>
      </w:r>
    </w:p>
    <w:p w14:paraId="3233347B"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Third wave feminists otherwise known as post-feminists continued to address issues that where raised in the second wave but were unsuccessful in changing (Genz, 2006). </w:t>
      </w:r>
      <w:r>
        <w:rPr>
          <w:rFonts w:ascii="Arial" w:hAnsi="Arial" w:cs="Arial"/>
          <w:sz w:val="24"/>
          <w:szCs w:val="24"/>
        </w:rPr>
        <w:lastRenderedPageBreak/>
        <w:t xml:space="preserve">For instance, legal rights for woman in the workplace (equal pay, flexible working hours, maternity pay, accountability and protection from sexual harassment); they also challenged inequality and oppressive issues through cultural production such as audio, video and the internet. Third wave feminism is profoundly influenced by visual culture and how the media represents femininity (Riordan, 2001; </w:t>
      </w:r>
      <w:r w:rsidRPr="002423D6">
        <w:rPr>
          <w:rFonts w:ascii="Arial" w:hAnsi="Arial" w:cs="Arial"/>
          <w:sz w:val="24"/>
          <w:szCs w:val="24"/>
        </w:rPr>
        <w:t>Gill and Scharff, 2013</w:t>
      </w:r>
      <w:r>
        <w:rPr>
          <w:rFonts w:ascii="Arial" w:hAnsi="Arial" w:cs="Arial"/>
          <w:sz w:val="24"/>
          <w:szCs w:val="24"/>
        </w:rPr>
        <w:t xml:space="preserve">). </w:t>
      </w:r>
      <w:r w:rsidRPr="0053522C">
        <w:rPr>
          <w:rFonts w:ascii="Arial" w:hAnsi="Arial" w:cs="Arial"/>
          <w:sz w:val="24"/>
          <w:szCs w:val="24"/>
        </w:rPr>
        <w:t>Gillis and Munford</w:t>
      </w:r>
      <w:r>
        <w:rPr>
          <w:rFonts w:ascii="Arial" w:hAnsi="Arial" w:cs="Arial"/>
          <w:sz w:val="24"/>
          <w:szCs w:val="24"/>
        </w:rPr>
        <w:t xml:space="preserve"> (</w:t>
      </w:r>
      <w:r w:rsidRPr="0053522C">
        <w:rPr>
          <w:rFonts w:ascii="Arial" w:hAnsi="Arial" w:cs="Arial"/>
          <w:sz w:val="24"/>
          <w:szCs w:val="24"/>
        </w:rPr>
        <w:t>2004)</w:t>
      </w:r>
      <w:r>
        <w:rPr>
          <w:rFonts w:ascii="Arial" w:hAnsi="Arial" w:cs="Arial"/>
          <w:sz w:val="24"/>
          <w:szCs w:val="24"/>
        </w:rPr>
        <w:t xml:space="preserve"> wrote that third wave feminism moves on from academic literature and towards a contemporary formation, using celebrities to advocate feminist views such as Madonna, Courtney Love and the Spice Girls. As an example, the Spice Girls where a pop group formed in 1996 that where recognised widely through the media for their influence on empowering young female culture and emphasising ‘girl power’ through their music, messages in their song lyrics encouraged the promotion of sexual health (Driscoll, 2002). Throughout the third wave, women where identified by the period of time and generation they lived in, rather than their actual gender (</w:t>
      </w:r>
      <w:r w:rsidRPr="002423D6">
        <w:rPr>
          <w:rFonts w:ascii="Arial" w:hAnsi="Arial" w:cs="Arial"/>
          <w:sz w:val="24"/>
          <w:szCs w:val="24"/>
        </w:rPr>
        <w:t>Gill and Scharff, 2013</w:t>
      </w:r>
      <w:r>
        <w:rPr>
          <w:rFonts w:ascii="Arial" w:hAnsi="Arial" w:cs="Arial"/>
          <w:sz w:val="24"/>
          <w:szCs w:val="24"/>
        </w:rPr>
        <w:t>).</w:t>
      </w:r>
    </w:p>
    <w:p w14:paraId="7171294C"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 xml:space="preserve">Evans (2015) goes on to state that woman throughout the 1990’s in Britain and the US, continued to endure physical abuse, sexual objectification and obtained endless criticism on bodily autonomy. Mitchell (1971, </w:t>
      </w:r>
      <w:r w:rsidRPr="00B718FD">
        <w:rPr>
          <w:rFonts w:ascii="Arial" w:hAnsi="Arial" w:cs="Arial"/>
          <w:i/>
          <w:iCs/>
          <w:sz w:val="24"/>
          <w:szCs w:val="24"/>
        </w:rPr>
        <w:t>cited in</w:t>
      </w:r>
      <w:r>
        <w:rPr>
          <w:rFonts w:ascii="Arial" w:hAnsi="Arial" w:cs="Arial"/>
          <w:i/>
          <w:iCs/>
          <w:sz w:val="24"/>
          <w:szCs w:val="24"/>
        </w:rPr>
        <w:t>,</w:t>
      </w:r>
      <w:r>
        <w:rPr>
          <w:rFonts w:ascii="Arial" w:hAnsi="Arial" w:cs="Arial"/>
          <w:sz w:val="24"/>
          <w:szCs w:val="24"/>
        </w:rPr>
        <w:t xml:space="preserve"> Souhami, 1986) argued that there was no other city in comparison to London that flaunted the sexual objectification of woman, you would find erotic advertisements on billboards and in the subways. Images of woman dressed up in nice clothes or little clothing, was being publicised to prudently sell materialistic items. ‘Looking pretty’ was imprinted on women from a young age; looks became more important than other attributes and qualities (Souhami, 1986). </w:t>
      </w:r>
      <w:r w:rsidRPr="002423D6">
        <w:rPr>
          <w:rFonts w:ascii="Arial" w:hAnsi="Arial" w:cs="Arial"/>
          <w:sz w:val="24"/>
          <w:szCs w:val="24"/>
        </w:rPr>
        <w:t xml:space="preserve">Gill and Scharff </w:t>
      </w:r>
      <w:r>
        <w:rPr>
          <w:rFonts w:ascii="Arial" w:hAnsi="Arial" w:cs="Arial"/>
          <w:sz w:val="24"/>
          <w:szCs w:val="24"/>
        </w:rPr>
        <w:t>(</w:t>
      </w:r>
      <w:r w:rsidRPr="002423D6">
        <w:rPr>
          <w:rFonts w:ascii="Arial" w:hAnsi="Arial" w:cs="Arial"/>
          <w:sz w:val="24"/>
          <w:szCs w:val="24"/>
        </w:rPr>
        <w:t>2013</w:t>
      </w:r>
      <w:r>
        <w:rPr>
          <w:rFonts w:ascii="Arial" w:hAnsi="Arial" w:cs="Arial"/>
          <w:sz w:val="24"/>
          <w:szCs w:val="24"/>
        </w:rPr>
        <w:t>) states that negative language was used to objectify woman, terms such as ‘bitch’ ‘slut’ and ‘girl’, these terms undermined and degraded women and were aimed to control women’s behaviours within societal structures, thus preventing them from discovering their own identities.</w:t>
      </w:r>
    </w:p>
    <w:p w14:paraId="1D4A47EA" w14:textId="77777777" w:rsidR="00127670" w:rsidRDefault="00127670" w:rsidP="00127670">
      <w:pPr>
        <w:spacing w:line="360" w:lineRule="auto"/>
        <w:jc w:val="both"/>
        <w:rPr>
          <w:rFonts w:ascii="Arial" w:hAnsi="Arial" w:cs="Arial"/>
          <w:sz w:val="24"/>
          <w:szCs w:val="24"/>
        </w:rPr>
      </w:pPr>
      <w:r>
        <w:rPr>
          <w:rFonts w:ascii="Arial" w:hAnsi="Arial" w:cs="Arial"/>
          <w:sz w:val="24"/>
          <w:szCs w:val="24"/>
        </w:rPr>
        <w:t>Western feminists explored the difference between ‘love’ and ‘abuse’ they also looked at critiquing the distinctions of male dominance and violence featuring in relationships (Fraser, 2003). Fraser, also explored the concept of social stratification in relation to how it advantaged men; affording them power and control at the expense of women. Tolman and Wang (2005) argue how domestic violence impacted on women’s independence, often preventing them from working.  As a result, women were at risk of losing their job and income, further impacting on their health and well-being</w:t>
      </w:r>
      <w:r w:rsidRPr="008E561E">
        <w:rPr>
          <w:rFonts w:ascii="Arial" w:hAnsi="Arial" w:cs="Arial"/>
          <w:sz w:val="24"/>
          <w:szCs w:val="24"/>
        </w:rPr>
        <w:t xml:space="preserve">.  For </w:t>
      </w:r>
      <w:r w:rsidRPr="008E561E">
        <w:rPr>
          <w:rFonts w:ascii="Arial" w:hAnsi="Arial" w:cs="Arial"/>
          <w:sz w:val="24"/>
          <w:szCs w:val="24"/>
        </w:rPr>
        <w:lastRenderedPageBreak/>
        <w:t>example, Tolman and Wang (2005, p.147)</w:t>
      </w:r>
      <w:r>
        <w:rPr>
          <w:rFonts w:ascii="Arial" w:hAnsi="Arial" w:cs="Arial"/>
          <w:sz w:val="24"/>
          <w:szCs w:val="24"/>
        </w:rPr>
        <w:t xml:space="preserve"> </w:t>
      </w:r>
      <w:r w:rsidRPr="006E093B">
        <w:rPr>
          <w:rFonts w:ascii="Arial" w:hAnsi="Arial" w:cs="Arial"/>
          <w:sz w:val="24"/>
          <w:szCs w:val="24"/>
        </w:rPr>
        <w:t>wrote ‘Abusive partners may block women’s attempts to go to work, in part, because economic self-sufficiency may challenge abuser</w:t>
      </w:r>
      <w:r>
        <w:rPr>
          <w:rFonts w:ascii="Arial" w:hAnsi="Arial" w:cs="Arial"/>
          <w:sz w:val="24"/>
          <w:szCs w:val="24"/>
        </w:rPr>
        <w:t>’</w:t>
      </w:r>
      <w:r w:rsidRPr="006E093B">
        <w:rPr>
          <w:rFonts w:ascii="Arial" w:hAnsi="Arial" w:cs="Arial"/>
          <w:sz w:val="24"/>
          <w:szCs w:val="24"/>
        </w:rPr>
        <w:t>s control’; such interference could come in various form</w:t>
      </w:r>
      <w:r>
        <w:rPr>
          <w:rFonts w:ascii="Arial" w:hAnsi="Arial" w:cs="Arial"/>
          <w:sz w:val="24"/>
          <w:szCs w:val="24"/>
        </w:rPr>
        <w:t>s, from</w:t>
      </w:r>
      <w:r w:rsidRPr="006E093B">
        <w:rPr>
          <w:rFonts w:ascii="Arial" w:hAnsi="Arial" w:cs="Arial"/>
          <w:sz w:val="24"/>
          <w:szCs w:val="24"/>
        </w:rPr>
        <w:t xml:space="preserve"> sleep</w:t>
      </w:r>
      <w:r>
        <w:rPr>
          <w:rFonts w:ascii="Arial" w:hAnsi="Arial" w:cs="Arial"/>
          <w:sz w:val="24"/>
          <w:szCs w:val="24"/>
        </w:rPr>
        <w:t xml:space="preserve"> deprivation</w:t>
      </w:r>
      <w:r w:rsidRPr="006E093B">
        <w:rPr>
          <w:rFonts w:ascii="Arial" w:hAnsi="Arial" w:cs="Arial"/>
          <w:sz w:val="24"/>
          <w:szCs w:val="24"/>
        </w:rPr>
        <w:t xml:space="preserve">, destroying clothes, threatening </w:t>
      </w:r>
      <w:r>
        <w:rPr>
          <w:rFonts w:ascii="Arial" w:hAnsi="Arial" w:cs="Arial"/>
          <w:sz w:val="24"/>
          <w:szCs w:val="24"/>
        </w:rPr>
        <w:t xml:space="preserve">behaviour </w:t>
      </w:r>
      <w:r w:rsidRPr="006E093B">
        <w:rPr>
          <w:rFonts w:ascii="Arial" w:hAnsi="Arial" w:cs="Arial"/>
          <w:sz w:val="24"/>
          <w:szCs w:val="24"/>
        </w:rPr>
        <w:t xml:space="preserve">and physical </w:t>
      </w:r>
      <w:r>
        <w:rPr>
          <w:rFonts w:ascii="Arial" w:hAnsi="Arial" w:cs="Arial"/>
          <w:sz w:val="24"/>
          <w:szCs w:val="24"/>
        </w:rPr>
        <w:t>violence</w:t>
      </w:r>
      <w:r w:rsidRPr="006E093B">
        <w:rPr>
          <w:rFonts w:ascii="Arial" w:hAnsi="Arial" w:cs="Arial"/>
          <w:sz w:val="24"/>
          <w:szCs w:val="24"/>
        </w:rPr>
        <w:t xml:space="preserve">, </w:t>
      </w:r>
      <w:r>
        <w:rPr>
          <w:rFonts w:ascii="Arial" w:hAnsi="Arial" w:cs="Arial"/>
          <w:sz w:val="24"/>
          <w:szCs w:val="24"/>
        </w:rPr>
        <w:t xml:space="preserve">to </w:t>
      </w:r>
      <w:r w:rsidRPr="006E093B">
        <w:rPr>
          <w:rFonts w:ascii="Arial" w:hAnsi="Arial" w:cs="Arial"/>
          <w:sz w:val="24"/>
          <w:szCs w:val="24"/>
        </w:rPr>
        <w:t>withholding possessions. Wom</w:t>
      </w:r>
      <w:r>
        <w:rPr>
          <w:rFonts w:ascii="Arial" w:hAnsi="Arial" w:cs="Arial"/>
          <w:sz w:val="24"/>
          <w:szCs w:val="24"/>
        </w:rPr>
        <w:t>a</w:t>
      </w:r>
      <w:r w:rsidRPr="006E093B">
        <w:rPr>
          <w:rFonts w:ascii="Arial" w:hAnsi="Arial" w:cs="Arial"/>
          <w:sz w:val="24"/>
          <w:szCs w:val="24"/>
        </w:rPr>
        <w:t xml:space="preserve">n experiencing abusive relationships went on to seek safety in woman’s aid refuges. Phal (1985) highlights the </w:t>
      </w:r>
      <w:r>
        <w:rPr>
          <w:rFonts w:ascii="Arial" w:hAnsi="Arial" w:cs="Arial"/>
          <w:sz w:val="24"/>
          <w:szCs w:val="24"/>
        </w:rPr>
        <w:t xml:space="preserve">value </w:t>
      </w:r>
      <w:r w:rsidRPr="006E093B">
        <w:rPr>
          <w:rFonts w:ascii="Arial" w:hAnsi="Arial" w:cs="Arial"/>
          <w:sz w:val="24"/>
          <w:szCs w:val="24"/>
        </w:rPr>
        <w:t xml:space="preserve">of refuges </w:t>
      </w:r>
      <w:r>
        <w:rPr>
          <w:rFonts w:ascii="Arial" w:hAnsi="Arial" w:cs="Arial"/>
          <w:sz w:val="24"/>
          <w:szCs w:val="24"/>
        </w:rPr>
        <w:t xml:space="preserve">in the lives of </w:t>
      </w:r>
      <w:r w:rsidRPr="006E093B">
        <w:rPr>
          <w:rFonts w:ascii="Arial" w:hAnsi="Arial" w:cs="Arial"/>
          <w:sz w:val="24"/>
          <w:szCs w:val="24"/>
        </w:rPr>
        <w:t>wom</w:t>
      </w:r>
      <w:r>
        <w:rPr>
          <w:rFonts w:ascii="Arial" w:hAnsi="Arial" w:cs="Arial"/>
          <w:sz w:val="24"/>
          <w:szCs w:val="24"/>
        </w:rPr>
        <w:t>e</w:t>
      </w:r>
      <w:r w:rsidRPr="006E093B">
        <w:rPr>
          <w:rFonts w:ascii="Arial" w:hAnsi="Arial" w:cs="Arial"/>
          <w:sz w:val="24"/>
          <w:szCs w:val="24"/>
        </w:rPr>
        <w:t xml:space="preserve">n and </w:t>
      </w:r>
      <w:r>
        <w:rPr>
          <w:rFonts w:ascii="Arial" w:hAnsi="Arial" w:cs="Arial"/>
          <w:sz w:val="24"/>
          <w:szCs w:val="24"/>
        </w:rPr>
        <w:t>the importance of</w:t>
      </w:r>
      <w:r w:rsidRPr="006E093B">
        <w:rPr>
          <w:rFonts w:ascii="Arial" w:hAnsi="Arial" w:cs="Arial"/>
          <w:sz w:val="24"/>
          <w:szCs w:val="24"/>
        </w:rPr>
        <w:t xml:space="preserve"> </w:t>
      </w:r>
      <w:r>
        <w:rPr>
          <w:rFonts w:ascii="Arial" w:hAnsi="Arial" w:cs="Arial"/>
          <w:sz w:val="24"/>
          <w:szCs w:val="24"/>
        </w:rPr>
        <w:t xml:space="preserve">developing </w:t>
      </w:r>
      <w:r w:rsidRPr="006E093B">
        <w:rPr>
          <w:rFonts w:ascii="Arial" w:hAnsi="Arial" w:cs="Arial"/>
          <w:sz w:val="24"/>
          <w:szCs w:val="24"/>
        </w:rPr>
        <w:t>new refuges</w:t>
      </w:r>
      <w:r>
        <w:rPr>
          <w:rFonts w:ascii="Arial" w:hAnsi="Arial" w:cs="Arial"/>
          <w:sz w:val="24"/>
          <w:szCs w:val="24"/>
        </w:rPr>
        <w:t xml:space="preserve"> as more women seek to escape violent relationships. </w:t>
      </w:r>
      <w:r w:rsidRPr="006E093B">
        <w:rPr>
          <w:rFonts w:ascii="Arial" w:hAnsi="Arial" w:cs="Arial"/>
          <w:sz w:val="24"/>
          <w:szCs w:val="24"/>
        </w:rPr>
        <w:t xml:space="preserve">Woman’s aid </w:t>
      </w:r>
      <w:r>
        <w:rPr>
          <w:rFonts w:ascii="Arial" w:hAnsi="Arial" w:cs="Arial"/>
          <w:sz w:val="24"/>
          <w:szCs w:val="24"/>
        </w:rPr>
        <w:t xml:space="preserve">was influenced by </w:t>
      </w:r>
      <w:r w:rsidRPr="006E093B">
        <w:rPr>
          <w:rFonts w:ascii="Arial" w:hAnsi="Arial" w:cs="Arial"/>
          <w:sz w:val="24"/>
          <w:szCs w:val="24"/>
        </w:rPr>
        <w:t>the wom</w:t>
      </w:r>
      <w:r>
        <w:rPr>
          <w:rFonts w:ascii="Arial" w:hAnsi="Arial" w:cs="Arial"/>
          <w:sz w:val="24"/>
          <w:szCs w:val="24"/>
        </w:rPr>
        <w:t>a</w:t>
      </w:r>
      <w:r w:rsidRPr="006E093B">
        <w:rPr>
          <w:rFonts w:ascii="Arial" w:hAnsi="Arial" w:cs="Arial"/>
          <w:sz w:val="24"/>
          <w:szCs w:val="24"/>
        </w:rPr>
        <w:t>n’s liberation movement. Due to the expansion of social services throughout the third wave, more ethical movements have been set in place through the labour power (Rose, 1985).</w:t>
      </w:r>
    </w:p>
    <w:p w14:paraId="45B5A6DC" w14:textId="77777777" w:rsidR="00127670" w:rsidRDefault="00127670" w:rsidP="00127670">
      <w:pPr>
        <w:spacing w:line="360" w:lineRule="auto"/>
        <w:jc w:val="both"/>
        <w:rPr>
          <w:rFonts w:ascii="Arial" w:hAnsi="Arial" w:cs="Arial"/>
          <w:sz w:val="24"/>
          <w:szCs w:val="24"/>
        </w:rPr>
      </w:pPr>
      <w:r w:rsidRPr="00E03F5E">
        <w:rPr>
          <w:rFonts w:ascii="Arial" w:hAnsi="Arial" w:cs="Arial"/>
          <w:sz w:val="24"/>
          <w:szCs w:val="24"/>
        </w:rPr>
        <w:t xml:space="preserve">In current feminism today there is no straightforward definition (Phillips and Cree, 2014). Nevertheless, research continues to </w:t>
      </w:r>
      <w:r>
        <w:rPr>
          <w:rFonts w:ascii="Arial" w:hAnsi="Arial" w:cs="Arial"/>
          <w:sz w:val="24"/>
          <w:szCs w:val="24"/>
        </w:rPr>
        <w:t xml:space="preserve">analyse </w:t>
      </w:r>
      <w:r w:rsidRPr="00E03F5E">
        <w:rPr>
          <w:rFonts w:ascii="Arial" w:hAnsi="Arial" w:cs="Arial"/>
          <w:sz w:val="24"/>
          <w:szCs w:val="24"/>
        </w:rPr>
        <w:t xml:space="preserve">the </w:t>
      </w:r>
      <w:r>
        <w:rPr>
          <w:rFonts w:ascii="Arial" w:hAnsi="Arial" w:cs="Arial"/>
          <w:sz w:val="24"/>
          <w:szCs w:val="24"/>
        </w:rPr>
        <w:t xml:space="preserve">intersections of discrimination and inequalities </w:t>
      </w:r>
      <w:r w:rsidRPr="00E03F5E">
        <w:rPr>
          <w:rFonts w:ascii="Arial" w:hAnsi="Arial" w:cs="Arial"/>
          <w:sz w:val="24"/>
          <w:szCs w:val="24"/>
        </w:rPr>
        <w:t>in woman’s lives</w:t>
      </w:r>
      <w:r>
        <w:rPr>
          <w:rFonts w:ascii="Arial" w:hAnsi="Arial" w:cs="Arial"/>
          <w:sz w:val="24"/>
          <w:szCs w:val="24"/>
        </w:rPr>
        <w:t>, with an emphasis on</w:t>
      </w:r>
      <w:r w:rsidRPr="00E03F5E">
        <w:rPr>
          <w:rFonts w:ascii="Arial" w:hAnsi="Arial" w:cs="Arial"/>
          <w:sz w:val="24"/>
          <w:szCs w:val="24"/>
        </w:rPr>
        <w:t xml:space="preserve"> practice, theory and gender</w:t>
      </w:r>
      <w:r>
        <w:rPr>
          <w:rFonts w:ascii="Arial" w:hAnsi="Arial" w:cs="Arial"/>
          <w:sz w:val="24"/>
          <w:szCs w:val="24"/>
        </w:rPr>
        <w:t xml:space="preserve"> issues. </w:t>
      </w:r>
      <w:r w:rsidRPr="00E03F5E">
        <w:rPr>
          <w:rFonts w:ascii="Arial" w:hAnsi="Arial" w:cs="Arial"/>
          <w:sz w:val="24"/>
          <w:szCs w:val="24"/>
        </w:rPr>
        <w:t xml:space="preserve">Due to the widespread use of internet across the globe and the current resurgence of interest among woman about woman, it could be debated that perhaps we are experiencing a ‘fourth wave’ of feminism (Diamond, 2009; Cochrane, 2013; Munro, 2013; Phillips and Cree, 2014; Chamberlaine, 2016). To elaborate, Diamond (2009) emphasises the first three waves of feminism have on-going issues such as political and </w:t>
      </w:r>
      <w:r>
        <w:rPr>
          <w:rFonts w:ascii="Arial" w:hAnsi="Arial" w:cs="Arial"/>
          <w:sz w:val="24"/>
          <w:szCs w:val="24"/>
        </w:rPr>
        <w:t xml:space="preserve">social </w:t>
      </w:r>
      <w:r w:rsidRPr="00E03F5E">
        <w:rPr>
          <w:rFonts w:ascii="Arial" w:hAnsi="Arial" w:cs="Arial"/>
          <w:sz w:val="24"/>
          <w:szCs w:val="24"/>
        </w:rPr>
        <w:t xml:space="preserve">inequalities that </w:t>
      </w:r>
      <w:r>
        <w:rPr>
          <w:rFonts w:ascii="Arial" w:hAnsi="Arial" w:cs="Arial"/>
          <w:sz w:val="24"/>
          <w:szCs w:val="24"/>
        </w:rPr>
        <w:t xml:space="preserve">need to be addressed, thus </w:t>
      </w:r>
      <w:r w:rsidRPr="00E03F5E">
        <w:rPr>
          <w:rFonts w:ascii="Arial" w:hAnsi="Arial" w:cs="Arial"/>
          <w:sz w:val="24"/>
          <w:szCs w:val="24"/>
        </w:rPr>
        <w:t>contribut</w:t>
      </w:r>
      <w:r>
        <w:rPr>
          <w:rFonts w:ascii="Arial" w:hAnsi="Arial" w:cs="Arial"/>
          <w:sz w:val="24"/>
          <w:szCs w:val="24"/>
        </w:rPr>
        <w:t>ing</w:t>
      </w:r>
      <w:r w:rsidRPr="00E03F5E">
        <w:rPr>
          <w:rFonts w:ascii="Arial" w:hAnsi="Arial" w:cs="Arial"/>
          <w:sz w:val="24"/>
          <w:szCs w:val="24"/>
        </w:rPr>
        <w:t xml:space="preserve"> to the fourth wave of feminism. Feminist movement’s in the UK remain promising with thousands of activists, not just woman, striving to pursue change for the oppressed with regards to race, class, sexuality and gender (Cochrane, 2013). </w:t>
      </w:r>
    </w:p>
    <w:p w14:paraId="64CF315E" w14:textId="77777777" w:rsidR="00127670" w:rsidRPr="00124F91" w:rsidRDefault="00127670" w:rsidP="00127670">
      <w:pPr>
        <w:spacing w:line="360" w:lineRule="auto"/>
        <w:jc w:val="both"/>
        <w:rPr>
          <w:rFonts w:ascii="Arial" w:hAnsi="Arial" w:cs="Arial"/>
          <w:sz w:val="24"/>
          <w:szCs w:val="24"/>
        </w:rPr>
      </w:pPr>
      <w:r>
        <w:rPr>
          <w:rFonts w:ascii="Arial" w:hAnsi="Arial" w:cs="Arial"/>
          <w:sz w:val="24"/>
          <w:szCs w:val="24"/>
        </w:rPr>
        <w:t>To conclude, this essay has explored the three waves of feminism with the suggestion that we are currently going through a fourth wave. It has been identified that for centuries woman have fought against injustices relating to race, sexuality, gender and class and continue to be an ethical and sociological issue in contemporary society. For example, Kershaw (2019) highlights how the United States women’s national football team won this years World Cup, yet the pay difference for winning the competition is drastic in comparison to how much the men are paid. A lawsuit has currently been filed pending investigation accusing the governing body of ‘institutionalised gender discrimination’. It has been established that woman have faced decades of oppression and lived in the shadow of men for too long. Since before the the early 19</w:t>
      </w:r>
      <w:r w:rsidRPr="00976146">
        <w:rPr>
          <w:rFonts w:ascii="Arial" w:hAnsi="Arial" w:cs="Arial"/>
          <w:sz w:val="24"/>
          <w:szCs w:val="24"/>
          <w:vertAlign w:val="superscript"/>
        </w:rPr>
        <w:t>th</w:t>
      </w:r>
      <w:r>
        <w:rPr>
          <w:rFonts w:ascii="Arial" w:hAnsi="Arial" w:cs="Arial"/>
          <w:sz w:val="24"/>
          <w:szCs w:val="24"/>
        </w:rPr>
        <w:t xml:space="preserve"> century woman has struggled to experience the same rights as men </w:t>
      </w:r>
      <w:r>
        <w:rPr>
          <w:rFonts w:ascii="Arial" w:hAnsi="Arial" w:cs="Arial"/>
          <w:sz w:val="24"/>
          <w:szCs w:val="24"/>
        </w:rPr>
        <w:lastRenderedPageBreak/>
        <w:t xml:space="preserve">and be able to voice their opinions in regard to this. It has taken feminists and activists a long period of time to achieve legal rights and equality, nevertheless there are policies and legislation that have been put into place. The Equality Act 2010 protects characteristics such as </w:t>
      </w:r>
      <w:r w:rsidRPr="001E3BF0">
        <w:rPr>
          <w:rFonts w:ascii="Arial" w:hAnsi="Arial" w:cs="Arial"/>
          <w:sz w:val="24"/>
          <w:szCs w:val="24"/>
        </w:rPr>
        <w:t>age</w:t>
      </w:r>
      <w:r>
        <w:rPr>
          <w:rFonts w:ascii="Arial" w:hAnsi="Arial" w:cs="Arial"/>
          <w:sz w:val="24"/>
          <w:szCs w:val="24"/>
        </w:rPr>
        <w:t>, gender reassignment, race, sex and sexual orientation (Citizens Advice, 2019). In Wales a unique piece of legislation was created with the aim to protect woman and children from domestic violence (</w:t>
      </w:r>
      <w:r w:rsidRPr="00124F91">
        <w:rPr>
          <w:rFonts w:ascii="Arial" w:hAnsi="Arial" w:cs="Arial"/>
          <w:sz w:val="24"/>
          <w:szCs w:val="24"/>
        </w:rPr>
        <w:t>Violence against Women, Domestic Abuse and Sexual Violence (Wales) Act 2015</w:t>
      </w:r>
      <w:r>
        <w:rPr>
          <w:rFonts w:ascii="Arial" w:hAnsi="Arial" w:cs="Arial"/>
          <w:sz w:val="24"/>
          <w:szCs w:val="24"/>
        </w:rPr>
        <w:t xml:space="preserve">). </w:t>
      </w:r>
    </w:p>
    <w:p w14:paraId="06F095AE" w14:textId="77777777" w:rsidR="00127670" w:rsidRDefault="00127670">
      <w:bookmarkStart w:id="0" w:name="_GoBack"/>
      <w:bookmarkEnd w:id="0"/>
    </w:p>
    <w:sectPr w:rsidR="001276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670"/>
    <w:rsid w:val="00127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DF637"/>
  <w15:chartTrackingRefBased/>
  <w15:docId w15:val="{CCEA0D6C-F2E2-4617-856D-630A52D5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6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2816</Words>
  <Characters>16054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 Gale</dc:creator>
  <cp:keywords/>
  <dc:description/>
  <cp:lastModifiedBy>Autumn Gale</cp:lastModifiedBy>
  <cp:revision>1</cp:revision>
  <dcterms:created xsi:type="dcterms:W3CDTF">2019-07-22T21:26:00Z</dcterms:created>
  <dcterms:modified xsi:type="dcterms:W3CDTF">2019-07-22T21:27:00Z</dcterms:modified>
</cp:coreProperties>
</file>