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97EFF" w14:textId="1B6A74EA" w:rsidR="00AD584F" w:rsidRPr="00AD584F" w:rsidRDefault="00AD584F" w:rsidP="00960A9A">
      <w:pPr>
        <w:spacing w:line="360" w:lineRule="auto"/>
        <w:jc w:val="both"/>
        <w:rPr>
          <w:sz w:val="24"/>
          <w:szCs w:val="24"/>
        </w:rPr>
      </w:pPr>
      <w:r w:rsidRPr="00AD584F">
        <w:rPr>
          <w:sz w:val="24"/>
          <w:szCs w:val="24"/>
        </w:rPr>
        <w:t>Jasmine Williams, 14th November 2019 - Explain Four different examples of how social groups maintain order:</w:t>
      </w:r>
    </w:p>
    <w:p w14:paraId="18E1ACBF" w14:textId="7B7039E8" w:rsidR="00AD584F" w:rsidRPr="00AD584F" w:rsidRDefault="00AD584F" w:rsidP="00960A9A">
      <w:pPr>
        <w:spacing w:line="360" w:lineRule="auto"/>
        <w:jc w:val="both"/>
        <w:rPr>
          <w:sz w:val="24"/>
          <w:szCs w:val="24"/>
        </w:rPr>
      </w:pPr>
      <w:r w:rsidRPr="00AD584F">
        <w:rPr>
          <w:sz w:val="24"/>
          <w:szCs w:val="24"/>
        </w:rPr>
        <w:t>Methods of order maintenance can vary from each social group, their environment, cosmology, age and gender are all attributing factors that can differentiate how they may maintain order within their communities. Many differentiations of societies have been depicted within indigenous groups such as the Mbuti and Yanomamo, including egalitarian and reverse dominance hierarchy; “hunter-gatherer societies are, of course, not all carbon copies of one another” (Gray, 2009). Woodburn coins egalitarianism as “greater equality of wealth, of power, of prestige” (Woodburn, 1982. P.2). Gray describes the elements of order maintenance as similar to that of child's play, all players have to be satisfied in order for the game to continue, otherwise the individual players will leave and the game will be over; “the great challenge is to keep all of the players happy without allowing anyone to violate the rules” (Gray, 2009). Without a set of rules, it becomes harder to maintain order within individual societies; some mechanisms of order are reliant on fear whereas others as based solely upon the equality of the individual.</w:t>
      </w:r>
    </w:p>
    <w:p w14:paraId="18B335FB" w14:textId="5FEB58D1" w:rsidR="00AD584F" w:rsidRPr="00AD584F" w:rsidRDefault="00AD584F" w:rsidP="00960A9A">
      <w:pPr>
        <w:spacing w:line="360" w:lineRule="auto"/>
        <w:jc w:val="both"/>
        <w:rPr>
          <w:sz w:val="24"/>
          <w:szCs w:val="24"/>
        </w:rPr>
      </w:pPr>
      <w:r w:rsidRPr="00AD584F">
        <w:rPr>
          <w:sz w:val="24"/>
          <w:szCs w:val="24"/>
        </w:rPr>
        <w:t>Groups with segregated gender values such as the Yanomamo for example, use violence against women as a means of control and order; food is expected to be waiting for the male hunters – if women have failed this preparation the men have jurisdiction to beat their wives. (Changon, 1968) This suggests Violence is often used as a means of order maintenance within the Yanomamo; there is a gender hierarchy where men are positioned above women; therefore are within a position where violence against women is an accepted social practice, women's submission is a means of social control. Furthermore, however men within the Yanonomamo are recognised to shave their heads so they are able to present their scars from previous fights as a show of dominance over the other males within the group; the more scars on the show and collected the greater social stance is possessed; (Changon, 1968). This suggests violence as a means of order and social maintenance is not only attributed to women but men as well.</w:t>
      </w:r>
    </w:p>
    <w:p w14:paraId="66B9A808" w14:textId="77777777" w:rsidR="00AD584F" w:rsidRPr="00AD584F" w:rsidRDefault="00AD584F" w:rsidP="00960A9A">
      <w:pPr>
        <w:spacing w:line="360" w:lineRule="auto"/>
        <w:jc w:val="both"/>
        <w:rPr>
          <w:sz w:val="24"/>
          <w:szCs w:val="24"/>
        </w:rPr>
      </w:pPr>
      <w:r w:rsidRPr="00AD584F">
        <w:rPr>
          <w:sz w:val="24"/>
          <w:szCs w:val="24"/>
        </w:rPr>
        <w:t xml:space="preserve">Egalitarianism is an evolutionary perspective deciphered as a means of social order where the proletariat rise against the Bourgeois (Marx, 1848). The weak combine to dominate the strong therefore avoiding the dominance of an individual over a group, (Boehm, 1993); for example within the Mbuti a method of mockery is used against offenders who attempt to dominate </w:t>
      </w:r>
      <w:r w:rsidRPr="00AD584F">
        <w:rPr>
          <w:sz w:val="24"/>
          <w:szCs w:val="24"/>
        </w:rPr>
        <w:lastRenderedPageBreak/>
        <w:t>within the group through means such as possession and skill. The san do not care about an individuals possessions, everyone is equal – there is no ownership everything is shared and provided by the forest, anyone who attempts to appear above the others is mocked into submission (Turnbull,1961). This suggests mockery is used as a means of control within some indigenous groups, the Egaletraian means of control and order can be adopted in order to retain individuality and equality within the group. However, the Mbuti also used their environment as a means of order maintenance. “Bodies cannot exist without engagement with materials” (Ingold, 2000. p5); the Mbuti believe the forest is the provider “supplies them with their needs” (Turnbull, 1961. P14). As a result the forest is also feared, if the forest revokes its gifts the group would be subject to issues such as starvation; the environment is thus a method of control the ‘spirits’ of the forest are feared therefore the Mbuti maintain order to please the forest, their livelihood is in equilibrium with the forest they provide for the forest and the forest provides for them; as a result the Mbuiti self maintain order in respect to</w:t>
      </w:r>
    </w:p>
    <w:p w14:paraId="32E92925" w14:textId="509106AB" w:rsidR="00AD584F" w:rsidRPr="00AD584F" w:rsidRDefault="00AD584F" w:rsidP="00960A9A">
      <w:pPr>
        <w:spacing w:line="360" w:lineRule="auto"/>
        <w:jc w:val="both"/>
        <w:rPr>
          <w:sz w:val="24"/>
          <w:szCs w:val="24"/>
        </w:rPr>
      </w:pPr>
      <w:r w:rsidRPr="00AD584F">
        <w:rPr>
          <w:sz w:val="24"/>
          <w:szCs w:val="24"/>
        </w:rPr>
        <w:t>the forest, anyone who differentiates is mocked or shunned (fear of being left alone to the elements being their most feared punishment). This suggests the methods of order maintinence within the Mbuti also fall into an environmental category, they use the envrionment as a basis of undoubtable domanance over the group.</w:t>
      </w:r>
    </w:p>
    <w:p w14:paraId="5CAAB9E4" w14:textId="0D81E7C3" w:rsidR="00AD584F" w:rsidRPr="00AD584F" w:rsidRDefault="00AD584F" w:rsidP="00960A9A">
      <w:pPr>
        <w:spacing w:line="360" w:lineRule="auto"/>
        <w:jc w:val="both"/>
        <w:rPr>
          <w:sz w:val="24"/>
          <w:szCs w:val="24"/>
        </w:rPr>
      </w:pPr>
      <w:r w:rsidRPr="00AD584F">
        <w:rPr>
          <w:sz w:val="24"/>
          <w:szCs w:val="24"/>
        </w:rPr>
        <w:t xml:space="preserve">The hunting hypothesis states that mens evolution from ape developed so drastically due to our livliehood ‘man is man and not a chimpazee, because of eveloving we killed for a living’ (Ardrey, 1977. P.15). Our methods of hunting with tools suggest cognitive advancement away from the primates we once were; there is assumed aggression and greed to hunting (materialistic culture) however many groups including the San do not kill more than they need there is a respected equality within their community nobody takes more from the environment than needed. Evening mechanisms are used; there is a kinship involving food shares within the san, those with more give to those with less in order to create an equilibrium between the groups individual families, (MarshallThomas, 1959). This maintains order as no member is seen bellow another depending on their ability to hunt/provide – everyone is equal as shared consensus. Nobody has the ability to grow from outside the group; all members have the same social status and hold no possesions to be held over other members; this </w:t>
      </w:r>
      <w:r w:rsidRPr="00AD584F">
        <w:rPr>
          <w:sz w:val="24"/>
          <w:szCs w:val="24"/>
        </w:rPr>
        <w:lastRenderedPageBreak/>
        <w:t>suggests kinship can be used as a means of order maintenance if all players (Gray, 1982) are equal then nobody grows tired of the game and deters from the rules – order is maintained.</w:t>
      </w:r>
    </w:p>
    <w:p w14:paraId="4B2AF301" w14:textId="671AE2F6" w:rsidR="00AD584F" w:rsidRPr="00AD584F" w:rsidRDefault="00AD584F" w:rsidP="00960A9A">
      <w:pPr>
        <w:spacing w:line="360" w:lineRule="auto"/>
        <w:jc w:val="both"/>
        <w:rPr>
          <w:sz w:val="24"/>
          <w:szCs w:val="24"/>
        </w:rPr>
      </w:pPr>
      <w:r w:rsidRPr="00AD584F">
        <w:rPr>
          <w:sz w:val="24"/>
          <w:szCs w:val="24"/>
        </w:rPr>
        <w:t>Unlike the San other group such as the Nuer show to deter from leveling mechanisms such as kinship; within the Nuer cattle are a possession of pride the more cattle an individual male owns the higher social status they retain; this does not extend to women as they are unable to own cattle within the Nuer community, they are to care for the cattle as milkmaids but never possess their means of labour (Evans-Pritchard, 1940). Similar to Marx's theory of alienation, the workforce (milkmaids) are alienated from their livelihoods, dominated by the male cattle owners; (Marx, 1848). This suggests the Nuer use possession as a means of social control and order maintenance, the men who possess the most cattle to dominate not only the women who work the cattle but the men within their community which do not possess a heard of the same value. Rather than retaining an order of equality this group maintains an order of male dominance.</w:t>
      </w:r>
    </w:p>
    <w:p w14:paraId="49B95C68" w14:textId="0512F1A8" w:rsidR="00AD584F" w:rsidRPr="00AD584F" w:rsidRDefault="00AD584F" w:rsidP="00960A9A">
      <w:pPr>
        <w:spacing w:line="360" w:lineRule="auto"/>
        <w:jc w:val="both"/>
        <w:rPr>
          <w:sz w:val="24"/>
          <w:szCs w:val="24"/>
        </w:rPr>
      </w:pPr>
      <w:r w:rsidRPr="00AD584F">
        <w:rPr>
          <w:sz w:val="24"/>
          <w:szCs w:val="24"/>
        </w:rPr>
        <w:t>Overall the maintenance of order within different social and indigenous groups can deter from the Euro-American social consensus based upon varied factors such as their shared social values based upon gender, cosmology of the environment and value attributed to possession. Each individual group is different despite their affiliation to the egalitarian and other methods of control; their methods may differ such as violence and mockery. However all social groups including indigenous societies use levelling mechanisms and methods of control over the meanings attributed to an individual to maintain order</w:t>
      </w:r>
      <w:r w:rsidR="005650F2">
        <w:rPr>
          <w:sz w:val="24"/>
          <w:szCs w:val="24"/>
        </w:rPr>
        <w:t xml:space="preserve"> within each groups society.</w:t>
      </w:r>
      <w:bookmarkStart w:id="0" w:name="_GoBack"/>
      <w:bookmarkEnd w:id="0"/>
    </w:p>
    <w:p w14:paraId="62ED0355" w14:textId="39A5C1E0" w:rsidR="00111D87" w:rsidRPr="00AD584F" w:rsidRDefault="00111D87" w:rsidP="00960A9A">
      <w:pPr>
        <w:spacing w:line="360" w:lineRule="auto"/>
        <w:jc w:val="both"/>
        <w:rPr>
          <w:sz w:val="24"/>
          <w:szCs w:val="24"/>
        </w:rPr>
      </w:pPr>
    </w:p>
    <w:p w14:paraId="270B7ABB" w14:textId="19CD8F73" w:rsidR="00111D87" w:rsidRPr="00AD584F" w:rsidRDefault="00F8291B" w:rsidP="00960A9A">
      <w:pPr>
        <w:spacing w:line="360" w:lineRule="auto"/>
        <w:jc w:val="both"/>
        <w:rPr>
          <w:sz w:val="24"/>
          <w:szCs w:val="24"/>
        </w:rPr>
      </w:pPr>
      <w:r w:rsidRPr="00AD584F">
        <w:rPr>
          <w:sz w:val="24"/>
          <w:szCs w:val="24"/>
        </w:rPr>
        <w:t>Reference List</w:t>
      </w:r>
      <w:r w:rsidR="00111D87" w:rsidRPr="00AD584F">
        <w:rPr>
          <w:sz w:val="24"/>
          <w:szCs w:val="24"/>
        </w:rPr>
        <w:t>:</w:t>
      </w:r>
    </w:p>
    <w:p w14:paraId="5584FA98" w14:textId="77777777" w:rsidR="00111D87" w:rsidRPr="00AD584F" w:rsidRDefault="00111D87" w:rsidP="00960A9A">
      <w:pPr>
        <w:spacing w:line="360" w:lineRule="auto"/>
        <w:jc w:val="both"/>
        <w:rPr>
          <w:sz w:val="24"/>
          <w:szCs w:val="24"/>
        </w:rPr>
      </w:pPr>
    </w:p>
    <w:p w14:paraId="3AEFD18D" w14:textId="4C54658C" w:rsidR="00111D87" w:rsidRPr="00AD584F" w:rsidRDefault="00111D87" w:rsidP="00960A9A">
      <w:pPr>
        <w:pStyle w:val="ListParagraph"/>
        <w:numPr>
          <w:ilvl w:val="0"/>
          <w:numId w:val="1"/>
        </w:numPr>
        <w:spacing w:line="360" w:lineRule="auto"/>
        <w:jc w:val="both"/>
        <w:rPr>
          <w:sz w:val="24"/>
          <w:szCs w:val="24"/>
        </w:rPr>
      </w:pPr>
      <w:r w:rsidRPr="00AD584F">
        <w:rPr>
          <w:sz w:val="24"/>
          <w:szCs w:val="24"/>
        </w:rPr>
        <w:t>Ardrey</w:t>
      </w:r>
      <w:r w:rsidR="00097740" w:rsidRPr="00AD584F">
        <w:rPr>
          <w:sz w:val="24"/>
          <w:szCs w:val="24"/>
        </w:rPr>
        <w:t xml:space="preserve">, R. </w:t>
      </w:r>
      <w:r w:rsidR="00EB0B4F" w:rsidRPr="00AD584F">
        <w:rPr>
          <w:sz w:val="24"/>
          <w:szCs w:val="24"/>
        </w:rPr>
        <w:t>(</w:t>
      </w:r>
      <w:r w:rsidR="00097740" w:rsidRPr="00AD584F">
        <w:rPr>
          <w:sz w:val="24"/>
          <w:szCs w:val="24"/>
        </w:rPr>
        <w:t>1977</w:t>
      </w:r>
      <w:r w:rsidR="00EB0B4F" w:rsidRPr="00AD584F">
        <w:rPr>
          <w:sz w:val="24"/>
          <w:szCs w:val="24"/>
        </w:rPr>
        <w:t>)</w:t>
      </w:r>
      <w:r w:rsidR="00097740" w:rsidRPr="00AD584F">
        <w:rPr>
          <w:sz w:val="24"/>
          <w:szCs w:val="24"/>
        </w:rPr>
        <w:t xml:space="preserve"> ‘</w:t>
      </w:r>
      <w:r w:rsidR="00EB0B4F" w:rsidRPr="00AD584F">
        <w:rPr>
          <w:i/>
          <w:iCs/>
          <w:sz w:val="24"/>
          <w:szCs w:val="24"/>
        </w:rPr>
        <w:t>Hunting Hypothesis: A Personal Conclusion Concerning the Evolutionary Nature of Man</w:t>
      </w:r>
      <w:r w:rsidR="00EB0B4F" w:rsidRPr="00AD584F">
        <w:rPr>
          <w:i/>
          <w:iCs/>
          <w:sz w:val="24"/>
          <w:szCs w:val="24"/>
        </w:rPr>
        <w:t>’</w:t>
      </w:r>
      <w:r w:rsidR="00EB0B4F" w:rsidRPr="00AD584F">
        <w:rPr>
          <w:sz w:val="24"/>
          <w:szCs w:val="24"/>
        </w:rPr>
        <w:t xml:space="preserve">, Glasgow: </w:t>
      </w:r>
      <w:r w:rsidR="00EB0B4F" w:rsidRPr="00AD584F">
        <w:rPr>
          <w:sz w:val="24"/>
          <w:szCs w:val="24"/>
        </w:rPr>
        <w:t>HarperCollins Distribution Services</w:t>
      </w:r>
      <w:r w:rsidR="00EB0B4F" w:rsidRPr="00AD584F">
        <w:rPr>
          <w:sz w:val="24"/>
          <w:szCs w:val="24"/>
        </w:rPr>
        <w:t>.</w:t>
      </w:r>
    </w:p>
    <w:p w14:paraId="1A032B10" w14:textId="48C1EDFF" w:rsidR="00111D87" w:rsidRPr="00AD584F" w:rsidRDefault="00111D87" w:rsidP="00960A9A">
      <w:pPr>
        <w:pStyle w:val="ListParagraph"/>
        <w:numPr>
          <w:ilvl w:val="0"/>
          <w:numId w:val="1"/>
        </w:numPr>
        <w:spacing w:line="360" w:lineRule="auto"/>
        <w:jc w:val="both"/>
        <w:rPr>
          <w:sz w:val="24"/>
          <w:szCs w:val="24"/>
        </w:rPr>
      </w:pPr>
      <w:r w:rsidRPr="00AD584F">
        <w:rPr>
          <w:sz w:val="24"/>
          <w:szCs w:val="24"/>
        </w:rPr>
        <w:t>Bohem</w:t>
      </w:r>
      <w:r w:rsidR="00EB0B4F" w:rsidRPr="00AD584F">
        <w:rPr>
          <w:sz w:val="24"/>
          <w:szCs w:val="24"/>
        </w:rPr>
        <w:t xml:space="preserve">, C. (1993) </w:t>
      </w:r>
      <w:r w:rsidR="00EB0B4F" w:rsidRPr="00AD584F">
        <w:rPr>
          <w:i/>
          <w:iCs/>
          <w:sz w:val="24"/>
          <w:szCs w:val="24"/>
        </w:rPr>
        <w:t>‘Egalitarian Behaviour and Reverse Dominance Hierarchy’</w:t>
      </w:r>
      <w:r w:rsidR="00EB0B4F" w:rsidRPr="00AD584F">
        <w:rPr>
          <w:sz w:val="24"/>
          <w:szCs w:val="24"/>
        </w:rPr>
        <w:t>, Chicago: The University of Chicago Press.</w:t>
      </w:r>
    </w:p>
    <w:p w14:paraId="673EC0E5" w14:textId="31C08E0D" w:rsidR="00097740" w:rsidRPr="00AD584F" w:rsidRDefault="00111D87" w:rsidP="00960A9A">
      <w:pPr>
        <w:pStyle w:val="ListParagraph"/>
        <w:numPr>
          <w:ilvl w:val="0"/>
          <w:numId w:val="1"/>
        </w:numPr>
        <w:spacing w:line="360" w:lineRule="auto"/>
        <w:jc w:val="both"/>
        <w:rPr>
          <w:sz w:val="24"/>
          <w:szCs w:val="24"/>
        </w:rPr>
      </w:pPr>
      <w:r w:rsidRPr="00AD584F">
        <w:rPr>
          <w:sz w:val="24"/>
          <w:szCs w:val="24"/>
        </w:rPr>
        <w:t xml:space="preserve">Changon, N. </w:t>
      </w:r>
      <w:r w:rsidR="00EB0B4F" w:rsidRPr="00AD584F">
        <w:rPr>
          <w:sz w:val="24"/>
          <w:szCs w:val="24"/>
        </w:rPr>
        <w:t>(</w:t>
      </w:r>
      <w:r w:rsidRPr="00AD584F">
        <w:rPr>
          <w:sz w:val="24"/>
          <w:szCs w:val="24"/>
        </w:rPr>
        <w:t>1968</w:t>
      </w:r>
      <w:r w:rsidR="00EB0B4F" w:rsidRPr="00AD584F">
        <w:rPr>
          <w:sz w:val="24"/>
          <w:szCs w:val="24"/>
        </w:rPr>
        <w:t>)</w:t>
      </w:r>
      <w:r w:rsidRPr="00AD584F">
        <w:rPr>
          <w:sz w:val="24"/>
          <w:szCs w:val="24"/>
        </w:rPr>
        <w:t xml:space="preserve"> </w:t>
      </w:r>
      <w:r w:rsidRPr="00AD584F">
        <w:rPr>
          <w:i/>
          <w:iCs/>
          <w:sz w:val="24"/>
          <w:szCs w:val="24"/>
        </w:rPr>
        <w:t>‘Yanomamo: The Fierce People’</w:t>
      </w:r>
      <w:r w:rsidRPr="00AD584F">
        <w:rPr>
          <w:sz w:val="24"/>
          <w:szCs w:val="24"/>
        </w:rPr>
        <w:t>, Boston: Thomson Learning.</w:t>
      </w:r>
    </w:p>
    <w:p w14:paraId="0FC6F235" w14:textId="3934590F" w:rsidR="00111D87" w:rsidRPr="00AD584F" w:rsidRDefault="00097740" w:rsidP="00960A9A">
      <w:pPr>
        <w:pStyle w:val="ListParagraph"/>
        <w:numPr>
          <w:ilvl w:val="0"/>
          <w:numId w:val="1"/>
        </w:numPr>
        <w:spacing w:line="360" w:lineRule="auto"/>
        <w:jc w:val="both"/>
        <w:rPr>
          <w:sz w:val="24"/>
          <w:szCs w:val="24"/>
        </w:rPr>
      </w:pPr>
      <w:r w:rsidRPr="00AD584F">
        <w:rPr>
          <w:sz w:val="24"/>
          <w:szCs w:val="24"/>
        </w:rPr>
        <w:lastRenderedPageBreak/>
        <w:t>Evans-Pritchard, E. (1940) ‘</w:t>
      </w:r>
      <w:r w:rsidRPr="00AD584F">
        <w:rPr>
          <w:i/>
          <w:iCs/>
          <w:sz w:val="24"/>
          <w:szCs w:val="24"/>
        </w:rPr>
        <w:t>The Nuer’</w:t>
      </w:r>
      <w:r w:rsidRPr="00AD584F">
        <w:rPr>
          <w:sz w:val="24"/>
          <w:szCs w:val="24"/>
        </w:rPr>
        <w:t>. Oxford: Oxford University Press.</w:t>
      </w:r>
    </w:p>
    <w:p w14:paraId="28495C3B" w14:textId="540AE0F2" w:rsidR="00097740" w:rsidRPr="00AD584F" w:rsidRDefault="0029316A" w:rsidP="00960A9A">
      <w:pPr>
        <w:pStyle w:val="ListParagraph"/>
        <w:numPr>
          <w:ilvl w:val="0"/>
          <w:numId w:val="1"/>
        </w:numPr>
        <w:spacing w:line="360" w:lineRule="auto"/>
        <w:jc w:val="both"/>
        <w:rPr>
          <w:sz w:val="24"/>
          <w:szCs w:val="24"/>
        </w:rPr>
      </w:pPr>
      <w:r w:rsidRPr="00AD584F">
        <w:rPr>
          <w:sz w:val="24"/>
          <w:szCs w:val="24"/>
        </w:rPr>
        <w:t xml:space="preserve">Gray, P. (2009) </w:t>
      </w:r>
      <w:r w:rsidRPr="00AD584F">
        <w:rPr>
          <w:i/>
          <w:iCs/>
          <w:sz w:val="24"/>
          <w:szCs w:val="24"/>
        </w:rPr>
        <w:t>‘Play as a foundation for hunter-gatherer social existence’</w:t>
      </w:r>
      <w:r w:rsidRPr="00AD584F">
        <w:rPr>
          <w:sz w:val="24"/>
          <w:szCs w:val="24"/>
        </w:rPr>
        <w:t>, Illinois: The Board of Trustees of the University of Illinois.</w:t>
      </w:r>
    </w:p>
    <w:p w14:paraId="7C3357F4" w14:textId="5CD7507E" w:rsidR="00097740" w:rsidRPr="00AD584F" w:rsidRDefault="00097740" w:rsidP="00960A9A">
      <w:pPr>
        <w:pStyle w:val="ListParagraph"/>
        <w:numPr>
          <w:ilvl w:val="0"/>
          <w:numId w:val="1"/>
        </w:numPr>
        <w:spacing w:line="360" w:lineRule="auto"/>
        <w:jc w:val="both"/>
        <w:rPr>
          <w:sz w:val="24"/>
          <w:szCs w:val="24"/>
        </w:rPr>
      </w:pPr>
      <w:r w:rsidRPr="00AD584F">
        <w:rPr>
          <w:sz w:val="24"/>
          <w:szCs w:val="24"/>
        </w:rPr>
        <w:t xml:space="preserve">Ingold, T. (2000) </w:t>
      </w:r>
      <w:r w:rsidRPr="00AD584F">
        <w:rPr>
          <w:i/>
          <w:iCs/>
          <w:sz w:val="24"/>
          <w:szCs w:val="24"/>
        </w:rPr>
        <w:t>‘The Perception of the Environment, Essays on livelihood, dwelling and skill’</w:t>
      </w:r>
      <w:r w:rsidRPr="00AD584F">
        <w:rPr>
          <w:sz w:val="24"/>
          <w:szCs w:val="24"/>
        </w:rPr>
        <w:t>. London: Routledge.</w:t>
      </w:r>
    </w:p>
    <w:p w14:paraId="7791273A" w14:textId="77777777" w:rsidR="00097740" w:rsidRPr="00AD584F" w:rsidRDefault="00097740" w:rsidP="00960A9A">
      <w:pPr>
        <w:pStyle w:val="ListParagraph"/>
        <w:numPr>
          <w:ilvl w:val="0"/>
          <w:numId w:val="1"/>
        </w:numPr>
        <w:spacing w:line="360" w:lineRule="auto"/>
        <w:jc w:val="both"/>
        <w:rPr>
          <w:sz w:val="24"/>
          <w:szCs w:val="24"/>
        </w:rPr>
      </w:pPr>
      <w:r w:rsidRPr="00AD584F">
        <w:rPr>
          <w:sz w:val="24"/>
          <w:szCs w:val="24"/>
        </w:rPr>
        <w:t xml:space="preserve">Marshall-Thomas, E. (1959) </w:t>
      </w:r>
      <w:r w:rsidRPr="00AD584F">
        <w:rPr>
          <w:i/>
          <w:iCs/>
          <w:sz w:val="24"/>
          <w:szCs w:val="24"/>
        </w:rPr>
        <w:t>‘The Harmless People’</w:t>
      </w:r>
      <w:r w:rsidRPr="00AD584F">
        <w:rPr>
          <w:sz w:val="24"/>
          <w:szCs w:val="24"/>
        </w:rPr>
        <w:t>. New york: Vintage Books.</w:t>
      </w:r>
    </w:p>
    <w:p w14:paraId="4B37DD5F" w14:textId="7F8EA785" w:rsidR="00097740" w:rsidRPr="00AD584F" w:rsidRDefault="00097740" w:rsidP="00960A9A">
      <w:pPr>
        <w:pStyle w:val="ListParagraph"/>
        <w:numPr>
          <w:ilvl w:val="0"/>
          <w:numId w:val="1"/>
        </w:numPr>
        <w:spacing w:line="360" w:lineRule="auto"/>
        <w:jc w:val="both"/>
        <w:rPr>
          <w:sz w:val="24"/>
          <w:szCs w:val="24"/>
        </w:rPr>
      </w:pPr>
      <w:r w:rsidRPr="00AD584F">
        <w:rPr>
          <w:sz w:val="24"/>
          <w:szCs w:val="24"/>
        </w:rPr>
        <w:t xml:space="preserve">Marx, K. </w:t>
      </w:r>
      <w:r w:rsidR="00EB0B4F" w:rsidRPr="00AD584F">
        <w:rPr>
          <w:sz w:val="24"/>
          <w:szCs w:val="24"/>
        </w:rPr>
        <w:t>(</w:t>
      </w:r>
      <w:r w:rsidRPr="00AD584F">
        <w:rPr>
          <w:sz w:val="24"/>
          <w:szCs w:val="24"/>
        </w:rPr>
        <w:t>1848</w:t>
      </w:r>
      <w:r w:rsidR="0029316A" w:rsidRPr="00AD584F">
        <w:rPr>
          <w:sz w:val="24"/>
          <w:szCs w:val="24"/>
        </w:rPr>
        <w:t>)</w:t>
      </w:r>
      <w:r w:rsidRPr="00AD584F">
        <w:rPr>
          <w:sz w:val="24"/>
          <w:szCs w:val="24"/>
        </w:rPr>
        <w:t xml:space="preserve"> </w:t>
      </w:r>
      <w:r w:rsidRPr="00AD584F">
        <w:rPr>
          <w:i/>
          <w:iCs/>
          <w:sz w:val="24"/>
          <w:szCs w:val="24"/>
        </w:rPr>
        <w:t>‘The Communist Manifesto’</w:t>
      </w:r>
      <w:r w:rsidRPr="00AD584F">
        <w:rPr>
          <w:sz w:val="24"/>
          <w:szCs w:val="24"/>
        </w:rPr>
        <w:t>, London: Communist League.</w:t>
      </w:r>
    </w:p>
    <w:p w14:paraId="4B32F86B" w14:textId="77777777" w:rsidR="00097740" w:rsidRPr="00AD584F" w:rsidRDefault="00097740" w:rsidP="00960A9A">
      <w:pPr>
        <w:pStyle w:val="ListParagraph"/>
        <w:numPr>
          <w:ilvl w:val="0"/>
          <w:numId w:val="1"/>
        </w:numPr>
        <w:spacing w:line="360" w:lineRule="auto"/>
        <w:jc w:val="both"/>
        <w:rPr>
          <w:sz w:val="24"/>
          <w:szCs w:val="24"/>
        </w:rPr>
      </w:pPr>
      <w:r w:rsidRPr="00AD584F">
        <w:rPr>
          <w:sz w:val="24"/>
          <w:szCs w:val="24"/>
        </w:rPr>
        <w:t xml:space="preserve">Turnbull, C. (1961) </w:t>
      </w:r>
      <w:r w:rsidRPr="00AD584F">
        <w:rPr>
          <w:i/>
          <w:iCs/>
          <w:sz w:val="24"/>
          <w:szCs w:val="24"/>
        </w:rPr>
        <w:t>‘the forest people’</w:t>
      </w:r>
      <w:r w:rsidRPr="00AD584F">
        <w:rPr>
          <w:sz w:val="24"/>
          <w:szCs w:val="24"/>
        </w:rPr>
        <w:t>. New york: Simon &amp; Schuster.</w:t>
      </w:r>
    </w:p>
    <w:p w14:paraId="3494F6D5" w14:textId="718CAC0D" w:rsidR="00097740" w:rsidRPr="00AD584F" w:rsidRDefault="00097740" w:rsidP="00960A9A">
      <w:pPr>
        <w:pStyle w:val="ListParagraph"/>
        <w:numPr>
          <w:ilvl w:val="0"/>
          <w:numId w:val="1"/>
        </w:numPr>
        <w:spacing w:line="360" w:lineRule="auto"/>
        <w:jc w:val="both"/>
        <w:rPr>
          <w:sz w:val="24"/>
          <w:szCs w:val="24"/>
        </w:rPr>
      </w:pPr>
      <w:r w:rsidRPr="00AD584F">
        <w:rPr>
          <w:sz w:val="24"/>
          <w:szCs w:val="24"/>
        </w:rPr>
        <w:t>Woodburn</w:t>
      </w:r>
      <w:r w:rsidR="0029316A" w:rsidRPr="00AD584F">
        <w:rPr>
          <w:sz w:val="24"/>
          <w:szCs w:val="24"/>
        </w:rPr>
        <w:t xml:space="preserve">, J. (1982) </w:t>
      </w:r>
      <w:r w:rsidR="0029316A" w:rsidRPr="00AD584F">
        <w:rPr>
          <w:i/>
          <w:iCs/>
          <w:sz w:val="24"/>
          <w:szCs w:val="24"/>
        </w:rPr>
        <w:t>‘Egalitarian Societies’</w:t>
      </w:r>
      <w:r w:rsidR="0029316A" w:rsidRPr="00AD584F">
        <w:rPr>
          <w:sz w:val="24"/>
          <w:szCs w:val="24"/>
        </w:rPr>
        <w:t>. United Kingdom</w:t>
      </w:r>
      <w:r w:rsidR="009019DD" w:rsidRPr="00AD584F">
        <w:rPr>
          <w:sz w:val="24"/>
          <w:szCs w:val="24"/>
        </w:rPr>
        <w:t>: Royal Anthropological Institute of Great Britain and Ireland.</w:t>
      </w:r>
    </w:p>
    <w:sectPr w:rsidR="00097740" w:rsidRPr="00AD5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B2465A"/>
    <w:multiLevelType w:val="hybridMultilevel"/>
    <w:tmpl w:val="378C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EA5"/>
    <w:rsid w:val="00020761"/>
    <w:rsid w:val="000501D9"/>
    <w:rsid w:val="00097740"/>
    <w:rsid w:val="000B0132"/>
    <w:rsid w:val="00111D87"/>
    <w:rsid w:val="0029316A"/>
    <w:rsid w:val="003C7E7E"/>
    <w:rsid w:val="003E072B"/>
    <w:rsid w:val="00405AAF"/>
    <w:rsid w:val="0045746A"/>
    <w:rsid w:val="00494A1A"/>
    <w:rsid w:val="004D426A"/>
    <w:rsid w:val="00521CC8"/>
    <w:rsid w:val="00562DAC"/>
    <w:rsid w:val="005650F2"/>
    <w:rsid w:val="005D4CD8"/>
    <w:rsid w:val="00661308"/>
    <w:rsid w:val="007002AC"/>
    <w:rsid w:val="00746FA2"/>
    <w:rsid w:val="00813BA0"/>
    <w:rsid w:val="008555A4"/>
    <w:rsid w:val="009019DD"/>
    <w:rsid w:val="00960A9A"/>
    <w:rsid w:val="009A776B"/>
    <w:rsid w:val="00A64D45"/>
    <w:rsid w:val="00A96766"/>
    <w:rsid w:val="00AB3A96"/>
    <w:rsid w:val="00AD584F"/>
    <w:rsid w:val="00AD7447"/>
    <w:rsid w:val="00B90FE9"/>
    <w:rsid w:val="00CF1441"/>
    <w:rsid w:val="00D44314"/>
    <w:rsid w:val="00E07EA5"/>
    <w:rsid w:val="00E2349C"/>
    <w:rsid w:val="00E8441B"/>
    <w:rsid w:val="00E93C41"/>
    <w:rsid w:val="00EB0B4F"/>
    <w:rsid w:val="00F8291B"/>
    <w:rsid w:val="00F82C18"/>
    <w:rsid w:val="00FC4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0CAC"/>
  <w15:chartTrackingRefBased/>
  <w15:docId w15:val="{FE5C708C-978D-4D1C-B09B-A8AD803CF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D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4</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dc:creator>
  <cp:keywords/>
  <dc:description/>
  <cp:lastModifiedBy>jasmine williams</cp:lastModifiedBy>
  <cp:revision>13</cp:revision>
  <dcterms:created xsi:type="dcterms:W3CDTF">2019-11-17T16:18:00Z</dcterms:created>
  <dcterms:modified xsi:type="dcterms:W3CDTF">2019-11-17T22:12:00Z</dcterms:modified>
</cp:coreProperties>
</file>