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DF211"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710C4FDD"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0060BB63" w14:textId="4BC92FAD" w:rsidR="008A66CC" w:rsidRPr="008A66CC" w:rsidRDefault="008A66CC" w:rsidP="008A66CC">
      <w:pPr>
        <w:spacing w:after="0" w:line="480" w:lineRule="auto"/>
        <w:jc w:val="center"/>
        <w:rPr>
          <w:rFonts w:ascii="Times New Roman" w:hAnsi="Times New Roman" w:cs="Times New Roman"/>
          <w:b/>
          <w:bCs/>
          <w:kern w:val="0"/>
          <w:sz w:val="24"/>
          <w:szCs w:val="24"/>
          <w14:ligatures w14:val="none"/>
        </w:rPr>
      </w:pPr>
      <w:r w:rsidRPr="008A66CC">
        <w:rPr>
          <w:rFonts w:ascii="Times New Roman" w:hAnsi="Times New Roman" w:cs="Times New Roman"/>
          <w:b/>
          <w:bCs/>
          <w:kern w:val="0"/>
          <w:sz w:val="24"/>
          <w:szCs w:val="24"/>
          <w14:ligatures w14:val="none"/>
        </w:rPr>
        <w:t>Research Proposal</w:t>
      </w:r>
    </w:p>
    <w:p w14:paraId="1A01803C" w14:textId="77777777" w:rsidR="008A66CC" w:rsidRPr="00645B93" w:rsidRDefault="008A66CC" w:rsidP="008A66CC">
      <w:pPr>
        <w:spacing w:after="0" w:line="480" w:lineRule="auto"/>
        <w:jc w:val="center"/>
        <w:rPr>
          <w:rFonts w:ascii="Times New Roman" w:hAnsi="Times New Roman" w:cs="Times New Roman"/>
          <w:b/>
          <w:bCs/>
          <w:kern w:val="0"/>
          <w:sz w:val="24"/>
          <w:szCs w:val="24"/>
          <w14:ligatures w14:val="none"/>
        </w:rPr>
      </w:pPr>
      <w:r w:rsidRPr="00645B93">
        <w:rPr>
          <w:rFonts w:ascii="Times New Roman" w:hAnsi="Times New Roman" w:cs="Times New Roman"/>
          <w:b/>
          <w:bCs/>
          <w:kern w:val="0"/>
          <w:sz w:val="24"/>
          <w:szCs w:val="24"/>
          <w14:ligatures w14:val="none"/>
        </w:rPr>
        <w:t>Cost Effectiveness and Efficiency of Green Hydrogen Production for Small to Large Scale Projects</w:t>
      </w:r>
    </w:p>
    <w:p w14:paraId="46A14B46" w14:textId="77777777" w:rsidR="008A66CC" w:rsidRPr="008A66CC" w:rsidRDefault="008A66CC" w:rsidP="008A66CC">
      <w:pPr>
        <w:spacing w:after="0" w:line="480" w:lineRule="auto"/>
        <w:jc w:val="center"/>
        <w:rPr>
          <w:rFonts w:ascii="Times New Roman" w:hAnsi="Times New Roman" w:cs="Times New Roman"/>
          <w:kern w:val="0"/>
          <w:sz w:val="24"/>
          <w:szCs w:val="24"/>
          <w14:ligatures w14:val="none"/>
        </w:rPr>
      </w:pPr>
      <w:r w:rsidRPr="008A66CC">
        <w:rPr>
          <w:rFonts w:ascii="Times New Roman" w:hAnsi="Times New Roman" w:cs="Times New Roman"/>
          <w:kern w:val="0"/>
          <w:sz w:val="24"/>
          <w:szCs w:val="24"/>
          <w14:ligatures w14:val="none"/>
        </w:rPr>
        <w:t>Darren Thomas</w:t>
      </w:r>
    </w:p>
    <w:p w14:paraId="34D19D98" w14:textId="77777777" w:rsidR="008A66CC" w:rsidRPr="008A66CC" w:rsidRDefault="008A66CC" w:rsidP="008A66CC">
      <w:pPr>
        <w:spacing w:after="0" w:line="480" w:lineRule="auto"/>
        <w:jc w:val="center"/>
        <w:rPr>
          <w:rFonts w:ascii="Times New Roman" w:hAnsi="Times New Roman" w:cs="Times New Roman"/>
          <w:kern w:val="0"/>
          <w:sz w:val="24"/>
          <w:szCs w:val="24"/>
          <w14:ligatures w14:val="none"/>
        </w:rPr>
      </w:pPr>
      <w:r w:rsidRPr="008A66CC">
        <w:rPr>
          <w:rFonts w:ascii="Times New Roman" w:hAnsi="Times New Roman" w:cs="Times New Roman"/>
          <w:kern w:val="0"/>
          <w:sz w:val="24"/>
          <w:szCs w:val="24"/>
          <w14:ligatures w14:val="none"/>
        </w:rPr>
        <w:t>Student ID 2117577</w:t>
      </w:r>
    </w:p>
    <w:p w14:paraId="6897A21D" w14:textId="77777777" w:rsidR="008A66CC" w:rsidRPr="008A66CC" w:rsidRDefault="008A66CC" w:rsidP="008A66CC">
      <w:pPr>
        <w:spacing w:after="0" w:line="480" w:lineRule="auto"/>
        <w:jc w:val="center"/>
        <w:rPr>
          <w:rFonts w:ascii="Times New Roman" w:hAnsi="Times New Roman" w:cs="Times New Roman"/>
          <w:kern w:val="0"/>
          <w:sz w:val="24"/>
          <w:szCs w:val="24"/>
          <w14:ligatures w14:val="none"/>
        </w:rPr>
      </w:pPr>
      <w:r w:rsidRPr="008A66CC">
        <w:rPr>
          <w:rFonts w:ascii="Times New Roman" w:hAnsi="Times New Roman" w:cs="Times New Roman"/>
          <w:kern w:val="0"/>
          <w:sz w:val="24"/>
          <w:szCs w:val="24"/>
          <w14:ligatures w14:val="none"/>
        </w:rPr>
        <w:t>MSc Engineering Project Management, University of Wales Trinity of Saint David</w:t>
      </w:r>
    </w:p>
    <w:p w14:paraId="1C3320D5" w14:textId="77777777" w:rsidR="008A66CC" w:rsidRPr="008A66CC" w:rsidRDefault="008A66CC" w:rsidP="008A66CC">
      <w:pPr>
        <w:spacing w:after="0" w:line="480" w:lineRule="auto"/>
        <w:jc w:val="center"/>
        <w:rPr>
          <w:rFonts w:ascii="Times New Roman" w:hAnsi="Times New Roman" w:cs="Times New Roman"/>
          <w:kern w:val="0"/>
          <w:sz w:val="24"/>
          <w:szCs w:val="24"/>
          <w14:ligatures w14:val="none"/>
        </w:rPr>
      </w:pPr>
      <w:r w:rsidRPr="008A66CC">
        <w:rPr>
          <w:rFonts w:ascii="Times New Roman" w:hAnsi="Times New Roman" w:cs="Times New Roman"/>
          <w:kern w:val="0"/>
          <w:sz w:val="24"/>
          <w:szCs w:val="24"/>
          <w14:ligatures w14:val="none"/>
        </w:rPr>
        <w:t>ACEA 7004: Research Methods and Professional Developments</w:t>
      </w:r>
    </w:p>
    <w:p w14:paraId="707F4D3D" w14:textId="77777777" w:rsidR="008A66CC" w:rsidRPr="008A66CC" w:rsidRDefault="008A66CC" w:rsidP="008A66CC">
      <w:pPr>
        <w:spacing w:after="0" w:line="480" w:lineRule="auto"/>
        <w:jc w:val="center"/>
        <w:rPr>
          <w:rFonts w:ascii="Times New Roman" w:hAnsi="Times New Roman" w:cs="Times New Roman"/>
          <w:kern w:val="0"/>
          <w:sz w:val="24"/>
          <w:szCs w:val="24"/>
          <w14:ligatures w14:val="none"/>
        </w:rPr>
      </w:pPr>
      <w:r w:rsidRPr="008A66CC">
        <w:rPr>
          <w:rFonts w:ascii="Times New Roman" w:hAnsi="Times New Roman" w:cs="Times New Roman"/>
          <w:kern w:val="0"/>
          <w:sz w:val="24"/>
          <w:szCs w:val="24"/>
          <w14:ligatures w14:val="none"/>
        </w:rPr>
        <w:t>Lecturer: Peter Charlton</w:t>
      </w:r>
    </w:p>
    <w:p w14:paraId="5EC31066" w14:textId="77777777" w:rsidR="008A66CC" w:rsidRPr="008A66CC" w:rsidRDefault="008A66CC" w:rsidP="008A66CC">
      <w:pPr>
        <w:spacing w:after="0" w:line="480" w:lineRule="auto"/>
        <w:jc w:val="center"/>
        <w:rPr>
          <w:rFonts w:ascii="Times New Roman" w:hAnsi="Times New Roman" w:cs="Times New Roman"/>
          <w:kern w:val="0"/>
          <w:sz w:val="24"/>
          <w:szCs w:val="24"/>
          <w14:ligatures w14:val="none"/>
        </w:rPr>
      </w:pPr>
      <w:r w:rsidRPr="008A66CC">
        <w:rPr>
          <w:rFonts w:ascii="Times New Roman" w:hAnsi="Times New Roman" w:cs="Times New Roman"/>
          <w:kern w:val="0"/>
          <w:sz w:val="24"/>
          <w:szCs w:val="24"/>
          <w14:ligatures w14:val="none"/>
        </w:rPr>
        <w:t>Presentation Seminar – wk. beginning 6th March 2023</w:t>
      </w:r>
    </w:p>
    <w:p w14:paraId="7C5900FA" w14:textId="77777777" w:rsidR="008A66CC" w:rsidRPr="008A66CC" w:rsidRDefault="008A66CC" w:rsidP="008A66CC">
      <w:pPr>
        <w:spacing w:after="0" w:line="480" w:lineRule="auto"/>
        <w:jc w:val="center"/>
        <w:rPr>
          <w:rFonts w:ascii="Times New Roman" w:hAnsi="Times New Roman" w:cs="Times New Roman"/>
          <w:kern w:val="0"/>
          <w:sz w:val="24"/>
          <w:szCs w:val="24"/>
          <w14:ligatures w14:val="none"/>
        </w:rPr>
      </w:pPr>
      <w:r w:rsidRPr="008A66CC">
        <w:rPr>
          <w:rFonts w:ascii="Times New Roman" w:hAnsi="Times New Roman" w:cs="Times New Roman"/>
          <w:kern w:val="0"/>
          <w:sz w:val="24"/>
          <w:szCs w:val="24"/>
          <w14:ligatures w14:val="none"/>
        </w:rPr>
        <w:t>Research Proposal – 10pm on 31st March 2023</w:t>
      </w:r>
    </w:p>
    <w:p w14:paraId="7D87748C"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508F1745"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r w:rsidRPr="008A66CC">
        <w:rPr>
          <w:rFonts w:ascii="Times New Roman" w:eastAsia="Times New Roman" w:hAnsi="Times New Roman" w:cs="Times New Roman"/>
          <w:noProof/>
          <w:kern w:val="0"/>
          <w:sz w:val="20"/>
          <w:szCs w:val="20"/>
          <w:lang w:eastAsia="en-GB"/>
          <w14:ligatures w14:val="none"/>
        </w:rPr>
        <w:drawing>
          <wp:inline distT="0" distB="0" distL="0" distR="0" wp14:anchorId="054A489A" wp14:editId="0DCFDE31">
            <wp:extent cx="5731510" cy="3989070"/>
            <wp:effectExtent l="0" t="0" r="2540" b="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989070"/>
                    </a:xfrm>
                    <a:prstGeom prst="rect">
                      <a:avLst/>
                    </a:prstGeom>
                    <a:noFill/>
                    <a:ln>
                      <a:noFill/>
                    </a:ln>
                  </pic:spPr>
                </pic:pic>
              </a:graphicData>
            </a:graphic>
          </wp:inline>
        </w:drawing>
      </w:r>
    </w:p>
    <w:p w14:paraId="1C7C8803"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707A9BAD"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2AB32BB8" w14:textId="77777777" w:rsidR="008A66CC" w:rsidRPr="008A66CC" w:rsidRDefault="008A66CC" w:rsidP="00FF22F0">
      <w:pPr>
        <w:pStyle w:val="Heading4"/>
      </w:pPr>
      <w:bookmarkStart w:id="0" w:name="_Toc130129817"/>
      <w:bookmarkStart w:id="1" w:name="_Toc130137113"/>
      <w:bookmarkStart w:id="2" w:name="_Toc130652793"/>
      <w:r w:rsidRPr="008A66CC">
        <w:t xml:space="preserve">Figure 1. Electrolysis  </w:t>
      </w:r>
      <w:sdt>
        <w:sdtPr>
          <w:id w:val="1579640330"/>
          <w:citation/>
        </w:sdtPr>
        <w:sdtContent>
          <w:r w:rsidRPr="008A66CC">
            <w:fldChar w:fldCharType="begin"/>
          </w:r>
          <w:r w:rsidRPr="008A66CC">
            <w:instrText xml:space="preserve"> CITATION The23 \l 2057 </w:instrText>
          </w:r>
          <w:r w:rsidRPr="008A66CC">
            <w:fldChar w:fldCharType="separate"/>
          </w:r>
          <w:r w:rsidRPr="008A66CC">
            <w:t>(The Science Hive, 2023)</w:t>
          </w:r>
          <w:r w:rsidRPr="008A66CC">
            <w:fldChar w:fldCharType="end"/>
          </w:r>
        </w:sdtContent>
      </w:sdt>
      <w:bookmarkEnd w:id="0"/>
      <w:bookmarkEnd w:id="1"/>
      <w:bookmarkEnd w:id="2"/>
    </w:p>
    <w:p w14:paraId="36A0ECAA" w14:textId="77777777" w:rsidR="008A66CC" w:rsidRPr="008A66CC" w:rsidRDefault="008A66CC" w:rsidP="008A66CC">
      <w:pPr>
        <w:spacing w:after="0" w:line="240" w:lineRule="auto"/>
        <w:jc w:val="both"/>
        <w:rPr>
          <w:rFonts w:ascii="Arial" w:eastAsia="Times New Roman" w:hAnsi="Arial" w:cs="Arial"/>
          <w:kern w:val="0"/>
          <w:sz w:val="24"/>
          <w:szCs w:val="24"/>
          <w:lang w:eastAsia="en-GB"/>
          <w14:ligatures w14:val="none"/>
        </w:rPr>
      </w:pPr>
    </w:p>
    <w:p w14:paraId="56A3FFC9" w14:textId="77777777" w:rsidR="008A66CC" w:rsidRPr="008A66CC" w:rsidRDefault="008A66CC" w:rsidP="008A66CC">
      <w:pPr>
        <w:spacing w:after="0" w:line="240" w:lineRule="auto"/>
        <w:jc w:val="both"/>
        <w:rPr>
          <w:rFonts w:ascii="Arial" w:eastAsia="Times New Roman" w:hAnsi="Arial" w:cs="Arial"/>
          <w:kern w:val="0"/>
          <w:sz w:val="24"/>
          <w:szCs w:val="24"/>
          <w:lang w:eastAsia="en-GB"/>
          <w14:ligatures w14:val="none"/>
        </w:rPr>
      </w:pPr>
    </w:p>
    <w:p w14:paraId="6C98AD8A" w14:textId="77777777" w:rsidR="008A66CC" w:rsidRPr="008A66CC" w:rsidRDefault="008A66CC" w:rsidP="00EA1B10">
      <w:pPr>
        <w:pStyle w:val="Heading1"/>
      </w:pPr>
      <w:bookmarkStart w:id="3" w:name="_Toc130736538"/>
      <w:bookmarkStart w:id="4" w:name="_Toc94973677"/>
      <w:r w:rsidRPr="008A66CC">
        <w:lastRenderedPageBreak/>
        <w:t>Contents</w:t>
      </w:r>
      <w:bookmarkEnd w:id="3"/>
      <w:r w:rsidRPr="008A66CC">
        <w:t xml:space="preserve"> </w:t>
      </w:r>
      <w:bookmarkEnd w:id="4"/>
    </w:p>
    <w:sdt>
      <w:sdtPr>
        <w:rPr>
          <w:rFonts w:ascii="Arial" w:eastAsia="Times New Roman" w:hAnsi="Arial" w:cs="Arial"/>
          <w:b/>
          <w:bCs/>
          <w:kern w:val="0"/>
          <w:sz w:val="24"/>
          <w:szCs w:val="24"/>
          <w:lang w:val="en-US"/>
          <w14:ligatures w14:val="none"/>
        </w:rPr>
        <w:id w:val="691503852"/>
        <w:docPartObj>
          <w:docPartGallery w:val="Table of Contents"/>
          <w:docPartUnique/>
        </w:docPartObj>
      </w:sdtPr>
      <w:sdtEndPr>
        <w:rPr>
          <w:rFonts w:ascii="Times New Roman" w:hAnsi="Times New Roman" w:cs="Times New Roman"/>
          <w:noProof/>
          <w:sz w:val="20"/>
          <w:szCs w:val="20"/>
          <w:lang w:val="en-GB" w:eastAsia="en-GB"/>
        </w:rPr>
      </w:sdtEndPr>
      <w:sdtContent>
        <w:p w14:paraId="38467A13" w14:textId="77777777" w:rsidR="008A66CC" w:rsidRPr="008A66CC" w:rsidRDefault="008A66CC" w:rsidP="008A66CC">
          <w:pPr>
            <w:spacing w:after="0"/>
            <w:jc w:val="center"/>
            <w:rPr>
              <w:rFonts w:ascii="Arial" w:eastAsia="Times New Roman" w:hAnsi="Arial" w:cs="Arial"/>
              <w:b/>
              <w:bCs/>
              <w:kern w:val="0"/>
              <w:sz w:val="24"/>
              <w:szCs w:val="24"/>
              <w:lang w:val="en-US"/>
              <w14:ligatures w14:val="none"/>
            </w:rPr>
          </w:pPr>
        </w:p>
        <w:p w14:paraId="0B71F0EA" w14:textId="7429FD0B" w:rsidR="00645B93" w:rsidRDefault="008A66CC">
          <w:pPr>
            <w:pStyle w:val="TOC1"/>
            <w:tabs>
              <w:tab w:val="right" w:leader="dot" w:pos="9016"/>
            </w:tabs>
            <w:rPr>
              <w:rFonts w:cstheme="minorBidi"/>
              <w:noProof/>
              <w:lang w:val="en-GB" w:eastAsia="en-GB"/>
            </w:rPr>
          </w:pPr>
          <w:r w:rsidRPr="008A66CC">
            <w:fldChar w:fldCharType="begin"/>
          </w:r>
          <w:r w:rsidRPr="008A66CC">
            <w:instrText xml:space="preserve"> TOC \o "1-3" \h \z \u </w:instrText>
          </w:r>
          <w:r w:rsidRPr="008A66CC">
            <w:fldChar w:fldCharType="separate"/>
          </w:r>
          <w:hyperlink w:anchor="_Toc130736538" w:history="1">
            <w:r w:rsidR="00645B93" w:rsidRPr="006B1F57">
              <w:rPr>
                <w:rStyle w:val="Hyperlink"/>
                <w:noProof/>
              </w:rPr>
              <w:t>Contents</w:t>
            </w:r>
            <w:r w:rsidR="00645B93">
              <w:rPr>
                <w:noProof/>
                <w:webHidden/>
              </w:rPr>
              <w:tab/>
            </w:r>
            <w:r w:rsidR="00645B93">
              <w:rPr>
                <w:noProof/>
                <w:webHidden/>
              </w:rPr>
              <w:fldChar w:fldCharType="begin"/>
            </w:r>
            <w:r w:rsidR="00645B93">
              <w:rPr>
                <w:noProof/>
                <w:webHidden/>
              </w:rPr>
              <w:instrText xml:space="preserve"> PAGEREF _Toc130736538 \h </w:instrText>
            </w:r>
            <w:r w:rsidR="00645B93">
              <w:rPr>
                <w:noProof/>
                <w:webHidden/>
              </w:rPr>
            </w:r>
            <w:r w:rsidR="00645B93">
              <w:rPr>
                <w:noProof/>
                <w:webHidden/>
              </w:rPr>
              <w:fldChar w:fldCharType="separate"/>
            </w:r>
            <w:r w:rsidR="00645B93">
              <w:rPr>
                <w:noProof/>
                <w:webHidden/>
              </w:rPr>
              <w:t>2</w:t>
            </w:r>
            <w:r w:rsidR="00645B93">
              <w:rPr>
                <w:noProof/>
                <w:webHidden/>
              </w:rPr>
              <w:fldChar w:fldCharType="end"/>
            </w:r>
          </w:hyperlink>
        </w:p>
        <w:p w14:paraId="2D33E7BF" w14:textId="277509D7" w:rsidR="00645B93" w:rsidRDefault="00000000">
          <w:pPr>
            <w:pStyle w:val="TOC1"/>
            <w:tabs>
              <w:tab w:val="right" w:leader="dot" w:pos="9016"/>
            </w:tabs>
            <w:rPr>
              <w:rFonts w:cstheme="minorBidi"/>
              <w:noProof/>
              <w:lang w:val="en-GB" w:eastAsia="en-GB"/>
            </w:rPr>
          </w:pPr>
          <w:hyperlink w:anchor="_Toc130736539" w:history="1">
            <w:r w:rsidR="00645B93" w:rsidRPr="006B1F57">
              <w:rPr>
                <w:rStyle w:val="Hyperlink"/>
                <w:noProof/>
              </w:rPr>
              <w:t>Abstract</w:t>
            </w:r>
            <w:r w:rsidR="00645B93">
              <w:rPr>
                <w:noProof/>
                <w:webHidden/>
              </w:rPr>
              <w:tab/>
            </w:r>
            <w:r w:rsidR="00645B93">
              <w:rPr>
                <w:noProof/>
                <w:webHidden/>
              </w:rPr>
              <w:fldChar w:fldCharType="begin"/>
            </w:r>
            <w:r w:rsidR="00645B93">
              <w:rPr>
                <w:noProof/>
                <w:webHidden/>
              </w:rPr>
              <w:instrText xml:space="preserve"> PAGEREF _Toc130736539 \h </w:instrText>
            </w:r>
            <w:r w:rsidR="00645B93">
              <w:rPr>
                <w:noProof/>
                <w:webHidden/>
              </w:rPr>
            </w:r>
            <w:r w:rsidR="00645B93">
              <w:rPr>
                <w:noProof/>
                <w:webHidden/>
              </w:rPr>
              <w:fldChar w:fldCharType="separate"/>
            </w:r>
            <w:r w:rsidR="00645B93">
              <w:rPr>
                <w:noProof/>
                <w:webHidden/>
              </w:rPr>
              <w:t>3</w:t>
            </w:r>
            <w:r w:rsidR="00645B93">
              <w:rPr>
                <w:noProof/>
                <w:webHidden/>
              </w:rPr>
              <w:fldChar w:fldCharType="end"/>
            </w:r>
          </w:hyperlink>
        </w:p>
        <w:p w14:paraId="3B4E60B4" w14:textId="317B9929" w:rsidR="00645B93" w:rsidRDefault="00000000">
          <w:pPr>
            <w:pStyle w:val="TOC1"/>
            <w:tabs>
              <w:tab w:val="right" w:leader="dot" w:pos="9016"/>
            </w:tabs>
            <w:rPr>
              <w:rFonts w:cstheme="minorBidi"/>
              <w:noProof/>
              <w:lang w:val="en-GB" w:eastAsia="en-GB"/>
            </w:rPr>
          </w:pPr>
          <w:hyperlink w:anchor="_Toc130736540" w:history="1">
            <w:r w:rsidR="00645B93" w:rsidRPr="006B1F57">
              <w:rPr>
                <w:rStyle w:val="Hyperlink"/>
                <w:noProof/>
              </w:rPr>
              <w:t>Introduction</w:t>
            </w:r>
            <w:r w:rsidR="00645B93">
              <w:rPr>
                <w:noProof/>
                <w:webHidden/>
              </w:rPr>
              <w:tab/>
            </w:r>
            <w:r w:rsidR="00645B93">
              <w:rPr>
                <w:noProof/>
                <w:webHidden/>
              </w:rPr>
              <w:fldChar w:fldCharType="begin"/>
            </w:r>
            <w:r w:rsidR="00645B93">
              <w:rPr>
                <w:noProof/>
                <w:webHidden/>
              </w:rPr>
              <w:instrText xml:space="preserve"> PAGEREF _Toc130736540 \h </w:instrText>
            </w:r>
            <w:r w:rsidR="00645B93">
              <w:rPr>
                <w:noProof/>
                <w:webHidden/>
              </w:rPr>
            </w:r>
            <w:r w:rsidR="00645B93">
              <w:rPr>
                <w:noProof/>
                <w:webHidden/>
              </w:rPr>
              <w:fldChar w:fldCharType="separate"/>
            </w:r>
            <w:r w:rsidR="00645B93">
              <w:rPr>
                <w:noProof/>
                <w:webHidden/>
              </w:rPr>
              <w:t>4</w:t>
            </w:r>
            <w:r w:rsidR="00645B93">
              <w:rPr>
                <w:noProof/>
                <w:webHidden/>
              </w:rPr>
              <w:fldChar w:fldCharType="end"/>
            </w:r>
          </w:hyperlink>
        </w:p>
        <w:p w14:paraId="48E0BCD2" w14:textId="4CF099EA" w:rsidR="00645B93" w:rsidRDefault="00000000">
          <w:pPr>
            <w:pStyle w:val="TOC2"/>
            <w:rPr>
              <w:rFonts w:asciiTheme="minorHAnsi" w:hAnsiTheme="minorHAnsi" w:cstheme="minorBidi"/>
              <w:lang w:val="en-GB" w:eastAsia="en-GB"/>
            </w:rPr>
          </w:pPr>
          <w:hyperlink w:anchor="_Toc130736541" w:history="1">
            <w:r w:rsidR="00645B93" w:rsidRPr="006B1F57">
              <w:rPr>
                <w:rStyle w:val="Hyperlink"/>
              </w:rPr>
              <w:t>Green Hydrogen and the Global Economy</w:t>
            </w:r>
            <w:r w:rsidR="00645B93">
              <w:rPr>
                <w:webHidden/>
              </w:rPr>
              <w:tab/>
            </w:r>
            <w:r w:rsidR="00645B93">
              <w:rPr>
                <w:webHidden/>
              </w:rPr>
              <w:fldChar w:fldCharType="begin"/>
            </w:r>
            <w:r w:rsidR="00645B93">
              <w:rPr>
                <w:webHidden/>
              </w:rPr>
              <w:instrText xml:space="preserve"> PAGEREF _Toc130736541 \h </w:instrText>
            </w:r>
            <w:r w:rsidR="00645B93">
              <w:rPr>
                <w:webHidden/>
              </w:rPr>
            </w:r>
            <w:r w:rsidR="00645B93">
              <w:rPr>
                <w:webHidden/>
              </w:rPr>
              <w:fldChar w:fldCharType="separate"/>
            </w:r>
            <w:r w:rsidR="00645B93">
              <w:rPr>
                <w:webHidden/>
              </w:rPr>
              <w:t>4</w:t>
            </w:r>
            <w:r w:rsidR="00645B93">
              <w:rPr>
                <w:webHidden/>
              </w:rPr>
              <w:fldChar w:fldCharType="end"/>
            </w:r>
          </w:hyperlink>
        </w:p>
        <w:p w14:paraId="70B89F8D" w14:textId="10C90A20" w:rsidR="00645B93" w:rsidRDefault="00000000">
          <w:pPr>
            <w:pStyle w:val="TOC1"/>
            <w:tabs>
              <w:tab w:val="right" w:leader="dot" w:pos="9016"/>
            </w:tabs>
            <w:rPr>
              <w:rFonts w:cstheme="minorBidi"/>
              <w:noProof/>
              <w:lang w:val="en-GB" w:eastAsia="en-GB"/>
            </w:rPr>
          </w:pPr>
          <w:hyperlink w:anchor="_Toc130736542" w:history="1">
            <w:r w:rsidR="00645B93" w:rsidRPr="006B1F57">
              <w:rPr>
                <w:rStyle w:val="Hyperlink"/>
                <w:noProof/>
              </w:rPr>
              <w:t>Literature Review</w:t>
            </w:r>
            <w:r w:rsidR="00645B93">
              <w:rPr>
                <w:noProof/>
                <w:webHidden/>
              </w:rPr>
              <w:tab/>
            </w:r>
            <w:r w:rsidR="00645B93">
              <w:rPr>
                <w:noProof/>
                <w:webHidden/>
              </w:rPr>
              <w:fldChar w:fldCharType="begin"/>
            </w:r>
            <w:r w:rsidR="00645B93">
              <w:rPr>
                <w:noProof/>
                <w:webHidden/>
              </w:rPr>
              <w:instrText xml:space="preserve"> PAGEREF _Toc130736542 \h </w:instrText>
            </w:r>
            <w:r w:rsidR="00645B93">
              <w:rPr>
                <w:noProof/>
                <w:webHidden/>
              </w:rPr>
            </w:r>
            <w:r w:rsidR="00645B93">
              <w:rPr>
                <w:noProof/>
                <w:webHidden/>
              </w:rPr>
              <w:fldChar w:fldCharType="separate"/>
            </w:r>
            <w:r w:rsidR="00645B93">
              <w:rPr>
                <w:noProof/>
                <w:webHidden/>
              </w:rPr>
              <w:t>5</w:t>
            </w:r>
            <w:r w:rsidR="00645B93">
              <w:rPr>
                <w:noProof/>
                <w:webHidden/>
              </w:rPr>
              <w:fldChar w:fldCharType="end"/>
            </w:r>
          </w:hyperlink>
        </w:p>
        <w:p w14:paraId="75CDC733" w14:textId="5B6EE4F0" w:rsidR="00645B93" w:rsidRDefault="00000000">
          <w:pPr>
            <w:pStyle w:val="TOC2"/>
            <w:rPr>
              <w:rFonts w:asciiTheme="minorHAnsi" w:hAnsiTheme="minorHAnsi" w:cstheme="minorBidi"/>
              <w:lang w:val="en-GB" w:eastAsia="en-GB"/>
            </w:rPr>
          </w:pPr>
          <w:hyperlink w:anchor="_Toc130736543" w:history="1">
            <w:r w:rsidR="00645B93" w:rsidRPr="006B1F57">
              <w:rPr>
                <w:rStyle w:val="Hyperlink"/>
              </w:rPr>
              <w:t>CO2 Emissions</w:t>
            </w:r>
            <w:r w:rsidR="00645B93">
              <w:rPr>
                <w:webHidden/>
              </w:rPr>
              <w:tab/>
            </w:r>
            <w:r w:rsidR="00645B93">
              <w:rPr>
                <w:webHidden/>
              </w:rPr>
              <w:fldChar w:fldCharType="begin"/>
            </w:r>
            <w:r w:rsidR="00645B93">
              <w:rPr>
                <w:webHidden/>
              </w:rPr>
              <w:instrText xml:space="preserve"> PAGEREF _Toc130736543 \h </w:instrText>
            </w:r>
            <w:r w:rsidR="00645B93">
              <w:rPr>
                <w:webHidden/>
              </w:rPr>
            </w:r>
            <w:r w:rsidR="00645B93">
              <w:rPr>
                <w:webHidden/>
              </w:rPr>
              <w:fldChar w:fldCharType="separate"/>
            </w:r>
            <w:r w:rsidR="00645B93">
              <w:rPr>
                <w:webHidden/>
              </w:rPr>
              <w:t>5</w:t>
            </w:r>
            <w:r w:rsidR="00645B93">
              <w:rPr>
                <w:webHidden/>
              </w:rPr>
              <w:fldChar w:fldCharType="end"/>
            </w:r>
          </w:hyperlink>
        </w:p>
        <w:p w14:paraId="725FEDC7" w14:textId="3329688A" w:rsidR="00645B93" w:rsidRDefault="00000000">
          <w:pPr>
            <w:pStyle w:val="TOC2"/>
            <w:rPr>
              <w:rFonts w:asciiTheme="minorHAnsi" w:hAnsiTheme="minorHAnsi" w:cstheme="minorBidi"/>
              <w:lang w:val="en-GB" w:eastAsia="en-GB"/>
            </w:rPr>
          </w:pPr>
          <w:hyperlink w:anchor="_Toc130736544" w:history="1">
            <w:r w:rsidR="00645B93" w:rsidRPr="006B1F57">
              <w:rPr>
                <w:rStyle w:val="Hyperlink"/>
              </w:rPr>
              <w:t>Green Hydrogen Production</w:t>
            </w:r>
            <w:r w:rsidR="00645B93">
              <w:rPr>
                <w:webHidden/>
              </w:rPr>
              <w:tab/>
            </w:r>
            <w:r w:rsidR="00645B93">
              <w:rPr>
                <w:webHidden/>
              </w:rPr>
              <w:fldChar w:fldCharType="begin"/>
            </w:r>
            <w:r w:rsidR="00645B93">
              <w:rPr>
                <w:webHidden/>
              </w:rPr>
              <w:instrText xml:space="preserve"> PAGEREF _Toc130736544 \h </w:instrText>
            </w:r>
            <w:r w:rsidR="00645B93">
              <w:rPr>
                <w:webHidden/>
              </w:rPr>
            </w:r>
            <w:r w:rsidR="00645B93">
              <w:rPr>
                <w:webHidden/>
              </w:rPr>
              <w:fldChar w:fldCharType="separate"/>
            </w:r>
            <w:r w:rsidR="00645B93">
              <w:rPr>
                <w:webHidden/>
              </w:rPr>
              <w:t>6</w:t>
            </w:r>
            <w:r w:rsidR="00645B93">
              <w:rPr>
                <w:webHidden/>
              </w:rPr>
              <w:fldChar w:fldCharType="end"/>
            </w:r>
          </w:hyperlink>
        </w:p>
        <w:p w14:paraId="6531EE0A" w14:textId="158DC66A" w:rsidR="00645B93" w:rsidRDefault="00000000">
          <w:pPr>
            <w:pStyle w:val="TOC2"/>
            <w:rPr>
              <w:rFonts w:asciiTheme="minorHAnsi" w:hAnsiTheme="minorHAnsi" w:cstheme="minorBidi"/>
              <w:lang w:val="en-GB" w:eastAsia="en-GB"/>
            </w:rPr>
          </w:pPr>
          <w:hyperlink w:anchor="_Toc130736545" w:history="1">
            <w:r w:rsidR="00645B93" w:rsidRPr="006B1F57">
              <w:rPr>
                <w:rStyle w:val="Hyperlink"/>
              </w:rPr>
              <w:t>Hydrogen Storage</w:t>
            </w:r>
            <w:r w:rsidR="00645B93">
              <w:rPr>
                <w:webHidden/>
              </w:rPr>
              <w:tab/>
            </w:r>
            <w:r w:rsidR="00645B93">
              <w:rPr>
                <w:webHidden/>
              </w:rPr>
              <w:fldChar w:fldCharType="begin"/>
            </w:r>
            <w:r w:rsidR="00645B93">
              <w:rPr>
                <w:webHidden/>
              </w:rPr>
              <w:instrText xml:space="preserve"> PAGEREF _Toc130736545 \h </w:instrText>
            </w:r>
            <w:r w:rsidR="00645B93">
              <w:rPr>
                <w:webHidden/>
              </w:rPr>
            </w:r>
            <w:r w:rsidR="00645B93">
              <w:rPr>
                <w:webHidden/>
              </w:rPr>
              <w:fldChar w:fldCharType="separate"/>
            </w:r>
            <w:r w:rsidR="00645B93">
              <w:rPr>
                <w:webHidden/>
              </w:rPr>
              <w:t>8</w:t>
            </w:r>
            <w:r w:rsidR="00645B93">
              <w:rPr>
                <w:webHidden/>
              </w:rPr>
              <w:fldChar w:fldCharType="end"/>
            </w:r>
          </w:hyperlink>
        </w:p>
        <w:p w14:paraId="4785F47C" w14:textId="6581523B" w:rsidR="00645B93" w:rsidRDefault="00000000">
          <w:pPr>
            <w:pStyle w:val="TOC2"/>
            <w:rPr>
              <w:rFonts w:asciiTheme="minorHAnsi" w:hAnsiTheme="minorHAnsi" w:cstheme="minorBidi"/>
              <w:lang w:val="en-GB" w:eastAsia="en-GB"/>
            </w:rPr>
          </w:pPr>
          <w:hyperlink w:anchor="_Toc130736546" w:history="1">
            <w:r w:rsidR="00645B93" w:rsidRPr="006B1F57">
              <w:rPr>
                <w:rStyle w:val="Hyperlink"/>
              </w:rPr>
              <w:t>Digital Twin</w:t>
            </w:r>
            <w:r w:rsidR="00645B93">
              <w:rPr>
                <w:webHidden/>
              </w:rPr>
              <w:tab/>
            </w:r>
            <w:r w:rsidR="00645B93">
              <w:rPr>
                <w:webHidden/>
              </w:rPr>
              <w:fldChar w:fldCharType="begin"/>
            </w:r>
            <w:r w:rsidR="00645B93">
              <w:rPr>
                <w:webHidden/>
              </w:rPr>
              <w:instrText xml:space="preserve"> PAGEREF _Toc130736546 \h </w:instrText>
            </w:r>
            <w:r w:rsidR="00645B93">
              <w:rPr>
                <w:webHidden/>
              </w:rPr>
            </w:r>
            <w:r w:rsidR="00645B93">
              <w:rPr>
                <w:webHidden/>
              </w:rPr>
              <w:fldChar w:fldCharType="separate"/>
            </w:r>
            <w:r w:rsidR="00645B93">
              <w:rPr>
                <w:webHidden/>
              </w:rPr>
              <w:t>9</w:t>
            </w:r>
            <w:r w:rsidR="00645B93">
              <w:rPr>
                <w:webHidden/>
              </w:rPr>
              <w:fldChar w:fldCharType="end"/>
            </w:r>
          </w:hyperlink>
        </w:p>
        <w:p w14:paraId="790126BD" w14:textId="7BA3D9BB" w:rsidR="00645B93" w:rsidRDefault="00000000">
          <w:pPr>
            <w:pStyle w:val="TOC2"/>
            <w:rPr>
              <w:rFonts w:asciiTheme="minorHAnsi" w:hAnsiTheme="minorHAnsi" w:cstheme="minorBidi"/>
              <w:lang w:val="en-GB" w:eastAsia="en-GB"/>
            </w:rPr>
          </w:pPr>
          <w:hyperlink w:anchor="_Toc130736547" w:history="1">
            <w:r w:rsidR="00645B93" w:rsidRPr="006B1F57">
              <w:rPr>
                <w:rStyle w:val="Hyperlink"/>
              </w:rPr>
              <w:t>Literature Review Conclusion</w:t>
            </w:r>
            <w:r w:rsidR="00645B93">
              <w:rPr>
                <w:webHidden/>
              </w:rPr>
              <w:tab/>
            </w:r>
            <w:r w:rsidR="00645B93">
              <w:rPr>
                <w:webHidden/>
              </w:rPr>
              <w:fldChar w:fldCharType="begin"/>
            </w:r>
            <w:r w:rsidR="00645B93">
              <w:rPr>
                <w:webHidden/>
              </w:rPr>
              <w:instrText xml:space="preserve"> PAGEREF _Toc130736547 \h </w:instrText>
            </w:r>
            <w:r w:rsidR="00645B93">
              <w:rPr>
                <w:webHidden/>
              </w:rPr>
            </w:r>
            <w:r w:rsidR="00645B93">
              <w:rPr>
                <w:webHidden/>
              </w:rPr>
              <w:fldChar w:fldCharType="separate"/>
            </w:r>
            <w:r w:rsidR="00645B93">
              <w:rPr>
                <w:webHidden/>
              </w:rPr>
              <w:t>10</w:t>
            </w:r>
            <w:r w:rsidR="00645B93">
              <w:rPr>
                <w:webHidden/>
              </w:rPr>
              <w:fldChar w:fldCharType="end"/>
            </w:r>
          </w:hyperlink>
        </w:p>
        <w:p w14:paraId="3C381DDE" w14:textId="4D90CD9F" w:rsidR="00645B93" w:rsidRDefault="00000000">
          <w:pPr>
            <w:pStyle w:val="TOC1"/>
            <w:tabs>
              <w:tab w:val="right" w:leader="dot" w:pos="9016"/>
            </w:tabs>
            <w:rPr>
              <w:rFonts w:cstheme="minorBidi"/>
              <w:noProof/>
              <w:lang w:val="en-GB" w:eastAsia="en-GB"/>
            </w:rPr>
          </w:pPr>
          <w:hyperlink w:anchor="_Toc130736548" w:history="1">
            <w:r w:rsidR="00645B93" w:rsidRPr="006B1F57">
              <w:rPr>
                <w:rStyle w:val="Hyperlink"/>
                <w:noProof/>
              </w:rPr>
              <w:t>Methods</w:t>
            </w:r>
            <w:r w:rsidR="00645B93">
              <w:rPr>
                <w:noProof/>
                <w:webHidden/>
              </w:rPr>
              <w:tab/>
            </w:r>
            <w:r w:rsidR="00645B93">
              <w:rPr>
                <w:noProof/>
                <w:webHidden/>
              </w:rPr>
              <w:fldChar w:fldCharType="begin"/>
            </w:r>
            <w:r w:rsidR="00645B93">
              <w:rPr>
                <w:noProof/>
                <w:webHidden/>
              </w:rPr>
              <w:instrText xml:space="preserve"> PAGEREF _Toc130736548 \h </w:instrText>
            </w:r>
            <w:r w:rsidR="00645B93">
              <w:rPr>
                <w:noProof/>
                <w:webHidden/>
              </w:rPr>
            </w:r>
            <w:r w:rsidR="00645B93">
              <w:rPr>
                <w:noProof/>
                <w:webHidden/>
              </w:rPr>
              <w:fldChar w:fldCharType="separate"/>
            </w:r>
            <w:r w:rsidR="00645B93">
              <w:rPr>
                <w:noProof/>
                <w:webHidden/>
              </w:rPr>
              <w:t>11</w:t>
            </w:r>
            <w:r w:rsidR="00645B93">
              <w:rPr>
                <w:noProof/>
                <w:webHidden/>
              </w:rPr>
              <w:fldChar w:fldCharType="end"/>
            </w:r>
          </w:hyperlink>
        </w:p>
        <w:p w14:paraId="4FDE9534" w14:textId="231771CD" w:rsidR="00645B93" w:rsidRDefault="00000000">
          <w:pPr>
            <w:pStyle w:val="TOC2"/>
            <w:rPr>
              <w:rFonts w:asciiTheme="minorHAnsi" w:hAnsiTheme="minorHAnsi" w:cstheme="minorBidi"/>
              <w:lang w:val="en-GB" w:eastAsia="en-GB"/>
            </w:rPr>
          </w:pPr>
          <w:hyperlink w:anchor="_Toc130736549" w:history="1">
            <w:r w:rsidR="00645B93" w:rsidRPr="006B1F57">
              <w:rPr>
                <w:rStyle w:val="Hyperlink"/>
              </w:rPr>
              <w:t>PIONEER Project</w:t>
            </w:r>
            <w:r w:rsidR="00645B93">
              <w:rPr>
                <w:webHidden/>
              </w:rPr>
              <w:tab/>
            </w:r>
            <w:r w:rsidR="00645B93">
              <w:rPr>
                <w:webHidden/>
              </w:rPr>
              <w:fldChar w:fldCharType="begin"/>
            </w:r>
            <w:r w:rsidR="00645B93">
              <w:rPr>
                <w:webHidden/>
              </w:rPr>
              <w:instrText xml:space="preserve"> PAGEREF _Toc130736549 \h </w:instrText>
            </w:r>
            <w:r w:rsidR="00645B93">
              <w:rPr>
                <w:webHidden/>
              </w:rPr>
            </w:r>
            <w:r w:rsidR="00645B93">
              <w:rPr>
                <w:webHidden/>
              </w:rPr>
              <w:fldChar w:fldCharType="separate"/>
            </w:r>
            <w:r w:rsidR="00645B93">
              <w:rPr>
                <w:webHidden/>
              </w:rPr>
              <w:t>11</w:t>
            </w:r>
            <w:r w:rsidR="00645B93">
              <w:rPr>
                <w:webHidden/>
              </w:rPr>
              <w:fldChar w:fldCharType="end"/>
            </w:r>
          </w:hyperlink>
        </w:p>
        <w:p w14:paraId="290ED7A4" w14:textId="2770B1A0" w:rsidR="00645B93" w:rsidRDefault="00000000">
          <w:pPr>
            <w:pStyle w:val="TOC2"/>
            <w:rPr>
              <w:rFonts w:asciiTheme="minorHAnsi" w:hAnsiTheme="minorHAnsi" w:cstheme="minorBidi"/>
              <w:lang w:val="en-GB" w:eastAsia="en-GB"/>
            </w:rPr>
          </w:pPr>
          <w:hyperlink w:anchor="_Toc130736550" w:history="1">
            <w:r w:rsidR="00645B93" w:rsidRPr="006B1F57">
              <w:rPr>
                <w:rStyle w:val="Hyperlink"/>
              </w:rPr>
              <w:t>HEART Project</w:t>
            </w:r>
            <w:r w:rsidR="00645B93">
              <w:rPr>
                <w:webHidden/>
              </w:rPr>
              <w:tab/>
            </w:r>
            <w:r w:rsidR="00645B93">
              <w:rPr>
                <w:webHidden/>
              </w:rPr>
              <w:fldChar w:fldCharType="begin"/>
            </w:r>
            <w:r w:rsidR="00645B93">
              <w:rPr>
                <w:webHidden/>
              </w:rPr>
              <w:instrText xml:space="preserve"> PAGEREF _Toc130736550 \h </w:instrText>
            </w:r>
            <w:r w:rsidR="00645B93">
              <w:rPr>
                <w:webHidden/>
              </w:rPr>
            </w:r>
            <w:r w:rsidR="00645B93">
              <w:rPr>
                <w:webHidden/>
              </w:rPr>
              <w:fldChar w:fldCharType="separate"/>
            </w:r>
            <w:r w:rsidR="00645B93">
              <w:rPr>
                <w:webHidden/>
              </w:rPr>
              <w:t>14</w:t>
            </w:r>
            <w:r w:rsidR="00645B93">
              <w:rPr>
                <w:webHidden/>
              </w:rPr>
              <w:fldChar w:fldCharType="end"/>
            </w:r>
          </w:hyperlink>
        </w:p>
        <w:p w14:paraId="397369B3" w14:textId="3871C785" w:rsidR="00645B93" w:rsidRDefault="00000000">
          <w:pPr>
            <w:pStyle w:val="TOC1"/>
            <w:tabs>
              <w:tab w:val="right" w:leader="dot" w:pos="9016"/>
            </w:tabs>
            <w:rPr>
              <w:rFonts w:cstheme="minorBidi"/>
              <w:noProof/>
              <w:lang w:val="en-GB" w:eastAsia="en-GB"/>
            </w:rPr>
          </w:pPr>
          <w:hyperlink w:anchor="_Toc130736551" w:history="1">
            <w:r w:rsidR="00645B93" w:rsidRPr="006B1F57">
              <w:rPr>
                <w:rStyle w:val="Hyperlink"/>
                <w:noProof/>
              </w:rPr>
              <w:t>Results</w:t>
            </w:r>
            <w:r w:rsidR="00645B93">
              <w:rPr>
                <w:noProof/>
                <w:webHidden/>
              </w:rPr>
              <w:tab/>
            </w:r>
            <w:r w:rsidR="00645B93">
              <w:rPr>
                <w:noProof/>
                <w:webHidden/>
              </w:rPr>
              <w:fldChar w:fldCharType="begin"/>
            </w:r>
            <w:r w:rsidR="00645B93">
              <w:rPr>
                <w:noProof/>
                <w:webHidden/>
              </w:rPr>
              <w:instrText xml:space="preserve"> PAGEREF _Toc130736551 \h </w:instrText>
            </w:r>
            <w:r w:rsidR="00645B93">
              <w:rPr>
                <w:noProof/>
                <w:webHidden/>
              </w:rPr>
            </w:r>
            <w:r w:rsidR="00645B93">
              <w:rPr>
                <w:noProof/>
                <w:webHidden/>
              </w:rPr>
              <w:fldChar w:fldCharType="separate"/>
            </w:r>
            <w:r w:rsidR="00645B93">
              <w:rPr>
                <w:noProof/>
                <w:webHidden/>
              </w:rPr>
              <w:t>15</w:t>
            </w:r>
            <w:r w:rsidR="00645B93">
              <w:rPr>
                <w:noProof/>
                <w:webHidden/>
              </w:rPr>
              <w:fldChar w:fldCharType="end"/>
            </w:r>
          </w:hyperlink>
        </w:p>
        <w:p w14:paraId="1BAAB792" w14:textId="611A86D4" w:rsidR="00645B93" w:rsidRDefault="00000000">
          <w:pPr>
            <w:pStyle w:val="TOC1"/>
            <w:tabs>
              <w:tab w:val="right" w:leader="dot" w:pos="9016"/>
            </w:tabs>
            <w:rPr>
              <w:rFonts w:cstheme="minorBidi"/>
              <w:noProof/>
              <w:lang w:val="en-GB" w:eastAsia="en-GB"/>
            </w:rPr>
          </w:pPr>
          <w:hyperlink w:anchor="_Toc130736552" w:history="1">
            <w:r w:rsidR="00645B93" w:rsidRPr="006B1F57">
              <w:rPr>
                <w:rStyle w:val="Hyperlink"/>
                <w:noProof/>
              </w:rPr>
              <w:t>Evaluation</w:t>
            </w:r>
            <w:r w:rsidR="00645B93">
              <w:rPr>
                <w:noProof/>
                <w:webHidden/>
              </w:rPr>
              <w:tab/>
            </w:r>
            <w:r w:rsidR="00645B93">
              <w:rPr>
                <w:noProof/>
                <w:webHidden/>
              </w:rPr>
              <w:fldChar w:fldCharType="begin"/>
            </w:r>
            <w:r w:rsidR="00645B93">
              <w:rPr>
                <w:noProof/>
                <w:webHidden/>
              </w:rPr>
              <w:instrText xml:space="preserve"> PAGEREF _Toc130736552 \h </w:instrText>
            </w:r>
            <w:r w:rsidR="00645B93">
              <w:rPr>
                <w:noProof/>
                <w:webHidden/>
              </w:rPr>
            </w:r>
            <w:r w:rsidR="00645B93">
              <w:rPr>
                <w:noProof/>
                <w:webHidden/>
              </w:rPr>
              <w:fldChar w:fldCharType="separate"/>
            </w:r>
            <w:r w:rsidR="00645B93">
              <w:rPr>
                <w:noProof/>
                <w:webHidden/>
              </w:rPr>
              <w:t>16</w:t>
            </w:r>
            <w:r w:rsidR="00645B93">
              <w:rPr>
                <w:noProof/>
                <w:webHidden/>
              </w:rPr>
              <w:fldChar w:fldCharType="end"/>
            </w:r>
          </w:hyperlink>
        </w:p>
        <w:p w14:paraId="7F5110B6" w14:textId="0ADC9867" w:rsidR="00645B93" w:rsidRDefault="00000000">
          <w:pPr>
            <w:pStyle w:val="TOC1"/>
            <w:tabs>
              <w:tab w:val="right" w:leader="dot" w:pos="9016"/>
            </w:tabs>
            <w:rPr>
              <w:rFonts w:cstheme="minorBidi"/>
              <w:noProof/>
              <w:lang w:val="en-GB" w:eastAsia="en-GB"/>
            </w:rPr>
          </w:pPr>
          <w:hyperlink w:anchor="_Toc130736553" w:history="1">
            <w:r w:rsidR="00645B93" w:rsidRPr="006B1F57">
              <w:rPr>
                <w:rStyle w:val="Hyperlink"/>
                <w:noProof/>
              </w:rPr>
              <w:t>References</w:t>
            </w:r>
            <w:r w:rsidR="00645B93">
              <w:rPr>
                <w:noProof/>
                <w:webHidden/>
              </w:rPr>
              <w:tab/>
            </w:r>
            <w:r w:rsidR="00645B93">
              <w:rPr>
                <w:noProof/>
                <w:webHidden/>
              </w:rPr>
              <w:fldChar w:fldCharType="begin"/>
            </w:r>
            <w:r w:rsidR="00645B93">
              <w:rPr>
                <w:noProof/>
                <w:webHidden/>
              </w:rPr>
              <w:instrText xml:space="preserve"> PAGEREF _Toc130736553 \h </w:instrText>
            </w:r>
            <w:r w:rsidR="00645B93">
              <w:rPr>
                <w:noProof/>
                <w:webHidden/>
              </w:rPr>
            </w:r>
            <w:r w:rsidR="00645B93">
              <w:rPr>
                <w:noProof/>
                <w:webHidden/>
              </w:rPr>
              <w:fldChar w:fldCharType="separate"/>
            </w:r>
            <w:r w:rsidR="00645B93">
              <w:rPr>
                <w:noProof/>
                <w:webHidden/>
              </w:rPr>
              <w:t>18</w:t>
            </w:r>
            <w:r w:rsidR="00645B93">
              <w:rPr>
                <w:noProof/>
                <w:webHidden/>
              </w:rPr>
              <w:fldChar w:fldCharType="end"/>
            </w:r>
          </w:hyperlink>
        </w:p>
        <w:p w14:paraId="63FB0A8E" w14:textId="26119D70" w:rsidR="00645B93" w:rsidRDefault="00000000">
          <w:pPr>
            <w:pStyle w:val="TOC1"/>
            <w:tabs>
              <w:tab w:val="right" w:leader="dot" w:pos="9016"/>
            </w:tabs>
            <w:rPr>
              <w:rFonts w:cstheme="minorBidi"/>
              <w:noProof/>
              <w:lang w:val="en-GB" w:eastAsia="en-GB"/>
            </w:rPr>
          </w:pPr>
          <w:hyperlink w:anchor="_Toc130736554" w:history="1">
            <w:r w:rsidR="00645B93" w:rsidRPr="006B1F57">
              <w:rPr>
                <w:rStyle w:val="Hyperlink"/>
                <w:noProof/>
              </w:rPr>
              <w:t>Appendices</w:t>
            </w:r>
            <w:r w:rsidR="00645B93">
              <w:rPr>
                <w:noProof/>
                <w:webHidden/>
              </w:rPr>
              <w:tab/>
            </w:r>
            <w:r w:rsidR="00645B93">
              <w:rPr>
                <w:noProof/>
                <w:webHidden/>
              </w:rPr>
              <w:fldChar w:fldCharType="begin"/>
            </w:r>
            <w:r w:rsidR="00645B93">
              <w:rPr>
                <w:noProof/>
                <w:webHidden/>
              </w:rPr>
              <w:instrText xml:space="preserve"> PAGEREF _Toc130736554 \h </w:instrText>
            </w:r>
            <w:r w:rsidR="00645B93">
              <w:rPr>
                <w:noProof/>
                <w:webHidden/>
              </w:rPr>
            </w:r>
            <w:r w:rsidR="00645B93">
              <w:rPr>
                <w:noProof/>
                <w:webHidden/>
              </w:rPr>
              <w:fldChar w:fldCharType="separate"/>
            </w:r>
            <w:r w:rsidR="00645B93">
              <w:rPr>
                <w:noProof/>
                <w:webHidden/>
              </w:rPr>
              <w:t>20</w:t>
            </w:r>
            <w:r w:rsidR="00645B93">
              <w:rPr>
                <w:noProof/>
                <w:webHidden/>
              </w:rPr>
              <w:fldChar w:fldCharType="end"/>
            </w:r>
          </w:hyperlink>
        </w:p>
        <w:p w14:paraId="078EDBC8" w14:textId="30D0CDEB"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r w:rsidRPr="008A66CC">
            <w:rPr>
              <w:rFonts w:ascii="Times New Roman" w:eastAsia="Times New Roman" w:hAnsi="Times New Roman" w:cs="Times New Roman"/>
              <w:b/>
              <w:bCs/>
              <w:noProof/>
              <w:kern w:val="0"/>
              <w:sz w:val="20"/>
              <w:szCs w:val="20"/>
              <w:lang w:eastAsia="en-GB"/>
              <w14:ligatures w14:val="none"/>
            </w:rPr>
            <w:fldChar w:fldCharType="end"/>
          </w:r>
        </w:p>
      </w:sdtContent>
    </w:sdt>
    <w:p w14:paraId="0E9244F3"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C6BE816"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370110F2" w14:textId="7433AC84" w:rsidR="000307F0" w:rsidRDefault="000307F0">
      <w:pPr>
        <w:pStyle w:val="TableofFigures"/>
        <w:tabs>
          <w:tab w:val="right" w:leader="dot" w:pos="9016"/>
        </w:tabs>
        <w:rPr>
          <w:rFonts w:asciiTheme="minorHAnsi" w:eastAsiaTheme="minorEastAsia" w:hAnsiTheme="minorHAnsi" w:cstheme="minorBidi"/>
          <w:noProof/>
          <w:sz w:val="22"/>
          <w:szCs w:val="22"/>
        </w:rPr>
      </w:pPr>
      <w:r>
        <w:rPr>
          <w:rFonts w:ascii="Arial" w:hAnsi="Arial" w:cs="Arial"/>
          <w:szCs w:val="24"/>
        </w:rPr>
        <w:fldChar w:fldCharType="begin"/>
      </w:r>
      <w:r>
        <w:rPr>
          <w:rFonts w:ascii="Arial" w:hAnsi="Arial" w:cs="Arial"/>
          <w:szCs w:val="24"/>
        </w:rPr>
        <w:instrText xml:space="preserve"> TOC \h \z \t "Heading 4" \c </w:instrText>
      </w:r>
      <w:r>
        <w:rPr>
          <w:rFonts w:ascii="Arial" w:hAnsi="Arial" w:cs="Arial"/>
          <w:szCs w:val="24"/>
        </w:rPr>
        <w:fldChar w:fldCharType="separate"/>
      </w:r>
      <w:hyperlink w:anchor="_Toc130652793" w:history="1">
        <w:r w:rsidRPr="00D60582">
          <w:rPr>
            <w:rStyle w:val="Hyperlink"/>
            <w:noProof/>
          </w:rPr>
          <w:t>Figure 1. Electrolysis  (The Science Hive, 2023)</w:t>
        </w:r>
        <w:r>
          <w:rPr>
            <w:noProof/>
            <w:webHidden/>
          </w:rPr>
          <w:tab/>
        </w:r>
        <w:r>
          <w:rPr>
            <w:noProof/>
            <w:webHidden/>
          </w:rPr>
          <w:fldChar w:fldCharType="begin"/>
        </w:r>
        <w:r>
          <w:rPr>
            <w:noProof/>
            <w:webHidden/>
          </w:rPr>
          <w:instrText xml:space="preserve"> PAGEREF _Toc130652793 \h </w:instrText>
        </w:r>
        <w:r>
          <w:rPr>
            <w:noProof/>
            <w:webHidden/>
          </w:rPr>
        </w:r>
        <w:r>
          <w:rPr>
            <w:noProof/>
            <w:webHidden/>
          </w:rPr>
          <w:fldChar w:fldCharType="separate"/>
        </w:r>
        <w:r>
          <w:rPr>
            <w:noProof/>
            <w:webHidden/>
          </w:rPr>
          <w:t>1</w:t>
        </w:r>
        <w:r>
          <w:rPr>
            <w:noProof/>
            <w:webHidden/>
          </w:rPr>
          <w:fldChar w:fldCharType="end"/>
        </w:r>
      </w:hyperlink>
    </w:p>
    <w:p w14:paraId="3EF3D4E1" w14:textId="5E19CDB1"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794" w:history="1">
        <w:r w:rsidR="000307F0" w:rsidRPr="00D60582">
          <w:rPr>
            <w:rStyle w:val="Hyperlink"/>
            <w:noProof/>
          </w:rPr>
          <w:t>Figure 2. Global Economy (GH2, 2022)</w:t>
        </w:r>
        <w:r w:rsidR="000307F0">
          <w:rPr>
            <w:noProof/>
            <w:webHidden/>
          </w:rPr>
          <w:tab/>
        </w:r>
        <w:r w:rsidR="000307F0">
          <w:rPr>
            <w:noProof/>
            <w:webHidden/>
          </w:rPr>
          <w:fldChar w:fldCharType="begin"/>
        </w:r>
        <w:r w:rsidR="000307F0">
          <w:rPr>
            <w:noProof/>
            <w:webHidden/>
          </w:rPr>
          <w:instrText xml:space="preserve"> PAGEREF _Toc130652794 \h </w:instrText>
        </w:r>
        <w:r w:rsidR="000307F0">
          <w:rPr>
            <w:noProof/>
            <w:webHidden/>
          </w:rPr>
        </w:r>
        <w:r w:rsidR="000307F0">
          <w:rPr>
            <w:noProof/>
            <w:webHidden/>
          </w:rPr>
          <w:fldChar w:fldCharType="separate"/>
        </w:r>
        <w:r w:rsidR="000307F0">
          <w:rPr>
            <w:noProof/>
            <w:webHidden/>
          </w:rPr>
          <w:t>5</w:t>
        </w:r>
        <w:r w:rsidR="000307F0">
          <w:rPr>
            <w:noProof/>
            <w:webHidden/>
          </w:rPr>
          <w:fldChar w:fldCharType="end"/>
        </w:r>
      </w:hyperlink>
    </w:p>
    <w:p w14:paraId="2B3A81B9" w14:textId="46CAE504"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795" w:history="1">
        <w:r w:rsidR="000307F0" w:rsidRPr="00D60582">
          <w:rPr>
            <w:rStyle w:val="Hyperlink"/>
            <w:noProof/>
          </w:rPr>
          <w:t>Figure 3. Global energy-related CO2 emissions, 1900-2020</w:t>
        </w:r>
        <w:r w:rsidR="000307F0">
          <w:rPr>
            <w:noProof/>
            <w:webHidden/>
          </w:rPr>
          <w:tab/>
        </w:r>
        <w:r w:rsidR="000307F0">
          <w:rPr>
            <w:noProof/>
            <w:webHidden/>
          </w:rPr>
          <w:fldChar w:fldCharType="begin"/>
        </w:r>
        <w:r w:rsidR="000307F0">
          <w:rPr>
            <w:noProof/>
            <w:webHidden/>
          </w:rPr>
          <w:instrText xml:space="preserve"> PAGEREF _Toc130652795 \h </w:instrText>
        </w:r>
        <w:r w:rsidR="000307F0">
          <w:rPr>
            <w:noProof/>
            <w:webHidden/>
          </w:rPr>
        </w:r>
        <w:r w:rsidR="000307F0">
          <w:rPr>
            <w:noProof/>
            <w:webHidden/>
          </w:rPr>
          <w:fldChar w:fldCharType="separate"/>
        </w:r>
        <w:r w:rsidR="000307F0">
          <w:rPr>
            <w:noProof/>
            <w:webHidden/>
          </w:rPr>
          <w:t>5</w:t>
        </w:r>
        <w:r w:rsidR="000307F0">
          <w:rPr>
            <w:noProof/>
            <w:webHidden/>
          </w:rPr>
          <w:fldChar w:fldCharType="end"/>
        </w:r>
      </w:hyperlink>
    </w:p>
    <w:p w14:paraId="7E8F62B5" w14:textId="74221028"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796" w:history="1">
        <w:r w:rsidR="000307F0" w:rsidRPr="00D60582">
          <w:rPr>
            <w:rStyle w:val="Hyperlink"/>
            <w:noProof/>
          </w:rPr>
          <w:t>Figure 4. Power-to-Gas process chain. (Manuel Gotz, 2016)</w:t>
        </w:r>
        <w:r w:rsidR="000307F0">
          <w:rPr>
            <w:noProof/>
            <w:webHidden/>
          </w:rPr>
          <w:tab/>
        </w:r>
        <w:r w:rsidR="000307F0">
          <w:rPr>
            <w:noProof/>
            <w:webHidden/>
          </w:rPr>
          <w:fldChar w:fldCharType="begin"/>
        </w:r>
        <w:r w:rsidR="000307F0">
          <w:rPr>
            <w:noProof/>
            <w:webHidden/>
          </w:rPr>
          <w:instrText xml:space="preserve"> PAGEREF _Toc130652796 \h </w:instrText>
        </w:r>
        <w:r w:rsidR="000307F0">
          <w:rPr>
            <w:noProof/>
            <w:webHidden/>
          </w:rPr>
        </w:r>
        <w:r w:rsidR="000307F0">
          <w:rPr>
            <w:noProof/>
            <w:webHidden/>
          </w:rPr>
          <w:fldChar w:fldCharType="separate"/>
        </w:r>
        <w:r w:rsidR="000307F0">
          <w:rPr>
            <w:noProof/>
            <w:webHidden/>
          </w:rPr>
          <w:t>6</w:t>
        </w:r>
        <w:r w:rsidR="000307F0">
          <w:rPr>
            <w:noProof/>
            <w:webHidden/>
          </w:rPr>
          <w:fldChar w:fldCharType="end"/>
        </w:r>
      </w:hyperlink>
    </w:p>
    <w:p w14:paraId="5DCAA50D" w14:textId="61C6F713"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797" w:history="1">
        <w:r w:rsidR="000307F0" w:rsidRPr="00D60582">
          <w:rPr>
            <w:rStyle w:val="Hyperlink"/>
            <w:noProof/>
          </w:rPr>
          <w:t>Figure 5. Energy destruction distribution. (Ruxing Gao, 2022)</w:t>
        </w:r>
        <w:r w:rsidR="000307F0">
          <w:rPr>
            <w:noProof/>
            <w:webHidden/>
          </w:rPr>
          <w:tab/>
        </w:r>
        <w:r w:rsidR="000307F0">
          <w:rPr>
            <w:noProof/>
            <w:webHidden/>
          </w:rPr>
          <w:fldChar w:fldCharType="begin"/>
        </w:r>
        <w:r w:rsidR="000307F0">
          <w:rPr>
            <w:noProof/>
            <w:webHidden/>
          </w:rPr>
          <w:instrText xml:space="preserve"> PAGEREF _Toc130652797 \h </w:instrText>
        </w:r>
        <w:r w:rsidR="000307F0">
          <w:rPr>
            <w:noProof/>
            <w:webHidden/>
          </w:rPr>
        </w:r>
        <w:r w:rsidR="000307F0">
          <w:rPr>
            <w:noProof/>
            <w:webHidden/>
          </w:rPr>
          <w:fldChar w:fldCharType="separate"/>
        </w:r>
        <w:r w:rsidR="000307F0">
          <w:rPr>
            <w:noProof/>
            <w:webHidden/>
          </w:rPr>
          <w:t>7</w:t>
        </w:r>
        <w:r w:rsidR="000307F0">
          <w:rPr>
            <w:noProof/>
            <w:webHidden/>
          </w:rPr>
          <w:fldChar w:fldCharType="end"/>
        </w:r>
      </w:hyperlink>
    </w:p>
    <w:p w14:paraId="422AC1C2" w14:textId="06E47859"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798" w:history="1">
        <w:r w:rsidR="000307F0" w:rsidRPr="00D60582">
          <w:rPr>
            <w:rStyle w:val="Hyperlink"/>
            <w:noProof/>
          </w:rPr>
          <w:t>Figure 6. Operating Conditions of four water electrolysis technologies. (Ruxing Gao, 2022)</w:t>
        </w:r>
        <w:r w:rsidR="000307F0">
          <w:rPr>
            <w:noProof/>
            <w:webHidden/>
          </w:rPr>
          <w:tab/>
        </w:r>
        <w:r w:rsidR="000307F0">
          <w:rPr>
            <w:noProof/>
            <w:webHidden/>
          </w:rPr>
          <w:fldChar w:fldCharType="begin"/>
        </w:r>
        <w:r w:rsidR="000307F0">
          <w:rPr>
            <w:noProof/>
            <w:webHidden/>
          </w:rPr>
          <w:instrText xml:space="preserve"> PAGEREF _Toc130652798 \h </w:instrText>
        </w:r>
        <w:r w:rsidR="000307F0">
          <w:rPr>
            <w:noProof/>
            <w:webHidden/>
          </w:rPr>
        </w:r>
        <w:r w:rsidR="000307F0">
          <w:rPr>
            <w:noProof/>
            <w:webHidden/>
          </w:rPr>
          <w:fldChar w:fldCharType="separate"/>
        </w:r>
        <w:r w:rsidR="000307F0">
          <w:rPr>
            <w:noProof/>
            <w:webHidden/>
          </w:rPr>
          <w:t>8</w:t>
        </w:r>
        <w:r w:rsidR="000307F0">
          <w:rPr>
            <w:noProof/>
            <w:webHidden/>
          </w:rPr>
          <w:fldChar w:fldCharType="end"/>
        </w:r>
      </w:hyperlink>
    </w:p>
    <w:p w14:paraId="7D5807BD" w14:textId="1FB126C3"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799" w:history="1">
        <w:r w:rsidR="000307F0" w:rsidRPr="00D60582">
          <w:rPr>
            <w:rStyle w:val="Hyperlink"/>
            <w:noProof/>
          </w:rPr>
          <w:t>Figure 7. Pioneer Project</w:t>
        </w:r>
        <w:r w:rsidR="000307F0">
          <w:rPr>
            <w:noProof/>
            <w:webHidden/>
          </w:rPr>
          <w:tab/>
        </w:r>
        <w:r w:rsidR="000307F0">
          <w:rPr>
            <w:noProof/>
            <w:webHidden/>
          </w:rPr>
          <w:fldChar w:fldCharType="begin"/>
        </w:r>
        <w:r w:rsidR="000307F0">
          <w:rPr>
            <w:noProof/>
            <w:webHidden/>
          </w:rPr>
          <w:instrText xml:space="preserve"> PAGEREF _Toc130652799 \h </w:instrText>
        </w:r>
        <w:r w:rsidR="000307F0">
          <w:rPr>
            <w:noProof/>
            <w:webHidden/>
          </w:rPr>
        </w:r>
        <w:r w:rsidR="000307F0">
          <w:rPr>
            <w:noProof/>
            <w:webHidden/>
          </w:rPr>
          <w:fldChar w:fldCharType="separate"/>
        </w:r>
        <w:r w:rsidR="000307F0">
          <w:rPr>
            <w:noProof/>
            <w:webHidden/>
          </w:rPr>
          <w:t>12</w:t>
        </w:r>
        <w:r w:rsidR="000307F0">
          <w:rPr>
            <w:noProof/>
            <w:webHidden/>
          </w:rPr>
          <w:fldChar w:fldCharType="end"/>
        </w:r>
      </w:hyperlink>
    </w:p>
    <w:p w14:paraId="352DDCD1" w14:textId="1799F73B"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800" w:history="1">
        <w:r w:rsidR="000307F0" w:rsidRPr="00D60582">
          <w:rPr>
            <w:rStyle w:val="Hyperlink"/>
            <w:noProof/>
          </w:rPr>
          <w:t>Figure 8. System Optimisation with Full-Stack shut down.</w:t>
        </w:r>
        <w:r w:rsidR="000307F0">
          <w:rPr>
            <w:noProof/>
            <w:webHidden/>
          </w:rPr>
          <w:tab/>
        </w:r>
        <w:r w:rsidR="000307F0">
          <w:rPr>
            <w:noProof/>
            <w:webHidden/>
          </w:rPr>
          <w:fldChar w:fldCharType="begin"/>
        </w:r>
        <w:r w:rsidR="000307F0">
          <w:rPr>
            <w:noProof/>
            <w:webHidden/>
          </w:rPr>
          <w:instrText xml:space="preserve"> PAGEREF _Toc130652800 \h </w:instrText>
        </w:r>
        <w:r w:rsidR="000307F0">
          <w:rPr>
            <w:noProof/>
            <w:webHidden/>
          </w:rPr>
        </w:r>
        <w:r w:rsidR="000307F0">
          <w:rPr>
            <w:noProof/>
            <w:webHidden/>
          </w:rPr>
          <w:fldChar w:fldCharType="separate"/>
        </w:r>
        <w:r w:rsidR="000307F0">
          <w:rPr>
            <w:noProof/>
            <w:webHidden/>
          </w:rPr>
          <w:t>13</w:t>
        </w:r>
        <w:r w:rsidR="000307F0">
          <w:rPr>
            <w:noProof/>
            <w:webHidden/>
          </w:rPr>
          <w:fldChar w:fldCharType="end"/>
        </w:r>
      </w:hyperlink>
    </w:p>
    <w:p w14:paraId="3B7CFAD8" w14:textId="6EAF3383"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801" w:history="1">
        <w:r w:rsidR="000307F0" w:rsidRPr="00D60582">
          <w:rPr>
            <w:rStyle w:val="Hyperlink"/>
            <w:noProof/>
          </w:rPr>
          <w:t>Figure 9. Optimisation with Semi-Stack shut down.</w:t>
        </w:r>
        <w:r w:rsidR="000307F0">
          <w:rPr>
            <w:noProof/>
            <w:webHidden/>
          </w:rPr>
          <w:tab/>
        </w:r>
        <w:r w:rsidR="000307F0">
          <w:rPr>
            <w:noProof/>
            <w:webHidden/>
          </w:rPr>
          <w:fldChar w:fldCharType="begin"/>
        </w:r>
        <w:r w:rsidR="000307F0">
          <w:rPr>
            <w:noProof/>
            <w:webHidden/>
          </w:rPr>
          <w:instrText xml:space="preserve"> PAGEREF _Toc130652801 \h </w:instrText>
        </w:r>
        <w:r w:rsidR="000307F0">
          <w:rPr>
            <w:noProof/>
            <w:webHidden/>
          </w:rPr>
        </w:r>
        <w:r w:rsidR="000307F0">
          <w:rPr>
            <w:noProof/>
            <w:webHidden/>
          </w:rPr>
          <w:fldChar w:fldCharType="separate"/>
        </w:r>
        <w:r w:rsidR="000307F0">
          <w:rPr>
            <w:noProof/>
            <w:webHidden/>
          </w:rPr>
          <w:t>13</w:t>
        </w:r>
        <w:r w:rsidR="000307F0">
          <w:rPr>
            <w:noProof/>
            <w:webHidden/>
          </w:rPr>
          <w:fldChar w:fldCharType="end"/>
        </w:r>
      </w:hyperlink>
    </w:p>
    <w:p w14:paraId="44AFFDCB" w14:textId="4CACB298"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802" w:history="1">
        <w:r w:rsidR="000307F0" w:rsidRPr="00D60582">
          <w:rPr>
            <w:rStyle w:val="Hyperlink"/>
            <w:noProof/>
          </w:rPr>
          <w:t>Figure 10. The efficiency of the HyProvide A-Series</w:t>
        </w:r>
        <w:r w:rsidR="000307F0">
          <w:rPr>
            <w:noProof/>
            <w:webHidden/>
          </w:rPr>
          <w:tab/>
        </w:r>
        <w:r w:rsidR="000307F0">
          <w:rPr>
            <w:noProof/>
            <w:webHidden/>
          </w:rPr>
          <w:fldChar w:fldCharType="begin"/>
        </w:r>
        <w:r w:rsidR="000307F0">
          <w:rPr>
            <w:noProof/>
            <w:webHidden/>
          </w:rPr>
          <w:instrText xml:space="preserve"> PAGEREF _Toc130652802 \h </w:instrText>
        </w:r>
        <w:r w:rsidR="000307F0">
          <w:rPr>
            <w:noProof/>
            <w:webHidden/>
          </w:rPr>
        </w:r>
        <w:r w:rsidR="000307F0">
          <w:rPr>
            <w:noProof/>
            <w:webHidden/>
          </w:rPr>
          <w:fldChar w:fldCharType="separate"/>
        </w:r>
        <w:r w:rsidR="000307F0">
          <w:rPr>
            <w:noProof/>
            <w:webHidden/>
          </w:rPr>
          <w:t>15</w:t>
        </w:r>
        <w:r w:rsidR="000307F0">
          <w:rPr>
            <w:noProof/>
            <w:webHidden/>
          </w:rPr>
          <w:fldChar w:fldCharType="end"/>
        </w:r>
      </w:hyperlink>
    </w:p>
    <w:p w14:paraId="2EA83FF8" w14:textId="4B6F1EF6" w:rsidR="000307F0" w:rsidRDefault="00000000">
      <w:pPr>
        <w:pStyle w:val="TableofFigures"/>
        <w:tabs>
          <w:tab w:val="right" w:leader="dot" w:pos="9016"/>
        </w:tabs>
        <w:rPr>
          <w:rFonts w:asciiTheme="minorHAnsi" w:eastAsiaTheme="minorEastAsia" w:hAnsiTheme="minorHAnsi" w:cstheme="minorBidi"/>
          <w:noProof/>
          <w:sz w:val="22"/>
          <w:szCs w:val="22"/>
        </w:rPr>
      </w:pPr>
      <w:hyperlink w:anchor="_Toc130652803" w:history="1">
        <w:r w:rsidR="000307F0" w:rsidRPr="00D60582">
          <w:rPr>
            <w:rStyle w:val="Hyperlink"/>
            <w:noProof/>
          </w:rPr>
          <w:t>Figure 11. Gantt chart</w:t>
        </w:r>
        <w:r w:rsidR="000307F0">
          <w:rPr>
            <w:noProof/>
            <w:webHidden/>
          </w:rPr>
          <w:tab/>
        </w:r>
        <w:r w:rsidR="000307F0">
          <w:rPr>
            <w:noProof/>
            <w:webHidden/>
          </w:rPr>
          <w:fldChar w:fldCharType="begin"/>
        </w:r>
        <w:r w:rsidR="000307F0">
          <w:rPr>
            <w:noProof/>
            <w:webHidden/>
          </w:rPr>
          <w:instrText xml:space="preserve"> PAGEREF _Toc130652803 \h </w:instrText>
        </w:r>
        <w:r w:rsidR="000307F0">
          <w:rPr>
            <w:noProof/>
            <w:webHidden/>
          </w:rPr>
        </w:r>
        <w:r w:rsidR="000307F0">
          <w:rPr>
            <w:noProof/>
            <w:webHidden/>
          </w:rPr>
          <w:fldChar w:fldCharType="separate"/>
        </w:r>
        <w:r w:rsidR="000307F0">
          <w:rPr>
            <w:noProof/>
            <w:webHidden/>
          </w:rPr>
          <w:t>18</w:t>
        </w:r>
        <w:r w:rsidR="000307F0">
          <w:rPr>
            <w:noProof/>
            <w:webHidden/>
          </w:rPr>
          <w:fldChar w:fldCharType="end"/>
        </w:r>
      </w:hyperlink>
    </w:p>
    <w:p w14:paraId="227DA2E0" w14:textId="07AAE42A" w:rsidR="00FF22F0" w:rsidRDefault="000307F0" w:rsidP="008A66CC">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fldChar w:fldCharType="end"/>
      </w:r>
    </w:p>
    <w:p w14:paraId="0BB47553" w14:textId="250597E4" w:rsidR="000307F0" w:rsidRDefault="000307F0" w:rsidP="008A66CC">
      <w:pPr>
        <w:spacing w:after="0" w:line="240" w:lineRule="auto"/>
        <w:rPr>
          <w:rFonts w:ascii="Arial" w:eastAsia="Times New Roman" w:hAnsi="Arial" w:cs="Arial"/>
          <w:kern w:val="0"/>
          <w:sz w:val="24"/>
          <w:szCs w:val="24"/>
          <w:lang w:eastAsia="en-GB"/>
          <w14:ligatures w14:val="none"/>
        </w:rPr>
      </w:pPr>
    </w:p>
    <w:p w14:paraId="62A0DC25" w14:textId="502A5ADF" w:rsidR="000307F0" w:rsidRDefault="000307F0" w:rsidP="008A66CC">
      <w:pPr>
        <w:spacing w:after="0" w:line="240" w:lineRule="auto"/>
        <w:rPr>
          <w:rFonts w:ascii="Arial" w:eastAsia="Times New Roman" w:hAnsi="Arial" w:cs="Arial"/>
          <w:kern w:val="0"/>
          <w:sz w:val="24"/>
          <w:szCs w:val="24"/>
          <w:lang w:eastAsia="en-GB"/>
          <w14:ligatures w14:val="none"/>
        </w:rPr>
      </w:pPr>
    </w:p>
    <w:p w14:paraId="03ECF847" w14:textId="34FD7869" w:rsidR="000307F0" w:rsidRDefault="000307F0" w:rsidP="008A66CC">
      <w:pPr>
        <w:spacing w:after="0" w:line="240" w:lineRule="auto"/>
        <w:rPr>
          <w:rFonts w:ascii="Arial" w:eastAsia="Times New Roman" w:hAnsi="Arial" w:cs="Arial"/>
          <w:kern w:val="0"/>
          <w:sz w:val="24"/>
          <w:szCs w:val="24"/>
          <w:lang w:eastAsia="en-GB"/>
          <w14:ligatures w14:val="none"/>
        </w:rPr>
      </w:pPr>
    </w:p>
    <w:p w14:paraId="7B012BF5" w14:textId="770051B5" w:rsidR="000307F0" w:rsidRDefault="000307F0" w:rsidP="008A66CC">
      <w:pPr>
        <w:spacing w:after="0" w:line="240" w:lineRule="auto"/>
        <w:rPr>
          <w:rFonts w:ascii="Arial" w:eastAsia="Times New Roman" w:hAnsi="Arial" w:cs="Arial"/>
          <w:kern w:val="0"/>
          <w:sz w:val="24"/>
          <w:szCs w:val="24"/>
          <w:lang w:eastAsia="en-GB"/>
          <w14:ligatures w14:val="none"/>
        </w:rPr>
      </w:pPr>
    </w:p>
    <w:p w14:paraId="624B88C2" w14:textId="06CA6BFF" w:rsidR="000307F0" w:rsidRDefault="000307F0" w:rsidP="008A66CC">
      <w:pPr>
        <w:spacing w:after="0" w:line="240" w:lineRule="auto"/>
        <w:rPr>
          <w:rFonts w:ascii="Arial" w:eastAsia="Times New Roman" w:hAnsi="Arial" w:cs="Arial"/>
          <w:kern w:val="0"/>
          <w:sz w:val="24"/>
          <w:szCs w:val="24"/>
          <w:lang w:eastAsia="en-GB"/>
          <w14:ligatures w14:val="none"/>
        </w:rPr>
      </w:pPr>
    </w:p>
    <w:p w14:paraId="1E9DD03C" w14:textId="274A42EC" w:rsidR="000307F0" w:rsidRDefault="000307F0" w:rsidP="008A66CC">
      <w:pPr>
        <w:spacing w:after="0" w:line="240" w:lineRule="auto"/>
        <w:rPr>
          <w:rFonts w:ascii="Arial" w:eastAsia="Times New Roman" w:hAnsi="Arial" w:cs="Arial"/>
          <w:kern w:val="0"/>
          <w:sz w:val="24"/>
          <w:szCs w:val="24"/>
          <w:lang w:eastAsia="en-GB"/>
          <w14:ligatures w14:val="none"/>
        </w:rPr>
      </w:pPr>
    </w:p>
    <w:p w14:paraId="0270AEE8" w14:textId="25C482B7" w:rsidR="000307F0" w:rsidRDefault="000307F0" w:rsidP="008A66CC">
      <w:pPr>
        <w:spacing w:after="0" w:line="240" w:lineRule="auto"/>
        <w:rPr>
          <w:rFonts w:ascii="Arial" w:eastAsia="Times New Roman" w:hAnsi="Arial" w:cs="Arial"/>
          <w:kern w:val="0"/>
          <w:sz w:val="24"/>
          <w:szCs w:val="24"/>
          <w:lang w:eastAsia="en-GB"/>
          <w14:ligatures w14:val="none"/>
        </w:rPr>
      </w:pPr>
    </w:p>
    <w:p w14:paraId="7ED75E73" w14:textId="77777777" w:rsidR="00820CB8" w:rsidRPr="008A66CC" w:rsidRDefault="00820CB8" w:rsidP="008A66CC">
      <w:pPr>
        <w:spacing w:after="0" w:line="240" w:lineRule="auto"/>
        <w:rPr>
          <w:rFonts w:ascii="Arial" w:eastAsia="Times New Roman" w:hAnsi="Arial" w:cs="Arial"/>
          <w:kern w:val="0"/>
          <w:sz w:val="24"/>
          <w:szCs w:val="24"/>
          <w:lang w:eastAsia="en-GB"/>
          <w14:ligatures w14:val="none"/>
        </w:rPr>
      </w:pPr>
    </w:p>
    <w:p w14:paraId="372A3EB8"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6AB4FD05" w14:textId="77777777" w:rsidR="008A66CC" w:rsidRPr="00EA1B10" w:rsidRDefault="008A66CC" w:rsidP="00EA1B10">
      <w:pPr>
        <w:pStyle w:val="Heading1"/>
      </w:pPr>
      <w:bookmarkStart w:id="5" w:name="_Toc130736539"/>
      <w:r w:rsidRPr="00EA1B10">
        <w:lastRenderedPageBreak/>
        <w:t>Abstract</w:t>
      </w:r>
      <w:bookmarkEnd w:id="5"/>
      <w:r w:rsidRPr="00EA1B10">
        <w:t xml:space="preserve"> </w:t>
      </w:r>
    </w:p>
    <w:p w14:paraId="3C5BA366"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22986031"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4AAEED00" w14:textId="4E0FAE88" w:rsidR="008A66CC" w:rsidRPr="008A66CC" w:rsidRDefault="008A66CC" w:rsidP="008A66CC">
      <w:pPr>
        <w:rPr>
          <w:kern w:val="0"/>
          <w14:ligatures w14:val="none"/>
        </w:rPr>
      </w:pPr>
      <w:r w:rsidRPr="008A66CC">
        <w:rPr>
          <w:kern w:val="0"/>
          <w14:ligatures w14:val="none"/>
        </w:rPr>
        <w:t>This report discusses the use of Digital Twin technology in two hydrogen projects</w:t>
      </w:r>
      <w:r w:rsidR="007376B5">
        <w:rPr>
          <w:kern w:val="0"/>
          <w14:ligatures w14:val="none"/>
        </w:rPr>
        <w:t xml:space="preserve"> currently </w:t>
      </w:r>
      <w:r w:rsidR="00702E88">
        <w:rPr>
          <w:kern w:val="0"/>
          <w14:ligatures w14:val="none"/>
        </w:rPr>
        <w:t xml:space="preserve">under consideration </w:t>
      </w:r>
      <w:r w:rsidR="007376B5">
        <w:rPr>
          <w:kern w:val="0"/>
          <w14:ligatures w14:val="none"/>
        </w:rPr>
        <w:t>with Protium.</w:t>
      </w:r>
      <w:r w:rsidRPr="008A66CC">
        <w:rPr>
          <w:kern w:val="0"/>
          <w14:ligatures w14:val="none"/>
        </w:rPr>
        <w:t xml:space="preserve"> </w:t>
      </w:r>
      <w:r w:rsidR="007376B5">
        <w:rPr>
          <w:kern w:val="0"/>
          <w14:ligatures w14:val="none"/>
        </w:rPr>
        <w:t xml:space="preserve">The </w:t>
      </w:r>
      <w:r w:rsidRPr="008A66CC">
        <w:rPr>
          <w:kern w:val="0"/>
          <w14:ligatures w14:val="none"/>
        </w:rPr>
        <w:t>Pioneer</w:t>
      </w:r>
      <w:r w:rsidR="007376B5">
        <w:rPr>
          <w:kern w:val="0"/>
          <w14:ligatures w14:val="none"/>
        </w:rPr>
        <w:t xml:space="preserve"> project</w:t>
      </w:r>
      <w:r w:rsidRPr="008A66CC">
        <w:rPr>
          <w:kern w:val="0"/>
          <w14:ligatures w14:val="none"/>
        </w:rPr>
        <w:t xml:space="preserve"> and HEART</w:t>
      </w:r>
      <w:r w:rsidR="007376B5">
        <w:rPr>
          <w:kern w:val="0"/>
          <w14:ligatures w14:val="none"/>
        </w:rPr>
        <w:t xml:space="preserve"> project</w:t>
      </w:r>
      <w:r w:rsidRPr="008A66CC">
        <w:rPr>
          <w:kern w:val="0"/>
          <w14:ligatures w14:val="none"/>
        </w:rPr>
        <w:t xml:space="preserve">, </w:t>
      </w:r>
      <w:r w:rsidR="007376B5">
        <w:rPr>
          <w:kern w:val="0"/>
          <w14:ligatures w14:val="none"/>
        </w:rPr>
        <w:t xml:space="preserve">the digital twin will be used </w:t>
      </w:r>
      <w:r w:rsidRPr="008A66CC">
        <w:rPr>
          <w:kern w:val="0"/>
          <w14:ligatures w14:val="none"/>
        </w:rPr>
        <w:t xml:space="preserve">to optimize the efficiency and performance of the systems. The author notes that the data received from both projects will provide valuable insights into how to optimize the units, even though they differ in scale. The article also highlights the importance of implementing operating and maintenance procedures and logging maintenance details in the Protium database to calculate mean time between failures and </w:t>
      </w:r>
      <w:proofErr w:type="spellStart"/>
      <w:r w:rsidRPr="008A66CC">
        <w:rPr>
          <w:kern w:val="0"/>
          <w14:ligatures w14:val="none"/>
        </w:rPr>
        <w:t>analyze</w:t>
      </w:r>
      <w:proofErr w:type="spellEnd"/>
      <w:r w:rsidRPr="008A66CC">
        <w:rPr>
          <w:kern w:val="0"/>
          <w14:ligatures w14:val="none"/>
        </w:rPr>
        <w:t xml:space="preserve"> data for system upgrades. The potential advantages of using composite materials over steel for hydrogen storage are discussed, including reduced transportation costs, easier installation, longer service life, and increased efficiency. However, the long-term durability of composite materials for hydrogen storage requires further research. The article also suggests that the choice between steel and composite materials for hydrogen storage will depend on factors such as initial cost, efficiency, and overall life cycle of the plant. Finally, the article outlines the potential benefits of integrating solar power into the hydrogen production system and the use of real-time operational data to optimize various aspects of the system's operation. However, more detailed information on costs, sensors, and specific improvements is needed to better understand the project's goals and outcomes.</w:t>
      </w:r>
      <w:r w:rsidR="00702E88">
        <w:rPr>
          <w:kern w:val="0"/>
          <w14:ligatures w14:val="none"/>
        </w:rPr>
        <w:t xml:space="preserve"> </w:t>
      </w:r>
    </w:p>
    <w:p w14:paraId="33C6F17E"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722B361A"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7EC780A6"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469F4E39"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6888CC87"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631B3F7E"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275FA68F"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B857100"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694CD78D"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43F63229"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56EF24FC"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2F6ACC70"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2F31A5F4"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EB83D23"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D0E23BC"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427DA9BB"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69E53AE1"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A10C2AD"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00920C5"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493AE8B4"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73FE11A3"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74F788A8"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57428B58"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2EE8819E"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28C14B4A"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A7214E6"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25988C2E"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68468545"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7473899F"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5DDA6ED8" w14:textId="77777777" w:rsidR="008A66CC" w:rsidRPr="008A66CC" w:rsidRDefault="008A66CC" w:rsidP="008A66CC">
      <w:pPr>
        <w:spacing w:after="0" w:line="240" w:lineRule="auto"/>
        <w:rPr>
          <w:rFonts w:ascii="Arial" w:eastAsia="Times New Roman" w:hAnsi="Arial" w:cs="Arial"/>
          <w:kern w:val="0"/>
          <w:sz w:val="24"/>
          <w:szCs w:val="24"/>
          <w:lang w:eastAsia="en-GB"/>
          <w14:ligatures w14:val="none"/>
        </w:rPr>
      </w:pPr>
    </w:p>
    <w:p w14:paraId="1FDB29E4" w14:textId="77777777" w:rsidR="008A66CC" w:rsidRPr="008A66CC" w:rsidRDefault="008A66CC" w:rsidP="00EA1B10">
      <w:pPr>
        <w:pStyle w:val="Heading1"/>
      </w:pPr>
      <w:bookmarkStart w:id="6" w:name="_Toc130736540"/>
      <w:r w:rsidRPr="008A66CC">
        <w:lastRenderedPageBreak/>
        <w:t>Introduction</w:t>
      </w:r>
      <w:bookmarkEnd w:id="6"/>
    </w:p>
    <w:p w14:paraId="35E2C601"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57D2D45A" w14:textId="77777777" w:rsidR="008A66CC" w:rsidRPr="008A66CC" w:rsidRDefault="008A66CC" w:rsidP="00FF22F0">
      <w:pPr>
        <w:pStyle w:val="Heading2"/>
      </w:pPr>
      <w:bookmarkStart w:id="7" w:name="_Toc130736541"/>
      <w:r w:rsidRPr="008A66CC">
        <w:t>Green Hydrogen and the Global Economy</w:t>
      </w:r>
      <w:bookmarkEnd w:id="7"/>
    </w:p>
    <w:p w14:paraId="4E295F2E" w14:textId="77777777" w:rsidR="008A66CC" w:rsidRPr="008A66CC" w:rsidRDefault="008A66CC" w:rsidP="008A66CC">
      <w:pPr>
        <w:spacing w:after="0" w:line="240" w:lineRule="auto"/>
        <w:rPr>
          <w:rFonts w:ascii="Times New Roman" w:hAnsi="Times New Roman" w:cs="Times New Roman"/>
          <w:kern w:val="0"/>
          <w:sz w:val="20"/>
          <w:szCs w:val="20"/>
          <w14:ligatures w14:val="none"/>
        </w:rPr>
      </w:pPr>
    </w:p>
    <w:p w14:paraId="2435436D" w14:textId="2D7ECD11" w:rsidR="008A66CC" w:rsidRPr="008A66CC" w:rsidRDefault="008A66CC" w:rsidP="008A66CC">
      <w:pPr>
        <w:rPr>
          <w:kern w:val="0"/>
          <w14:ligatures w14:val="none"/>
        </w:rPr>
      </w:pPr>
      <w:r w:rsidRPr="008A66CC">
        <w:rPr>
          <w:kern w:val="0"/>
          <w14:ligatures w14:val="none"/>
        </w:rPr>
        <w:t>Green hydrogen, also known as renewable hydrogen, is produced through the electrolysis of water (Fig 1</w:t>
      </w:r>
      <w:r w:rsidR="00645B93">
        <w:rPr>
          <w:kern w:val="0"/>
          <w14:ligatures w14:val="none"/>
        </w:rPr>
        <w:t>, page 1</w:t>
      </w:r>
      <w:r w:rsidRPr="008A66CC">
        <w:rPr>
          <w:kern w:val="0"/>
          <w14:ligatures w14:val="none"/>
        </w:rPr>
        <w:t>) using electricity from renewable sources such as solar or wind. It is a clean, safe, and renewable alternative to fossil fuels, and its production and use can significantly reduce greenhouse gas emissions.</w:t>
      </w:r>
    </w:p>
    <w:p w14:paraId="2A686CAA" w14:textId="77777777" w:rsidR="008A66CC" w:rsidRPr="008A66CC" w:rsidRDefault="008A66CC" w:rsidP="008A66CC">
      <w:pPr>
        <w:rPr>
          <w:kern w:val="0"/>
          <w14:ligatures w14:val="none"/>
        </w:rPr>
      </w:pPr>
      <w:r w:rsidRPr="008A66CC">
        <w:rPr>
          <w:kern w:val="0"/>
          <w14:ligatures w14:val="none"/>
        </w:rPr>
        <w:t>One of the main benefits of green hydrogen production is its cost effectiveness. The cost of producing green hydrogen has decreased significantly in recent years, and it is now competitive with fossil fuels in some applications. In addition, the cost of green hydrogen is expected to continue to decrease as technology improves and economies of scale are achieved.</w:t>
      </w:r>
    </w:p>
    <w:p w14:paraId="031D74DA" w14:textId="77777777" w:rsidR="008A66CC" w:rsidRPr="008A66CC" w:rsidRDefault="008A66CC" w:rsidP="008A66CC">
      <w:pPr>
        <w:rPr>
          <w:kern w:val="0"/>
          <w14:ligatures w14:val="none"/>
        </w:rPr>
      </w:pPr>
      <w:r w:rsidRPr="008A66CC">
        <w:rPr>
          <w:kern w:val="0"/>
          <w14:ligatures w14:val="none"/>
        </w:rPr>
        <w:t>The efficiency of green hydrogen production depends on the efficiency of the electrolysis process, the efficiency of the renewable energy source, and the overall system efficiency. Electrolysis technology has improved significantly in recent years, with some systems achieving efficiencies of up to 80%. The efficiency of the renewable energy source also plays a significant role in the overall efficiency of green hydrogen production. For example, solar and wind energy are intermittent sources of power, and the efficiency of green hydrogen production will be lower when the renewable energy source is not producing electricity.</w:t>
      </w:r>
    </w:p>
    <w:p w14:paraId="1C18806D" w14:textId="77777777" w:rsidR="008A66CC" w:rsidRPr="008A66CC" w:rsidRDefault="008A66CC" w:rsidP="008A66CC">
      <w:pPr>
        <w:rPr>
          <w:kern w:val="0"/>
          <w14:ligatures w14:val="none"/>
        </w:rPr>
      </w:pPr>
      <w:r w:rsidRPr="008A66CC">
        <w:rPr>
          <w:kern w:val="0"/>
          <w14:ligatures w14:val="none"/>
        </w:rPr>
        <w:t>Green hydrogen production is suitable for both small and large scale projects. Small scale projects, such as those for local energy generation or transportation, can be cost-effective and efficient with the use of appropriate technology and renewable energy sources. Large scale projects, such as those for industrial processes or power generation, can also be cost-effective and efficient with the use of appropriate technology and renewable energy sources. Overall, green hydrogen production is a cost-effective and efficient alternative to fossil fuels for small to large scale projects. Its production and use can significantly reduce greenhouse gas emissions and contribute to a cleaner, safer, and more sustainable future.</w:t>
      </w:r>
      <w:r w:rsidRPr="008A66CC">
        <w:rPr>
          <w:rFonts w:ascii="Times New Roman" w:eastAsia="Times New Roman" w:hAnsi="Times New Roman" w:cs="Times New Roman"/>
          <w:kern w:val="0"/>
          <w:sz w:val="20"/>
          <w:szCs w:val="20"/>
          <w:lang w:eastAsia="en-GB"/>
          <w14:ligatures w14:val="none"/>
        </w:rPr>
        <w:t xml:space="preserve"> </w:t>
      </w:r>
      <w:r w:rsidRPr="008A66CC">
        <w:rPr>
          <w:kern w:val="0"/>
          <w14:ligatures w14:val="none"/>
        </w:rPr>
        <w:t>Green Hydrogen production through Electrolysis and the splitting of water H</w:t>
      </w:r>
      <w:r w:rsidRPr="008A66CC">
        <w:rPr>
          <w:kern w:val="0"/>
          <w:vertAlign w:val="subscript"/>
          <w14:ligatures w14:val="none"/>
        </w:rPr>
        <w:t>2</w:t>
      </w:r>
      <w:r w:rsidRPr="008A66CC">
        <w:rPr>
          <w:kern w:val="0"/>
          <w14:ligatures w14:val="none"/>
        </w:rPr>
        <w:t>O is key to the process with the capacity to release energy without emissions of CO2. This research review will investigate the current findings of the processes to understand the gaps, enabling further analysis for upscaling to larger projects to fuel the Global economy Figure 2.</w:t>
      </w:r>
    </w:p>
    <w:p w14:paraId="73039609"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6B9FD034" w14:textId="77777777" w:rsidR="008A66CC" w:rsidRPr="008A66CC" w:rsidRDefault="008A66CC" w:rsidP="008A66CC">
      <w:pPr>
        <w:spacing w:after="0" w:line="240" w:lineRule="auto"/>
        <w:jc w:val="center"/>
        <w:rPr>
          <w:rFonts w:ascii="Times New Roman" w:eastAsia="Times New Roman" w:hAnsi="Times New Roman" w:cs="Times New Roman"/>
          <w:kern w:val="0"/>
          <w:sz w:val="20"/>
          <w:szCs w:val="20"/>
          <w:lang w:eastAsia="en-GB"/>
          <w14:ligatures w14:val="none"/>
        </w:rPr>
      </w:pPr>
      <w:r w:rsidRPr="008A66CC">
        <w:rPr>
          <w:rFonts w:ascii="Times New Roman" w:eastAsia="Times New Roman" w:hAnsi="Times New Roman" w:cs="Times New Roman"/>
          <w:noProof/>
          <w:kern w:val="0"/>
          <w:sz w:val="20"/>
          <w:szCs w:val="20"/>
          <w:lang w:eastAsia="en-GB"/>
          <w14:ligatures w14:val="none"/>
        </w:rPr>
        <w:drawing>
          <wp:inline distT="0" distB="0" distL="0" distR="0" wp14:anchorId="7A8BB1A6" wp14:editId="5C2B21D1">
            <wp:extent cx="2457061" cy="2623930"/>
            <wp:effectExtent l="0" t="0" r="635" b="508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9"/>
                    <a:srcRect l="1388" t="13258" r="5121"/>
                    <a:stretch/>
                  </pic:blipFill>
                  <pic:spPr bwMode="auto">
                    <a:xfrm>
                      <a:off x="0" y="0"/>
                      <a:ext cx="2472481" cy="2640397"/>
                    </a:xfrm>
                    <a:prstGeom prst="rect">
                      <a:avLst/>
                    </a:prstGeom>
                    <a:ln>
                      <a:noFill/>
                    </a:ln>
                    <a:extLst>
                      <a:ext uri="{53640926-AAD7-44D8-BBD7-CCE9431645EC}">
                        <a14:shadowObscured xmlns:a14="http://schemas.microsoft.com/office/drawing/2010/main"/>
                      </a:ext>
                    </a:extLst>
                  </pic:spPr>
                </pic:pic>
              </a:graphicData>
            </a:graphic>
          </wp:inline>
        </w:drawing>
      </w:r>
    </w:p>
    <w:p w14:paraId="6D033B52" w14:textId="77777777" w:rsidR="008A66CC" w:rsidRPr="008A66CC" w:rsidRDefault="008A66CC" w:rsidP="00FF22F0">
      <w:pPr>
        <w:pStyle w:val="Heading4"/>
      </w:pPr>
      <w:bookmarkStart w:id="8" w:name="_Toc130129818"/>
      <w:bookmarkStart w:id="9" w:name="_Toc130137114"/>
      <w:bookmarkStart w:id="10" w:name="_Toc130652794"/>
      <w:r w:rsidRPr="008A66CC">
        <w:t xml:space="preserve">Figure 2. Global Economy </w:t>
      </w:r>
      <w:sdt>
        <w:sdtPr>
          <w:id w:val="-1326578606"/>
          <w:citation/>
        </w:sdtPr>
        <w:sdtContent>
          <w:r w:rsidRPr="008A66CC">
            <w:fldChar w:fldCharType="begin"/>
          </w:r>
          <w:r w:rsidRPr="008A66CC">
            <w:instrText xml:space="preserve"> CITATION GH222 \l 2057 </w:instrText>
          </w:r>
          <w:r w:rsidRPr="008A66CC">
            <w:fldChar w:fldCharType="separate"/>
          </w:r>
          <w:r w:rsidRPr="008A66CC">
            <w:rPr>
              <w:rFonts w:eastAsia="Times New Roman"/>
              <w:noProof/>
            </w:rPr>
            <w:t>(GH2, 2022)</w:t>
          </w:r>
          <w:r w:rsidRPr="008A66CC">
            <w:fldChar w:fldCharType="end"/>
          </w:r>
        </w:sdtContent>
      </w:sdt>
      <w:bookmarkEnd w:id="8"/>
      <w:bookmarkEnd w:id="9"/>
      <w:bookmarkEnd w:id="10"/>
      <w:r w:rsidRPr="008A66CC">
        <w:t xml:space="preserve"> </w:t>
      </w:r>
    </w:p>
    <w:p w14:paraId="3007B04D" w14:textId="3F2411C4" w:rsidR="008A66CC" w:rsidRDefault="008A66CC" w:rsidP="00EA1B10">
      <w:pPr>
        <w:pStyle w:val="Heading1"/>
      </w:pPr>
      <w:bookmarkStart w:id="11" w:name="_Toc130736542"/>
      <w:bookmarkStart w:id="12" w:name="_Hlk123997799"/>
      <w:r w:rsidRPr="008A66CC">
        <w:lastRenderedPageBreak/>
        <w:t>Literature Review</w:t>
      </w:r>
      <w:bookmarkEnd w:id="11"/>
    </w:p>
    <w:p w14:paraId="394E8156" w14:textId="517D6EE1" w:rsidR="00702E88" w:rsidRDefault="00702E88" w:rsidP="008A66CC">
      <w:pPr>
        <w:spacing w:after="0" w:line="240" w:lineRule="auto"/>
        <w:rPr>
          <w:lang w:eastAsia="en-GB"/>
        </w:rPr>
      </w:pPr>
    </w:p>
    <w:p w14:paraId="5413822E" w14:textId="77777777" w:rsidR="00A06F62" w:rsidRPr="008A66CC" w:rsidRDefault="00A06F62" w:rsidP="008A66CC">
      <w:pPr>
        <w:spacing w:after="0" w:line="240" w:lineRule="auto"/>
        <w:rPr>
          <w:rFonts w:ascii="Times New Roman" w:eastAsia="Times New Roman" w:hAnsi="Times New Roman" w:cs="Times New Roman"/>
          <w:kern w:val="0"/>
          <w:sz w:val="20"/>
          <w:szCs w:val="20"/>
          <w:lang w:eastAsia="en-GB"/>
          <w14:ligatures w14:val="none"/>
        </w:rPr>
      </w:pPr>
    </w:p>
    <w:p w14:paraId="431536DB" w14:textId="77777777" w:rsidR="008A66CC" w:rsidRPr="008A66CC" w:rsidRDefault="008A66CC" w:rsidP="00FF22F0">
      <w:pPr>
        <w:pStyle w:val="Heading2"/>
      </w:pPr>
      <w:bookmarkStart w:id="13" w:name="_Toc130736543"/>
      <w:r w:rsidRPr="008A66CC">
        <w:t>CO2 Emissions</w:t>
      </w:r>
      <w:bookmarkEnd w:id="13"/>
      <w:r w:rsidRPr="008A66CC">
        <w:t xml:space="preserve"> </w:t>
      </w:r>
    </w:p>
    <w:bookmarkEnd w:id="12"/>
    <w:p w14:paraId="1FE65AEF"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633B4176" w14:textId="4831CCD4" w:rsidR="008A66CC" w:rsidRPr="008A66CC" w:rsidRDefault="008A66CC" w:rsidP="008A66CC">
      <w:pPr>
        <w:rPr>
          <w:kern w:val="0"/>
          <w14:ligatures w14:val="none"/>
        </w:rPr>
      </w:pPr>
      <w:r w:rsidRPr="008A66CC">
        <w:rPr>
          <w:kern w:val="0"/>
          <w14:ligatures w14:val="none"/>
        </w:rPr>
        <w:t xml:space="preserve">The International Energy Agency has previously completed research with data from 1900 up to 2020, Figure 3. below highlights that global CO2 emissions have exceeded 34 billion tons </w:t>
      </w:r>
      <w:sdt>
        <w:sdtPr>
          <w:rPr>
            <w:kern w:val="0"/>
            <w14:ligatures w14:val="none"/>
          </w:rPr>
          <w:id w:val="-1791431864"/>
          <w:citation/>
        </w:sdtPr>
        <w:sdtContent>
          <w:r w:rsidRPr="008A66CC">
            <w:rPr>
              <w:kern w:val="0"/>
              <w14:ligatures w14:val="none"/>
            </w:rPr>
            <w:fldChar w:fldCharType="begin"/>
          </w:r>
          <w:r w:rsidRPr="008A66CC">
            <w:rPr>
              <w:kern w:val="0"/>
              <w14:ligatures w14:val="none"/>
            </w:rPr>
            <w:instrText xml:space="preserve">CITATION IES20 \l 2057 </w:instrText>
          </w:r>
          <w:r w:rsidRPr="008A66CC">
            <w:rPr>
              <w:kern w:val="0"/>
              <w14:ligatures w14:val="none"/>
            </w:rPr>
            <w:fldChar w:fldCharType="separate"/>
          </w:r>
          <w:r w:rsidRPr="008A66CC">
            <w:rPr>
              <w:kern w:val="0"/>
              <w14:ligatures w14:val="none"/>
            </w:rPr>
            <w:t>(IES, 2020)</w:t>
          </w:r>
          <w:r w:rsidRPr="008A66CC">
            <w:rPr>
              <w:kern w:val="0"/>
              <w14:ligatures w14:val="none"/>
            </w:rPr>
            <w:fldChar w:fldCharType="end"/>
          </w:r>
        </w:sdtContent>
      </w:sdt>
      <w:r w:rsidRPr="008A66CC">
        <w:rPr>
          <w:kern w:val="0"/>
          <w14:ligatures w14:val="none"/>
        </w:rPr>
        <w:t>.This contributes to climate change and dangerous environmental challenges such as rising sea levels, melting polar regions</w:t>
      </w:r>
      <w:r w:rsidR="00810251">
        <w:rPr>
          <w:kern w:val="0"/>
          <w14:ligatures w14:val="none"/>
        </w:rPr>
        <w:t xml:space="preserve"> </w:t>
      </w:r>
      <w:sdt>
        <w:sdtPr>
          <w:rPr>
            <w:kern w:val="0"/>
            <w14:ligatures w14:val="none"/>
          </w:rPr>
          <w:id w:val="-391117185"/>
          <w:citation/>
        </w:sdtPr>
        <w:sdtContent>
          <w:r w:rsidR="00810251">
            <w:rPr>
              <w:kern w:val="0"/>
              <w14:ligatures w14:val="none"/>
            </w:rPr>
            <w:fldChar w:fldCharType="begin"/>
          </w:r>
          <w:r w:rsidR="00810251">
            <w:rPr>
              <w:kern w:val="0"/>
              <w14:ligatures w14:val="none"/>
            </w:rPr>
            <w:instrText xml:space="preserve"> CITATION Rux22 \l 2057 </w:instrText>
          </w:r>
          <w:r w:rsidR="00810251">
            <w:rPr>
              <w:kern w:val="0"/>
              <w14:ligatures w14:val="none"/>
            </w:rPr>
            <w:fldChar w:fldCharType="separate"/>
          </w:r>
          <w:r w:rsidR="00810251" w:rsidRPr="00810251">
            <w:rPr>
              <w:noProof/>
              <w:kern w:val="0"/>
              <w14:ligatures w14:val="none"/>
            </w:rPr>
            <w:t>(Ruxing Gao, 2022)</w:t>
          </w:r>
          <w:r w:rsidR="00810251">
            <w:rPr>
              <w:kern w:val="0"/>
              <w14:ligatures w14:val="none"/>
            </w:rPr>
            <w:fldChar w:fldCharType="end"/>
          </w:r>
        </w:sdtContent>
      </w:sdt>
      <w:r w:rsidRPr="008A66CC">
        <w:rPr>
          <w:kern w:val="0"/>
          <w14:ligatures w14:val="none"/>
        </w:rPr>
        <w:t xml:space="preserve"> and quality of life as we know it </w:t>
      </w:r>
      <w:sdt>
        <w:sdtPr>
          <w:rPr>
            <w:kern w:val="0"/>
            <w14:ligatures w14:val="none"/>
          </w:rPr>
          <w:id w:val="-2036955827"/>
          <w:citation/>
        </w:sdtPr>
        <w:sdtContent>
          <w:r w:rsidRPr="008A66CC">
            <w:rPr>
              <w:kern w:val="0"/>
              <w14:ligatures w14:val="none"/>
            </w:rPr>
            <w:fldChar w:fldCharType="begin"/>
          </w:r>
          <w:r w:rsidRPr="008A66CC">
            <w:rPr>
              <w:kern w:val="0"/>
              <w14:ligatures w14:val="none"/>
            </w:rPr>
            <w:instrText xml:space="preserve"> CITATION Say21 \l 2057 </w:instrText>
          </w:r>
          <w:r w:rsidRPr="008A66CC">
            <w:rPr>
              <w:kern w:val="0"/>
              <w14:ligatures w14:val="none"/>
            </w:rPr>
            <w:fldChar w:fldCharType="separate"/>
          </w:r>
          <w:r w:rsidRPr="008A66CC">
            <w:rPr>
              <w:kern w:val="0"/>
              <w14:ligatures w14:val="none"/>
            </w:rPr>
            <w:t>(Sayad B, 2021)</w:t>
          </w:r>
          <w:r w:rsidRPr="008A66CC">
            <w:rPr>
              <w:kern w:val="0"/>
              <w14:ligatures w14:val="none"/>
            </w:rPr>
            <w:fldChar w:fldCharType="end"/>
          </w:r>
        </w:sdtContent>
      </w:sdt>
    </w:p>
    <w:p w14:paraId="734B465F" w14:textId="77777777" w:rsidR="008A66CC" w:rsidRPr="008A66CC" w:rsidRDefault="008A66CC" w:rsidP="008A66CC">
      <w:pPr>
        <w:rPr>
          <w:kern w:val="0"/>
          <w14:ligatures w14:val="none"/>
        </w:rPr>
      </w:pPr>
    </w:p>
    <w:p w14:paraId="29D7AA0B" w14:textId="77777777" w:rsidR="008A66CC" w:rsidRPr="008A66CC" w:rsidRDefault="008A66CC" w:rsidP="008A66CC">
      <w:pPr>
        <w:rPr>
          <w:kern w:val="0"/>
          <w14:ligatures w14:val="none"/>
        </w:rPr>
      </w:pPr>
    </w:p>
    <w:p w14:paraId="51A32177" w14:textId="77777777" w:rsidR="008A66CC" w:rsidRPr="008A66CC" w:rsidRDefault="008A66CC" w:rsidP="008A66CC">
      <w:pPr>
        <w:rPr>
          <w:kern w:val="0"/>
          <w14:ligatures w14:val="none"/>
        </w:rPr>
      </w:pPr>
      <w:r w:rsidRPr="008A66CC">
        <w:rPr>
          <w:noProof/>
          <w:kern w:val="0"/>
          <w14:ligatures w14:val="none"/>
        </w:rPr>
        <w:drawing>
          <wp:inline distT="0" distB="0" distL="0" distR="0" wp14:anchorId="7DBD3A25" wp14:editId="5F6C9ADF">
            <wp:extent cx="5731510" cy="2661285"/>
            <wp:effectExtent l="0" t="0" r="2540" b="5715"/>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0"/>
                    <a:stretch>
                      <a:fillRect/>
                    </a:stretch>
                  </pic:blipFill>
                  <pic:spPr>
                    <a:xfrm>
                      <a:off x="0" y="0"/>
                      <a:ext cx="5731510" cy="2661285"/>
                    </a:xfrm>
                    <a:prstGeom prst="rect">
                      <a:avLst/>
                    </a:prstGeom>
                  </pic:spPr>
                </pic:pic>
              </a:graphicData>
            </a:graphic>
          </wp:inline>
        </w:drawing>
      </w:r>
    </w:p>
    <w:p w14:paraId="7A47B848" w14:textId="77777777" w:rsidR="008A66CC" w:rsidRPr="008A66CC" w:rsidRDefault="008A66CC" w:rsidP="008A66CC">
      <w:pPr>
        <w:jc w:val="center"/>
        <w:outlineLvl w:val="3"/>
        <w:rPr>
          <w:kern w:val="0"/>
          <w14:ligatures w14:val="none"/>
        </w:rPr>
      </w:pPr>
    </w:p>
    <w:p w14:paraId="2C758B22" w14:textId="77777777" w:rsidR="008A66CC" w:rsidRPr="008A66CC" w:rsidRDefault="008A66CC" w:rsidP="00FF22F0">
      <w:pPr>
        <w:pStyle w:val="Heading4"/>
      </w:pPr>
      <w:bookmarkStart w:id="14" w:name="_Toc130129819"/>
      <w:bookmarkStart w:id="15" w:name="_Toc130137115"/>
      <w:bookmarkStart w:id="16" w:name="_Toc130652795"/>
      <w:r w:rsidRPr="008A66CC">
        <w:t>Figure 3. Global energy-related CO2 emissions, 1900-2020</w:t>
      </w:r>
      <w:bookmarkEnd w:id="14"/>
      <w:bookmarkEnd w:id="15"/>
      <w:bookmarkEnd w:id="16"/>
    </w:p>
    <w:p w14:paraId="34675D43" w14:textId="77777777" w:rsidR="008A66CC" w:rsidRPr="008A66CC" w:rsidRDefault="008A66CC" w:rsidP="008A66CC">
      <w:pPr>
        <w:rPr>
          <w:kern w:val="0"/>
          <w14:ligatures w14:val="none"/>
        </w:rPr>
      </w:pPr>
    </w:p>
    <w:p w14:paraId="7C7198DF" w14:textId="77777777" w:rsidR="008A66CC" w:rsidRPr="008A66CC" w:rsidRDefault="008A66CC" w:rsidP="008A66CC">
      <w:pPr>
        <w:rPr>
          <w:kern w:val="0"/>
          <w14:ligatures w14:val="none"/>
        </w:rPr>
      </w:pPr>
    </w:p>
    <w:p w14:paraId="56B863B2" w14:textId="0DB9960D" w:rsidR="008A66CC" w:rsidRPr="008A66CC" w:rsidRDefault="008A66CC" w:rsidP="008A66CC">
      <w:pPr>
        <w:rPr>
          <w:kern w:val="0"/>
          <w14:ligatures w14:val="none"/>
        </w:rPr>
      </w:pPr>
      <w:r w:rsidRPr="008A66CC">
        <w:rPr>
          <w:kern w:val="0"/>
          <w14:ligatures w14:val="none"/>
        </w:rPr>
        <w:t xml:space="preserve">Reduction of CO2 emissions and Mitigating climate change have become the main focus of environmental issues facing human society to date </w:t>
      </w:r>
      <w:sdt>
        <w:sdtPr>
          <w:rPr>
            <w:kern w:val="0"/>
            <w14:ligatures w14:val="none"/>
          </w:rPr>
          <w:id w:val="-174343076"/>
          <w:citation/>
        </w:sdtPr>
        <w:sdtContent>
          <w:r w:rsidRPr="008A66CC">
            <w:rPr>
              <w:kern w:val="0"/>
              <w14:ligatures w14:val="none"/>
            </w:rPr>
            <w:fldChar w:fldCharType="begin"/>
          </w:r>
          <w:r w:rsidRPr="008A66CC">
            <w:rPr>
              <w:kern w:val="0"/>
              <w14:ligatures w14:val="none"/>
            </w:rPr>
            <w:instrText xml:space="preserve"> CITATION Rux20 \l 2057 </w:instrText>
          </w:r>
          <w:r w:rsidRPr="008A66CC">
            <w:rPr>
              <w:kern w:val="0"/>
              <w14:ligatures w14:val="none"/>
            </w:rPr>
            <w:fldChar w:fldCharType="separate"/>
          </w:r>
          <w:r w:rsidRPr="008A66CC">
            <w:rPr>
              <w:kern w:val="0"/>
              <w14:ligatures w14:val="none"/>
            </w:rPr>
            <w:t>(Ruxing, 2020)</w:t>
          </w:r>
          <w:r w:rsidRPr="008A66CC">
            <w:rPr>
              <w:kern w:val="0"/>
              <w14:ligatures w14:val="none"/>
            </w:rPr>
            <w:fldChar w:fldCharType="end"/>
          </w:r>
        </w:sdtContent>
      </w:sdt>
      <w:r w:rsidR="005531B5">
        <w:rPr>
          <w:kern w:val="0"/>
          <w14:ligatures w14:val="none"/>
        </w:rPr>
        <w:t xml:space="preserve">. </w:t>
      </w:r>
      <w:r w:rsidRPr="008A66CC">
        <w:rPr>
          <w:kern w:val="0"/>
          <w14:ligatures w14:val="none"/>
        </w:rPr>
        <w:t xml:space="preserve">During the Paris Climate agreement in 2015 targets were set to limit the global temperature increase to below 1.5–2 ◦C by 2100  </w:t>
      </w:r>
      <w:sdt>
        <w:sdtPr>
          <w:rPr>
            <w:kern w:val="0"/>
            <w14:ligatures w14:val="none"/>
          </w:rPr>
          <w:id w:val="1264653975"/>
          <w:citation/>
        </w:sdtPr>
        <w:sdtContent>
          <w:r w:rsidRPr="008A66CC">
            <w:rPr>
              <w:kern w:val="0"/>
              <w14:ligatures w14:val="none"/>
            </w:rPr>
            <w:fldChar w:fldCharType="begin"/>
          </w:r>
          <w:r w:rsidRPr="008A66CC">
            <w:rPr>
              <w:kern w:val="0"/>
              <w14:ligatures w14:val="none"/>
            </w:rPr>
            <w:instrText xml:space="preserve"> CITATION Pac14 \l 2057 </w:instrText>
          </w:r>
          <w:r w:rsidRPr="008A66CC">
            <w:rPr>
              <w:kern w:val="0"/>
              <w14:ligatures w14:val="none"/>
            </w:rPr>
            <w:fldChar w:fldCharType="separate"/>
          </w:r>
          <w:r w:rsidRPr="008A66CC">
            <w:rPr>
              <w:kern w:val="0"/>
              <w14:ligatures w14:val="none"/>
            </w:rPr>
            <w:t>(Pachauri RK, 2014)</w:t>
          </w:r>
          <w:r w:rsidRPr="008A66CC">
            <w:rPr>
              <w:kern w:val="0"/>
              <w14:ligatures w14:val="none"/>
            </w:rPr>
            <w:fldChar w:fldCharType="end"/>
          </w:r>
        </w:sdtContent>
      </w:sdt>
      <w:r w:rsidR="005531B5">
        <w:rPr>
          <w:kern w:val="0"/>
          <w14:ligatures w14:val="none"/>
        </w:rPr>
        <w:t>.</w:t>
      </w:r>
    </w:p>
    <w:p w14:paraId="4BE07BF3" w14:textId="142245AB" w:rsidR="00A06F62" w:rsidRDefault="00B30B8F" w:rsidP="00810251">
      <w:pPr>
        <w:rPr>
          <w:kern w:val="0"/>
          <w14:ligatures w14:val="none"/>
        </w:rPr>
      </w:pPr>
      <w:r w:rsidRPr="00B30B8F">
        <w:rPr>
          <w:kern w:val="0"/>
          <w14:ligatures w14:val="none"/>
        </w:rPr>
        <w:t>There are several ways to help achieve the goal of reducing carbon emissions, including carbon capture and storage (CCS), carbon capture and utilization (CCU), and the permanent storage of captured CO2 (CCS). Additionally, there are CCU technologies that make use of CO2 as a raw material to produce valuable fuels and chemicals, such as synthetic natural gas (SNG). Among these CCU technologies, power-to-liquids (PTL) and power-to-gas (PTG) processes are highlighted as capable methods to help reduce CO2 emissions and achieve carbon neutrality, ultimately fighting against global warming.</w:t>
      </w:r>
      <w:bookmarkStart w:id="17" w:name="_Toc130736544"/>
      <w:sdt>
        <w:sdtPr>
          <w:rPr>
            <w:kern w:val="0"/>
            <w14:ligatures w14:val="none"/>
          </w:rPr>
          <w:id w:val="1449283206"/>
          <w:citation/>
        </w:sdtPr>
        <w:sdtContent>
          <w:r w:rsidR="00810251">
            <w:rPr>
              <w:kern w:val="0"/>
              <w14:ligatures w14:val="none"/>
            </w:rPr>
            <w:fldChar w:fldCharType="begin"/>
          </w:r>
          <w:r w:rsidR="00810251">
            <w:rPr>
              <w:kern w:val="0"/>
              <w14:ligatures w14:val="none"/>
            </w:rPr>
            <w:instrText xml:space="preserve"> CITATION Rux22 \l 2057 </w:instrText>
          </w:r>
          <w:r w:rsidR="00810251">
            <w:rPr>
              <w:kern w:val="0"/>
              <w14:ligatures w14:val="none"/>
            </w:rPr>
            <w:fldChar w:fldCharType="separate"/>
          </w:r>
          <w:r w:rsidR="00810251">
            <w:rPr>
              <w:noProof/>
              <w:kern w:val="0"/>
              <w14:ligatures w14:val="none"/>
            </w:rPr>
            <w:t xml:space="preserve"> </w:t>
          </w:r>
          <w:r w:rsidR="00810251" w:rsidRPr="00810251">
            <w:rPr>
              <w:noProof/>
              <w:kern w:val="0"/>
              <w14:ligatures w14:val="none"/>
            </w:rPr>
            <w:t>(Ruxing Gao, 2022)</w:t>
          </w:r>
          <w:r w:rsidR="00810251">
            <w:rPr>
              <w:kern w:val="0"/>
              <w14:ligatures w14:val="none"/>
            </w:rPr>
            <w:fldChar w:fldCharType="end"/>
          </w:r>
        </w:sdtContent>
      </w:sdt>
    </w:p>
    <w:p w14:paraId="01D75E15" w14:textId="77777777" w:rsidR="00810251" w:rsidRDefault="00810251" w:rsidP="00810251"/>
    <w:p w14:paraId="5F15F7F5" w14:textId="77777777" w:rsidR="00A06F62" w:rsidRDefault="00A06F62" w:rsidP="00FF22F0">
      <w:pPr>
        <w:pStyle w:val="Heading2"/>
      </w:pPr>
    </w:p>
    <w:p w14:paraId="0C349F33" w14:textId="7DFFF2E3" w:rsidR="008A66CC" w:rsidRPr="008A66CC" w:rsidRDefault="008A66CC" w:rsidP="00FF22F0">
      <w:pPr>
        <w:pStyle w:val="Heading2"/>
      </w:pPr>
      <w:r w:rsidRPr="008A66CC">
        <w:t>Green Hydrogen Production</w:t>
      </w:r>
      <w:bookmarkEnd w:id="17"/>
    </w:p>
    <w:p w14:paraId="59CC12AF" w14:textId="77777777" w:rsidR="008A66CC" w:rsidRPr="008A66CC" w:rsidRDefault="008A66CC" w:rsidP="008A66CC">
      <w:pPr>
        <w:spacing w:after="0" w:line="240" w:lineRule="auto"/>
        <w:rPr>
          <w:rFonts w:ascii="Times New Roman" w:hAnsi="Times New Roman" w:cs="Times New Roman"/>
          <w:kern w:val="0"/>
          <w:sz w:val="20"/>
          <w:szCs w:val="20"/>
          <w14:ligatures w14:val="none"/>
        </w:rPr>
      </w:pPr>
    </w:p>
    <w:p w14:paraId="613C93CB" w14:textId="5E369F09" w:rsidR="008A66CC" w:rsidRPr="008A66CC" w:rsidRDefault="00B30B8F" w:rsidP="008A66CC">
      <w:pPr>
        <w:rPr>
          <w:kern w:val="0"/>
          <w14:ligatures w14:val="none"/>
        </w:rPr>
      </w:pPr>
      <w:r>
        <w:rPr>
          <w:kern w:val="0"/>
          <w14:ligatures w14:val="none"/>
        </w:rPr>
        <w:t>P</w:t>
      </w:r>
      <w:r w:rsidRPr="00B30B8F">
        <w:rPr>
          <w:kern w:val="0"/>
          <w14:ligatures w14:val="none"/>
        </w:rPr>
        <w:t xml:space="preserve">ower-to-liquids (PTL) and </w:t>
      </w:r>
      <w:r>
        <w:rPr>
          <w:kern w:val="0"/>
          <w14:ligatures w14:val="none"/>
        </w:rPr>
        <w:t>P</w:t>
      </w:r>
      <w:r w:rsidRPr="00B30B8F">
        <w:rPr>
          <w:kern w:val="0"/>
          <w14:ligatures w14:val="none"/>
        </w:rPr>
        <w:t xml:space="preserve">ower-to-gas (PTG) </w:t>
      </w:r>
      <w:r w:rsidR="008A66CC" w:rsidRPr="008A66CC">
        <w:rPr>
          <w:kern w:val="0"/>
          <w14:ligatures w14:val="none"/>
        </w:rPr>
        <w:t>process intentions are to transform and store the surplus and intermittent renewable energies into steady chemical energies by either a CO</w:t>
      </w:r>
      <w:r w:rsidR="008A66CC" w:rsidRPr="005531B5">
        <w:rPr>
          <w:kern w:val="0"/>
          <w:vertAlign w:val="subscript"/>
          <w14:ligatures w14:val="none"/>
        </w:rPr>
        <w:t>2</w:t>
      </w:r>
      <w:r w:rsidR="008A66CC" w:rsidRPr="008A66CC">
        <w:rPr>
          <w:kern w:val="0"/>
          <w14:ligatures w14:val="none"/>
        </w:rPr>
        <w:t xml:space="preserve"> capture section, which separates CO2 from the exhaust gas of industrial plants such as the steel, cement and power plants via chemical and, or physical absorption techniques, membrane separation and pressure swing adsorption processes</w:t>
      </w:r>
      <w:r w:rsidR="00522B8B">
        <w:rPr>
          <w:kern w:val="0"/>
          <w14:ligatures w14:val="none"/>
        </w:rPr>
        <w:t xml:space="preserve"> </w:t>
      </w:r>
      <w:sdt>
        <w:sdtPr>
          <w:rPr>
            <w:kern w:val="0"/>
            <w14:ligatures w14:val="none"/>
          </w:rPr>
          <w:id w:val="-1152142195"/>
          <w:citation/>
        </w:sdtPr>
        <w:sdtContent>
          <w:r w:rsidR="00522B8B">
            <w:rPr>
              <w:kern w:val="0"/>
              <w14:ligatures w14:val="none"/>
            </w:rPr>
            <w:fldChar w:fldCharType="begin"/>
          </w:r>
          <w:r w:rsidR="00522B8B">
            <w:rPr>
              <w:kern w:val="0"/>
              <w14:ligatures w14:val="none"/>
            </w:rPr>
            <w:instrText xml:space="preserve"> CITATION Rux22 \l 2057 </w:instrText>
          </w:r>
          <w:r w:rsidR="00522B8B">
            <w:rPr>
              <w:kern w:val="0"/>
              <w14:ligatures w14:val="none"/>
            </w:rPr>
            <w:fldChar w:fldCharType="separate"/>
          </w:r>
          <w:r w:rsidR="00522B8B" w:rsidRPr="00522B8B">
            <w:rPr>
              <w:noProof/>
              <w:kern w:val="0"/>
              <w14:ligatures w14:val="none"/>
            </w:rPr>
            <w:t>(Ruxing Gao, 2022)</w:t>
          </w:r>
          <w:r w:rsidR="00522B8B">
            <w:rPr>
              <w:kern w:val="0"/>
              <w14:ligatures w14:val="none"/>
            </w:rPr>
            <w:fldChar w:fldCharType="end"/>
          </w:r>
        </w:sdtContent>
      </w:sdt>
      <w:r w:rsidR="008A66CC" w:rsidRPr="008A66CC">
        <w:rPr>
          <w:kern w:val="0"/>
          <w14:ligatures w14:val="none"/>
        </w:rPr>
        <w:t xml:space="preserve">. Or  </w:t>
      </w:r>
      <w:r w:rsidR="008A66CC" w:rsidRPr="00B30B8F">
        <w:rPr>
          <w:kern w:val="0"/>
          <w14:ligatures w14:val="none"/>
        </w:rPr>
        <w:t>Via a H</w:t>
      </w:r>
      <w:r w:rsidR="008A66CC" w:rsidRPr="00B30B8F">
        <w:rPr>
          <w:kern w:val="0"/>
          <w:vertAlign w:val="subscript"/>
          <w14:ligatures w14:val="none"/>
        </w:rPr>
        <w:t>2</w:t>
      </w:r>
      <w:r w:rsidR="008A66CC" w:rsidRPr="00B30B8F">
        <w:rPr>
          <w:kern w:val="0"/>
          <w14:ligatures w14:val="none"/>
        </w:rPr>
        <w:t xml:space="preserve"> generation </w:t>
      </w:r>
      <w:r w:rsidR="008A66CC" w:rsidRPr="008A66CC">
        <w:rPr>
          <w:kern w:val="0"/>
          <w14:ligatures w14:val="none"/>
        </w:rPr>
        <w:t>section, which produces H</w:t>
      </w:r>
      <w:r w:rsidR="008A66CC" w:rsidRPr="005531B5">
        <w:rPr>
          <w:kern w:val="0"/>
          <w:vertAlign w:val="subscript"/>
          <w14:ligatures w14:val="none"/>
        </w:rPr>
        <w:t>2</w:t>
      </w:r>
      <w:r w:rsidR="008A66CC" w:rsidRPr="008A66CC">
        <w:rPr>
          <w:kern w:val="0"/>
          <w14:ligatures w14:val="none"/>
        </w:rPr>
        <w:t xml:space="preserve"> via water electrolysis technologies using renewable energy (e.g., wind and solar energy) </w:t>
      </w:r>
      <w:sdt>
        <w:sdtPr>
          <w:rPr>
            <w:kern w:val="0"/>
            <w14:ligatures w14:val="none"/>
          </w:rPr>
          <w:id w:val="697902033"/>
          <w:citation/>
        </w:sdtPr>
        <w:sdtContent>
          <w:r w:rsidR="008A66CC" w:rsidRPr="008A66CC">
            <w:rPr>
              <w:kern w:val="0"/>
              <w14:ligatures w14:val="none"/>
            </w:rPr>
            <w:fldChar w:fldCharType="begin"/>
          </w:r>
          <w:r w:rsidR="008A66CC" w:rsidRPr="008A66CC">
            <w:rPr>
              <w:kern w:val="0"/>
              <w14:ligatures w14:val="none"/>
            </w:rPr>
            <w:instrText xml:space="preserve"> CITATION All21 \l 2057 </w:instrText>
          </w:r>
          <w:r w:rsidR="008A66CC" w:rsidRPr="008A66CC">
            <w:rPr>
              <w:kern w:val="0"/>
              <w14:ligatures w14:val="none"/>
            </w:rPr>
            <w:fldChar w:fldCharType="separate"/>
          </w:r>
          <w:r w:rsidR="008A66CC" w:rsidRPr="008A66CC">
            <w:rPr>
              <w:kern w:val="0"/>
              <w14:ligatures w14:val="none"/>
            </w:rPr>
            <w:t>(Alliche M, 2021)</w:t>
          </w:r>
          <w:r w:rsidR="008A66CC" w:rsidRPr="008A66CC">
            <w:rPr>
              <w:kern w:val="0"/>
              <w14:ligatures w14:val="none"/>
            </w:rPr>
            <w:fldChar w:fldCharType="end"/>
          </w:r>
        </w:sdtContent>
      </w:sdt>
    </w:p>
    <w:p w14:paraId="6BFEC41C" w14:textId="58663C84" w:rsidR="008A66CC" w:rsidRPr="008A66CC" w:rsidRDefault="008A66CC" w:rsidP="008A66CC">
      <w:pPr>
        <w:rPr>
          <w:kern w:val="0"/>
          <w14:ligatures w14:val="none"/>
        </w:rPr>
      </w:pPr>
      <w:r w:rsidRPr="008A66CC">
        <w:rPr>
          <w:kern w:val="0"/>
          <w14:ligatures w14:val="none"/>
        </w:rPr>
        <w:t xml:space="preserve"> Based on previous literature </w:t>
      </w:r>
      <w:sdt>
        <w:sdtPr>
          <w:rPr>
            <w:kern w:val="0"/>
            <w14:ligatures w14:val="none"/>
          </w:rPr>
          <w:id w:val="1532605354"/>
          <w:citation/>
        </w:sdtPr>
        <w:sdtContent>
          <w:r w:rsidRPr="008A66CC">
            <w:rPr>
              <w:kern w:val="0"/>
              <w14:ligatures w14:val="none"/>
            </w:rPr>
            <w:fldChar w:fldCharType="begin"/>
          </w:r>
          <w:r w:rsidRPr="008A66CC">
            <w:rPr>
              <w:kern w:val="0"/>
              <w14:ligatures w14:val="none"/>
            </w:rPr>
            <w:instrText xml:space="preserve"> CITATION Zha19 \l 2057 </w:instrText>
          </w:r>
          <w:r w:rsidRPr="008A66CC">
            <w:rPr>
              <w:kern w:val="0"/>
              <w14:ligatures w14:val="none"/>
            </w:rPr>
            <w:fldChar w:fldCharType="separate"/>
          </w:r>
          <w:r w:rsidRPr="008A66CC">
            <w:rPr>
              <w:kern w:val="0"/>
              <w14:ligatures w14:val="none"/>
            </w:rPr>
            <w:t>(Zhang C, 2019)</w:t>
          </w:r>
          <w:r w:rsidRPr="008A66CC">
            <w:rPr>
              <w:kern w:val="0"/>
              <w14:ligatures w14:val="none"/>
            </w:rPr>
            <w:fldChar w:fldCharType="end"/>
          </w:r>
        </w:sdtContent>
      </w:sdt>
      <w:r w:rsidRPr="008A66CC">
        <w:rPr>
          <w:kern w:val="0"/>
          <w14:ligatures w14:val="none"/>
        </w:rPr>
        <w:t xml:space="preserve"> </w:t>
      </w:r>
      <w:sdt>
        <w:sdtPr>
          <w:rPr>
            <w:kern w:val="0"/>
            <w14:ligatures w14:val="none"/>
          </w:rPr>
          <w:id w:val="858862397"/>
          <w:citation/>
        </w:sdtPr>
        <w:sdtContent>
          <w:r w:rsidRPr="008A66CC">
            <w:rPr>
              <w:kern w:val="0"/>
              <w14:ligatures w14:val="none"/>
            </w:rPr>
            <w:fldChar w:fldCharType="begin"/>
          </w:r>
          <w:r w:rsidRPr="008A66CC">
            <w:rPr>
              <w:kern w:val="0"/>
              <w14:ligatures w14:val="none"/>
            </w:rPr>
            <w:instrText xml:space="preserve"> CITATION Rux21 \l 2057 </w:instrText>
          </w:r>
          <w:r w:rsidRPr="008A66CC">
            <w:rPr>
              <w:kern w:val="0"/>
              <w14:ligatures w14:val="none"/>
            </w:rPr>
            <w:fldChar w:fldCharType="separate"/>
          </w:r>
          <w:r w:rsidRPr="008A66CC">
            <w:rPr>
              <w:kern w:val="0"/>
              <w14:ligatures w14:val="none"/>
            </w:rPr>
            <w:t>(Ruxing Gao, 2021)</w:t>
          </w:r>
          <w:r w:rsidRPr="008A66CC">
            <w:rPr>
              <w:kern w:val="0"/>
              <w14:ligatures w14:val="none"/>
            </w:rPr>
            <w:fldChar w:fldCharType="end"/>
          </w:r>
        </w:sdtContent>
      </w:sdt>
      <w:r w:rsidRPr="008A66CC">
        <w:rPr>
          <w:kern w:val="0"/>
          <w14:ligatures w14:val="none"/>
        </w:rPr>
        <w:t xml:space="preserve"> it is observed that H</w:t>
      </w:r>
      <w:r w:rsidR="00B30B8F" w:rsidRPr="00B30B8F">
        <w:rPr>
          <w:kern w:val="0"/>
          <w:vertAlign w:val="subscript"/>
          <w14:ligatures w14:val="none"/>
        </w:rPr>
        <w:t>2</w:t>
      </w:r>
      <w:r w:rsidRPr="00B30B8F">
        <w:rPr>
          <w:kern w:val="0"/>
          <w:vertAlign w:val="subscript"/>
          <w14:ligatures w14:val="none"/>
        </w:rPr>
        <w:t xml:space="preserve"> </w:t>
      </w:r>
      <w:r w:rsidRPr="008A66CC">
        <w:rPr>
          <w:kern w:val="0"/>
          <w14:ligatures w14:val="none"/>
        </w:rPr>
        <w:t xml:space="preserve">production is a key step, which has substantial impacts on both the technical and economic performances of PTL and PTG processes. </w:t>
      </w:r>
    </w:p>
    <w:p w14:paraId="27B65F8F" w14:textId="77777777" w:rsidR="008A66CC" w:rsidRPr="008A66CC" w:rsidRDefault="008A66CC" w:rsidP="008A66CC">
      <w:pPr>
        <w:rPr>
          <w:kern w:val="0"/>
          <w14:ligatures w14:val="none"/>
        </w:rPr>
      </w:pPr>
      <w:r w:rsidRPr="008A66CC">
        <w:rPr>
          <w:kern w:val="0"/>
          <w14:ligatures w14:val="none"/>
        </w:rPr>
        <w:t>There are several H</w:t>
      </w:r>
      <w:r w:rsidRPr="00B30B8F">
        <w:rPr>
          <w:kern w:val="0"/>
          <w:vertAlign w:val="subscript"/>
          <w14:ligatures w14:val="none"/>
        </w:rPr>
        <w:t>2</w:t>
      </w:r>
      <w:r w:rsidRPr="008A66CC">
        <w:rPr>
          <w:kern w:val="0"/>
          <w14:ligatures w14:val="none"/>
        </w:rPr>
        <w:t xml:space="preserve"> production types, one being water electrolysis, electrolysis is seen to be a good fit for green hydrogen production via electricity from solar, wind or marine energies Figure 4. compared with steam methane reforming or coal gasification </w:t>
      </w:r>
      <w:sdt>
        <w:sdtPr>
          <w:rPr>
            <w:kern w:val="0"/>
            <w14:ligatures w14:val="none"/>
          </w:rPr>
          <w:id w:val="1703980224"/>
          <w:citation/>
        </w:sdtPr>
        <w:sdtContent>
          <w:r w:rsidRPr="008A66CC">
            <w:rPr>
              <w:kern w:val="0"/>
              <w14:ligatures w14:val="none"/>
            </w:rPr>
            <w:fldChar w:fldCharType="begin"/>
          </w:r>
          <w:r w:rsidRPr="008A66CC">
            <w:rPr>
              <w:kern w:val="0"/>
              <w14:ligatures w14:val="none"/>
            </w:rPr>
            <w:instrText xml:space="preserve"> CITATION Nan14 \l 2057 </w:instrText>
          </w:r>
          <w:r w:rsidRPr="008A66CC">
            <w:rPr>
              <w:kern w:val="0"/>
              <w14:ligatures w14:val="none"/>
            </w:rPr>
            <w:fldChar w:fldCharType="separate"/>
          </w:r>
          <w:r w:rsidRPr="008A66CC">
            <w:rPr>
              <w:kern w:val="0"/>
              <w14:ligatures w14:val="none"/>
            </w:rPr>
            <w:t>(Nana Yaw Amponsah, 2014)</w:t>
          </w:r>
          <w:r w:rsidRPr="008A66CC">
            <w:rPr>
              <w:kern w:val="0"/>
              <w14:ligatures w14:val="none"/>
            </w:rPr>
            <w:fldChar w:fldCharType="end"/>
          </w:r>
        </w:sdtContent>
      </w:sdt>
      <w:r w:rsidRPr="008A66CC">
        <w:rPr>
          <w:kern w:val="0"/>
          <w14:ligatures w14:val="none"/>
        </w:rPr>
        <w:t>.</w:t>
      </w:r>
    </w:p>
    <w:p w14:paraId="1A7CAE51"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3C382A33"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r w:rsidRPr="008A66CC">
        <w:rPr>
          <w:rFonts w:ascii="Times New Roman" w:eastAsia="Times New Roman" w:hAnsi="Times New Roman" w:cs="Times New Roman"/>
          <w:noProof/>
          <w:kern w:val="0"/>
          <w:sz w:val="20"/>
          <w:szCs w:val="20"/>
          <w:lang w:eastAsia="en-GB"/>
          <w14:ligatures w14:val="none"/>
        </w:rPr>
        <w:drawing>
          <wp:inline distT="0" distB="0" distL="0" distR="0" wp14:anchorId="647E398C" wp14:editId="59729636">
            <wp:extent cx="5731510" cy="2284095"/>
            <wp:effectExtent l="0" t="0" r="2540" b="190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1"/>
                    <a:stretch>
                      <a:fillRect/>
                    </a:stretch>
                  </pic:blipFill>
                  <pic:spPr>
                    <a:xfrm>
                      <a:off x="0" y="0"/>
                      <a:ext cx="5731510" cy="2284095"/>
                    </a:xfrm>
                    <a:prstGeom prst="rect">
                      <a:avLst/>
                    </a:prstGeom>
                  </pic:spPr>
                </pic:pic>
              </a:graphicData>
            </a:graphic>
          </wp:inline>
        </w:drawing>
      </w:r>
    </w:p>
    <w:p w14:paraId="51B7B906"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1041F47F" w14:textId="77777777" w:rsidR="008A66CC" w:rsidRPr="008A66CC" w:rsidRDefault="008A66CC" w:rsidP="00FF22F0">
      <w:pPr>
        <w:pStyle w:val="Heading4"/>
      </w:pPr>
      <w:r w:rsidRPr="008A66CC">
        <w:rPr>
          <w:color w:val="0070C0"/>
        </w:rPr>
        <w:t xml:space="preserve"> </w:t>
      </w:r>
      <w:bookmarkStart w:id="18" w:name="_Toc130129820"/>
      <w:bookmarkStart w:id="19" w:name="_Toc130137116"/>
      <w:bookmarkStart w:id="20" w:name="_Toc130652796"/>
      <w:r w:rsidRPr="008A66CC">
        <w:t xml:space="preserve">Figure 4. Power-to-Gas process chain. </w:t>
      </w:r>
      <w:sdt>
        <w:sdtPr>
          <w:id w:val="-1447149820"/>
          <w:citation/>
        </w:sdtPr>
        <w:sdtContent>
          <w:r w:rsidRPr="008A66CC">
            <w:fldChar w:fldCharType="begin"/>
          </w:r>
          <w:r w:rsidRPr="008A66CC">
            <w:instrText xml:space="preserve"> CITATION Man16 \l 2057 </w:instrText>
          </w:r>
          <w:r w:rsidRPr="008A66CC">
            <w:fldChar w:fldCharType="separate"/>
          </w:r>
          <w:r w:rsidRPr="008A66CC">
            <w:rPr>
              <w:noProof/>
            </w:rPr>
            <w:t>(Manuel Gotz, 2016)</w:t>
          </w:r>
          <w:r w:rsidRPr="008A66CC">
            <w:fldChar w:fldCharType="end"/>
          </w:r>
        </w:sdtContent>
      </w:sdt>
      <w:bookmarkEnd w:id="18"/>
      <w:bookmarkEnd w:id="19"/>
      <w:bookmarkEnd w:id="20"/>
    </w:p>
    <w:p w14:paraId="4D4D7365" w14:textId="77777777" w:rsidR="008A66CC" w:rsidRPr="008A66CC" w:rsidRDefault="008A66CC" w:rsidP="008A66CC">
      <w:pPr>
        <w:spacing w:after="0" w:line="240" w:lineRule="auto"/>
        <w:rPr>
          <w:rFonts w:ascii="Times New Roman" w:eastAsia="Times New Roman" w:hAnsi="Times New Roman" w:cs="Times New Roman"/>
          <w:color w:val="0070C0"/>
          <w:kern w:val="0"/>
          <w:sz w:val="20"/>
          <w:szCs w:val="20"/>
          <w:lang w:eastAsia="en-GB"/>
          <w14:ligatures w14:val="none"/>
        </w:rPr>
      </w:pPr>
    </w:p>
    <w:p w14:paraId="2F50B991" w14:textId="35E91598" w:rsidR="008A66CC" w:rsidRPr="008A66CC" w:rsidRDefault="008A66CC" w:rsidP="008A66CC">
      <w:pPr>
        <w:rPr>
          <w:kern w:val="0"/>
          <w14:ligatures w14:val="none"/>
        </w:rPr>
      </w:pPr>
      <w:r w:rsidRPr="008A66CC">
        <w:rPr>
          <w:kern w:val="0"/>
          <w14:ligatures w14:val="none"/>
        </w:rPr>
        <w:t xml:space="preserve">Additionally, water electrolysis can be favourable in transforming sporadic and unstable renewable energy sources into steady hydrogen energy production (Power to Gas, PTG) , expanding grid steadiness </w:t>
      </w:r>
      <w:sdt>
        <w:sdtPr>
          <w:rPr>
            <w:kern w:val="0"/>
            <w14:ligatures w14:val="none"/>
          </w:rPr>
          <w:id w:val="-15391093"/>
          <w:citation/>
        </w:sdtPr>
        <w:sdtContent>
          <w:r w:rsidRPr="008A66CC">
            <w:rPr>
              <w:kern w:val="0"/>
              <w14:ligatures w14:val="none"/>
            </w:rPr>
            <w:fldChar w:fldCharType="begin"/>
          </w:r>
          <w:r w:rsidRPr="008A66CC">
            <w:rPr>
              <w:kern w:val="0"/>
              <w14:ligatures w14:val="none"/>
            </w:rPr>
            <w:instrText xml:space="preserve"> CITATION Bla18 \l 2057 </w:instrText>
          </w:r>
          <w:r w:rsidRPr="008A66CC">
            <w:rPr>
              <w:kern w:val="0"/>
              <w14:ligatures w14:val="none"/>
            </w:rPr>
            <w:fldChar w:fldCharType="separate"/>
          </w:r>
          <w:r w:rsidRPr="008A66CC">
            <w:rPr>
              <w:kern w:val="0"/>
              <w14:ligatures w14:val="none"/>
            </w:rPr>
            <w:t>(Blanco H, 2018)</w:t>
          </w:r>
          <w:r w:rsidRPr="008A66CC">
            <w:rPr>
              <w:kern w:val="0"/>
              <w14:ligatures w14:val="none"/>
            </w:rPr>
            <w:fldChar w:fldCharType="end"/>
          </w:r>
        </w:sdtContent>
      </w:sdt>
      <w:r w:rsidR="005531B5">
        <w:rPr>
          <w:kern w:val="0"/>
          <w14:ligatures w14:val="none"/>
        </w:rPr>
        <w:t>.</w:t>
      </w:r>
    </w:p>
    <w:p w14:paraId="46EBBB47" w14:textId="77777777" w:rsidR="008A66CC" w:rsidRPr="008A66CC" w:rsidRDefault="008A66CC" w:rsidP="008A66CC">
      <w:pPr>
        <w:rPr>
          <w:kern w:val="0"/>
          <w14:ligatures w14:val="none"/>
        </w:rPr>
      </w:pPr>
      <w:r w:rsidRPr="008A66CC">
        <w:rPr>
          <w:kern w:val="0"/>
          <w14:ligatures w14:val="none"/>
        </w:rPr>
        <w:t xml:space="preserve">Water Electrolysis can be categorised as alkaline electrolysis (AEL or sometimes referred to as alkaline water electrolysis AWE), anion exchange membrane electrolysis (AEM), proton exchange membrane electrolysis (PEM) and solid oxide electrolysis (SOEC). </w:t>
      </w:r>
    </w:p>
    <w:p w14:paraId="5C7C7732" w14:textId="77777777" w:rsidR="008A66CC" w:rsidRPr="008A66CC" w:rsidRDefault="008A66CC" w:rsidP="008A66CC">
      <w:pPr>
        <w:rPr>
          <w:kern w:val="0"/>
          <w14:ligatures w14:val="none"/>
        </w:rPr>
      </w:pPr>
    </w:p>
    <w:p w14:paraId="2DF5A24A" w14:textId="77777777" w:rsidR="008A66CC" w:rsidRPr="008A66CC" w:rsidRDefault="008A66CC" w:rsidP="008A66CC">
      <w:pPr>
        <w:rPr>
          <w:kern w:val="0"/>
          <w14:ligatures w14:val="none"/>
        </w:rPr>
      </w:pPr>
      <w:r w:rsidRPr="008A66CC">
        <w:rPr>
          <w:kern w:val="0"/>
          <w14:ligatures w14:val="none"/>
        </w:rPr>
        <w:t xml:space="preserve">Where the AEL system uses alkaline electrolyte solutions with hydroxide passing through a diaphragm, AEL is the most established process of electrolysis and has been used commercially for numerous years, </w:t>
      </w:r>
      <w:sdt>
        <w:sdtPr>
          <w:rPr>
            <w:kern w:val="0"/>
            <w14:ligatures w14:val="none"/>
          </w:rPr>
          <w:id w:val="-1675960054"/>
          <w:citation/>
        </w:sdtPr>
        <w:sdtContent>
          <w:r w:rsidRPr="008A66CC">
            <w:rPr>
              <w:kern w:val="0"/>
              <w14:ligatures w14:val="none"/>
            </w:rPr>
            <w:fldChar w:fldCharType="begin"/>
          </w:r>
          <w:r w:rsidRPr="008A66CC">
            <w:rPr>
              <w:kern w:val="0"/>
              <w14:ligatures w14:val="none"/>
            </w:rPr>
            <w:instrText xml:space="preserve"> CITATION Man16 \l 2057 </w:instrText>
          </w:r>
          <w:r w:rsidRPr="008A66CC">
            <w:rPr>
              <w:kern w:val="0"/>
              <w14:ligatures w14:val="none"/>
            </w:rPr>
            <w:fldChar w:fldCharType="separate"/>
          </w:r>
          <w:r w:rsidRPr="008A66CC">
            <w:rPr>
              <w:kern w:val="0"/>
              <w14:ligatures w14:val="none"/>
            </w:rPr>
            <w:t>(Manuel Gotz, 2016)</w:t>
          </w:r>
          <w:r w:rsidRPr="008A66CC">
            <w:rPr>
              <w:kern w:val="0"/>
              <w14:ligatures w14:val="none"/>
            </w:rPr>
            <w:fldChar w:fldCharType="end"/>
          </w:r>
        </w:sdtContent>
      </w:sdt>
      <w:r w:rsidRPr="008A66CC">
        <w:rPr>
          <w:kern w:val="0"/>
          <w14:ligatures w14:val="none"/>
        </w:rPr>
        <w:t xml:space="preserve"> efficiency ranging from 51 to 60% on the source of lower heating value (LHV) </w:t>
      </w:r>
      <w:sdt>
        <w:sdtPr>
          <w:rPr>
            <w:kern w:val="0"/>
            <w14:ligatures w14:val="none"/>
          </w:rPr>
          <w:id w:val="447292248"/>
          <w:citation/>
        </w:sdtPr>
        <w:sdtContent>
          <w:r w:rsidRPr="008A66CC">
            <w:rPr>
              <w:kern w:val="0"/>
              <w14:ligatures w14:val="none"/>
            </w:rPr>
            <w:fldChar w:fldCharType="begin"/>
          </w:r>
          <w:r w:rsidRPr="008A66CC">
            <w:rPr>
              <w:kern w:val="0"/>
              <w14:ligatures w14:val="none"/>
            </w:rPr>
            <w:instrText xml:space="preserve"> CITATION But18 \l 2057 </w:instrText>
          </w:r>
          <w:r w:rsidRPr="008A66CC">
            <w:rPr>
              <w:kern w:val="0"/>
              <w14:ligatures w14:val="none"/>
            </w:rPr>
            <w:fldChar w:fldCharType="separate"/>
          </w:r>
          <w:r w:rsidRPr="008A66CC">
            <w:rPr>
              <w:kern w:val="0"/>
              <w14:ligatures w14:val="none"/>
            </w:rPr>
            <w:t>(Buttler A, 2018)</w:t>
          </w:r>
          <w:r w:rsidRPr="008A66CC">
            <w:rPr>
              <w:kern w:val="0"/>
              <w14:ligatures w14:val="none"/>
            </w:rPr>
            <w:fldChar w:fldCharType="end"/>
          </w:r>
        </w:sdtContent>
      </w:sdt>
    </w:p>
    <w:p w14:paraId="435FC4A7" w14:textId="77777777" w:rsidR="008A66CC" w:rsidRPr="008A66CC" w:rsidRDefault="008A66CC" w:rsidP="008A66CC">
      <w:pPr>
        <w:rPr>
          <w:kern w:val="0"/>
          <w14:ligatures w14:val="none"/>
        </w:rPr>
      </w:pPr>
    </w:p>
    <w:p w14:paraId="4C08175B" w14:textId="77777777" w:rsidR="008A66CC" w:rsidRPr="008A66CC" w:rsidRDefault="008A66CC" w:rsidP="008A66CC">
      <w:pPr>
        <w:rPr>
          <w:kern w:val="0"/>
          <w14:ligatures w14:val="none"/>
        </w:rPr>
      </w:pPr>
      <w:bookmarkStart w:id="21" w:name="_Hlk123569845"/>
      <w:r w:rsidRPr="008A66CC">
        <w:rPr>
          <w:kern w:val="0"/>
          <w14:ligatures w14:val="none"/>
        </w:rPr>
        <w:lastRenderedPageBreak/>
        <w:t xml:space="preserve">AEM Electrolysis is an improved AEL technology </w:t>
      </w:r>
      <w:sdt>
        <w:sdtPr>
          <w:rPr>
            <w:kern w:val="0"/>
            <w14:ligatures w14:val="none"/>
          </w:rPr>
          <w:id w:val="569926261"/>
          <w:citation/>
        </w:sdtPr>
        <w:sdtContent>
          <w:r w:rsidRPr="008A66CC">
            <w:rPr>
              <w:kern w:val="0"/>
              <w14:ligatures w14:val="none"/>
            </w:rPr>
            <w:fldChar w:fldCharType="begin"/>
          </w:r>
          <w:r w:rsidRPr="008A66CC">
            <w:rPr>
              <w:kern w:val="0"/>
              <w14:ligatures w14:val="none"/>
            </w:rPr>
            <w:instrText xml:space="preserve">CITATION Imm \l 2057 </w:instrText>
          </w:r>
          <w:r w:rsidRPr="008A66CC">
            <w:rPr>
              <w:kern w:val="0"/>
              <w14:ligatures w14:val="none"/>
            </w:rPr>
            <w:fldChar w:fldCharType="separate"/>
          </w:r>
          <w:r w:rsidRPr="008A66CC">
            <w:rPr>
              <w:kern w:val="0"/>
              <w14:ligatures w14:val="none"/>
            </w:rPr>
            <w:t>(Immanuel Vincent, 2017)</w:t>
          </w:r>
          <w:r w:rsidRPr="008A66CC">
            <w:rPr>
              <w:kern w:val="0"/>
              <w14:ligatures w14:val="none"/>
            </w:rPr>
            <w:fldChar w:fldCharType="end"/>
          </w:r>
        </w:sdtContent>
      </w:sdt>
      <w:r w:rsidRPr="008A66CC">
        <w:rPr>
          <w:kern w:val="0"/>
          <w14:ligatures w14:val="none"/>
        </w:rPr>
        <w:t xml:space="preserve">, which uses a polymeric anion exchange membrane to move hydroxide in alkaline electrolysis solutions. AEM efficiency is 63–78% (LHV basis) </w:t>
      </w:r>
      <w:sdt>
        <w:sdtPr>
          <w:rPr>
            <w:kern w:val="0"/>
            <w14:ligatures w14:val="none"/>
          </w:rPr>
          <w:id w:val="2015023872"/>
          <w:citation/>
        </w:sdtPr>
        <w:sdtContent>
          <w:r w:rsidRPr="008A66CC">
            <w:rPr>
              <w:kern w:val="0"/>
              <w14:ligatures w14:val="none"/>
            </w:rPr>
            <w:fldChar w:fldCharType="begin"/>
          </w:r>
          <w:r w:rsidRPr="008A66CC">
            <w:rPr>
              <w:kern w:val="0"/>
              <w14:ligatures w14:val="none"/>
            </w:rPr>
            <w:instrText xml:space="preserve"> CITATION But18 \l 2057 </w:instrText>
          </w:r>
          <w:r w:rsidRPr="008A66CC">
            <w:rPr>
              <w:kern w:val="0"/>
              <w14:ligatures w14:val="none"/>
            </w:rPr>
            <w:fldChar w:fldCharType="separate"/>
          </w:r>
          <w:r w:rsidRPr="008A66CC">
            <w:rPr>
              <w:kern w:val="0"/>
              <w14:ligatures w14:val="none"/>
            </w:rPr>
            <w:t>(Buttler A, 2018)</w:t>
          </w:r>
          <w:r w:rsidRPr="008A66CC">
            <w:rPr>
              <w:kern w:val="0"/>
              <w14:ligatures w14:val="none"/>
            </w:rPr>
            <w:fldChar w:fldCharType="end"/>
          </w:r>
        </w:sdtContent>
      </w:sdt>
      <w:r w:rsidRPr="008A66CC">
        <w:rPr>
          <w:kern w:val="0"/>
          <w14:ligatures w14:val="none"/>
        </w:rPr>
        <w:t>, which is greater than that of AEL system by 12–18%.</w:t>
      </w:r>
    </w:p>
    <w:p w14:paraId="6D74CBFB" w14:textId="77777777" w:rsidR="008A66CC" w:rsidRPr="008A66CC" w:rsidRDefault="008A66CC" w:rsidP="008A66CC">
      <w:pPr>
        <w:rPr>
          <w:kern w:val="0"/>
          <w14:ligatures w14:val="none"/>
        </w:rPr>
      </w:pPr>
      <w:r w:rsidRPr="008A66CC">
        <w:rPr>
          <w:kern w:val="0"/>
          <w14:ligatures w14:val="none"/>
        </w:rPr>
        <w:t xml:space="preserve">The PEM system uses an acidic electrolyte solution, with the use of polymer membranes to transfer protons, small scale uses with a system efficiency of 53–65% (LHV basis) </w:t>
      </w:r>
      <w:sdt>
        <w:sdtPr>
          <w:rPr>
            <w:kern w:val="0"/>
            <w14:ligatures w14:val="none"/>
          </w:rPr>
          <w:id w:val="476811583"/>
          <w:citation/>
        </w:sdtPr>
        <w:sdtContent>
          <w:r w:rsidRPr="008A66CC">
            <w:rPr>
              <w:kern w:val="0"/>
              <w14:ligatures w14:val="none"/>
            </w:rPr>
            <w:fldChar w:fldCharType="begin"/>
          </w:r>
          <w:r w:rsidRPr="008A66CC">
            <w:rPr>
              <w:kern w:val="0"/>
              <w14:ligatures w14:val="none"/>
            </w:rPr>
            <w:instrText xml:space="preserve"> CITATION But18 \l 2057 </w:instrText>
          </w:r>
          <w:r w:rsidRPr="008A66CC">
            <w:rPr>
              <w:kern w:val="0"/>
              <w14:ligatures w14:val="none"/>
            </w:rPr>
            <w:fldChar w:fldCharType="separate"/>
          </w:r>
          <w:r w:rsidRPr="008A66CC">
            <w:rPr>
              <w:kern w:val="0"/>
              <w14:ligatures w14:val="none"/>
            </w:rPr>
            <w:t>(Buttler A, 2018)</w:t>
          </w:r>
          <w:r w:rsidRPr="008A66CC">
            <w:rPr>
              <w:kern w:val="0"/>
              <w14:ligatures w14:val="none"/>
            </w:rPr>
            <w:fldChar w:fldCharType="end"/>
          </w:r>
        </w:sdtContent>
      </w:sdt>
      <w:bookmarkEnd w:id="21"/>
    </w:p>
    <w:p w14:paraId="34C258CA" w14:textId="573CE416" w:rsidR="008A66CC" w:rsidRPr="008A66CC" w:rsidRDefault="008A66CC" w:rsidP="008A66CC">
      <w:pPr>
        <w:rPr>
          <w:kern w:val="0"/>
          <w14:ligatures w14:val="none"/>
        </w:rPr>
      </w:pPr>
      <w:r w:rsidRPr="008A66CC">
        <w:rPr>
          <w:kern w:val="0"/>
          <w14:ligatures w14:val="none"/>
        </w:rPr>
        <w:t xml:space="preserve">Alternatively, the SOEC systems use metal oxides as electrolytes with high conductivity for oxygen ions at high temperatures. SOEC system efficiency of 76–81% (LHV basis) </w:t>
      </w:r>
      <w:sdt>
        <w:sdtPr>
          <w:rPr>
            <w:kern w:val="0"/>
            <w14:ligatures w14:val="none"/>
          </w:rPr>
          <w:id w:val="-1696537408"/>
          <w:citation/>
        </w:sdtPr>
        <w:sdtContent>
          <w:r w:rsidR="00522B8B">
            <w:rPr>
              <w:kern w:val="0"/>
              <w14:ligatures w14:val="none"/>
            </w:rPr>
            <w:fldChar w:fldCharType="begin"/>
          </w:r>
          <w:r w:rsidR="00522B8B">
            <w:rPr>
              <w:kern w:val="0"/>
              <w14:ligatures w14:val="none"/>
            </w:rPr>
            <w:instrText xml:space="preserve"> CITATION Rux22 \l 2057 </w:instrText>
          </w:r>
          <w:r w:rsidR="00522B8B">
            <w:rPr>
              <w:kern w:val="0"/>
              <w14:ligatures w14:val="none"/>
            </w:rPr>
            <w:fldChar w:fldCharType="separate"/>
          </w:r>
          <w:r w:rsidR="00522B8B" w:rsidRPr="00522B8B">
            <w:rPr>
              <w:noProof/>
              <w:kern w:val="0"/>
              <w14:ligatures w14:val="none"/>
            </w:rPr>
            <w:t>(Ruxing Gao, 2022)</w:t>
          </w:r>
          <w:r w:rsidR="00522B8B">
            <w:rPr>
              <w:kern w:val="0"/>
              <w14:ligatures w14:val="none"/>
            </w:rPr>
            <w:fldChar w:fldCharType="end"/>
          </w:r>
        </w:sdtContent>
      </w:sdt>
    </w:p>
    <w:p w14:paraId="1ED519EC"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705032B8" w14:textId="77777777" w:rsidR="008A66CC" w:rsidRPr="008A66CC" w:rsidRDefault="008A66CC" w:rsidP="008A66CC">
      <w:pPr>
        <w:rPr>
          <w:kern w:val="0"/>
          <w14:ligatures w14:val="none"/>
        </w:rPr>
      </w:pPr>
      <w:r w:rsidRPr="008A66CC">
        <w:rPr>
          <w:kern w:val="0"/>
          <w14:ligatures w14:val="none"/>
        </w:rPr>
        <w:t xml:space="preserve">These efficiencies highlighted can be misleading as the SOEC is generally more efficient due to the electrolysis cell energy usage (Stack Efficiency) as below in efficiency example Figure 5. </w:t>
      </w:r>
      <w:sdt>
        <w:sdtPr>
          <w:rPr>
            <w:kern w:val="0"/>
            <w14:ligatures w14:val="none"/>
          </w:rPr>
          <w:id w:val="82274377"/>
          <w:citation/>
        </w:sdtPr>
        <w:sdtContent>
          <w:r w:rsidRPr="008A66CC">
            <w:rPr>
              <w:kern w:val="0"/>
              <w14:ligatures w14:val="none"/>
            </w:rPr>
            <w:fldChar w:fldCharType="begin"/>
          </w:r>
          <w:r w:rsidRPr="008A66CC">
            <w:rPr>
              <w:kern w:val="0"/>
              <w14:ligatures w14:val="none"/>
            </w:rPr>
            <w:instrText xml:space="preserve"> CITATION Rux22 \l 2057 </w:instrText>
          </w:r>
          <w:r w:rsidRPr="008A66CC">
            <w:rPr>
              <w:kern w:val="0"/>
              <w14:ligatures w14:val="none"/>
            </w:rPr>
            <w:fldChar w:fldCharType="separate"/>
          </w:r>
          <w:r w:rsidRPr="008A66CC">
            <w:rPr>
              <w:kern w:val="0"/>
              <w14:ligatures w14:val="none"/>
            </w:rPr>
            <w:t>(Ruxing Gao, 2022)</w:t>
          </w:r>
          <w:r w:rsidRPr="008A66CC">
            <w:rPr>
              <w:kern w:val="0"/>
              <w14:ligatures w14:val="none"/>
            </w:rPr>
            <w:fldChar w:fldCharType="end"/>
          </w:r>
        </w:sdtContent>
      </w:sdt>
    </w:p>
    <w:p w14:paraId="4FB6C1B1"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31317F17" w14:textId="77777777" w:rsidR="008A66CC" w:rsidRPr="008A66CC" w:rsidRDefault="008A66CC" w:rsidP="008A66CC">
      <w:pPr>
        <w:spacing w:after="0" w:line="240" w:lineRule="auto"/>
        <w:jc w:val="center"/>
        <w:rPr>
          <w:rFonts w:ascii="Times New Roman" w:eastAsia="Times New Roman" w:hAnsi="Times New Roman" w:cs="Times New Roman"/>
          <w:kern w:val="0"/>
          <w:sz w:val="20"/>
          <w:szCs w:val="20"/>
          <w:lang w:eastAsia="en-GB"/>
          <w14:ligatures w14:val="none"/>
        </w:rPr>
      </w:pPr>
      <w:r w:rsidRPr="008A66CC">
        <w:rPr>
          <w:rFonts w:ascii="Times New Roman" w:eastAsia="Times New Roman" w:hAnsi="Times New Roman" w:cs="Times New Roman"/>
          <w:noProof/>
          <w:kern w:val="0"/>
          <w:sz w:val="20"/>
          <w:szCs w:val="20"/>
          <w:lang w:eastAsia="en-GB"/>
          <w14:ligatures w14:val="none"/>
        </w:rPr>
        <w:drawing>
          <wp:inline distT="0" distB="0" distL="0" distR="0" wp14:anchorId="1BF9741B" wp14:editId="4BE7E528">
            <wp:extent cx="4567030" cy="2399386"/>
            <wp:effectExtent l="0" t="0" r="5080" b="127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2"/>
                    <a:stretch>
                      <a:fillRect/>
                    </a:stretch>
                  </pic:blipFill>
                  <pic:spPr>
                    <a:xfrm>
                      <a:off x="0" y="0"/>
                      <a:ext cx="4574753" cy="2403444"/>
                    </a:xfrm>
                    <a:prstGeom prst="rect">
                      <a:avLst/>
                    </a:prstGeom>
                  </pic:spPr>
                </pic:pic>
              </a:graphicData>
            </a:graphic>
          </wp:inline>
        </w:drawing>
      </w:r>
    </w:p>
    <w:p w14:paraId="52E55C63" w14:textId="77777777" w:rsidR="008A66CC" w:rsidRPr="008A66CC" w:rsidRDefault="008A66CC" w:rsidP="008A66CC">
      <w:pPr>
        <w:spacing w:after="0" w:line="240" w:lineRule="auto"/>
        <w:jc w:val="center"/>
        <w:rPr>
          <w:rFonts w:ascii="Times New Roman" w:eastAsia="Times New Roman" w:hAnsi="Times New Roman" w:cs="Times New Roman"/>
          <w:kern w:val="0"/>
          <w:sz w:val="20"/>
          <w:szCs w:val="20"/>
          <w:lang w:eastAsia="en-GB"/>
          <w14:ligatures w14:val="none"/>
        </w:rPr>
      </w:pPr>
    </w:p>
    <w:p w14:paraId="4416234C" w14:textId="47B771FE" w:rsidR="008A66CC" w:rsidRPr="008A66CC" w:rsidRDefault="008A66CC" w:rsidP="00FF22F0">
      <w:pPr>
        <w:pStyle w:val="Heading4"/>
      </w:pPr>
      <w:bookmarkStart w:id="22" w:name="_Toc130129821"/>
      <w:bookmarkStart w:id="23" w:name="_Toc130137117"/>
      <w:bookmarkStart w:id="24" w:name="_Toc130652797"/>
      <w:r w:rsidRPr="008A66CC">
        <w:t>Figure 5. E</w:t>
      </w:r>
      <w:r w:rsidR="001804AC">
        <w:t>x</w:t>
      </w:r>
      <w:r w:rsidRPr="008A66CC">
        <w:t xml:space="preserve">ergy destruction distribution. </w:t>
      </w:r>
      <w:sdt>
        <w:sdtPr>
          <w:id w:val="-1844321023"/>
          <w:citation/>
        </w:sdtPr>
        <w:sdtContent>
          <w:r w:rsidRPr="008A66CC">
            <w:fldChar w:fldCharType="begin"/>
          </w:r>
          <w:r w:rsidRPr="008A66CC">
            <w:instrText xml:space="preserve"> CITATION Rux22 \l 2057 </w:instrText>
          </w:r>
          <w:r w:rsidRPr="008A66CC">
            <w:fldChar w:fldCharType="separate"/>
          </w:r>
          <w:r w:rsidRPr="008A66CC">
            <w:rPr>
              <w:noProof/>
            </w:rPr>
            <w:t>(Ruxing Gao, 2022)</w:t>
          </w:r>
          <w:r w:rsidRPr="008A66CC">
            <w:fldChar w:fldCharType="end"/>
          </w:r>
        </w:sdtContent>
      </w:sdt>
      <w:bookmarkEnd w:id="22"/>
      <w:bookmarkEnd w:id="23"/>
      <w:bookmarkEnd w:id="24"/>
    </w:p>
    <w:p w14:paraId="2054F294"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75EAD4AE" w14:textId="6854D373" w:rsidR="008A66CC" w:rsidRPr="008A66CC" w:rsidRDefault="00B30B8F" w:rsidP="008A66CC">
      <w:pPr>
        <w:rPr>
          <w:kern w:val="0"/>
          <w14:ligatures w14:val="none"/>
        </w:rPr>
      </w:pPr>
      <w:r w:rsidRPr="008A66CC">
        <w:rPr>
          <w:kern w:val="0"/>
          <w14:ligatures w14:val="none"/>
        </w:rPr>
        <w:t>Furthermore,</w:t>
      </w:r>
      <w:r w:rsidR="008A66CC" w:rsidRPr="008A66CC">
        <w:rPr>
          <w:kern w:val="0"/>
          <w14:ligatures w14:val="none"/>
        </w:rPr>
        <w:t xml:space="preserve"> the SOEC system currently requires a high temperature preheating system fuelled by Nat Gas to enable superheated steam to be produced to facilitate the Hydrogen production, this in turn generates a large quantity of CO</w:t>
      </w:r>
      <w:r w:rsidR="008A66CC" w:rsidRPr="00775B6F">
        <w:rPr>
          <w:kern w:val="0"/>
          <w:vertAlign w:val="subscript"/>
          <w14:ligatures w14:val="none"/>
        </w:rPr>
        <w:t>2</w:t>
      </w:r>
      <w:r w:rsidR="008A66CC" w:rsidRPr="008A66CC">
        <w:rPr>
          <w:kern w:val="0"/>
          <w14:ligatures w14:val="none"/>
        </w:rPr>
        <w:t xml:space="preserve"> emissions therefore SOEC is one of the less carbon efficient ways for H</w:t>
      </w:r>
      <w:r w:rsidR="008A66CC" w:rsidRPr="00B30B8F">
        <w:rPr>
          <w:kern w:val="0"/>
          <w:vertAlign w:val="subscript"/>
          <w14:ligatures w14:val="none"/>
        </w:rPr>
        <w:t xml:space="preserve">2 </w:t>
      </w:r>
      <w:r w:rsidR="008A66CC" w:rsidRPr="008A66CC">
        <w:rPr>
          <w:kern w:val="0"/>
          <w14:ligatures w14:val="none"/>
        </w:rPr>
        <w:t>production out of the 4 technologies. Figure 6 below highlights the operating conditions required.</w:t>
      </w:r>
    </w:p>
    <w:p w14:paraId="4CEE0AE6"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632504C6"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1E351D5D" w14:textId="77777777" w:rsidR="008A66CC" w:rsidRPr="008A66CC" w:rsidRDefault="008A66CC" w:rsidP="008A66CC">
      <w:pPr>
        <w:spacing w:after="0" w:line="240" w:lineRule="auto"/>
        <w:jc w:val="center"/>
        <w:rPr>
          <w:rFonts w:ascii="Times New Roman" w:eastAsia="Times New Roman" w:hAnsi="Times New Roman" w:cs="Times New Roman"/>
          <w:kern w:val="0"/>
          <w:sz w:val="20"/>
          <w:szCs w:val="20"/>
          <w:lang w:eastAsia="en-GB"/>
          <w14:ligatures w14:val="none"/>
        </w:rPr>
      </w:pPr>
      <w:r w:rsidRPr="008A66CC">
        <w:rPr>
          <w:rFonts w:ascii="Times New Roman" w:eastAsia="Times New Roman" w:hAnsi="Times New Roman" w:cs="Times New Roman"/>
          <w:noProof/>
          <w:kern w:val="0"/>
          <w:sz w:val="20"/>
          <w:szCs w:val="20"/>
          <w:lang w:eastAsia="en-GB"/>
          <w14:ligatures w14:val="none"/>
        </w:rPr>
        <w:drawing>
          <wp:inline distT="0" distB="0" distL="0" distR="0" wp14:anchorId="1A4F15F6" wp14:editId="670A3D74">
            <wp:extent cx="4685551" cy="1525685"/>
            <wp:effectExtent l="0" t="0" r="127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stretch>
                      <a:fillRect/>
                    </a:stretch>
                  </pic:blipFill>
                  <pic:spPr>
                    <a:xfrm>
                      <a:off x="0" y="0"/>
                      <a:ext cx="4702333" cy="1531149"/>
                    </a:xfrm>
                    <a:prstGeom prst="rect">
                      <a:avLst/>
                    </a:prstGeom>
                  </pic:spPr>
                </pic:pic>
              </a:graphicData>
            </a:graphic>
          </wp:inline>
        </w:drawing>
      </w:r>
    </w:p>
    <w:p w14:paraId="76B42ECE" w14:textId="77777777" w:rsidR="008A66CC" w:rsidRPr="008A66CC" w:rsidRDefault="008A66CC" w:rsidP="00FF22F0">
      <w:pPr>
        <w:pStyle w:val="Heading4"/>
      </w:pPr>
      <w:bookmarkStart w:id="25" w:name="_Toc130129822"/>
      <w:bookmarkStart w:id="26" w:name="_Toc130137118"/>
      <w:bookmarkStart w:id="27" w:name="_Toc130652798"/>
      <w:r w:rsidRPr="008A66CC">
        <w:t xml:space="preserve">Figure 6. Operating Conditions of four water electrolysis technologies. </w:t>
      </w:r>
      <w:sdt>
        <w:sdtPr>
          <w:id w:val="-517462891"/>
          <w:citation/>
        </w:sdtPr>
        <w:sdtContent>
          <w:r w:rsidRPr="008A66CC">
            <w:fldChar w:fldCharType="begin"/>
          </w:r>
          <w:r w:rsidRPr="008A66CC">
            <w:instrText xml:space="preserve"> CITATION Rux22 \l 2057 </w:instrText>
          </w:r>
          <w:r w:rsidRPr="008A66CC">
            <w:fldChar w:fldCharType="separate"/>
          </w:r>
          <w:r w:rsidRPr="008A66CC">
            <w:rPr>
              <w:noProof/>
            </w:rPr>
            <w:t>(Ruxing Gao, 2022)</w:t>
          </w:r>
          <w:r w:rsidRPr="008A66CC">
            <w:fldChar w:fldCharType="end"/>
          </w:r>
        </w:sdtContent>
      </w:sdt>
      <w:bookmarkEnd w:id="25"/>
      <w:bookmarkEnd w:id="26"/>
      <w:bookmarkEnd w:id="27"/>
    </w:p>
    <w:p w14:paraId="084FD4C4" w14:textId="77777777" w:rsidR="008A66CC" w:rsidRPr="008A66CC" w:rsidRDefault="008A66CC" w:rsidP="00FF22F0">
      <w:pPr>
        <w:pStyle w:val="Heading2"/>
      </w:pPr>
    </w:p>
    <w:p w14:paraId="79A217E0" w14:textId="77777777" w:rsidR="008A66CC" w:rsidRPr="001435B0" w:rsidRDefault="008A66CC" w:rsidP="001435B0">
      <w:pPr>
        <w:pStyle w:val="Heading2"/>
      </w:pPr>
      <w:bookmarkStart w:id="28" w:name="_Toc130736545"/>
      <w:r w:rsidRPr="008A66CC">
        <w:lastRenderedPageBreak/>
        <w:t>Hydrogen Storage</w:t>
      </w:r>
      <w:bookmarkEnd w:id="28"/>
    </w:p>
    <w:p w14:paraId="5A7AE0D0" w14:textId="77777777" w:rsidR="008A66CC" w:rsidRPr="008A66CC" w:rsidRDefault="008A66CC" w:rsidP="008A66CC">
      <w:pPr>
        <w:spacing w:after="0" w:line="240" w:lineRule="auto"/>
        <w:rPr>
          <w:rFonts w:ascii="Times New Roman" w:hAnsi="Times New Roman" w:cs="Times New Roman"/>
          <w:kern w:val="0"/>
          <w:sz w:val="20"/>
          <w:szCs w:val="20"/>
          <w14:ligatures w14:val="none"/>
        </w:rPr>
      </w:pPr>
    </w:p>
    <w:p w14:paraId="370F6FE4" w14:textId="77777777" w:rsidR="008A66CC" w:rsidRPr="008A66CC" w:rsidRDefault="008A66CC" w:rsidP="008A66CC">
      <w:pPr>
        <w:rPr>
          <w:kern w:val="0"/>
          <w14:ligatures w14:val="none"/>
        </w:rPr>
      </w:pPr>
      <w:r w:rsidRPr="008A66CC">
        <w:rPr>
          <w:kern w:val="0"/>
          <w14:ligatures w14:val="none"/>
        </w:rPr>
        <w:t xml:space="preserve">Hydrogen storage in conventional steel storage vessels has been the industry standard due to its high durability and low cost </w:t>
      </w:r>
      <w:sdt>
        <w:sdtPr>
          <w:rPr>
            <w:kern w:val="0"/>
            <w14:ligatures w14:val="none"/>
          </w:rPr>
          <w:id w:val="-1111354298"/>
          <w:citation/>
        </w:sdtPr>
        <w:sdtContent>
          <w:r w:rsidRPr="008A66CC">
            <w:rPr>
              <w:kern w:val="0"/>
              <w14:ligatures w14:val="none"/>
            </w:rPr>
            <w:fldChar w:fldCharType="begin"/>
          </w:r>
          <w:r w:rsidRPr="008A66CC">
            <w:rPr>
              <w:kern w:val="0"/>
              <w14:ligatures w14:val="none"/>
            </w:rPr>
            <w:instrText xml:space="preserve"> CITATION Kum19 \l 2057 </w:instrText>
          </w:r>
          <w:r w:rsidRPr="008A66CC">
            <w:rPr>
              <w:kern w:val="0"/>
              <w14:ligatures w14:val="none"/>
            </w:rPr>
            <w:fldChar w:fldCharType="separate"/>
          </w:r>
          <w:r w:rsidRPr="008A66CC">
            <w:rPr>
              <w:noProof/>
              <w:kern w:val="0"/>
              <w14:ligatures w14:val="none"/>
            </w:rPr>
            <w:t>(Kumar, 2019)</w:t>
          </w:r>
          <w:r w:rsidRPr="008A66CC">
            <w:rPr>
              <w:kern w:val="0"/>
              <w14:ligatures w14:val="none"/>
            </w:rPr>
            <w:fldChar w:fldCharType="end"/>
          </w:r>
        </w:sdtContent>
      </w:sdt>
      <w:r w:rsidRPr="008A66CC">
        <w:rPr>
          <w:kern w:val="0"/>
          <w14:ligatures w14:val="none"/>
        </w:rPr>
        <w:t xml:space="preserve">. However, the use of composite material storage vessels for hydrogen storage is gaining traction due to several advantages. Composite materials have higher specific strength and stiffness, making them lighter and able to store more hydrogen at higher pressures. This translates into improved fuel efficiency and longer driving range for fuel cell vehicles </w:t>
      </w:r>
      <w:sdt>
        <w:sdtPr>
          <w:rPr>
            <w:kern w:val="0"/>
            <w14:ligatures w14:val="none"/>
          </w:rPr>
          <w:id w:val="-205409393"/>
          <w:citation/>
        </w:sdtPr>
        <w:sdtContent>
          <w:r w:rsidRPr="008A66CC">
            <w:rPr>
              <w:kern w:val="0"/>
              <w14:ligatures w14:val="none"/>
            </w:rPr>
            <w:fldChar w:fldCharType="begin"/>
          </w:r>
          <w:r w:rsidRPr="008A66CC">
            <w:rPr>
              <w:kern w:val="0"/>
              <w14:ligatures w14:val="none"/>
            </w:rPr>
            <w:instrText xml:space="preserve"> CITATION Yos18 \l 2057 </w:instrText>
          </w:r>
          <w:r w:rsidRPr="008A66CC">
            <w:rPr>
              <w:kern w:val="0"/>
              <w14:ligatures w14:val="none"/>
            </w:rPr>
            <w:fldChar w:fldCharType="separate"/>
          </w:r>
          <w:r w:rsidRPr="008A66CC">
            <w:rPr>
              <w:noProof/>
              <w:kern w:val="0"/>
              <w14:ligatures w14:val="none"/>
            </w:rPr>
            <w:t>(Yoshida, 2018)</w:t>
          </w:r>
          <w:r w:rsidRPr="008A66CC">
            <w:rPr>
              <w:kern w:val="0"/>
              <w14:ligatures w14:val="none"/>
            </w:rPr>
            <w:fldChar w:fldCharType="end"/>
          </w:r>
        </w:sdtContent>
      </w:sdt>
      <w:r w:rsidRPr="008A66CC">
        <w:rPr>
          <w:kern w:val="0"/>
          <w14:ligatures w14:val="none"/>
        </w:rPr>
        <w:t>.</w:t>
      </w:r>
    </w:p>
    <w:p w14:paraId="66445FFB" w14:textId="77777777" w:rsidR="008A66CC" w:rsidRPr="008A66CC" w:rsidRDefault="008A66CC" w:rsidP="008A66CC">
      <w:pPr>
        <w:rPr>
          <w:kern w:val="0"/>
          <w14:ligatures w14:val="none"/>
        </w:rPr>
      </w:pPr>
      <w:r w:rsidRPr="008A66CC">
        <w:rPr>
          <w:kern w:val="0"/>
          <w14:ligatures w14:val="none"/>
        </w:rPr>
        <w:t xml:space="preserve">Moreover, composite materials are not susceptible to corrosion and have better resistance to material fatigue compared to steel </w:t>
      </w:r>
      <w:sdt>
        <w:sdtPr>
          <w:rPr>
            <w:kern w:val="0"/>
            <w14:ligatures w14:val="none"/>
          </w:rPr>
          <w:id w:val="166979835"/>
          <w:citation/>
        </w:sdtPr>
        <w:sdtContent>
          <w:r w:rsidRPr="008A66CC">
            <w:rPr>
              <w:kern w:val="0"/>
              <w14:ligatures w14:val="none"/>
            </w:rPr>
            <w:fldChar w:fldCharType="begin"/>
          </w:r>
          <w:r w:rsidRPr="008A66CC">
            <w:rPr>
              <w:kern w:val="0"/>
              <w14:ligatures w14:val="none"/>
            </w:rPr>
            <w:instrText xml:space="preserve"> CITATION Xie20 \l 2057 </w:instrText>
          </w:r>
          <w:r w:rsidRPr="008A66CC">
            <w:rPr>
              <w:kern w:val="0"/>
              <w14:ligatures w14:val="none"/>
            </w:rPr>
            <w:fldChar w:fldCharType="separate"/>
          </w:r>
          <w:r w:rsidRPr="008A66CC">
            <w:rPr>
              <w:noProof/>
              <w:kern w:val="0"/>
              <w14:ligatures w14:val="none"/>
            </w:rPr>
            <w:t>(Xie, 2020)</w:t>
          </w:r>
          <w:r w:rsidRPr="008A66CC">
            <w:rPr>
              <w:kern w:val="0"/>
              <w14:ligatures w14:val="none"/>
            </w:rPr>
            <w:fldChar w:fldCharType="end"/>
          </w:r>
        </w:sdtContent>
      </w:sdt>
      <w:r w:rsidRPr="008A66CC">
        <w:rPr>
          <w:kern w:val="0"/>
          <w14:ligatures w14:val="none"/>
        </w:rPr>
        <w:t xml:space="preserve">. </w:t>
      </w:r>
      <w:r w:rsidRPr="008A66CC">
        <w:rPr>
          <w:color w:val="FF0000"/>
          <w:kern w:val="0"/>
          <w14:ligatures w14:val="none"/>
        </w:rPr>
        <w:t xml:space="preserve"> </w:t>
      </w:r>
      <w:r w:rsidRPr="008A66CC">
        <w:rPr>
          <w:kern w:val="0"/>
          <w14:ligatures w14:val="none"/>
        </w:rPr>
        <w:t xml:space="preserve">Material fatigue can lead to hydrogen embrittlement, which can compromise the integrity of steel storage vessels over time. Composite material storage vessels are also more flexible and less brittle, making them more resistant to cracking and other types of damage </w:t>
      </w:r>
      <w:sdt>
        <w:sdtPr>
          <w:rPr>
            <w:kern w:val="0"/>
            <w14:ligatures w14:val="none"/>
          </w:rPr>
          <w:id w:val="930394129"/>
          <w:citation/>
        </w:sdtPr>
        <w:sdtContent>
          <w:r w:rsidRPr="008A66CC">
            <w:rPr>
              <w:kern w:val="0"/>
              <w14:ligatures w14:val="none"/>
            </w:rPr>
            <w:fldChar w:fldCharType="begin"/>
          </w:r>
          <w:r w:rsidRPr="008A66CC">
            <w:rPr>
              <w:kern w:val="0"/>
              <w14:ligatures w14:val="none"/>
            </w:rPr>
            <w:instrText xml:space="preserve"> CITATION Heg19 \l 2057 </w:instrText>
          </w:r>
          <w:r w:rsidRPr="008A66CC">
            <w:rPr>
              <w:kern w:val="0"/>
              <w14:ligatures w14:val="none"/>
            </w:rPr>
            <w:fldChar w:fldCharType="separate"/>
          </w:r>
          <w:r w:rsidRPr="008A66CC">
            <w:rPr>
              <w:noProof/>
              <w:kern w:val="0"/>
              <w14:ligatures w14:val="none"/>
            </w:rPr>
            <w:t>(Hegger, 2019)</w:t>
          </w:r>
          <w:r w:rsidRPr="008A66CC">
            <w:rPr>
              <w:kern w:val="0"/>
              <w14:ligatures w14:val="none"/>
            </w:rPr>
            <w:fldChar w:fldCharType="end"/>
          </w:r>
        </w:sdtContent>
      </w:sdt>
      <w:r w:rsidRPr="008A66CC">
        <w:rPr>
          <w:kern w:val="0"/>
          <w14:ligatures w14:val="none"/>
        </w:rPr>
        <w:t>.</w:t>
      </w:r>
    </w:p>
    <w:p w14:paraId="68231E70" w14:textId="77777777" w:rsidR="008A66CC" w:rsidRPr="008A66CC" w:rsidRDefault="008A66CC" w:rsidP="008A66CC">
      <w:pPr>
        <w:rPr>
          <w:kern w:val="0"/>
          <w14:ligatures w14:val="none"/>
        </w:rPr>
      </w:pPr>
      <w:r w:rsidRPr="008A66CC">
        <w:rPr>
          <w:kern w:val="0"/>
          <w14:ligatures w14:val="none"/>
        </w:rPr>
        <w:t xml:space="preserve">Despite these advantages, there are also some challenges associated with the use of composite material storage vessels for hydrogen storage. One major concern is the potential for hydrogen embrittlement of the composite materials, which can reduce their long-term durability. In addition, composite materials can be more expensive to produce compared to steel </w:t>
      </w:r>
      <w:sdt>
        <w:sdtPr>
          <w:rPr>
            <w:kern w:val="0"/>
            <w14:ligatures w14:val="none"/>
          </w:rPr>
          <w:id w:val="-865755593"/>
          <w:citation/>
        </w:sdtPr>
        <w:sdtContent>
          <w:r w:rsidRPr="008A66CC">
            <w:rPr>
              <w:kern w:val="0"/>
              <w14:ligatures w14:val="none"/>
            </w:rPr>
            <w:fldChar w:fldCharType="begin"/>
          </w:r>
          <w:r w:rsidRPr="008A66CC">
            <w:rPr>
              <w:kern w:val="0"/>
              <w14:ligatures w14:val="none"/>
            </w:rPr>
            <w:instrText xml:space="preserve"> CITATION Heg19 \l 2057 </w:instrText>
          </w:r>
          <w:r w:rsidRPr="008A66CC">
            <w:rPr>
              <w:kern w:val="0"/>
              <w14:ligatures w14:val="none"/>
            </w:rPr>
            <w:fldChar w:fldCharType="separate"/>
          </w:r>
          <w:r w:rsidRPr="008A66CC">
            <w:rPr>
              <w:noProof/>
              <w:kern w:val="0"/>
              <w14:ligatures w14:val="none"/>
            </w:rPr>
            <w:t>(Hegger, 2019)</w:t>
          </w:r>
          <w:r w:rsidRPr="008A66CC">
            <w:rPr>
              <w:kern w:val="0"/>
              <w14:ligatures w14:val="none"/>
            </w:rPr>
            <w:fldChar w:fldCharType="end"/>
          </w:r>
        </w:sdtContent>
      </w:sdt>
      <w:r w:rsidRPr="008A66CC">
        <w:rPr>
          <w:kern w:val="0"/>
          <w14:ligatures w14:val="none"/>
        </w:rPr>
        <w:t>.</w:t>
      </w:r>
    </w:p>
    <w:p w14:paraId="26538B00" w14:textId="77777777" w:rsidR="008A66CC" w:rsidRPr="008A66CC" w:rsidRDefault="008A66CC" w:rsidP="008A66CC">
      <w:pPr>
        <w:rPr>
          <w:kern w:val="0"/>
          <w14:ligatures w14:val="none"/>
        </w:rPr>
      </w:pPr>
      <w:r w:rsidRPr="008A66CC">
        <w:rPr>
          <w:kern w:val="0"/>
          <w14:ligatures w14:val="none"/>
        </w:rPr>
        <w:t xml:space="preserve">Several studies have investigated the performance of composite material storage vessels for hydrogen storage. According to a study by Yoshida et al. (2018), composite material storage vessels exhibited lower fatigue damage compared to steel storage vessels. Another study by Ahmed et al. </w:t>
      </w:r>
      <w:sdt>
        <w:sdtPr>
          <w:rPr>
            <w:kern w:val="0"/>
            <w14:ligatures w14:val="none"/>
          </w:rPr>
          <w:id w:val="982124677"/>
          <w:citation/>
        </w:sdtPr>
        <w:sdtContent>
          <w:r w:rsidRPr="008A66CC">
            <w:rPr>
              <w:kern w:val="0"/>
              <w14:ligatures w14:val="none"/>
            </w:rPr>
            <w:fldChar w:fldCharType="begin"/>
          </w:r>
          <w:r w:rsidRPr="008A66CC">
            <w:rPr>
              <w:kern w:val="0"/>
              <w14:ligatures w14:val="none"/>
            </w:rPr>
            <w:instrText xml:space="preserve"> CITATION Ahm19 \l 2057 </w:instrText>
          </w:r>
          <w:r w:rsidRPr="008A66CC">
            <w:rPr>
              <w:kern w:val="0"/>
              <w14:ligatures w14:val="none"/>
            </w:rPr>
            <w:fldChar w:fldCharType="separate"/>
          </w:r>
          <w:r w:rsidRPr="008A66CC">
            <w:rPr>
              <w:noProof/>
              <w:kern w:val="0"/>
              <w14:ligatures w14:val="none"/>
            </w:rPr>
            <w:t>(Ahmed, 2019)</w:t>
          </w:r>
          <w:r w:rsidRPr="008A66CC">
            <w:rPr>
              <w:kern w:val="0"/>
              <w14:ligatures w14:val="none"/>
            </w:rPr>
            <w:fldChar w:fldCharType="end"/>
          </w:r>
        </w:sdtContent>
      </w:sdt>
      <w:r w:rsidRPr="008A66CC">
        <w:rPr>
          <w:kern w:val="0"/>
          <w14:ligatures w14:val="none"/>
        </w:rPr>
        <w:t xml:space="preserve"> reported that composite material storage vessels had higher burst pressures and lower weight compared to steel storage vessels.</w:t>
      </w:r>
    </w:p>
    <w:p w14:paraId="6E085072" w14:textId="77777777" w:rsidR="008A66CC" w:rsidRPr="008A66CC" w:rsidRDefault="008A66CC" w:rsidP="008A66CC">
      <w:pPr>
        <w:rPr>
          <w:kern w:val="0"/>
          <w14:ligatures w14:val="none"/>
        </w:rPr>
      </w:pPr>
      <w:r w:rsidRPr="008A66CC">
        <w:rPr>
          <w:kern w:val="0"/>
          <w14:ligatures w14:val="none"/>
        </w:rPr>
        <w:t xml:space="preserve">Green hydrogen, produced by the electrolysis of water using renewable energy sources such as wind and solar power, is increasingly being seen as a key component of the transition to a low-carbon economy </w:t>
      </w:r>
      <w:sdt>
        <w:sdtPr>
          <w:rPr>
            <w:kern w:val="0"/>
            <w14:ligatures w14:val="none"/>
          </w:rPr>
          <w:id w:val="-347794351"/>
          <w:citation/>
        </w:sdtPr>
        <w:sdtContent>
          <w:r w:rsidRPr="008A66CC">
            <w:rPr>
              <w:kern w:val="0"/>
              <w14:ligatures w14:val="none"/>
            </w:rPr>
            <w:fldChar w:fldCharType="begin"/>
          </w:r>
          <w:r w:rsidRPr="008A66CC">
            <w:rPr>
              <w:kern w:val="0"/>
              <w14:ligatures w14:val="none"/>
            </w:rPr>
            <w:instrText xml:space="preserve"> CITATION Ogd19 \l 2057 </w:instrText>
          </w:r>
          <w:r w:rsidRPr="008A66CC">
            <w:rPr>
              <w:kern w:val="0"/>
              <w14:ligatures w14:val="none"/>
            </w:rPr>
            <w:fldChar w:fldCharType="separate"/>
          </w:r>
          <w:r w:rsidRPr="008A66CC">
            <w:rPr>
              <w:noProof/>
              <w:kern w:val="0"/>
              <w14:ligatures w14:val="none"/>
            </w:rPr>
            <w:t>(Ogden, 2019)</w:t>
          </w:r>
          <w:r w:rsidRPr="008A66CC">
            <w:rPr>
              <w:kern w:val="0"/>
              <w14:ligatures w14:val="none"/>
            </w:rPr>
            <w:fldChar w:fldCharType="end"/>
          </w:r>
        </w:sdtContent>
      </w:sdt>
      <w:r w:rsidRPr="008A66CC">
        <w:rPr>
          <w:kern w:val="0"/>
          <w14:ligatures w14:val="none"/>
        </w:rPr>
        <w:t xml:space="preserve">. However, one of the challenges of using green hydrogen is that it needs to be stored safely and efficiently. Composite material storage vessels are one possible solution to this challenge </w:t>
      </w:r>
      <w:sdt>
        <w:sdtPr>
          <w:rPr>
            <w:kern w:val="0"/>
            <w14:ligatures w14:val="none"/>
          </w:rPr>
          <w:id w:val="-413551919"/>
          <w:citation/>
        </w:sdtPr>
        <w:sdtContent>
          <w:r w:rsidRPr="008A66CC">
            <w:rPr>
              <w:kern w:val="0"/>
              <w14:ligatures w14:val="none"/>
            </w:rPr>
            <w:fldChar w:fldCharType="begin"/>
          </w:r>
          <w:r w:rsidRPr="008A66CC">
            <w:rPr>
              <w:kern w:val="0"/>
              <w14:ligatures w14:val="none"/>
            </w:rPr>
            <w:instrText xml:space="preserve"> CITATION Eur19 \l 2057 </w:instrText>
          </w:r>
          <w:r w:rsidRPr="008A66CC">
            <w:rPr>
              <w:kern w:val="0"/>
              <w14:ligatures w14:val="none"/>
            </w:rPr>
            <w:fldChar w:fldCharType="separate"/>
          </w:r>
          <w:r w:rsidRPr="008A66CC">
            <w:rPr>
              <w:noProof/>
              <w:kern w:val="0"/>
              <w14:ligatures w14:val="none"/>
            </w:rPr>
            <w:t>(European Commission Joint Research Centre., 2019)</w:t>
          </w:r>
          <w:r w:rsidRPr="008A66CC">
            <w:rPr>
              <w:kern w:val="0"/>
              <w14:ligatures w14:val="none"/>
            </w:rPr>
            <w:fldChar w:fldCharType="end"/>
          </w:r>
        </w:sdtContent>
      </w:sdt>
      <w:r w:rsidRPr="008A66CC">
        <w:rPr>
          <w:kern w:val="0"/>
          <w14:ligatures w14:val="none"/>
        </w:rPr>
        <w:t>.</w:t>
      </w:r>
    </w:p>
    <w:p w14:paraId="50031043" w14:textId="77777777" w:rsidR="008A66CC" w:rsidRPr="008A66CC" w:rsidRDefault="008A66CC" w:rsidP="008A66CC">
      <w:pPr>
        <w:rPr>
          <w:kern w:val="0"/>
          <w14:ligatures w14:val="none"/>
        </w:rPr>
      </w:pPr>
      <w:r w:rsidRPr="008A66CC">
        <w:rPr>
          <w:kern w:val="0"/>
          <w14:ligatures w14:val="none"/>
        </w:rPr>
        <w:t xml:space="preserve">Composite material storage vessels have a number of benefits for storing green hydrogen. One of the most important is their high strength-to-weight ratio. This means that they can store large amounts of hydrogen at high pressures (up to 700 bar) without becoming too heavy to transport or handle safely </w:t>
      </w:r>
      <w:sdt>
        <w:sdtPr>
          <w:rPr>
            <w:kern w:val="0"/>
            <w14:ligatures w14:val="none"/>
          </w:rPr>
          <w:id w:val="-287279469"/>
          <w:citation/>
        </w:sdtPr>
        <w:sdtContent>
          <w:r w:rsidRPr="008A66CC">
            <w:rPr>
              <w:kern w:val="0"/>
              <w14:ligatures w14:val="none"/>
            </w:rPr>
            <w:fldChar w:fldCharType="begin"/>
          </w:r>
          <w:r w:rsidRPr="008A66CC">
            <w:rPr>
              <w:kern w:val="0"/>
              <w14:ligatures w14:val="none"/>
            </w:rPr>
            <w:instrText xml:space="preserve"> CITATION Bha21 \l 2057 </w:instrText>
          </w:r>
          <w:r w:rsidRPr="008A66CC">
            <w:rPr>
              <w:kern w:val="0"/>
              <w14:ligatures w14:val="none"/>
            </w:rPr>
            <w:fldChar w:fldCharType="separate"/>
          </w:r>
          <w:r w:rsidRPr="008A66CC">
            <w:rPr>
              <w:noProof/>
              <w:kern w:val="0"/>
              <w14:ligatures w14:val="none"/>
            </w:rPr>
            <w:t>(Bhattacharya, 2021)</w:t>
          </w:r>
          <w:r w:rsidRPr="008A66CC">
            <w:rPr>
              <w:kern w:val="0"/>
              <w14:ligatures w14:val="none"/>
            </w:rPr>
            <w:fldChar w:fldCharType="end"/>
          </w:r>
        </w:sdtContent>
      </w:sdt>
      <w:r w:rsidRPr="008A66CC">
        <w:rPr>
          <w:kern w:val="0"/>
          <w14:ligatures w14:val="none"/>
        </w:rPr>
        <w:t xml:space="preserve">. In addition, composite material storage vessels are resistant to corrosion, which is important for storing hydrogen, as it can cause materials to become brittle and crack </w:t>
      </w:r>
      <w:sdt>
        <w:sdtPr>
          <w:rPr>
            <w:kern w:val="0"/>
            <w14:ligatures w14:val="none"/>
          </w:rPr>
          <w:id w:val="311294128"/>
          <w:citation/>
        </w:sdtPr>
        <w:sdtContent>
          <w:r w:rsidRPr="008A66CC">
            <w:rPr>
              <w:kern w:val="0"/>
              <w14:ligatures w14:val="none"/>
            </w:rPr>
            <w:fldChar w:fldCharType="begin"/>
          </w:r>
          <w:r w:rsidRPr="008A66CC">
            <w:rPr>
              <w:kern w:val="0"/>
              <w14:ligatures w14:val="none"/>
            </w:rPr>
            <w:instrText xml:space="preserve"> CITATION Ogd191 \l 2057 </w:instrText>
          </w:r>
          <w:r w:rsidRPr="008A66CC">
            <w:rPr>
              <w:kern w:val="0"/>
              <w14:ligatures w14:val="none"/>
            </w:rPr>
            <w:fldChar w:fldCharType="separate"/>
          </w:r>
          <w:r w:rsidRPr="008A66CC">
            <w:rPr>
              <w:noProof/>
              <w:kern w:val="0"/>
              <w14:ligatures w14:val="none"/>
            </w:rPr>
            <w:t>(Ogden, 2019)</w:t>
          </w:r>
          <w:r w:rsidRPr="008A66CC">
            <w:rPr>
              <w:kern w:val="0"/>
              <w14:ligatures w14:val="none"/>
            </w:rPr>
            <w:fldChar w:fldCharType="end"/>
          </w:r>
        </w:sdtContent>
      </w:sdt>
      <w:r w:rsidRPr="008A66CC">
        <w:rPr>
          <w:kern w:val="0"/>
          <w14:ligatures w14:val="none"/>
        </w:rPr>
        <w:t>.</w:t>
      </w:r>
    </w:p>
    <w:p w14:paraId="2093B515" w14:textId="77777777" w:rsidR="008A66CC" w:rsidRPr="008A66CC" w:rsidRDefault="008A66CC" w:rsidP="008A66CC">
      <w:pPr>
        <w:rPr>
          <w:kern w:val="0"/>
          <w14:ligatures w14:val="none"/>
        </w:rPr>
      </w:pPr>
      <w:r w:rsidRPr="008A66CC">
        <w:rPr>
          <w:kern w:val="0"/>
          <w14:ligatures w14:val="none"/>
        </w:rPr>
        <w:t xml:space="preserve">Another benefit of composite material storage vessels is their durability. They can withstand extreme temperatures, and they are resistant to impacts and other types of mechanical stress. This makes them a good choice for use in a wide range of environments, including offshore installations and transportation applications </w:t>
      </w:r>
      <w:sdt>
        <w:sdtPr>
          <w:rPr>
            <w:kern w:val="0"/>
            <w14:ligatures w14:val="none"/>
          </w:rPr>
          <w:id w:val="-1682581056"/>
          <w:citation/>
        </w:sdtPr>
        <w:sdtContent>
          <w:r w:rsidRPr="008A66CC">
            <w:rPr>
              <w:kern w:val="0"/>
              <w14:ligatures w14:val="none"/>
            </w:rPr>
            <w:fldChar w:fldCharType="begin"/>
          </w:r>
          <w:r w:rsidRPr="008A66CC">
            <w:rPr>
              <w:kern w:val="0"/>
              <w14:ligatures w14:val="none"/>
            </w:rPr>
            <w:instrText xml:space="preserve">CITATION Car21 \l 2057 </w:instrText>
          </w:r>
          <w:r w:rsidRPr="008A66CC">
            <w:rPr>
              <w:kern w:val="0"/>
              <w14:ligatures w14:val="none"/>
            </w:rPr>
            <w:fldChar w:fldCharType="separate"/>
          </w:r>
          <w:r w:rsidRPr="008A66CC">
            <w:rPr>
              <w:noProof/>
              <w:kern w:val="0"/>
              <w14:ligatures w14:val="none"/>
            </w:rPr>
            <w:t>(Composites, 2021)</w:t>
          </w:r>
          <w:r w:rsidRPr="008A66CC">
            <w:rPr>
              <w:kern w:val="0"/>
              <w14:ligatures w14:val="none"/>
            </w:rPr>
            <w:fldChar w:fldCharType="end"/>
          </w:r>
        </w:sdtContent>
      </w:sdt>
      <w:r w:rsidRPr="008A66CC">
        <w:rPr>
          <w:kern w:val="0"/>
          <w14:ligatures w14:val="none"/>
        </w:rPr>
        <w:t>.</w:t>
      </w:r>
    </w:p>
    <w:p w14:paraId="5D9698D4" w14:textId="77777777" w:rsidR="008A66CC" w:rsidRPr="008A66CC" w:rsidRDefault="008A66CC" w:rsidP="008A66CC">
      <w:pPr>
        <w:rPr>
          <w:kern w:val="0"/>
          <w14:ligatures w14:val="none"/>
        </w:rPr>
      </w:pPr>
      <w:r w:rsidRPr="008A66CC">
        <w:rPr>
          <w:kern w:val="0"/>
          <w14:ligatures w14:val="none"/>
        </w:rPr>
        <w:t xml:space="preserve">One of the main negatives of composite material storage vessels for green hydrogen storage is their cost. They are typically more expensive than metal storage vessels, which can make them less attractive to some users </w:t>
      </w:r>
      <w:sdt>
        <w:sdtPr>
          <w:rPr>
            <w:kern w:val="0"/>
            <w14:ligatures w14:val="none"/>
          </w:rPr>
          <w:id w:val="-1008364820"/>
          <w:citation/>
        </w:sdtPr>
        <w:sdtContent>
          <w:r w:rsidRPr="008A66CC">
            <w:rPr>
              <w:kern w:val="0"/>
              <w14:ligatures w14:val="none"/>
            </w:rPr>
            <w:fldChar w:fldCharType="begin"/>
          </w:r>
          <w:r w:rsidRPr="008A66CC">
            <w:rPr>
              <w:kern w:val="0"/>
              <w14:ligatures w14:val="none"/>
            </w:rPr>
            <w:instrText xml:space="preserve"> CITATION Bha21 \l 2057 </w:instrText>
          </w:r>
          <w:r w:rsidRPr="008A66CC">
            <w:rPr>
              <w:kern w:val="0"/>
              <w14:ligatures w14:val="none"/>
            </w:rPr>
            <w:fldChar w:fldCharType="separate"/>
          </w:r>
          <w:r w:rsidRPr="008A66CC">
            <w:rPr>
              <w:noProof/>
              <w:kern w:val="0"/>
              <w14:ligatures w14:val="none"/>
            </w:rPr>
            <w:t>(Bhattacharya, 2021)</w:t>
          </w:r>
          <w:r w:rsidRPr="008A66CC">
            <w:rPr>
              <w:kern w:val="0"/>
              <w14:ligatures w14:val="none"/>
            </w:rPr>
            <w:fldChar w:fldCharType="end"/>
          </w:r>
        </w:sdtContent>
      </w:sdt>
      <w:r w:rsidRPr="008A66CC">
        <w:rPr>
          <w:kern w:val="0"/>
          <w14:ligatures w14:val="none"/>
        </w:rPr>
        <w:t xml:space="preserve">. In addition, composite material storage vessels can be more difficult to manufacture and repair than metal vessels, which can add to their cost over the long term </w:t>
      </w:r>
      <w:sdt>
        <w:sdtPr>
          <w:rPr>
            <w:kern w:val="0"/>
            <w14:ligatures w14:val="none"/>
          </w:rPr>
          <w:id w:val="906966458"/>
          <w:citation/>
        </w:sdtPr>
        <w:sdtContent>
          <w:r w:rsidRPr="008A66CC">
            <w:rPr>
              <w:kern w:val="0"/>
              <w14:ligatures w14:val="none"/>
            </w:rPr>
            <w:fldChar w:fldCharType="begin"/>
          </w:r>
          <w:r w:rsidRPr="008A66CC">
            <w:rPr>
              <w:kern w:val="0"/>
              <w14:ligatures w14:val="none"/>
            </w:rPr>
            <w:instrText xml:space="preserve"> CITATION Eur19 \l 2057 </w:instrText>
          </w:r>
          <w:r w:rsidRPr="008A66CC">
            <w:rPr>
              <w:kern w:val="0"/>
              <w14:ligatures w14:val="none"/>
            </w:rPr>
            <w:fldChar w:fldCharType="separate"/>
          </w:r>
          <w:r w:rsidRPr="008A66CC">
            <w:rPr>
              <w:noProof/>
              <w:kern w:val="0"/>
              <w14:ligatures w14:val="none"/>
            </w:rPr>
            <w:t>(European Commission Joint Research Centre., 2019)</w:t>
          </w:r>
          <w:r w:rsidRPr="008A66CC">
            <w:rPr>
              <w:kern w:val="0"/>
              <w14:ligatures w14:val="none"/>
            </w:rPr>
            <w:fldChar w:fldCharType="end"/>
          </w:r>
        </w:sdtContent>
      </w:sdt>
      <w:r w:rsidRPr="008A66CC">
        <w:rPr>
          <w:kern w:val="0"/>
          <w14:ligatures w14:val="none"/>
        </w:rPr>
        <w:t>.</w:t>
      </w:r>
    </w:p>
    <w:p w14:paraId="7571F1AD" w14:textId="77777777" w:rsidR="008A66CC" w:rsidRPr="008A66CC" w:rsidRDefault="008A66CC" w:rsidP="008A66CC">
      <w:pPr>
        <w:rPr>
          <w:kern w:val="0"/>
          <w14:ligatures w14:val="none"/>
        </w:rPr>
      </w:pPr>
    </w:p>
    <w:p w14:paraId="2F5172EF" w14:textId="77777777" w:rsidR="008A66CC" w:rsidRPr="008A66CC" w:rsidRDefault="008A66CC" w:rsidP="008A66CC">
      <w:pPr>
        <w:rPr>
          <w:kern w:val="0"/>
          <w14:ligatures w14:val="none"/>
        </w:rPr>
      </w:pPr>
      <w:r w:rsidRPr="008A66CC">
        <w:rPr>
          <w:kern w:val="0"/>
          <w14:ligatures w14:val="none"/>
        </w:rPr>
        <w:lastRenderedPageBreak/>
        <w:t xml:space="preserve">Another potential negative of composite material storage vessels is their susceptibility to damage from UV radiation. This can cause the composite material to degrade over time, which can affect the vessel's ability to store hydrogen safely. However, this can be mitigated by using appropriate coatings and other protective measures </w:t>
      </w:r>
      <w:sdt>
        <w:sdtPr>
          <w:rPr>
            <w:kern w:val="0"/>
            <w14:ligatures w14:val="none"/>
          </w:rPr>
          <w:id w:val="-138885450"/>
          <w:citation/>
        </w:sdtPr>
        <w:sdtContent>
          <w:r w:rsidRPr="008A66CC">
            <w:rPr>
              <w:kern w:val="0"/>
              <w14:ligatures w14:val="none"/>
            </w:rPr>
            <w:fldChar w:fldCharType="begin"/>
          </w:r>
          <w:r w:rsidRPr="008A66CC">
            <w:rPr>
              <w:kern w:val="0"/>
              <w14:ligatures w14:val="none"/>
            </w:rPr>
            <w:instrText xml:space="preserve"> CITATION Wri20 \l 2057 </w:instrText>
          </w:r>
          <w:r w:rsidRPr="008A66CC">
            <w:rPr>
              <w:kern w:val="0"/>
              <w14:ligatures w14:val="none"/>
            </w:rPr>
            <w:fldChar w:fldCharType="separate"/>
          </w:r>
          <w:r w:rsidRPr="008A66CC">
            <w:rPr>
              <w:noProof/>
              <w:kern w:val="0"/>
              <w14:ligatures w14:val="none"/>
            </w:rPr>
            <w:t>(Wright, 2020)</w:t>
          </w:r>
          <w:r w:rsidRPr="008A66CC">
            <w:rPr>
              <w:kern w:val="0"/>
              <w14:ligatures w14:val="none"/>
            </w:rPr>
            <w:fldChar w:fldCharType="end"/>
          </w:r>
        </w:sdtContent>
      </w:sdt>
      <w:r w:rsidRPr="008A66CC">
        <w:rPr>
          <w:kern w:val="0"/>
          <w14:ligatures w14:val="none"/>
        </w:rPr>
        <w:t>.</w:t>
      </w:r>
    </w:p>
    <w:p w14:paraId="62B302AE" w14:textId="77777777" w:rsidR="008A66CC" w:rsidRPr="008A66CC" w:rsidRDefault="008A66CC" w:rsidP="008A66CC">
      <w:pPr>
        <w:rPr>
          <w:kern w:val="0"/>
          <w14:ligatures w14:val="none"/>
        </w:rPr>
      </w:pPr>
      <w:r w:rsidRPr="008A66CC">
        <w:rPr>
          <w:kern w:val="0"/>
          <w14:ligatures w14:val="none"/>
        </w:rPr>
        <w:t>In conclusion, composite material storage vessels are a promising solution for storing green hydrogen at high pressures. They have a number of benefits, including their high strength-to-weight ratio, resistance to corrosion, and durability. However, they do have some drawbacks, including their cost and potential susceptibility to damage from UV radiation.</w:t>
      </w:r>
    </w:p>
    <w:p w14:paraId="087AAE79" w14:textId="77777777" w:rsidR="008A66CC" w:rsidRPr="008A66CC" w:rsidRDefault="008A66CC" w:rsidP="008A66CC">
      <w:pPr>
        <w:rPr>
          <w:kern w:val="0"/>
          <w14:ligatures w14:val="none"/>
        </w:rPr>
      </w:pPr>
      <w:r w:rsidRPr="008A66CC">
        <w:rPr>
          <w:kern w:val="0"/>
          <w14:ligatures w14:val="none"/>
        </w:rPr>
        <w:t xml:space="preserve">To address concerns related to hydrogen embrittlement and cost, further research and development is needed. Ongoing studies have investigated the performance of composite material storage vessels for hydrogen storage. For instance, a study by H. Yoshida et al. published in the International Journal of Hydrogen Energy found that composite material storage vessels exhibited lower fatigue damage compared to steel storage vessels. Another study by S. Ahmed et al. published in the Journal of Composites Science and Technology reported that composite material storage vessels had higher burst pressures and lower weight compared to steel storage vessels </w:t>
      </w:r>
      <w:sdt>
        <w:sdtPr>
          <w:rPr>
            <w:kern w:val="0"/>
            <w14:ligatures w14:val="none"/>
          </w:rPr>
          <w:id w:val="387158904"/>
          <w:citation/>
        </w:sdtPr>
        <w:sdtContent>
          <w:r w:rsidRPr="008A66CC">
            <w:rPr>
              <w:kern w:val="0"/>
              <w14:ligatures w14:val="none"/>
            </w:rPr>
            <w:fldChar w:fldCharType="begin"/>
          </w:r>
          <w:r w:rsidRPr="008A66CC">
            <w:rPr>
              <w:kern w:val="0"/>
              <w14:ligatures w14:val="none"/>
            </w:rPr>
            <w:instrText xml:space="preserve"> CITATION Ahm20 \l 2057 </w:instrText>
          </w:r>
          <w:r w:rsidRPr="008A66CC">
            <w:rPr>
              <w:kern w:val="0"/>
              <w14:ligatures w14:val="none"/>
            </w:rPr>
            <w:fldChar w:fldCharType="separate"/>
          </w:r>
          <w:r w:rsidRPr="008A66CC">
            <w:rPr>
              <w:noProof/>
              <w:kern w:val="0"/>
              <w14:ligatures w14:val="none"/>
            </w:rPr>
            <w:t>(Ahmed, 2020)</w:t>
          </w:r>
          <w:r w:rsidRPr="008A66CC">
            <w:rPr>
              <w:kern w:val="0"/>
              <w14:ligatures w14:val="none"/>
            </w:rPr>
            <w:fldChar w:fldCharType="end"/>
          </w:r>
        </w:sdtContent>
      </w:sdt>
    </w:p>
    <w:p w14:paraId="65840297" w14:textId="77777777" w:rsidR="008A66CC" w:rsidRPr="008A66CC" w:rsidRDefault="008A66CC" w:rsidP="008A66CC">
      <w:pPr>
        <w:rPr>
          <w:kern w:val="0"/>
          <w14:ligatures w14:val="none"/>
        </w:rPr>
      </w:pPr>
      <w:r w:rsidRPr="008A66CC">
        <w:rPr>
          <w:kern w:val="0"/>
          <w14:ligatures w14:val="none"/>
        </w:rPr>
        <w:t>Despite the challenges, composite material storage vessels represent a good option for green hydrogen storage, particularly in applications where weight and durability are important considerations. As the demand for green hydrogen continues to grow, the development of composite material storage vessels will play an important role in enabling the widespread adoption of this clean energy source.</w:t>
      </w:r>
    </w:p>
    <w:p w14:paraId="14644242" w14:textId="417F0F9B" w:rsidR="008A66CC" w:rsidRDefault="008A66CC" w:rsidP="008A66CC">
      <w:pPr>
        <w:rPr>
          <w:kern w:val="0"/>
          <w14:ligatures w14:val="none"/>
        </w:rPr>
      </w:pPr>
    </w:p>
    <w:p w14:paraId="4286892C" w14:textId="01E53CFE" w:rsidR="001435B0" w:rsidRDefault="001435B0" w:rsidP="001435B0">
      <w:pPr>
        <w:pStyle w:val="Heading2"/>
      </w:pPr>
      <w:bookmarkStart w:id="29" w:name="_Toc130736546"/>
      <w:r>
        <w:t>Digital Twin</w:t>
      </w:r>
      <w:bookmarkEnd w:id="29"/>
    </w:p>
    <w:p w14:paraId="52619717" w14:textId="77777777" w:rsidR="001435B0" w:rsidRPr="001435B0" w:rsidRDefault="001435B0" w:rsidP="001435B0">
      <w:pPr>
        <w:rPr>
          <w:lang w:eastAsia="en-GB"/>
        </w:rPr>
      </w:pPr>
    </w:p>
    <w:p w14:paraId="6ADAFF85" w14:textId="34D44A5D" w:rsidR="001435B0" w:rsidRPr="001435B0" w:rsidRDefault="001435B0" w:rsidP="001435B0">
      <w:pPr>
        <w:rPr>
          <w:kern w:val="0"/>
          <w14:ligatures w14:val="none"/>
        </w:rPr>
      </w:pPr>
      <w:r w:rsidRPr="001435B0">
        <w:rPr>
          <w:kern w:val="0"/>
          <w14:ligatures w14:val="none"/>
        </w:rPr>
        <w:t>The digital twin of a green hydrogen electrolysis facility is a virtual replica of the physical plant, which is built using advanced digital technologies such as artificial intelligence, machine learning, and simulation. The digital twin provides a real-time, comprehensive view of the facility's performance, enabling operators to optimize and control the process variables, and quickly identify any issues that may arise</w:t>
      </w:r>
      <w:r>
        <w:rPr>
          <w:kern w:val="0"/>
          <w14:ligatures w14:val="none"/>
        </w:rPr>
        <w:t xml:space="preserve"> </w:t>
      </w:r>
      <w:sdt>
        <w:sdtPr>
          <w:rPr>
            <w:kern w:val="0"/>
            <w14:ligatures w14:val="none"/>
          </w:rPr>
          <w:id w:val="1998840947"/>
          <w:citation/>
        </w:sdtPr>
        <w:sdtContent>
          <w:r>
            <w:rPr>
              <w:kern w:val="0"/>
              <w14:ligatures w14:val="none"/>
            </w:rPr>
            <w:fldChar w:fldCharType="begin"/>
          </w:r>
          <w:r>
            <w:rPr>
              <w:kern w:val="0"/>
              <w14:ligatures w14:val="none"/>
            </w:rPr>
            <w:instrText xml:space="preserve"> CITATION Sch21 \l 2057 </w:instrText>
          </w:r>
          <w:r>
            <w:rPr>
              <w:kern w:val="0"/>
              <w14:ligatures w14:val="none"/>
            </w:rPr>
            <w:fldChar w:fldCharType="separate"/>
          </w:r>
          <w:r w:rsidRPr="001435B0">
            <w:rPr>
              <w:noProof/>
              <w:kern w:val="0"/>
              <w14:ligatures w14:val="none"/>
            </w:rPr>
            <w:t>(Scholten, 2021)</w:t>
          </w:r>
          <w:r>
            <w:rPr>
              <w:kern w:val="0"/>
              <w14:ligatures w14:val="none"/>
            </w:rPr>
            <w:fldChar w:fldCharType="end"/>
          </w:r>
        </w:sdtContent>
      </w:sdt>
    </w:p>
    <w:p w14:paraId="769EF75E" w14:textId="760382CE" w:rsidR="008A66CC" w:rsidRPr="001220C4" w:rsidRDefault="001435B0" w:rsidP="001220C4">
      <w:pPr>
        <w:rPr>
          <w:kern w:val="0"/>
          <w14:ligatures w14:val="none"/>
        </w:rPr>
      </w:pPr>
      <w:r w:rsidRPr="001435B0">
        <w:rPr>
          <w:kern w:val="0"/>
          <w14:ligatures w14:val="none"/>
        </w:rPr>
        <w:t>The benefits of using a digital twin in a green hydrogen electrolysis facility are numerous. For instance, it can improve the efficiency of the plant, reduce energy consumption, increase the lifespan of the equipment, and enhance safety by predicting and mitigating potential hazards. Additionally, the digital twin can facilitate remote monitoring and control, reducing the need for on-site personnel, and providing greater flexibility in the operation of the facility.</w:t>
      </w:r>
      <w:r w:rsidR="003D5363">
        <w:rPr>
          <w:kern w:val="0"/>
          <w14:ligatures w14:val="none"/>
        </w:rPr>
        <w:t xml:space="preserve"> </w:t>
      </w:r>
      <w:sdt>
        <w:sdtPr>
          <w:rPr>
            <w:kern w:val="0"/>
            <w14:ligatures w14:val="none"/>
          </w:rPr>
          <w:id w:val="-1169330184"/>
          <w:citation/>
        </w:sdtPr>
        <w:sdtContent>
          <w:r w:rsidR="003D5363">
            <w:rPr>
              <w:kern w:val="0"/>
              <w14:ligatures w14:val="none"/>
            </w:rPr>
            <w:fldChar w:fldCharType="begin"/>
          </w:r>
          <w:r w:rsidR="003D5363">
            <w:rPr>
              <w:kern w:val="0"/>
              <w14:ligatures w14:val="none"/>
            </w:rPr>
            <w:instrText xml:space="preserve"> CITATION Liu21 \l 2057 </w:instrText>
          </w:r>
          <w:r w:rsidR="003D5363">
            <w:rPr>
              <w:kern w:val="0"/>
              <w14:ligatures w14:val="none"/>
            </w:rPr>
            <w:fldChar w:fldCharType="separate"/>
          </w:r>
          <w:r w:rsidR="003D5363" w:rsidRPr="003D5363">
            <w:rPr>
              <w:noProof/>
              <w:kern w:val="0"/>
              <w14:ligatures w14:val="none"/>
            </w:rPr>
            <w:t>(Liu, 2021)</w:t>
          </w:r>
          <w:r w:rsidR="003D5363">
            <w:rPr>
              <w:kern w:val="0"/>
              <w14:ligatures w14:val="none"/>
            </w:rPr>
            <w:fldChar w:fldCharType="end"/>
          </w:r>
        </w:sdtContent>
      </w:sdt>
      <w:r w:rsidR="00C14506">
        <w:rPr>
          <w:kern w:val="0"/>
          <w14:ligatures w14:val="none"/>
        </w:rPr>
        <w:t xml:space="preserve"> </w:t>
      </w:r>
      <w:r w:rsidRPr="001435B0">
        <w:rPr>
          <w:kern w:val="0"/>
          <w14:ligatures w14:val="none"/>
        </w:rPr>
        <w:t>Furthermore, the digital twin can also help in the development of new, innovative solutions for the production of green hydrogen by providing a testing ground for new process designs, materials, and technologies. This can ultimately lead to a more cost-effective and sustainable production of green hydrogen, which can help to accelerate the transition to a low-carbon economy.</w:t>
      </w:r>
    </w:p>
    <w:p w14:paraId="4B84D0C0" w14:textId="77777777" w:rsidR="008A66CC" w:rsidRPr="008A66CC" w:rsidRDefault="008A66CC" w:rsidP="008A66CC">
      <w:pPr>
        <w:spacing w:after="0" w:line="240" w:lineRule="auto"/>
        <w:jc w:val="center"/>
        <w:rPr>
          <w:rFonts w:ascii="Times New Roman" w:eastAsia="Times New Roman" w:hAnsi="Times New Roman" w:cs="Times New Roman"/>
          <w:kern w:val="0"/>
          <w:sz w:val="20"/>
          <w:szCs w:val="20"/>
          <w:lang w:eastAsia="en-GB"/>
          <w14:ligatures w14:val="none"/>
        </w:rPr>
      </w:pPr>
    </w:p>
    <w:p w14:paraId="41493C7A" w14:textId="562BCBA5" w:rsid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69305D45" w14:textId="7F770238" w:rsidR="00C14506" w:rsidRDefault="00C14506" w:rsidP="008A66CC">
      <w:pPr>
        <w:spacing w:after="0" w:line="240" w:lineRule="auto"/>
        <w:rPr>
          <w:rFonts w:ascii="Times New Roman" w:eastAsia="Times New Roman" w:hAnsi="Times New Roman" w:cs="Times New Roman"/>
          <w:kern w:val="0"/>
          <w:sz w:val="20"/>
          <w:szCs w:val="20"/>
          <w:lang w:eastAsia="en-GB"/>
          <w14:ligatures w14:val="none"/>
        </w:rPr>
      </w:pPr>
    </w:p>
    <w:p w14:paraId="139D1C9A" w14:textId="0D5EF5F9" w:rsidR="00C14506" w:rsidRDefault="00C14506" w:rsidP="008A66CC">
      <w:pPr>
        <w:spacing w:after="0" w:line="240" w:lineRule="auto"/>
        <w:rPr>
          <w:rFonts w:ascii="Times New Roman" w:eastAsia="Times New Roman" w:hAnsi="Times New Roman" w:cs="Times New Roman"/>
          <w:kern w:val="0"/>
          <w:sz w:val="20"/>
          <w:szCs w:val="20"/>
          <w:lang w:eastAsia="en-GB"/>
          <w14:ligatures w14:val="none"/>
        </w:rPr>
      </w:pPr>
    </w:p>
    <w:p w14:paraId="0F0F0383" w14:textId="4E0678F4" w:rsidR="00C14506" w:rsidRDefault="00C14506" w:rsidP="008A66CC">
      <w:pPr>
        <w:spacing w:after="0" w:line="240" w:lineRule="auto"/>
        <w:rPr>
          <w:rFonts w:ascii="Times New Roman" w:eastAsia="Times New Roman" w:hAnsi="Times New Roman" w:cs="Times New Roman"/>
          <w:kern w:val="0"/>
          <w:sz w:val="20"/>
          <w:szCs w:val="20"/>
          <w:lang w:eastAsia="en-GB"/>
          <w14:ligatures w14:val="none"/>
        </w:rPr>
      </w:pPr>
    </w:p>
    <w:p w14:paraId="695B039A" w14:textId="7FBE130A" w:rsidR="00C14506" w:rsidRDefault="00C14506" w:rsidP="008A66CC">
      <w:pPr>
        <w:spacing w:after="0" w:line="240" w:lineRule="auto"/>
        <w:rPr>
          <w:rFonts w:ascii="Times New Roman" w:eastAsia="Times New Roman" w:hAnsi="Times New Roman" w:cs="Times New Roman"/>
          <w:kern w:val="0"/>
          <w:sz w:val="20"/>
          <w:szCs w:val="20"/>
          <w:lang w:eastAsia="en-GB"/>
          <w14:ligatures w14:val="none"/>
        </w:rPr>
      </w:pPr>
    </w:p>
    <w:p w14:paraId="39ED70BA" w14:textId="77777777" w:rsidR="00C14506" w:rsidRPr="008A66CC" w:rsidRDefault="00C14506" w:rsidP="008A66CC">
      <w:pPr>
        <w:spacing w:after="0" w:line="240" w:lineRule="auto"/>
        <w:rPr>
          <w:rFonts w:ascii="Times New Roman" w:eastAsia="Times New Roman" w:hAnsi="Times New Roman" w:cs="Times New Roman"/>
          <w:kern w:val="0"/>
          <w:sz w:val="20"/>
          <w:szCs w:val="20"/>
          <w:lang w:eastAsia="en-GB"/>
          <w14:ligatures w14:val="none"/>
        </w:rPr>
      </w:pPr>
    </w:p>
    <w:p w14:paraId="31A1EF49"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2C658AA1" w14:textId="77777777" w:rsidR="008A66CC" w:rsidRPr="008A66CC" w:rsidRDefault="008A66CC" w:rsidP="00FF22F0">
      <w:pPr>
        <w:pStyle w:val="Heading2"/>
      </w:pPr>
      <w:bookmarkStart w:id="30" w:name="_Toc130736547"/>
      <w:r w:rsidRPr="008A66CC">
        <w:lastRenderedPageBreak/>
        <w:t>Literature Review Conclusion</w:t>
      </w:r>
      <w:bookmarkEnd w:id="30"/>
    </w:p>
    <w:p w14:paraId="4E84046D" w14:textId="77777777" w:rsidR="008A66CC" w:rsidRPr="008A66CC" w:rsidRDefault="008A66CC" w:rsidP="008A66CC">
      <w:pPr>
        <w:spacing w:after="0" w:line="240" w:lineRule="auto"/>
        <w:rPr>
          <w:rFonts w:ascii="Times New Roman" w:hAnsi="Times New Roman" w:cs="Times New Roman"/>
          <w:kern w:val="0"/>
          <w:sz w:val="20"/>
          <w:szCs w:val="20"/>
          <w14:ligatures w14:val="none"/>
        </w:rPr>
      </w:pPr>
    </w:p>
    <w:p w14:paraId="3E99F986" w14:textId="77777777" w:rsidR="001220C4" w:rsidRPr="001220C4" w:rsidRDefault="001220C4" w:rsidP="001220C4">
      <w:pPr>
        <w:rPr>
          <w:kern w:val="0"/>
          <w14:ligatures w14:val="none"/>
        </w:rPr>
      </w:pPr>
      <w:r w:rsidRPr="001220C4">
        <w:rPr>
          <w:kern w:val="0"/>
          <w14:ligatures w14:val="none"/>
        </w:rPr>
        <w:t>In conclusion, the literature review highlights the importance of reducing CO</w:t>
      </w:r>
      <w:r w:rsidRPr="005A25E6">
        <w:rPr>
          <w:kern w:val="0"/>
          <w:vertAlign w:val="subscript"/>
          <w14:ligatures w14:val="none"/>
        </w:rPr>
        <w:t>2</w:t>
      </w:r>
      <w:r w:rsidRPr="001220C4">
        <w:rPr>
          <w:kern w:val="0"/>
          <w14:ligatures w14:val="none"/>
        </w:rPr>
        <w:t xml:space="preserve"> emissions and mitigating climate change by utilizing carbon capture and utilization technologies, such as power-to-liquids (PTL) and power-to-gas (PTG), which can transform surplus and intermittent renewable energies into steady chemical energies through water electrolysis. The use of composite material storage vessels for green hydrogen storage shows promise, but further evaluation is needed for large-scale commercial use.</w:t>
      </w:r>
    </w:p>
    <w:p w14:paraId="34065C67" w14:textId="77777777" w:rsidR="001220C4" w:rsidRPr="001220C4" w:rsidRDefault="001220C4" w:rsidP="001220C4">
      <w:pPr>
        <w:rPr>
          <w:kern w:val="0"/>
          <w14:ligatures w14:val="none"/>
        </w:rPr>
      </w:pPr>
    </w:p>
    <w:p w14:paraId="7313A345" w14:textId="77777777" w:rsidR="001220C4" w:rsidRPr="001220C4" w:rsidRDefault="001220C4" w:rsidP="001220C4">
      <w:pPr>
        <w:rPr>
          <w:kern w:val="0"/>
          <w14:ligatures w14:val="none"/>
        </w:rPr>
      </w:pPr>
      <w:r w:rsidRPr="001220C4">
        <w:rPr>
          <w:kern w:val="0"/>
          <w14:ligatures w14:val="none"/>
        </w:rPr>
        <w:t>Among the available electrolysis technologies, anion exchange membrane (AEM) and proton exchange membrane (PEM) systems are particularly advantageous due to their ability to produce high-pressure hydrogen, while the solid oxide electrolysis (SOEC) system is not considered a green technology. Comprehensive comparisons of various electrolysis technologies and storage solutions are necessary to determine the most suitable technology for green hydrogen production and storage.</w:t>
      </w:r>
    </w:p>
    <w:p w14:paraId="536B95B0" w14:textId="77777777" w:rsidR="001220C4" w:rsidRPr="001220C4" w:rsidRDefault="001220C4" w:rsidP="001220C4">
      <w:pPr>
        <w:rPr>
          <w:kern w:val="0"/>
          <w14:ligatures w14:val="none"/>
        </w:rPr>
      </w:pPr>
    </w:p>
    <w:p w14:paraId="615A5215" w14:textId="77777777" w:rsidR="001220C4" w:rsidRPr="001220C4" w:rsidRDefault="001220C4" w:rsidP="001220C4">
      <w:pPr>
        <w:rPr>
          <w:kern w:val="0"/>
          <w14:ligatures w14:val="none"/>
        </w:rPr>
      </w:pPr>
      <w:r w:rsidRPr="001220C4">
        <w:rPr>
          <w:kern w:val="0"/>
          <w14:ligatures w14:val="none"/>
        </w:rPr>
        <w:t>The implementation of a digital twin in a green hydrogen electrolysis facility is a promising technology that can provide several benefits, including improved efficiency, safety, and sustainability. However, its implementation requires careful consideration of its benefits and challenges, and ongoing maintenance to ensure its continued performance. The use of advanced digital technologies, such as artificial intelligence, machine learning, and simulation, can provide a real-time view of the facility's performance, enabling operators to optimize and control process variables and identify issues quickly. The digital twin can also facilitate remote monitoring and control, leading to greater flexibility in the operation of the facility, reducing the need for on-site personnel, and ultimately lowering costs. Additionally, the digital twin can serve as a testing ground for new process designs, materials, and technologies, leading to a more cost-effective and sustainable production of green hydrogen, which is essential for accelerating the transition to a low-carbon economy.</w:t>
      </w:r>
    </w:p>
    <w:p w14:paraId="610BE4F7" w14:textId="77777777" w:rsidR="001220C4" w:rsidRPr="001220C4" w:rsidRDefault="001220C4" w:rsidP="001220C4">
      <w:pPr>
        <w:rPr>
          <w:kern w:val="0"/>
          <w14:ligatures w14:val="none"/>
        </w:rPr>
      </w:pPr>
    </w:p>
    <w:p w14:paraId="707EDB8F" w14:textId="205BC2CE" w:rsidR="008A66CC" w:rsidRPr="008A66CC" w:rsidRDefault="001220C4" w:rsidP="001220C4">
      <w:pPr>
        <w:rPr>
          <w:kern w:val="0"/>
          <w14:ligatures w14:val="none"/>
        </w:rPr>
      </w:pPr>
      <w:r w:rsidRPr="001220C4">
        <w:rPr>
          <w:kern w:val="0"/>
          <w14:ligatures w14:val="none"/>
        </w:rPr>
        <w:t>In summary, the review highlights the potential of carbon capture and utilization technologies, water electrolysis, composite material storage vessels, and digital twin technology to reduce CO</w:t>
      </w:r>
      <w:r w:rsidRPr="005A25E6">
        <w:rPr>
          <w:kern w:val="0"/>
          <w:vertAlign w:val="subscript"/>
          <w14:ligatures w14:val="none"/>
        </w:rPr>
        <w:t xml:space="preserve">2 </w:t>
      </w:r>
      <w:r w:rsidRPr="001220C4">
        <w:rPr>
          <w:kern w:val="0"/>
          <w14:ligatures w14:val="none"/>
        </w:rPr>
        <w:t>emissions, mitigate climate change, and accelerate the transition to a low-carbon economy. However, further evaluation, optimization, and implementation of these technologies are needed for their full potential to be realized.</w:t>
      </w:r>
    </w:p>
    <w:p w14:paraId="4DB9F1B0" w14:textId="77777777" w:rsidR="008A66CC" w:rsidRPr="008A66CC" w:rsidRDefault="008A66CC" w:rsidP="008A66CC">
      <w:pPr>
        <w:rPr>
          <w:kern w:val="0"/>
          <w14:ligatures w14:val="none"/>
        </w:rPr>
      </w:pPr>
    </w:p>
    <w:p w14:paraId="7179C6C6" w14:textId="77777777" w:rsidR="008A66CC" w:rsidRPr="008A66CC" w:rsidRDefault="008A66CC" w:rsidP="008A66CC">
      <w:pPr>
        <w:rPr>
          <w:kern w:val="0"/>
          <w14:ligatures w14:val="none"/>
        </w:rPr>
      </w:pPr>
    </w:p>
    <w:p w14:paraId="01F45A74" w14:textId="163EBFFA" w:rsidR="00A06F62" w:rsidRDefault="00A06F62" w:rsidP="008A66CC">
      <w:pPr>
        <w:rPr>
          <w:kern w:val="0"/>
          <w14:ligatures w14:val="none"/>
        </w:rPr>
      </w:pPr>
    </w:p>
    <w:p w14:paraId="00579745" w14:textId="77777777" w:rsidR="00A06F62" w:rsidRPr="008A66CC" w:rsidRDefault="00A06F62" w:rsidP="008A66CC">
      <w:pPr>
        <w:rPr>
          <w:kern w:val="0"/>
          <w14:ligatures w14:val="none"/>
        </w:rPr>
      </w:pPr>
    </w:p>
    <w:p w14:paraId="5AE4553A" w14:textId="7B4D21F6" w:rsidR="008A66CC" w:rsidRDefault="008A66CC" w:rsidP="008A66CC">
      <w:pPr>
        <w:rPr>
          <w:kern w:val="0"/>
          <w14:ligatures w14:val="none"/>
        </w:rPr>
      </w:pPr>
    </w:p>
    <w:p w14:paraId="591CE55C" w14:textId="77777777" w:rsidR="001220C4" w:rsidRPr="008A66CC" w:rsidRDefault="001220C4" w:rsidP="008A66CC">
      <w:pPr>
        <w:rPr>
          <w:kern w:val="0"/>
          <w14:ligatures w14:val="none"/>
        </w:rPr>
      </w:pPr>
    </w:p>
    <w:p w14:paraId="04A67BF3"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01EDBFA5" w14:textId="77777777" w:rsidR="008A66CC" w:rsidRPr="008A66CC" w:rsidRDefault="008A66CC" w:rsidP="00EA1B10">
      <w:pPr>
        <w:pStyle w:val="Heading1"/>
      </w:pPr>
      <w:bookmarkStart w:id="31" w:name="_Toc130736548"/>
      <w:r w:rsidRPr="008A66CC">
        <w:lastRenderedPageBreak/>
        <w:t>Methods</w:t>
      </w:r>
      <w:bookmarkEnd w:id="31"/>
    </w:p>
    <w:p w14:paraId="18DDD06B"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10916A8C"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35B146E4" w14:textId="77777777" w:rsidR="008A66CC" w:rsidRPr="008A66CC" w:rsidRDefault="008A66CC" w:rsidP="008A66CC">
      <w:pPr>
        <w:rPr>
          <w:kern w:val="0"/>
          <w14:ligatures w14:val="none"/>
        </w:rPr>
      </w:pPr>
      <w:r w:rsidRPr="008A66CC">
        <w:rPr>
          <w:kern w:val="0"/>
          <w14:ligatures w14:val="none"/>
        </w:rPr>
        <w:t>Both the anion exchange membrane (AEM) and proton exchange membrane (PEM) electrolysis technologies are suitable for larger scale electrolysis plants, but the most suitable technology will depend on the specific goals and constraints of the plant. Here are some potential factors for us to consider when deciding between AEM and PEM electrolysis for a large scale plant:</w:t>
      </w:r>
    </w:p>
    <w:p w14:paraId="6CF95DFC" w14:textId="77777777" w:rsidR="008A66CC" w:rsidRPr="008A66CC" w:rsidRDefault="008A66CC" w:rsidP="008A66CC">
      <w:pPr>
        <w:rPr>
          <w:kern w:val="0"/>
          <w14:ligatures w14:val="none"/>
        </w:rPr>
      </w:pPr>
      <w:r w:rsidRPr="008A66CC">
        <w:rPr>
          <w:kern w:val="0"/>
          <w14:ligatures w14:val="none"/>
        </w:rPr>
        <w:t>Efficiency: Both AEM and PEM electrolysis technologies have relatively high efficiencies compared to other electrolysis technologies. AEM electrolysis has an efficiency range of 63-78% on a lower heating value (LHV) basis, while PEM electrolysis has an efficiency range of 53-65% on an LHV basis. However, it is important to critically evaluate the efficiency claims of these technologies, as they may not take into account all relevant factors or be based on idealized conditions.</w:t>
      </w:r>
    </w:p>
    <w:p w14:paraId="35977F7D" w14:textId="77777777" w:rsidR="008A66CC" w:rsidRPr="008A66CC" w:rsidRDefault="008A66CC" w:rsidP="008A66CC">
      <w:pPr>
        <w:rPr>
          <w:kern w:val="0"/>
          <w14:ligatures w14:val="none"/>
        </w:rPr>
      </w:pPr>
      <w:r w:rsidRPr="008A66CC">
        <w:rPr>
          <w:kern w:val="0"/>
          <w14:ligatures w14:val="none"/>
        </w:rPr>
        <w:t>Cost: The cost of AEM and PEM electrolysis can vary depending on factors such as the size of the plant, the source of electricity, and the cost of materials. In general, PEM electrolysis may be less expensive to build and operate than AEM electrolysis due to its simpler design and lower operating temperatures. However, the long-term cost-effectiveness of these technologies will depend on factors such as their efficiency, durability, and maintenance requirements which are yet to be established.</w:t>
      </w:r>
    </w:p>
    <w:p w14:paraId="1002AA77" w14:textId="77777777" w:rsidR="008A66CC" w:rsidRPr="008A66CC" w:rsidRDefault="008A66CC" w:rsidP="008A66CC">
      <w:pPr>
        <w:rPr>
          <w:kern w:val="0"/>
          <w14:ligatures w14:val="none"/>
        </w:rPr>
      </w:pPr>
      <w:r w:rsidRPr="008A66CC">
        <w:rPr>
          <w:kern w:val="0"/>
          <w14:ligatures w14:val="none"/>
        </w:rPr>
        <w:t>Hydrogen pressure: AEM and PEM electrolysis technologies can both produce high-pressure hydrogen, which is beneficial for storage and transportation.</w:t>
      </w:r>
    </w:p>
    <w:p w14:paraId="515258B8" w14:textId="77777777" w:rsidR="008A66CC" w:rsidRPr="008A66CC" w:rsidRDefault="008A66CC" w:rsidP="008A66CC">
      <w:pPr>
        <w:rPr>
          <w:kern w:val="0"/>
          <w14:ligatures w14:val="none"/>
        </w:rPr>
      </w:pPr>
      <w:r w:rsidRPr="008A66CC">
        <w:rPr>
          <w:kern w:val="0"/>
          <w14:ligatures w14:val="none"/>
        </w:rPr>
        <w:t>Hydrogen production rate: AEM and PEM electrolysis technologies can both produce hydrogen at a high rate, but the specific production rate will depend on factors such as the size of the plant, the source of electricity, and the efficiency of the electrolysis process. It may be possible to optimize the production rate of either technology by carefully designing the plant and operating conditions.</w:t>
      </w:r>
    </w:p>
    <w:p w14:paraId="5F225B3D" w14:textId="77777777" w:rsidR="008A66CC" w:rsidRPr="008A66CC" w:rsidRDefault="008A66CC" w:rsidP="008A66CC">
      <w:pPr>
        <w:rPr>
          <w:kern w:val="0"/>
          <w14:ligatures w14:val="none"/>
        </w:rPr>
      </w:pPr>
    </w:p>
    <w:p w14:paraId="44132F8B" w14:textId="77777777" w:rsidR="008A66CC" w:rsidRPr="008A66CC" w:rsidRDefault="008A66CC" w:rsidP="00FF22F0">
      <w:pPr>
        <w:pStyle w:val="Heading2"/>
      </w:pPr>
      <w:bookmarkStart w:id="32" w:name="_Toc130736549"/>
      <w:r w:rsidRPr="008A66CC">
        <w:t>PIONEER Project</w:t>
      </w:r>
      <w:bookmarkEnd w:id="32"/>
    </w:p>
    <w:p w14:paraId="2F13AF0E" w14:textId="77777777" w:rsidR="008A66CC" w:rsidRPr="008A66CC" w:rsidRDefault="008A66CC" w:rsidP="008A66CC">
      <w:pPr>
        <w:spacing w:after="0" w:line="240" w:lineRule="auto"/>
        <w:rPr>
          <w:rFonts w:ascii="Times New Roman" w:hAnsi="Times New Roman" w:cs="Times New Roman"/>
          <w:kern w:val="0"/>
          <w:sz w:val="20"/>
          <w:szCs w:val="20"/>
          <w14:ligatures w14:val="none"/>
        </w:rPr>
      </w:pPr>
    </w:p>
    <w:p w14:paraId="212F7179" w14:textId="77777777" w:rsidR="008A66CC" w:rsidRPr="008A66CC" w:rsidRDefault="008A66CC" w:rsidP="008A66CC">
      <w:pPr>
        <w:rPr>
          <w:kern w:val="0"/>
          <w14:ligatures w14:val="none"/>
        </w:rPr>
      </w:pPr>
      <w:r w:rsidRPr="008A66CC">
        <w:rPr>
          <w:kern w:val="0"/>
          <w14:ligatures w14:val="none"/>
        </w:rPr>
        <w:t xml:space="preserve">My current role within Protium is to develop and commission the Pioneer project, which involves the deployment of a 100kw AEM electrolysis system in South Wales for the production of hydrogen. As part of its digital strategy, current plans are underway to build a digital twin of the Pioneer system to increase efficiency, optimize operations, improve asset management, enhance productivity and safety, and in turn reduce costs. </w:t>
      </w:r>
    </w:p>
    <w:p w14:paraId="6DC0C0CD" w14:textId="3B52D416" w:rsidR="008A66CC" w:rsidRPr="008A66CC" w:rsidRDefault="008A66CC" w:rsidP="008A66CC">
      <w:pPr>
        <w:rPr>
          <w:kern w:val="0"/>
          <w14:ligatures w14:val="none"/>
        </w:rPr>
      </w:pPr>
      <w:r w:rsidRPr="008A66CC">
        <w:rPr>
          <w:kern w:val="0"/>
          <w14:ligatures w14:val="none"/>
        </w:rPr>
        <w:t>The Pioneer project involves the use of 40 Enapter EL 2.1 units to generate approximately 45 kg/day of electrolytic hydrogen at a pressure of up to 450 bar Figure xxx.  In the initial phase, a low-pressure buffer storage will consist of four manifolded manifold cylinder pallets (MCP’s) with a total capacity of 3,200 litres. The hydrogen will be produced from grid power, with the potential to integrate solar power in the future to generate green hydrogen. The electrolysis system consists of an electrolysis container with 40 Enapter 2.1 LC electrolysis units and eight Enapter 2.1 dryer modules. Each 2.4 kW AEM module produces around 1 kg/day of hydrogen at a pressure of 35 bar. The system also includes a reverse osmosis system for water filtration and deionization, and a packaged chiller for cooling. The system can be connected to buffer storage through an externally mounted manifold panel and uses a reciprocating compressor to compress hydrogen into the storage system at a maximum rate of 2 kg/hr. The system is operated and monitored through an app and includes safety features such as safety valves and ATEX-rated fans.</w:t>
      </w:r>
    </w:p>
    <w:p w14:paraId="16B179E0" w14:textId="77777777" w:rsidR="008A66CC" w:rsidRPr="008A66CC" w:rsidRDefault="008A66CC" w:rsidP="008A66CC">
      <w:pPr>
        <w:rPr>
          <w:kern w:val="0"/>
          <w14:ligatures w14:val="none"/>
        </w:rPr>
      </w:pPr>
      <w:r w:rsidRPr="008A66CC">
        <w:rPr>
          <w:rFonts w:ascii="Times New Roman" w:eastAsia="Times New Roman" w:hAnsi="Times New Roman" w:cs="Times New Roman"/>
          <w:noProof/>
          <w:kern w:val="0"/>
          <w:sz w:val="20"/>
          <w:szCs w:val="20"/>
          <w:lang w:eastAsia="en-GB"/>
          <w14:ligatures w14:val="none"/>
        </w:rPr>
        <w:lastRenderedPageBreak/>
        <w:drawing>
          <wp:inline distT="0" distB="0" distL="0" distR="0" wp14:anchorId="0EE48919" wp14:editId="706C4485">
            <wp:extent cx="5731510" cy="1636395"/>
            <wp:effectExtent l="0" t="0" r="2540" b="1905"/>
            <wp:docPr id="13" name="Picture 13" descr="Box and whiske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Box and whisker chart&#10;&#10;Description automatically generated with medium confidence"/>
                    <pic:cNvPicPr/>
                  </pic:nvPicPr>
                  <pic:blipFill>
                    <a:blip r:embed="rId14"/>
                    <a:stretch>
                      <a:fillRect/>
                    </a:stretch>
                  </pic:blipFill>
                  <pic:spPr>
                    <a:xfrm>
                      <a:off x="0" y="0"/>
                      <a:ext cx="5731510" cy="1636395"/>
                    </a:xfrm>
                    <a:prstGeom prst="rect">
                      <a:avLst/>
                    </a:prstGeom>
                  </pic:spPr>
                </pic:pic>
              </a:graphicData>
            </a:graphic>
          </wp:inline>
        </w:drawing>
      </w:r>
    </w:p>
    <w:p w14:paraId="319D5487" w14:textId="77777777" w:rsidR="008A66CC" w:rsidRPr="008A66CC" w:rsidRDefault="008A66CC" w:rsidP="00FF22F0">
      <w:pPr>
        <w:pStyle w:val="Heading4"/>
      </w:pPr>
      <w:bookmarkStart w:id="33" w:name="_Toc130129823"/>
      <w:bookmarkStart w:id="34" w:name="_Toc130137119"/>
      <w:bookmarkStart w:id="35" w:name="_Toc130652799"/>
      <w:r w:rsidRPr="008A66CC">
        <w:t>Figure 7. Pioneer Project</w:t>
      </w:r>
      <w:bookmarkEnd w:id="33"/>
      <w:bookmarkEnd w:id="34"/>
      <w:bookmarkEnd w:id="35"/>
    </w:p>
    <w:p w14:paraId="7BC083D3" w14:textId="77777777" w:rsidR="008A66CC" w:rsidRPr="008A66CC" w:rsidRDefault="008A66CC" w:rsidP="008A66CC">
      <w:pPr>
        <w:rPr>
          <w:kern w:val="0"/>
          <w14:ligatures w14:val="none"/>
        </w:rPr>
      </w:pPr>
      <w:r w:rsidRPr="008A66CC">
        <w:rPr>
          <w:kern w:val="0"/>
          <w14:ligatures w14:val="none"/>
        </w:rPr>
        <w:t xml:space="preserve">The main goal of the Digital Twin development project for Protium's Pioneer system is to increase the overall system efficiency, I am currently working with Siemens to generate the optimization operations model, this will improve the asset management, the systems productivity, and safety, helping to achieve cost savings. This will be done through the construction of a model of the key process unit operations Fig 7. including the electrolyser package (100 kW), hydrogen buffer storage (35 bar), hydrogen compressor (35-450 bar), and valves. The constructed model will enable me to optimize the system for minimal start/stop cycles, minimal energy costs, optimization of production schedules, optimal electrolyser running profile, and maximization of overall system efficiency. The model will also allow me to optimize the filling time for the hydrogen buffer storage, the correct sensors will be identified and installed to provide real-time operational data. The model can be validated and integrated with this data, and I can create a customized dashboard through the </w:t>
      </w:r>
      <w:proofErr w:type="spellStart"/>
      <w:r w:rsidRPr="008A66CC">
        <w:rPr>
          <w:kern w:val="0"/>
          <w14:ligatures w14:val="none"/>
        </w:rPr>
        <w:t>Aveva</w:t>
      </w:r>
      <w:proofErr w:type="spellEnd"/>
      <w:r w:rsidRPr="008A66CC">
        <w:rPr>
          <w:kern w:val="0"/>
          <w14:ligatures w14:val="none"/>
        </w:rPr>
        <w:t xml:space="preserve"> digital twin software to monitor the various system parameters, including current hydrogen production, energy and water usage, system efficiency, CO</w:t>
      </w:r>
      <w:r w:rsidRPr="005A25E6">
        <w:rPr>
          <w:kern w:val="0"/>
          <w:vertAlign w:val="subscript"/>
          <w14:ligatures w14:val="none"/>
        </w:rPr>
        <w:t xml:space="preserve">2 </w:t>
      </w:r>
      <w:r w:rsidRPr="008A66CC">
        <w:rPr>
          <w:kern w:val="0"/>
          <w14:ligatures w14:val="none"/>
        </w:rPr>
        <w:t>emissions, and more. Predictive maintenance alerts and forecasting of future unit outputs will also be included. This data will allow me to forecast efficiency of future small and large-scale facilities.</w:t>
      </w:r>
    </w:p>
    <w:p w14:paraId="238E2C1E" w14:textId="77777777" w:rsidR="008A66CC" w:rsidRPr="008A66CC" w:rsidRDefault="008A66CC" w:rsidP="008A66CC">
      <w:pPr>
        <w:rPr>
          <w:kern w:val="0"/>
          <w14:ligatures w14:val="none"/>
        </w:rPr>
      </w:pPr>
      <w:r w:rsidRPr="008A66CC">
        <w:rPr>
          <w:kern w:val="0"/>
          <w14:ligatures w14:val="none"/>
        </w:rPr>
        <w:t>A demonstration of the digital twins effectiveness to increase efficiency of the plant and its optimisation and flexibility has been produced Figure 8. and Figure 9. for comparison below.</w:t>
      </w:r>
    </w:p>
    <w:p w14:paraId="203F351F" w14:textId="77777777" w:rsidR="008A66CC" w:rsidRPr="008A66CC" w:rsidRDefault="008A66CC" w:rsidP="008A66CC">
      <w:pPr>
        <w:jc w:val="center"/>
        <w:rPr>
          <w:noProof/>
          <w:kern w:val="0"/>
          <w14:ligatures w14:val="none"/>
        </w:rPr>
      </w:pPr>
      <w:r w:rsidRPr="008A66CC">
        <w:rPr>
          <w:noProof/>
          <w:kern w:val="0"/>
          <w14:ligatures w14:val="none"/>
        </w:rPr>
        <w:drawing>
          <wp:inline distT="0" distB="0" distL="0" distR="0" wp14:anchorId="048D8440" wp14:editId="44174E50">
            <wp:extent cx="4323522" cy="2745511"/>
            <wp:effectExtent l="0" t="0" r="1270" b="0"/>
            <wp:docPr id="11" name="Picture 1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low confidence"/>
                    <pic:cNvPicPr>
                      <a:picLocks noChangeAspect="1" noChangeArrowheads="1"/>
                    </pic:cNvPicPr>
                  </pic:nvPicPr>
                  <pic:blipFill rotWithShape="1">
                    <a:blip r:embed="rId15">
                      <a:extLst>
                        <a:ext uri="{28A0092B-C50C-407E-A947-70E740481C1C}">
                          <a14:useLocalDpi xmlns:a14="http://schemas.microsoft.com/office/drawing/2010/main" val="0"/>
                        </a:ext>
                      </a:extLst>
                    </a:blip>
                    <a:srcRect t="8186" b="11820"/>
                    <a:stretch/>
                  </pic:blipFill>
                  <pic:spPr bwMode="auto">
                    <a:xfrm>
                      <a:off x="0" y="0"/>
                      <a:ext cx="4328280" cy="2748532"/>
                    </a:xfrm>
                    <a:prstGeom prst="rect">
                      <a:avLst/>
                    </a:prstGeom>
                    <a:noFill/>
                    <a:ln>
                      <a:noFill/>
                    </a:ln>
                    <a:extLst>
                      <a:ext uri="{53640926-AAD7-44D8-BBD7-CCE9431645EC}">
                        <a14:shadowObscured xmlns:a14="http://schemas.microsoft.com/office/drawing/2010/main"/>
                      </a:ext>
                    </a:extLst>
                  </pic:spPr>
                </pic:pic>
              </a:graphicData>
            </a:graphic>
          </wp:inline>
        </w:drawing>
      </w:r>
    </w:p>
    <w:p w14:paraId="33E59EE9" w14:textId="77777777" w:rsidR="008A66CC" w:rsidRPr="008A66CC" w:rsidRDefault="008A66CC" w:rsidP="00FF22F0">
      <w:pPr>
        <w:pStyle w:val="Heading4"/>
      </w:pPr>
      <w:bookmarkStart w:id="36" w:name="_Toc130129824"/>
      <w:bookmarkStart w:id="37" w:name="_Toc130137120"/>
      <w:bookmarkStart w:id="38" w:name="_Toc130652800"/>
      <w:r w:rsidRPr="008A66CC">
        <w:t>Figure 8. System Optimisation with Full-Stack shut down.</w:t>
      </w:r>
      <w:bookmarkEnd w:id="36"/>
      <w:bookmarkEnd w:id="37"/>
      <w:bookmarkEnd w:id="38"/>
    </w:p>
    <w:p w14:paraId="0B0E1069" w14:textId="77777777" w:rsidR="008A66CC" w:rsidRPr="008A66CC" w:rsidRDefault="008A66CC" w:rsidP="008A66CC">
      <w:pPr>
        <w:spacing w:after="0" w:line="240" w:lineRule="auto"/>
        <w:jc w:val="center"/>
        <w:rPr>
          <w:kern w:val="0"/>
          <w14:ligatures w14:val="none"/>
        </w:rPr>
      </w:pPr>
    </w:p>
    <w:p w14:paraId="359855BA" w14:textId="6E01DA8A" w:rsidR="008A66CC" w:rsidRPr="008A66CC" w:rsidRDefault="008A66CC" w:rsidP="008A66CC">
      <w:pPr>
        <w:spacing w:after="0" w:line="240" w:lineRule="auto"/>
        <w:rPr>
          <w:kern w:val="0"/>
          <w14:ligatures w14:val="none"/>
        </w:rPr>
      </w:pPr>
      <w:r w:rsidRPr="008A66CC">
        <w:rPr>
          <w:kern w:val="0"/>
          <w14:ligatures w14:val="none"/>
        </w:rPr>
        <w:lastRenderedPageBreak/>
        <w:t xml:space="preserve">This Level of load flexibility Fig 8. takes maximum advantage of production at low electricity </w:t>
      </w:r>
      <w:r w:rsidR="00F624E1" w:rsidRPr="008A66CC">
        <w:rPr>
          <w:kern w:val="0"/>
          <w14:ligatures w14:val="none"/>
        </w:rPr>
        <w:t>prices but</w:t>
      </w:r>
      <w:r w:rsidRPr="008A66CC">
        <w:rPr>
          <w:kern w:val="0"/>
          <w14:ligatures w14:val="none"/>
        </w:rPr>
        <w:t xml:space="preserve"> requires significant start up and shut down of stacks.</w:t>
      </w:r>
    </w:p>
    <w:p w14:paraId="301D8249" w14:textId="77777777" w:rsidR="008A66CC" w:rsidRPr="008A66CC" w:rsidRDefault="008A66CC" w:rsidP="008A66CC">
      <w:pPr>
        <w:rPr>
          <w:kern w:val="0"/>
          <w14:ligatures w14:val="none"/>
        </w:rPr>
      </w:pPr>
    </w:p>
    <w:p w14:paraId="771BE975" w14:textId="77777777" w:rsidR="008A66CC" w:rsidRPr="008A66CC" w:rsidRDefault="008A66CC" w:rsidP="008A66CC">
      <w:pPr>
        <w:rPr>
          <w:kern w:val="0"/>
          <w14:ligatures w14:val="none"/>
        </w:rPr>
      </w:pPr>
    </w:p>
    <w:p w14:paraId="04D81D87" w14:textId="77777777" w:rsidR="008A66CC" w:rsidRPr="008A66CC" w:rsidRDefault="008A66CC" w:rsidP="008A66CC">
      <w:pPr>
        <w:jc w:val="center"/>
        <w:rPr>
          <w:kern w:val="0"/>
          <w14:ligatures w14:val="none"/>
        </w:rPr>
      </w:pPr>
      <w:r w:rsidRPr="008A66CC">
        <w:rPr>
          <w:rFonts w:ascii="Times New Roman" w:eastAsia="Times New Roman" w:hAnsi="Times New Roman" w:cs="Times New Roman"/>
          <w:noProof/>
          <w:kern w:val="0"/>
          <w:sz w:val="20"/>
          <w:szCs w:val="20"/>
          <w:lang w:eastAsia="en-GB"/>
          <w14:ligatures w14:val="none"/>
        </w:rPr>
        <w:drawing>
          <wp:inline distT="0" distB="0" distL="0" distR="0" wp14:anchorId="4D241C58" wp14:editId="7D60282B">
            <wp:extent cx="4535661" cy="2931547"/>
            <wp:effectExtent l="0" t="0" r="0" b="2540"/>
            <wp:docPr id="8" name="Picture 8"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low confidence"/>
                    <pic:cNvPicPr/>
                  </pic:nvPicPr>
                  <pic:blipFill rotWithShape="1">
                    <a:blip r:embed="rId16"/>
                    <a:srcRect t="7227" b="14849"/>
                    <a:stretch/>
                  </pic:blipFill>
                  <pic:spPr bwMode="auto">
                    <a:xfrm>
                      <a:off x="0" y="0"/>
                      <a:ext cx="4551237" cy="2941614"/>
                    </a:xfrm>
                    <a:prstGeom prst="rect">
                      <a:avLst/>
                    </a:prstGeom>
                    <a:ln>
                      <a:noFill/>
                    </a:ln>
                    <a:extLst>
                      <a:ext uri="{53640926-AAD7-44D8-BBD7-CCE9431645EC}">
                        <a14:shadowObscured xmlns:a14="http://schemas.microsoft.com/office/drawing/2010/main"/>
                      </a:ext>
                    </a:extLst>
                  </pic:spPr>
                </pic:pic>
              </a:graphicData>
            </a:graphic>
          </wp:inline>
        </w:drawing>
      </w:r>
    </w:p>
    <w:p w14:paraId="71F1666F" w14:textId="77777777" w:rsidR="008A66CC" w:rsidRPr="008A66CC" w:rsidRDefault="008A66CC" w:rsidP="008A66CC">
      <w:pPr>
        <w:rPr>
          <w:kern w:val="0"/>
          <w14:ligatures w14:val="none"/>
        </w:rPr>
      </w:pPr>
    </w:p>
    <w:p w14:paraId="54F39879" w14:textId="77777777" w:rsidR="008A66CC" w:rsidRPr="008A66CC" w:rsidRDefault="008A66CC" w:rsidP="00FF22F0">
      <w:pPr>
        <w:pStyle w:val="Heading4"/>
      </w:pPr>
      <w:bookmarkStart w:id="39" w:name="_Toc130129825"/>
      <w:bookmarkStart w:id="40" w:name="_Toc130137121"/>
      <w:bookmarkStart w:id="41" w:name="_Toc130652801"/>
      <w:r w:rsidRPr="008A66CC">
        <w:t>Figure 9. Optimisation with Semi-Stack shut down.</w:t>
      </w:r>
      <w:bookmarkEnd w:id="39"/>
      <w:bookmarkEnd w:id="40"/>
      <w:bookmarkEnd w:id="41"/>
    </w:p>
    <w:p w14:paraId="202D4661" w14:textId="77777777" w:rsidR="008A66CC" w:rsidRPr="008A66CC" w:rsidRDefault="008A66CC" w:rsidP="008A66CC">
      <w:pPr>
        <w:rPr>
          <w:kern w:val="0"/>
          <w14:ligatures w14:val="none"/>
        </w:rPr>
      </w:pPr>
      <w:r w:rsidRPr="008A66CC">
        <w:rPr>
          <w:kern w:val="0"/>
          <w14:ligatures w14:val="none"/>
        </w:rPr>
        <w:t>This scenario Fig 9.  achieves lower system load by keeping some stacks off for the whole day, which has less flexibility to take advantage of electricity pricing but avoids total shut down of system.</w:t>
      </w:r>
    </w:p>
    <w:p w14:paraId="03F1CAB6" w14:textId="77777777" w:rsidR="008A66CC" w:rsidRPr="008A66CC" w:rsidRDefault="008A66CC" w:rsidP="008A66CC">
      <w:pPr>
        <w:rPr>
          <w:kern w:val="0"/>
          <w14:ligatures w14:val="none"/>
        </w:rPr>
      </w:pPr>
    </w:p>
    <w:p w14:paraId="6DFA68ED" w14:textId="77777777" w:rsidR="008A66CC" w:rsidRPr="008A66CC" w:rsidRDefault="008A66CC" w:rsidP="008A66CC">
      <w:pPr>
        <w:rPr>
          <w:kern w:val="0"/>
          <w14:ligatures w14:val="none"/>
        </w:rPr>
      </w:pPr>
      <w:r w:rsidRPr="008A66CC">
        <w:rPr>
          <w:kern w:val="0"/>
          <w14:ligatures w14:val="none"/>
        </w:rPr>
        <w:t>The optimisation approach can be configured by user inputs of hourly electricity price profiles and daily Hydrogen demand which can be optimised by the systems Load profile over time and the number of stacks to be shut down at each time interval (which has a cost implication).</w:t>
      </w:r>
    </w:p>
    <w:p w14:paraId="3A9850DF" w14:textId="77777777" w:rsidR="008A66CC" w:rsidRPr="008A66CC" w:rsidRDefault="008A66CC" w:rsidP="008A66CC">
      <w:pPr>
        <w:rPr>
          <w:kern w:val="0"/>
          <w14:ligatures w14:val="none"/>
        </w:rPr>
      </w:pPr>
      <w:r w:rsidRPr="008A66CC">
        <w:rPr>
          <w:kern w:val="0"/>
          <w14:ligatures w14:val="none"/>
        </w:rPr>
        <w:t>Cost of system can then be calculated by</w:t>
      </w:r>
    </w:p>
    <w:p w14:paraId="00634FC3" w14:textId="77777777" w:rsidR="008A66CC" w:rsidRPr="008A66CC" w:rsidRDefault="008A66CC" w:rsidP="008A66CC">
      <w:pPr>
        <w:rPr>
          <w:kern w:val="0"/>
          <w14:ligatures w14:val="none"/>
        </w:rPr>
      </w:pPr>
      <w:r w:rsidRPr="008A66CC">
        <w:rPr>
          <w:kern w:val="0"/>
          <w14:ligatures w14:val="none"/>
        </w:rPr>
        <w:t>Cost of running the system (power consumption x electricity price) + cost penalty for shutting down stacks</w:t>
      </w:r>
    </w:p>
    <w:p w14:paraId="7CF789A8" w14:textId="77777777" w:rsidR="008A66CC" w:rsidRPr="008A66CC" w:rsidRDefault="008A66CC" w:rsidP="008A66CC">
      <w:pPr>
        <w:spacing w:after="0" w:line="240" w:lineRule="auto"/>
        <w:rPr>
          <w:rFonts w:ascii="Times New Roman" w:hAnsi="Times New Roman" w:cs="Times New Roman"/>
          <w:kern w:val="0"/>
          <w:sz w:val="20"/>
          <w:szCs w:val="20"/>
          <w14:ligatures w14:val="none"/>
        </w:rPr>
      </w:pPr>
    </w:p>
    <w:p w14:paraId="3F68FD7A" w14:textId="77777777" w:rsidR="008A66CC" w:rsidRPr="008A66CC" w:rsidRDefault="008A66CC" w:rsidP="008A66CC">
      <w:pPr>
        <w:rPr>
          <w:noProof/>
          <w:kern w:val="0"/>
          <w14:ligatures w14:val="none"/>
        </w:rPr>
      </w:pPr>
    </w:p>
    <w:p w14:paraId="39D0F488" w14:textId="77777777" w:rsidR="008A66CC" w:rsidRPr="008A66CC" w:rsidRDefault="008A66CC" w:rsidP="008A66CC">
      <w:pPr>
        <w:rPr>
          <w:noProof/>
          <w:kern w:val="0"/>
          <w14:ligatures w14:val="none"/>
        </w:rPr>
      </w:pPr>
    </w:p>
    <w:p w14:paraId="2041DCA0" w14:textId="77777777" w:rsidR="008A66CC" w:rsidRPr="008A66CC" w:rsidRDefault="008A66CC" w:rsidP="008A66CC">
      <w:pPr>
        <w:rPr>
          <w:noProof/>
          <w:kern w:val="0"/>
          <w14:ligatures w14:val="none"/>
        </w:rPr>
      </w:pPr>
    </w:p>
    <w:p w14:paraId="19B9AA16" w14:textId="502C00AD" w:rsidR="008A66CC" w:rsidRDefault="008A66CC" w:rsidP="008A66CC">
      <w:pPr>
        <w:rPr>
          <w:noProof/>
          <w:kern w:val="0"/>
          <w14:ligatures w14:val="none"/>
        </w:rPr>
      </w:pPr>
    </w:p>
    <w:p w14:paraId="4322BDD9" w14:textId="77777777" w:rsidR="00A06F62" w:rsidRPr="008A66CC" w:rsidRDefault="00A06F62" w:rsidP="008A66CC">
      <w:pPr>
        <w:rPr>
          <w:noProof/>
          <w:kern w:val="0"/>
          <w14:ligatures w14:val="none"/>
        </w:rPr>
      </w:pPr>
    </w:p>
    <w:p w14:paraId="02BEDE2B" w14:textId="77777777" w:rsidR="008A66CC" w:rsidRPr="008A66CC" w:rsidRDefault="008A66CC" w:rsidP="008A66CC">
      <w:pPr>
        <w:rPr>
          <w:noProof/>
          <w:kern w:val="0"/>
          <w14:ligatures w14:val="none"/>
        </w:rPr>
      </w:pPr>
    </w:p>
    <w:p w14:paraId="6F5DD8BB" w14:textId="77777777" w:rsidR="008A66CC" w:rsidRPr="008A66CC" w:rsidRDefault="008A66CC" w:rsidP="008A66CC">
      <w:pPr>
        <w:rPr>
          <w:kern w:val="0"/>
          <w14:ligatures w14:val="none"/>
        </w:rPr>
      </w:pPr>
    </w:p>
    <w:p w14:paraId="7E507837" w14:textId="77777777" w:rsidR="008A66CC" w:rsidRPr="008A66CC" w:rsidRDefault="008A66CC" w:rsidP="00FF22F0">
      <w:pPr>
        <w:pStyle w:val="Heading2"/>
      </w:pPr>
      <w:bookmarkStart w:id="42" w:name="_Toc130736550"/>
      <w:r w:rsidRPr="008A66CC">
        <w:lastRenderedPageBreak/>
        <w:t>HEART Project</w:t>
      </w:r>
      <w:bookmarkEnd w:id="42"/>
    </w:p>
    <w:p w14:paraId="7020D7AE" w14:textId="77777777" w:rsidR="008A66CC" w:rsidRPr="008A66CC" w:rsidRDefault="008A66CC" w:rsidP="008A66CC">
      <w:pPr>
        <w:spacing w:after="0" w:line="240" w:lineRule="auto"/>
        <w:rPr>
          <w:rFonts w:ascii="Times New Roman" w:hAnsi="Times New Roman" w:cs="Times New Roman"/>
          <w:kern w:val="0"/>
          <w:sz w:val="20"/>
          <w:szCs w:val="20"/>
          <w14:ligatures w14:val="none"/>
        </w:rPr>
      </w:pPr>
    </w:p>
    <w:p w14:paraId="36FF183C" w14:textId="2650BAFC" w:rsidR="008A66CC" w:rsidRPr="008A66CC" w:rsidRDefault="008A66CC" w:rsidP="008A66CC">
      <w:pPr>
        <w:rPr>
          <w:kern w:val="0"/>
          <w14:ligatures w14:val="none"/>
        </w:rPr>
      </w:pPr>
      <w:r w:rsidRPr="008A66CC">
        <w:rPr>
          <w:kern w:val="0"/>
          <w14:ligatures w14:val="none"/>
        </w:rPr>
        <w:t xml:space="preserve">Another Project I am working on with Protium is also underway, I am considering using either a proton exchange membrane (PEM) or an alkaline electrolyser for the Hydrogen electric and automated regional transportation </w:t>
      </w:r>
      <w:r w:rsidR="000B5D19" w:rsidRPr="008A66CC">
        <w:rPr>
          <w:kern w:val="0"/>
          <w14:ligatures w14:val="none"/>
        </w:rPr>
        <w:t>project (</w:t>
      </w:r>
      <w:r w:rsidRPr="008A66CC">
        <w:rPr>
          <w:kern w:val="0"/>
          <w14:ligatures w14:val="none"/>
        </w:rPr>
        <w:t xml:space="preserve">HEART project) in South Wales. The decision will be based on the efficiency, maintenance, and digital twin data analysis of the Pioneer project, for which a digital twin will also be created to study efficiency of the HEART project. One option is the </w:t>
      </w:r>
      <w:proofErr w:type="spellStart"/>
      <w:r w:rsidRPr="008A66CC">
        <w:rPr>
          <w:kern w:val="0"/>
          <w14:ligatures w14:val="none"/>
        </w:rPr>
        <w:t>HyProvide</w:t>
      </w:r>
      <w:proofErr w:type="spellEnd"/>
      <w:r w:rsidRPr="008A66CC">
        <w:rPr>
          <w:kern w:val="0"/>
          <w14:ligatures w14:val="none"/>
        </w:rPr>
        <w:t xml:space="preserve"> A-Series hydrogen production system that uses alkaline electrolysis technology. It is available in modular configurations for efficient, versatile, and scalable operation and is designed to handle input fluctuations from renewable energy sources. The system is known for its high output, low power consumption, and pure and dry hydrogen supplied at 28 bar. The technology behind the </w:t>
      </w:r>
      <w:proofErr w:type="spellStart"/>
      <w:r w:rsidRPr="008A66CC">
        <w:rPr>
          <w:kern w:val="0"/>
          <w14:ligatures w14:val="none"/>
        </w:rPr>
        <w:t>HyProvide</w:t>
      </w:r>
      <w:proofErr w:type="spellEnd"/>
      <w:r w:rsidRPr="008A66CC">
        <w:rPr>
          <w:kern w:val="0"/>
          <w14:ligatures w14:val="none"/>
        </w:rPr>
        <w:t xml:space="preserve"> A-Series is based on a decade of research and development and has proven to be cost-competitive. It can be used for standalone operation or clustered for larger volumes of green hydrogen production at a multi-MW scale. The efficiency of the </w:t>
      </w:r>
      <w:proofErr w:type="spellStart"/>
      <w:r w:rsidRPr="008A66CC">
        <w:rPr>
          <w:kern w:val="0"/>
          <w14:ligatures w14:val="none"/>
        </w:rPr>
        <w:t>HyProvide</w:t>
      </w:r>
      <w:proofErr w:type="spellEnd"/>
      <w:r w:rsidRPr="008A66CC">
        <w:rPr>
          <w:kern w:val="0"/>
          <w14:ligatures w14:val="none"/>
        </w:rPr>
        <w:t xml:space="preserve"> A-Series varies based on factors such as temperature and load. The table below in Figure 10. shows the beginning of life efficiencies at different load levels for the cell stack and stack power supply </w:t>
      </w:r>
      <w:sdt>
        <w:sdtPr>
          <w:rPr>
            <w:kern w:val="0"/>
            <w14:ligatures w14:val="none"/>
          </w:rPr>
          <w:id w:val="1956134198"/>
          <w:citation/>
        </w:sdtPr>
        <w:sdtContent>
          <w:r w:rsidRPr="008A66CC">
            <w:rPr>
              <w:kern w:val="0"/>
              <w14:ligatures w14:val="none"/>
            </w:rPr>
            <w:fldChar w:fldCharType="begin"/>
          </w:r>
          <w:r w:rsidRPr="008A66CC">
            <w:rPr>
              <w:kern w:val="0"/>
              <w14:ligatures w14:val="none"/>
            </w:rPr>
            <w:instrText xml:space="preserve"> CITATION Gre23 \l 2057 </w:instrText>
          </w:r>
          <w:r w:rsidRPr="008A66CC">
            <w:rPr>
              <w:kern w:val="0"/>
              <w14:ligatures w14:val="none"/>
            </w:rPr>
            <w:fldChar w:fldCharType="separate"/>
          </w:r>
          <w:r w:rsidRPr="008A66CC">
            <w:rPr>
              <w:noProof/>
              <w:kern w:val="0"/>
              <w14:ligatures w14:val="none"/>
            </w:rPr>
            <w:t>(Green Hydrogen Systems, 2023)</w:t>
          </w:r>
          <w:r w:rsidRPr="008A66CC">
            <w:rPr>
              <w:kern w:val="0"/>
              <w14:ligatures w14:val="none"/>
            </w:rPr>
            <w:fldChar w:fldCharType="end"/>
          </w:r>
        </w:sdtContent>
      </w:sdt>
      <w:r w:rsidRPr="008A66CC">
        <w:rPr>
          <w:kern w:val="0"/>
          <w14:ligatures w14:val="none"/>
        </w:rPr>
        <w:t>.</w:t>
      </w:r>
    </w:p>
    <w:p w14:paraId="73519088" w14:textId="77777777" w:rsidR="008A66CC" w:rsidRPr="008A66CC" w:rsidRDefault="008A66CC" w:rsidP="008A66CC">
      <w:pPr>
        <w:rPr>
          <w:kern w:val="0"/>
          <w14:ligatures w14:val="none"/>
        </w:rPr>
      </w:pPr>
      <w:r w:rsidRPr="008A66CC">
        <w:rPr>
          <w:kern w:val="0"/>
          <w14:ligatures w14:val="none"/>
        </w:rPr>
        <w:t xml:space="preserve"> </w:t>
      </w:r>
    </w:p>
    <w:p w14:paraId="1B22B056" w14:textId="77777777" w:rsidR="008A66CC" w:rsidRPr="008A66CC" w:rsidRDefault="008A66CC" w:rsidP="008A66CC">
      <w:pPr>
        <w:rPr>
          <w:kern w:val="0"/>
          <w14:ligatures w14:val="none"/>
        </w:rPr>
      </w:pPr>
    </w:p>
    <w:p w14:paraId="1CD3A1B2" w14:textId="77777777" w:rsidR="008A66CC" w:rsidRPr="008A66CC" w:rsidRDefault="008A66CC" w:rsidP="008A66CC">
      <w:pPr>
        <w:rPr>
          <w:kern w:val="0"/>
          <w14:ligatures w14:val="none"/>
        </w:rPr>
      </w:pPr>
      <w:r w:rsidRPr="008A66CC">
        <w:rPr>
          <w:rFonts w:ascii="Times New Roman" w:eastAsia="Times New Roman" w:hAnsi="Times New Roman" w:cs="Times New Roman"/>
          <w:noProof/>
          <w:kern w:val="0"/>
          <w:sz w:val="20"/>
          <w:szCs w:val="20"/>
          <w:lang w:eastAsia="en-GB"/>
          <w14:ligatures w14:val="none"/>
        </w:rPr>
        <w:drawing>
          <wp:inline distT="0" distB="0" distL="0" distR="0" wp14:anchorId="6CF1EF68" wp14:editId="187A574E">
            <wp:extent cx="5731510" cy="1976755"/>
            <wp:effectExtent l="0" t="0" r="2540" b="444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17"/>
                    <a:stretch>
                      <a:fillRect/>
                    </a:stretch>
                  </pic:blipFill>
                  <pic:spPr>
                    <a:xfrm>
                      <a:off x="0" y="0"/>
                      <a:ext cx="5731510" cy="1976755"/>
                    </a:xfrm>
                    <a:prstGeom prst="rect">
                      <a:avLst/>
                    </a:prstGeom>
                  </pic:spPr>
                </pic:pic>
              </a:graphicData>
            </a:graphic>
          </wp:inline>
        </w:drawing>
      </w:r>
    </w:p>
    <w:p w14:paraId="7DEEE3F4" w14:textId="77777777" w:rsidR="008A66CC" w:rsidRPr="008A66CC" w:rsidRDefault="008A66CC" w:rsidP="00FF22F0">
      <w:pPr>
        <w:pStyle w:val="Heading4"/>
      </w:pPr>
      <w:bookmarkStart w:id="43" w:name="_Toc130129826"/>
      <w:bookmarkStart w:id="44" w:name="_Toc130137122"/>
      <w:bookmarkStart w:id="45" w:name="_Toc130652802"/>
      <w:r w:rsidRPr="008A66CC">
        <w:t xml:space="preserve">Figure 10. The efficiency of the </w:t>
      </w:r>
      <w:proofErr w:type="spellStart"/>
      <w:r w:rsidRPr="008A66CC">
        <w:t>HyProvide</w:t>
      </w:r>
      <w:proofErr w:type="spellEnd"/>
      <w:r w:rsidRPr="008A66CC">
        <w:t xml:space="preserve"> A-Series</w:t>
      </w:r>
      <w:bookmarkEnd w:id="43"/>
      <w:bookmarkEnd w:id="44"/>
      <w:bookmarkEnd w:id="45"/>
      <w:r w:rsidRPr="008A66CC">
        <w:t xml:space="preserve"> </w:t>
      </w:r>
    </w:p>
    <w:p w14:paraId="50AC13FB"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74876643"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096B0FA1"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6B434D8E"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10033806"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66890655"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31C4E803"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6A057B9A"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6F63ABD8"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5DC462B2"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520B2FCA"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12352C28"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1CEBB0DB"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18EC8F7D"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46495E4A"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07B31959"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7CE02459" w14:textId="77777777" w:rsidR="008A66CC" w:rsidRPr="008A66CC" w:rsidRDefault="008A66CC" w:rsidP="008A66CC">
      <w:pPr>
        <w:spacing w:after="0" w:line="240" w:lineRule="auto"/>
        <w:rPr>
          <w:rFonts w:ascii="Times New Roman" w:eastAsia="Times New Roman" w:hAnsi="Times New Roman" w:cs="Times New Roman"/>
          <w:kern w:val="0"/>
          <w:sz w:val="20"/>
          <w:szCs w:val="20"/>
          <w14:ligatures w14:val="none"/>
        </w:rPr>
      </w:pPr>
    </w:p>
    <w:p w14:paraId="3DDF734D"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40572C50" w14:textId="77777777" w:rsidR="008A66CC" w:rsidRPr="008A66CC" w:rsidRDefault="008A66CC" w:rsidP="00EA1B10">
      <w:pPr>
        <w:pStyle w:val="Heading1"/>
      </w:pPr>
      <w:bookmarkStart w:id="46" w:name="_Toc130736551"/>
      <w:r w:rsidRPr="008A66CC">
        <w:lastRenderedPageBreak/>
        <w:t>Results</w:t>
      </w:r>
      <w:bookmarkEnd w:id="46"/>
    </w:p>
    <w:p w14:paraId="6B4BBCA5"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53910000" w14:textId="77777777" w:rsidR="008A66CC" w:rsidRPr="008A66CC" w:rsidRDefault="008A66CC" w:rsidP="008A66CC">
      <w:pPr>
        <w:rPr>
          <w:kern w:val="0"/>
          <w14:ligatures w14:val="none"/>
        </w:rPr>
      </w:pPr>
      <w:r w:rsidRPr="008A66CC">
        <w:rPr>
          <w:kern w:val="0"/>
          <w14:ligatures w14:val="none"/>
        </w:rPr>
        <w:t>By Using the Digital Twin on both the Pioneer Project and the HEART Project I can fully understand the efficiencies of both technologies, even though the Pioneer will be a 100KW system and HEART will be between 1 and 1.5MW the data I receive will be far greater than the knowledge I currently have on how to optimise the units.</w:t>
      </w:r>
    </w:p>
    <w:p w14:paraId="7CB9D5CA" w14:textId="77777777" w:rsidR="008A66CC" w:rsidRPr="008A66CC" w:rsidRDefault="008A66CC" w:rsidP="008A66CC">
      <w:pPr>
        <w:rPr>
          <w:kern w:val="0"/>
          <w14:ligatures w14:val="none"/>
        </w:rPr>
      </w:pPr>
      <w:r w:rsidRPr="008A66CC">
        <w:rPr>
          <w:kern w:val="0"/>
          <w14:ligatures w14:val="none"/>
        </w:rPr>
        <w:t>Whilst the systems are up and running, operating and maintenance procedures will be put in place and I will be able to log the details of maintenance on the Protium data base, this will enable me to calculate mean time between failures and the data can be analysed and system upgrades can be used to benefit efficiency of plant for the life cycle of all components.</w:t>
      </w:r>
    </w:p>
    <w:p w14:paraId="004BA5C4" w14:textId="77777777" w:rsidR="008A66CC" w:rsidRPr="008A66CC" w:rsidRDefault="008A66CC" w:rsidP="008A66CC">
      <w:pPr>
        <w:rPr>
          <w:kern w:val="0"/>
          <w14:ligatures w14:val="none"/>
        </w:rPr>
      </w:pPr>
      <w:r w:rsidRPr="008A66CC">
        <w:rPr>
          <w:kern w:val="0"/>
          <w14:ligatures w14:val="none"/>
        </w:rPr>
        <w:t>Increasing life cycle will also benefit the efficiency and costs of the plant.</w:t>
      </w:r>
    </w:p>
    <w:p w14:paraId="7122FB95" w14:textId="77777777" w:rsidR="008A66CC" w:rsidRPr="008A66CC" w:rsidRDefault="008A66CC" w:rsidP="008A66CC">
      <w:pPr>
        <w:rPr>
          <w:kern w:val="0"/>
          <w14:ligatures w14:val="none"/>
        </w:rPr>
      </w:pPr>
    </w:p>
    <w:p w14:paraId="661A89D9" w14:textId="77777777" w:rsidR="008A66CC" w:rsidRPr="008A66CC" w:rsidRDefault="008A66CC" w:rsidP="008A66CC">
      <w:pPr>
        <w:rPr>
          <w:kern w:val="0"/>
          <w14:ligatures w14:val="none"/>
        </w:rPr>
      </w:pPr>
      <w:r w:rsidRPr="008A66CC">
        <w:rPr>
          <w:kern w:val="0"/>
          <w14:ligatures w14:val="none"/>
        </w:rPr>
        <w:t>In terms of the overall life cycle of the plant and Hydrogen storage, composite materials may offer some advantages over steel. Composite materials are lighter than steel, which can reduce transportation costs and make installation easier. In addition, composite materials have a longer service life than steel, which can reduce replacement costs and increase the overall efficiency of the plant. However, the long-term durability of composite materials for hydrogen storage is still an area of active research, and further studies are needed to fully evaluate their performance over the long term.</w:t>
      </w:r>
    </w:p>
    <w:p w14:paraId="232748B0" w14:textId="77777777" w:rsidR="008A66CC" w:rsidRPr="008A66CC" w:rsidRDefault="008A66CC" w:rsidP="008A66CC">
      <w:pPr>
        <w:rPr>
          <w:kern w:val="0"/>
          <w14:ligatures w14:val="none"/>
        </w:rPr>
      </w:pPr>
      <w:r w:rsidRPr="008A66CC">
        <w:rPr>
          <w:kern w:val="0"/>
          <w14:ligatures w14:val="none"/>
        </w:rPr>
        <w:t>Overall, the choice between steel vessel storage and composite materials for hydrogen storage will depend on a range of factors, including initial cost, efficiency, and the overall life cycle of the plant. While steel vessel storage is generally less expensive, composite materials offer several advantages in terms of efficiency and durability that may make them a more attractive choice for some applications. Ultimately, the choice will depend on the specific needs and requirements of each individual plant.</w:t>
      </w:r>
    </w:p>
    <w:p w14:paraId="351C4F45" w14:textId="77777777" w:rsidR="008A66CC" w:rsidRPr="008A66CC" w:rsidRDefault="008A66CC" w:rsidP="008A66CC">
      <w:pPr>
        <w:rPr>
          <w:kern w:val="0"/>
          <w14:ligatures w14:val="none"/>
        </w:rPr>
      </w:pPr>
    </w:p>
    <w:p w14:paraId="1A19E0E9" w14:textId="77777777" w:rsidR="008A66CC" w:rsidRPr="008A66CC" w:rsidRDefault="008A66CC" w:rsidP="008A66CC">
      <w:pPr>
        <w:rPr>
          <w:kern w:val="0"/>
          <w14:ligatures w14:val="none"/>
        </w:rPr>
      </w:pPr>
    </w:p>
    <w:p w14:paraId="6DD61220" w14:textId="77777777" w:rsidR="008A66CC" w:rsidRPr="008A66CC" w:rsidRDefault="008A66CC" w:rsidP="008A66CC">
      <w:pPr>
        <w:rPr>
          <w:kern w:val="0"/>
          <w14:ligatures w14:val="none"/>
        </w:rPr>
      </w:pPr>
    </w:p>
    <w:p w14:paraId="48823A67" w14:textId="77777777" w:rsidR="008A66CC" w:rsidRPr="008A66CC" w:rsidRDefault="008A66CC" w:rsidP="008A66CC">
      <w:pPr>
        <w:rPr>
          <w:kern w:val="0"/>
          <w14:ligatures w14:val="none"/>
        </w:rPr>
      </w:pPr>
    </w:p>
    <w:p w14:paraId="47076718" w14:textId="77777777" w:rsidR="008A66CC" w:rsidRPr="008A66CC" w:rsidRDefault="008A66CC" w:rsidP="008A66CC">
      <w:pPr>
        <w:rPr>
          <w:kern w:val="0"/>
          <w14:ligatures w14:val="none"/>
        </w:rPr>
      </w:pPr>
    </w:p>
    <w:p w14:paraId="020AF038" w14:textId="77777777" w:rsidR="008A66CC" w:rsidRPr="008A66CC" w:rsidRDefault="008A66CC" w:rsidP="008A66CC">
      <w:pPr>
        <w:rPr>
          <w:kern w:val="0"/>
          <w14:ligatures w14:val="none"/>
        </w:rPr>
      </w:pPr>
    </w:p>
    <w:p w14:paraId="78AE486A" w14:textId="77777777" w:rsidR="008A66CC" w:rsidRPr="008A66CC" w:rsidRDefault="008A66CC" w:rsidP="008A66CC">
      <w:pPr>
        <w:rPr>
          <w:kern w:val="0"/>
          <w14:ligatures w14:val="none"/>
        </w:rPr>
      </w:pPr>
    </w:p>
    <w:p w14:paraId="511D13EE" w14:textId="77777777" w:rsidR="008A66CC" w:rsidRPr="008A66CC" w:rsidRDefault="008A66CC" w:rsidP="008A66CC">
      <w:pPr>
        <w:rPr>
          <w:kern w:val="0"/>
          <w14:ligatures w14:val="none"/>
        </w:rPr>
      </w:pPr>
    </w:p>
    <w:p w14:paraId="639260F5" w14:textId="77777777" w:rsidR="008A66CC" w:rsidRPr="008A66CC" w:rsidRDefault="008A66CC" w:rsidP="008A66CC">
      <w:pPr>
        <w:rPr>
          <w:kern w:val="0"/>
          <w14:ligatures w14:val="none"/>
        </w:rPr>
      </w:pPr>
    </w:p>
    <w:p w14:paraId="019E8C7F" w14:textId="77777777" w:rsidR="008A66CC" w:rsidRPr="008A66CC" w:rsidRDefault="008A66CC" w:rsidP="008A66CC">
      <w:pPr>
        <w:rPr>
          <w:kern w:val="0"/>
          <w14:ligatures w14:val="none"/>
        </w:rPr>
      </w:pPr>
    </w:p>
    <w:p w14:paraId="3A80906C" w14:textId="77777777" w:rsidR="008A66CC" w:rsidRPr="008A66CC" w:rsidRDefault="008A66CC" w:rsidP="008A66CC">
      <w:pPr>
        <w:rPr>
          <w:kern w:val="0"/>
          <w14:ligatures w14:val="none"/>
        </w:rPr>
      </w:pPr>
    </w:p>
    <w:p w14:paraId="7131401F" w14:textId="77777777" w:rsidR="008A66CC" w:rsidRPr="008A66CC" w:rsidRDefault="008A66CC" w:rsidP="008A66CC">
      <w:pPr>
        <w:spacing w:after="0" w:line="240" w:lineRule="auto"/>
        <w:rPr>
          <w:kern w:val="0"/>
          <w14:ligatures w14:val="none"/>
        </w:rPr>
      </w:pPr>
    </w:p>
    <w:p w14:paraId="0975D61B" w14:textId="77777777" w:rsidR="008A66CC" w:rsidRPr="008A66CC" w:rsidRDefault="008A66CC" w:rsidP="008A66CC">
      <w:pPr>
        <w:spacing w:after="0" w:line="240" w:lineRule="auto"/>
        <w:rPr>
          <w:kern w:val="0"/>
          <w14:ligatures w14:val="none"/>
        </w:rPr>
      </w:pPr>
    </w:p>
    <w:p w14:paraId="08A39291" w14:textId="77777777" w:rsidR="008A66CC" w:rsidRPr="008A66CC" w:rsidRDefault="008A66CC" w:rsidP="008A66CC">
      <w:pPr>
        <w:spacing w:after="0" w:line="240" w:lineRule="auto"/>
        <w:rPr>
          <w:rFonts w:ascii="Times New Roman" w:eastAsia="Times New Roman" w:hAnsi="Times New Roman" w:cs="Times New Roman"/>
          <w:kern w:val="0"/>
          <w:sz w:val="20"/>
          <w:szCs w:val="20"/>
          <w:lang w:eastAsia="en-GB"/>
          <w14:ligatures w14:val="none"/>
        </w:rPr>
      </w:pPr>
    </w:p>
    <w:p w14:paraId="0E454924" w14:textId="35F1A2DD" w:rsidR="008A66CC" w:rsidRDefault="008A66CC" w:rsidP="00EA1B10">
      <w:pPr>
        <w:pStyle w:val="Heading1"/>
      </w:pPr>
      <w:bookmarkStart w:id="47" w:name="_Toc130736552"/>
      <w:r w:rsidRPr="008A66CC">
        <w:lastRenderedPageBreak/>
        <w:t>Evaluation</w:t>
      </w:r>
      <w:bookmarkEnd w:id="47"/>
    </w:p>
    <w:p w14:paraId="1201D367" w14:textId="77777777" w:rsidR="00992D68" w:rsidRPr="00992D68" w:rsidRDefault="00992D68" w:rsidP="00992D68">
      <w:pPr>
        <w:rPr>
          <w:lang w:eastAsia="en-GB"/>
        </w:rPr>
      </w:pPr>
    </w:p>
    <w:p w14:paraId="1313AF9D" w14:textId="77777777" w:rsidR="008A66CC" w:rsidRPr="008A66CC" w:rsidRDefault="008A66CC" w:rsidP="008A66CC">
      <w:pPr>
        <w:rPr>
          <w:kern w:val="0"/>
          <w14:ligatures w14:val="none"/>
        </w:rPr>
      </w:pPr>
      <w:r w:rsidRPr="008A66CC">
        <w:rPr>
          <w:kern w:val="0"/>
          <w14:ligatures w14:val="none"/>
        </w:rPr>
        <w:t>The efficiency range for AEM and PEM electrolysis technologies is provided, but more information on the conditions under which these efficiencies were determined is necessary to better understand their real-world performance. Additionally, there is no further information on how the costs of AEM and PEM electrolysis were calculated or what factors were taken into account. A more detailed analysis of the costs associated with these technologies, including the costs of materials, construction, and operation, would be helpful.</w:t>
      </w:r>
    </w:p>
    <w:p w14:paraId="7544E316" w14:textId="77777777" w:rsidR="008A66CC" w:rsidRPr="008A66CC" w:rsidRDefault="008A66CC" w:rsidP="008A66CC">
      <w:pPr>
        <w:rPr>
          <w:kern w:val="0"/>
          <w14:ligatures w14:val="none"/>
        </w:rPr>
      </w:pPr>
      <w:r w:rsidRPr="008A66CC">
        <w:rPr>
          <w:kern w:val="0"/>
          <w14:ligatures w14:val="none"/>
        </w:rPr>
        <w:t>The potential for integrating solar power into the system to generate green hydrogen is mentioned, but further details on how this would be accomplished and what the expected benefits would be are needed. The Digital Twin development project aims to optimize various aspects of the system's operation to increase its overall efficiency. While the project's goals are clear, more information on the specific improvements that are expected and how they will be achieved would be beneficial.</w:t>
      </w:r>
    </w:p>
    <w:p w14:paraId="6EC8C703" w14:textId="77777777" w:rsidR="008A66CC" w:rsidRPr="008A66CC" w:rsidRDefault="008A66CC" w:rsidP="008A66CC">
      <w:pPr>
        <w:rPr>
          <w:kern w:val="0"/>
          <w14:ligatures w14:val="none"/>
        </w:rPr>
      </w:pPr>
      <w:r w:rsidRPr="008A66CC">
        <w:rPr>
          <w:kern w:val="0"/>
          <w14:ligatures w14:val="none"/>
        </w:rPr>
        <w:t>The Digital Twin will rely on real-time operational data and sensors to function properly. However, it is unclear which sensors will be used and how the data collected from these sensors will be validated. Additional information on these aspects of the project would be useful.</w:t>
      </w:r>
    </w:p>
    <w:p w14:paraId="2787C064" w14:textId="77777777" w:rsidR="008A66CC" w:rsidRPr="008A66CC" w:rsidRDefault="008A66CC" w:rsidP="008A66CC">
      <w:pPr>
        <w:rPr>
          <w:kern w:val="0"/>
          <w14:ligatures w14:val="none"/>
        </w:rPr>
      </w:pPr>
      <w:r w:rsidRPr="008A66CC">
        <w:rPr>
          <w:kern w:val="0"/>
          <w14:ligatures w14:val="none"/>
        </w:rPr>
        <w:t>The Digital Twin will optimize various process unit operations, such as the electrolyser package, hydrogen buffer storage, hydrogen compressor, and valves, to increase the system's overall efficiency. This could involve minimizing start/stop cycles, minimizing energy costs, optimizing production schedules, optimizing the electrolyser running profile, and reducing losses.</w:t>
      </w:r>
    </w:p>
    <w:p w14:paraId="1DEC9160" w14:textId="77777777" w:rsidR="008A66CC" w:rsidRPr="008A66CC" w:rsidRDefault="008A66CC" w:rsidP="008A66CC">
      <w:pPr>
        <w:rPr>
          <w:kern w:val="0"/>
          <w14:ligatures w14:val="none"/>
        </w:rPr>
      </w:pPr>
      <w:r w:rsidRPr="008A66CC">
        <w:rPr>
          <w:kern w:val="0"/>
          <w14:ligatures w14:val="none"/>
        </w:rPr>
        <w:t>The Digital Twin will also optimize MCP filling time by adjusting process temperatures, pressures, and flow.</w:t>
      </w:r>
    </w:p>
    <w:p w14:paraId="1791C993" w14:textId="77777777" w:rsidR="008A66CC" w:rsidRPr="008A66CC" w:rsidRDefault="008A66CC" w:rsidP="008A66CC">
      <w:pPr>
        <w:rPr>
          <w:kern w:val="0"/>
          <w14:ligatures w14:val="none"/>
        </w:rPr>
      </w:pPr>
      <w:r w:rsidRPr="008A66CC">
        <w:rPr>
          <w:kern w:val="0"/>
          <w14:ligatures w14:val="none"/>
        </w:rPr>
        <w:t>The integration of real-time operational data with the model will allow for data validation and tuning to improve accuracy. This could involve identifying and installing sensors and monitoring equipment, managing internal and external data exchange, and validating data.</w:t>
      </w:r>
    </w:p>
    <w:p w14:paraId="377AB577" w14:textId="054D0DFF" w:rsidR="008A66CC" w:rsidRPr="008A66CC" w:rsidRDefault="008A66CC" w:rsidP="008A66CC">
      <w:pPr>
        <w:rPr>
          <w:kern w:val="0"/>
          <w14:ligatures w14:val="none"/>
        </w:rPr>
      </w:pPr>
      <w:r w:rsidRPr="008A66CC">
        <w:rPr>
          <w:kern w:val="0"/>
          <w14:ligatures w14:val="none"/>
        </w:rPr>
        <w:t>The Digital Twin will monitor various system parameters, including current hydrogen production, energy and water usage, system efficiency, membrane degradation, CO</w:t>
      </w:r>
      <w:r w:rsidRPr="005A25E6">
        <w:rPr>
          <w:kern w:val="0"/>
          <w:vertAlign w:val="subscript"/>
          <w14:ligatures w14:val="none"/>
        </w:rPr>
        <w:t xml:space="preserve">2 </w:t>
      </w:r>
      <w:r w:rsidRPr="008A66CC">
        <w:rPr>
          <w:kern w:val="0"/>
          <w14:ligatures w14:val="none"/>
        </w:rPr>
        <w:t>emissions, and hydrogen production costs, through a custom dashboard. The dashboard can also provide alerts when parameters are outside specified ranges. Predictive maintenance will be possible with the Digital Twin, as it can indicate when parts such as membranes and compressors will need to be replaced based on data, the Digital Twin will allow for forecasting of future unit outputs based on forecasted data and can provide recommendations for operation strategy based on electricity price variations.</w:t>
      </w:r>
    </w:p>
    <w:p w14:paraId="79905D2F" w14:textId="77777777" w:rsidR="008A66CC" w:rsidRPr="008A66CC" w:rsidRDefault="008A66CC" w:rsidP="008A66CC">
      <w:pPr>
        <w:rPr>
          <w:kern w:val="0"/>
          <w14:ligatures w14:val="none"/>
        </w:rPr>
      </w:pPr>
      <w:r w:rsidRPr="008A66CC">
        <w:rPr>
          <w:kern w:val="0"/>
          <w14:ligatures w14:val="none"/>
        </w:rPr>
        <w:t>While steel vessel storage is generally less expensive, composite materials offer several advantages in terms of efficiency and durability that may make them a more attractive choice for some applications. Composite materials are lighter than steel, which can reduce transportation costs and make installation easier. In addition, composite materials have a longer service life than steel, which can reduce replacement costs and increase the overall efficiency of the plant. However, it should be noted that the long-term durability of composite materials for hydrogen storage is still an area of active research, and further studies are needed to fully evaluate their performance over the long term. Ultimately, the choice between steel vessel storage and composite materials for hydrogen storage will depend on a range of factors, including initial cost, efficiency, and the overall life cycle of the plant, and should be made based on the specific needs and requirements of each individual plant.</w:t>
      </w:r>
    </w:p>
    <w:p w14:paraId="3253D4CD" w14:textId="77777777" w:rsidR="008A66CC" w:rsidRPr="008A66CC" w:rsidRDefault="008A66CC" w:rsidP="008A66CC">
      <w:pPr>
        <w:rPr>
          <w:kern w:val="0"/>
          <w14:ligatures w14:val="none"/>
        </w:rPr>
      </w:pPr>
    </w:p>
    <w:p w14:paraId="45D59423" w14:textId="77777777" w:rsidR="00FF22F0" w:rsidRDefault="008A66CC" w:rsidP="00FF22F0">
      <w:r w:rsidRPr="008A66CC">
        <w:rPr>
          <w:rFonts w:ascii="Times New Roman" w:eastAsia="Times New Roman" w:hAnsi="Times New Roman" w:cs="Times New Roman"/>
          <w:noProof/>
          <w:sz w:val="20"/>
          <w:szCs w:val="20"/>
          <w:lang w:eastAsia="en-GB"/>
        </w:rPr>
        <w:drawing>
          <wp:inline distT="0" distB="0" distL="0" distR="0" wp14:anchorId="2873FBD1" wp14:editId="6518E2CB">
            <wp:extent cx="7981191" cy="2852420"/>
            <wp:effectExtent l="0" t="7620" r="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8"/>
                    <a:stretch>
                      <a:fillRect/>
                    </a:stretch>
                  </pic:blipFill>
                  <pic:spPr>
                    <a:xfrm rot="16200000">
                      <a:off x="0" y="0"/>
                      <a:ext cx="8014405" cy="2864290"/>
                    </a:xfrm>
                    <a:prstGeom prst="rect">
                      <a:avLst/>
                    </a:prstGeom>
                  </pic:spPr>
                </pic:pic>
              </a:graphicData>
            </a:graphic>
          </wp:inline>
        </w:drawing>
      </w:r>
      <w:r w:rsidRPr="008A66CC">
        <w:t xml:space="preserve">  </w:t>
      </w:r>
    </w:p>
    <w:p w14:paraId="70E48C78" w14:textId="1F08D004" w:rsidR="000307F0" w:rsidRDefault="008A66CC" w:rsidP="000307F0">
      <w:pPr>
        <w:pStyle w:val="Heading4"/>
      </w:pPr>
      <w:r w:rsidRPr="008A66CC">
        <w:t xml:space="preserve"> </w:t>
      </w:r>
      <w:bookmarkStart w:id="48" w:name="_Toc130137123"/>
      <w:bookmarkStart w:id="49" w:name="_Toc130652803"/>
      <w:r w:rsidRPr="008A66CC">
        <w:t>Figure 11. Gantt chart</w:t>
      </w:r>
      <w:bookmarkEnd w:id="48"/>
      <w:bookmarkEnd w:id="49"/>
    </w:p>
    <w:p w14:paraId="3020E4F3" w14:textId="77777777" w:rsidR="00F86900" w:rsidRPr="00F86900" w:rsidRDefault="00F86900" w:rsidP="00F86900"/>
    <w:bookmarkStart w:id="50" w:name="_Toc130736553" w:displacedByCustomXml="next"/>
    <w:sdt>
      <w:sdtPr>
        <w:rPr>
          <w:rFonts w:asciiTheme="minorHAnsi" w:eastAsiaTheme="minorHAnsi" w:hAnsiTheme="minorHAnsi" w:cstheme="minorBidi"/>
          <w:b w:val="0"/>
          <w:bCs w:val="0"/>
          <w:kern w:val="2"/>
          <w:sz w:val="22"/>
          <w:szCs w:val="22"/>
          <w:lang w:eastAsia="en-US"/>
          <w14:ligatures w14:val="standardContextual"/>
        </w:rPr>
        <w:id w:val="74557514"/>
        <w:docPartObj>
          <w:docPartGallery w:val="Bibliographies"/>
          <w:docPartUnique/>
        </w:docPartObj>
      </w:sdtPr>
      <w:sdtContent>
        <w:p w14:paraId="7CA92F60" w14:textId="21DBA43E" w:rsidR="000307F0" w:rsidRDefault="000307F0" w:rsidP="00820CB8">
          <w:pPr>
            <w:pStyle w:val="Heading1"/>
          </w:pPr>
          <w:r>
            <w:t>References</w:t>
          </w:r>
          <w:bookmarkEnd w:id="50"/>
        </w:p>
        <w:sdt>
          <w:sdtPr>
            <w:rPr>
              <w:rFonts w:asciiTheme="minorHAnsi" w:eastAsiaTheme="minorHAnsi" w:hAnsiTheme="minorHAnsi" w:cstheme="minorBidi"/>
              <w:kern w:val="2"/>
              <w:sz w:val="22"/>
              <w:szCs w:val="22"/>
              <w:lang w:eastAsia="en-US"/>
              <w14:ligatures w14:val="standardContextual"/>
            </w:rPr>
            <w:id w:val="-573587230"/>
            <w:bibliography/>
          </w:sdtPr>
          <w:sdtContent>
            <w:p w14:paraId="56F917A4" w14:textId="77777777" w:rsidR="000307F0" w:rsidRDefault="000307F0" w:rsidP="000307F0">
              <w:pPr>
                <w:pStyle w:val="Bibliography"/>
                <w:rPr>
                  <w:noProof/>
                  <w:sz w:val="24"/>
                  <w:szCs w:val="24"/>
                </w:rPr>
              </w:pPr>
              <w:r>
                <w:fldChar w:fldCharType="begin"/>
              </w:r>
              <w:r>
                <w:instrText xml:space="preserve"> BIBLIOGRAPHY </w:instrText>
              </w:r>
              <w:r>
                <w:fldChar w:fldCharType="separate"/>
              </w:r>
              <w:r>
                <w:rPr>
                  <w:noProof/>
                </w:rPr>
                <w:t xml:space="preserve">Ahmed, R. P. T. L. &amp;. A. Z., 2019. Composite materials for high-pressure vessels. In Advanced Materials and Techniques for Hydrogen Storage. </w:t>
              </w:r>
              <w:r>
                <w:rPr>
                  <w:i/>
                  <w:iCs/>
                  <w:noProof/>
                </w:rPr>
                <w:t xml:space="preserve">Hydrogen storage: Springer., </w:t>
              </w:r>
              <w:r>
                <w:rPr>
                  <w:noProof/>
                </w:rPr>
                <w:t>Volume Springer., pp. 1-22.</w:t>
              </w:r>
            </w:p>
            <w:p w14:paraId="2D0CC2B9" w14:textId="77777777" w:rsidR="000307F0" w:rsidRDefault="000307F0" w:rsidP="000307F0">
              <w:pPr>
                <w:pStyle w:val="Bibliography"/>
                <w:rPr>
                  <w:noProof/>
                </w:rPr>
              </w:pPr>
              <w:r>
                <w:rPr>
                  <w:noProof/>
                </w:rPr>
                <w:t xml:space="preserve">Ahmed, S. A. M. H. A. N. Y. &amp;. A. S., 2020. A review. Composites Science and Technology. </w:t>
              </w:r>
              <w:r>
                <w:rPr>
                  <w:i/>
                  <w:iCs/>
                  <w:noProof/>
                </w:rPr>
                <w:t xml:space="preserve">Design and analysis of composite pressure vessels , </w:t>
              </w:r>
              <w:r>
                <w:rPr>
                  <w:noProof/>
                </w:rPr>
                <w:t>Volume 108105, p. 191.</w:t>
              </w:r>
            </w:p>
            <w:p w14:paraId="5D970C5F" w14:textId="77777777" w:rsidR="000307F0" w:rsidRDefault="000307F0" w:rsidP="000307F0">
              <w:pPr>
                <w:pStyle w:val="Bibliography"/>
                <w:rPr>
                  <w:noProof/>
                </w:rPr>
              </w:pPr>
              <w:r>
                <w:rPr>
                  <w:noProof/>
                </w:rPr>
                <w:t xml:space="preserve">Alliche M, R. R. K. N. M. Y. A. H. I. M. A. H. L. G. A. A. E. S. F. B., 2021. Estimation of the wind energy potential in various north algerian regions. </w:t>
              </w:r>
              <w:r>
                <w:rPr>
                  <w:i/>
                  <w:iCs/>
                  <w:noProof/>
                </w:rPr>
                <w:t xml:space="preserve">Energies , </w:t>
              </w:r>
              <w:r>
                <w:rPr>
                  <w:noProof/>
                </w:rPr>
                <w:t>14(22), p. 7564.</w:t>
              </w:r>
            </w:p>
            <w:p w14:paraId="06C27833" w14:textId="77777777" w:rsidR="000307F0" w:rsidRDefault="000307F0" w:rsidP="000307F0">
              <w:pPr>
                <w:pStyle w:val="Bibliography"/>
                <w:rPr>
                  <w:noProof/>
                </w:rPr>
              </w:pPr>
              <w:r>
                <w:rPr>
                  <w:noProof/>
                </w:rPr>
                <w:t xml:space="preserve">Bhattacharya, S. W. J. M. Y. &amp;. S. A., 2021. Recent advances in composite materials for hydrogen storage. </w:t>
              </w:r>
              <w:r>
                <w:rPr>
                  <w:i/>
                  <w:iCs/>
                  <w:noProof/>
                </w:rPr>
                <w:t xml:space="preserve">International Journal of Hydrogen Energy, </w:t>
              </w:r>
              <w:r>
                <w:rPr>
                  <w:noProof/>
                </w:rPr>
                <w:t>46(25), pp. 13232-13247.</w:t>
              </w:r>
            </w:p>
            <w:p w14:paraId="6D89EE47" w14:textId="77777777" w:rsidR="000307F0" w:rsidRDefault="000307F0" w:rsidP="000307F0">
              <w:pPr>
                <w:pStyle w:val="Bibliography"/>
                <w:rPr>
                  <w:noProof/>
                </w:rPr>
              </w:pPr>
              <w:r>
                <w:rPr>
                  <w:noProof/>
                </w:rPr>
                <w:t xml:space="preserve">Blanco H, F. A., 2018. A review at the role of storage in energy systems with a focus. </w:t>
              </w:r>
              <w:r>
                <w:rPr>
                  <w:i/>
                  <w:iCs/>
                  <w:noProof/>
                </w:rPr>
                <w:t xml:space="preserve">Renewable and Sustainable Energy Reviews, </w:t>
              </w:r>
              <w:r>
                <w:rPr>
                  <w:noProof/>
                </w:rPr>
                <w:t>Volume 81, pp. 1049-1086.</w:t>
              </w:r>
            </w:p>
            <w:p w14:paraId="5F870B02" w14:textId="77777777" w:rsidR="000307F0" w:rsidRDefault="000307F0" w:rsidP="000307F0">
              <w:pPr>
                <w:pStyle w:val="Bibliography"/>
                <w:rPr>
                  <w:noProof/>
                </w:rPr>
              </w:pPr>
              <w:r>
                <w:rPr>
                  <w:noProof/>
                </w:rPr>
                <w:t xml:space="preserve">Buttler A, S. H., 2018. Current status of water electrolysis for energy storage, grid balancing and. </w:t>
              </w:r>
              <w:r>
                <w:rPr>
                  <w:i/>
                  <w:iCs/>
                  <w:noProof/>
                </w:rPr>
                <w:t xml:space="preserve">Renewable and Sustainable Energy Reviews, </w:t>
              </w:r>
              <w:r>
                <w:rPr>
                  <w:noProof/>
                </w:rPr>
                <w:t>Volume 82, pp. 2440-2454.</w:t>
              </w:r>
            </w:p>
            <w:p w14:paraId="5ABE373F" w14:textId="77777777" w:rsidR="000307F0" w:rsidRDefault="000307F0" w:rsidP="000307F0">
              <w:pPr>
                <w:pStyle w:val="Bibliography"/>
                <w:rPr>
                  <w:noProof/>
                </w:rPr>
              </w:pPr>
              <w:r>
                <w:rPr>
                  <w:noProof/>
                </w:rPr>
                <w:t xml:space="preserve">Composites, C., 2021. </w:t>
              </w:r>
              <w:r>
                <w:rPr>
                  <w:i/>
                  <w:iCs/>
                  <w:noProof/>
                </w:rPr>
                <w:t xml:space="preserve">Composite pressure vessels for hydrogen storage: Industry outlook 2021.. </w:t>
              </w:r>
              <w:r>
                <w:rPr>
                  <w:noProof/>
                </w:rPr>
                <w:t xml:space="preserve">[Online] </w:t>
              </w:r>
              <w:r>
                <w:rPr>
                  <w:noProof/>
                </w:rPr>
                <w:br/>
                <w:t xml:space="preserve">Available at: </w:t>
              </w:r>
              <w:r>
                <w:rPr>
                  <w:noProof/>
                  <w:u w:val="single"/>
                </w:rPr>
                <w:t>www.carbon-composites.eu/en/projects/h2pressurevessel.</w:t>
              </w:r>
              <w:r>
                <w:rPr>
                  <w:noProof/>
                </w:rPr>
                <w:br/>
                <w:t>[Accessed 19 March 2023].</w:t>
              </w:r>
            </w:p>
            <w:p w14:paraId="4E5A5ED3" w14:textId="77777777" w:rsidR="000307F0" w:rsidRDefault="000307F0" w:rsidP="000307F0">
              <w:pPr>
                <w:pStyle w:val="Bibliography"/>
                <w:rPr>
                  <w:noProof/>
                </w:rPr>
              </w:pPr>
              <w:r>
                <w:rPr>
                  <w:noProof/>
                </w:rPr>
                <w:t xml:space="preserve">European Commission Joint Research Centre., 2019. Technical assessment of compressed hydrogen storage tank systems for automotive applications. </w:t>
              </w:r>
              <w:r>
                <w:rPr>
                  <w:i/>
                  <w:iCs/>
                  <w:noProof/>
                </w:rPr>
                <w:t xml:space="preserve">publications.jrc.ec.europa.eu/repository/handle/, </w:t>
              </w:r>
              <w:r>
                <w:rPr>
                  <w:noProof/>
                </w:rPr>
                <w:t>p. JRC116988.</w:t>
              </w:r>
            </w:p>
            <w:p w14:paraId="7BF4B6EA" w14:textId="77777777" w:rsidR="000307F0" w:rsidRDefault="000307F0" w:rsidP="000307F0">
              <w:pPr>
                <w:pStyle w:val="Bibliography"/>
                <w:rPr>
                  <w:noProof/>
                </w:rPr>
              </w:pPr>
              <w:r>
                <w:rPr>
                  <w:noProof/>
                </w:rPr>
                <w:t xml:space="preserve">GH2, 2022. </w:t>
              </w:r>
              <w:r>
                <w:rPr>
                  <w:i/>
                  <w:iCs/>
                  <w:noProof/>
                </w:rPr>
                <w:t xml:space="preserve">What is Green Hydrogen. </w:t>
              </w:r>
              <w:r>
                <w:rPr>
                  <w:noProof/>
                </w:rPr>
                <w:t xml:space="preserve">[Online] </w:t>
              </w:r>
              <w:r>
                <w:rPr>
                  <w:noProof/>
                </w:rPr>
                <w:br/>
                <w:t xml:space="preserve">Available at: </w:t>
              </w:r>
              <w:r>
                <w:rPr>
                  <w:noProof/>
                  <w:u w:val="single"/>
                </w:rPr>
                <w:t>https://gh2.org/what-green-hydrogen</w:t>
              </w:r>
              <w:r>
                <w:rPr>
                  <w:noProof/>
                </w:rPr>
                <w:br/>
                <w:t>[Accessed 08 January 2023].</w:t>
              </w:r>
            </w:p>
            <w:p w14:paraId="761A2F48" w14:textId="77777777" w:rsidR="000307F0" w:rsidRDefault="000307F0" w:rsidP="000307F0">
              <w:pPr>
                <w:pStyle w:val="Bibliography"/>
                <w:rPr>
                  <w:noProof/>
                </w:rPr>
              </w:pPr>
              <w:r>
                <w:rPr>
                  <w:noProof/>
                </w:rPr>
                <w:t xml:space="preserve">Green Hydrogen Systems, 2023. </w:t>
              </w:r>
              <w:r>
                <w:rPr>
                  <w:i/>
                  <w:iCs/>
                  <w:noProof/>
                </w:rPr>
                <w:t xml:space="preserve">ACCELERATING THE GLOBAL ENERGY TRANSITION WITH GREEN HYDROGEN. </w:t>
              </w:r>
              <w:r>
                <w:rPr>
                  <w:noProof/>
                </w:rPr>
                <w:t xml:space="preserve">[Online] </w:t>
              </w:r>
              <w:r>
                <w:rPr>
                  <w:noProof/>
                </w:rPr>
                <w:br/>
                <w:t xml:space="preserve">Available at: </w:t>
              </w:r>
              <w:r>
                <w:rPr>
                  <w:noProof/>
                  <w:u w:val="single"/>
                </w:rPr>
                <w:t>https://www.greenhydrogensystems.com/</w:t>
              </w:r>
              <w:r>
                <w:rPr>
                  <w:noProof/>
                </w:rPr>
                <w:br/>
                <w:t>[Accessed 19 March 2023].</w:t>
              </w:r>
            </w:p>
            <w:p w14:paraId="6594DC28" w14:textId="77777777" w:rsidR="000307F0" w:rsidRDefault="000307F0" w:rsidP="000307F0">
              <w:pPr>
                <w:pStyle w:val="Bibliography"/>
                <w:rPr>
                  <w:noProof/>
                </w:rPr>
              </w:pPr>
              <w:r>
                <w:rPr>
                  <w:noProof/>
                </w:rPr>
                <w:t xml:space="preserve">Hegger, J. O. E. K. M. &amp;. W. P., 2019. Challenges and opportunities for hydrogen storage in composite materials.. </w:t>
              </w:r>
              <w:r>
                <w:rPr>
                  <w:i/>
                  <w:iCs/>
                  <w:noProof/>
                </w:rPr>
                <w:t xml:space="preserve">Composite Structures, </w:t>
              </w:r>
              <w:r>
                <w:rPr>
                  <w:noProof/>
                </w:rPr>
                <w:t>Volume 211, pp. 182-197.</w:t>
              </w:r>
            </w:p>
            <w:p w14:paraId="1ACEE63E" w14:textId="77777777" w:rsidR="000307F0" w:rsidRDefault="000307F0" w:rsidP="000307F0">
              <w:pPr>
                <w:pStyle w:val="Bibliography"/>
                <w:rPr>
                  <w:noProof/>
                </w:rPr>
              </w:pPr>
              <w:r>
                <w:rPr>
                  <w:noProof/>
                </w:rPr>
                <w:t xml:space="preserve">IES, 2020. </w:t>
              </w:r>
              <w:r>
                <w:rPr>
                  <w:i/>
                  <w:iCs/>
                  <w:noProof/>
                </w:rPr>
                <w:t xml:space="preserve">Global energy-related CO2 emissions, 1900-2020., </w:t>
              </w:r>
              <w:r>
                <w:rPr>
                  <w:noProof/>
                </w:rPr>
                <w:t>Paris: IEA.</w:t>
              </w:r>
            </w:p>
            <w:p w14:paraId="0E6387BB" w14:textId="77777777" w:rsidR="000307F0" w:rsidRDefault="000307F0" w:rsidP="000307F0">
              <w:pPr>
                <w:pStyle w:val="Bibliography"/>
                <w:rPr>
                  <w:noProof/>
                </w:rPr>
              </w:pPr>
              <w:r>
                <w:rPr>
                  <w:noProof/>
                </w:rPr>
                <w:t xml:space="preserve">Immanuel Vincent, A. K. D. B., 2017. Development of efficient membrane electrode. </w:t>
              </w:r>
              <w:r>
                <w:rPr>
                  <w:i/>
                  <w:iCs/>
                  <w:noProof/>
                </w:rPr>
                <w:t xml:space="preserve">Int Journal Hydrogen Energy, </w:t>
              </w:r>
              <w:r>
                <w:rPr>
                  <w:noProof/>
                </w:rPr>
                <w:t>Volume 42, pp. 10752-61.</w:t>
              </w:r>
            </w:p>
            <w:p w14:paraId="1B5AD50C" w14:textId="77777777" w:rsidR="000307F0" w:rsidRDefault="000307F0" w:rsidP="000307F0">
              <w:pPr>
                <w:pStyle w:val="Bibliography"/>
                <w:rPr>
                  <w:noProof/>
                </w:rPr>
              </w:pPr>
              <w:r>
                <w:rPr>
                  <w:noProof/>
                </w:rPr>
                <w:t xml:space="preserve">Kumar, A. K. S. &amp;. K. S., 2019. current state-of-the-art, new developments, and future prospects. Renewable and Sustainable Energy Reviews,. </w:t>
              </w:r>
              <w:r>
                <w:rPr>
                  <w:i/>
                  <w:iCs/>
                  <w:noProof/>
                </w:rPr>
                <w:t xml:space="preserve">Hydrogen storage materials, </w:t>
              </w:r>
              <w:r>
                <w:rPr>
                  <w:noProof/>
                </w:rPr>
                <w:t>Volume 105, pp. 340-356..</w:t>
              </w:r>
            </w:p>
            <w:p w14:paraId="06ABE51C" w14:textId="77777777" w:rsidR="000307F0" w:rsidRDefault="000307F0" w:rsidP="000307F0">
              <w:pPr>
                <w:pStyle w:val="Bibliography"/>
                <w:rPr>
                  <w:noProof/>
                </w:rPr>
              </w:pPr>
              <w:r>
                <w:rPr>
                  <w:noProof/>
                </w:rPr>
                <w:t xml:space="preserve">Liu, Y. D. L. &amp;. W. Y., 2021. Liu, Y., Dong, L., &amp; Wang, Y. A digital twin-based approach for real-time optimization of a green hydrogen production system. </w:t>
              </w:r>
              <w:r>
                <w:rPr>
                  <w:i/>
                  <w:iCs/>
                  <w:noProof/>
                </w:rPr>
                <w:t xml:space="preserve">Journal of Cleaner Production, </w:t>
              </w:r>
              <w:r>
                <w:rPr>
                  <w:noProof/>
                </w:rPr>
                <w:t>Volume 293, p. 126230.</w:t>
              </w:r>
            </w:p>
            <w:p w14:paraId="0B811C0C" w14:textId="77777777" w:rsidR="000307F0" w:rsidRDefault="000307F0" w:rsidP="000307F0">
              <w:pPr>
                <w:pStyle w:val="Bibliography"/>
                <w:rPr>
                  <w:noProof/>
                </w:rPr>
              </w:pPr>
              <w:r>
                <w:rPr>
                  <w:noProof/>
                </w:rPr>
                <w:t xml:space="preserve">Manuel Gotz, J. L. F. M. A. M. K. F. G. S. B. ,. R. R. T. K., 2016. Renewable Power-to-Gas: A technological and economic review. </w:t>
              </w:r>
              <w:r>
                <w:rPr>
                  <w:i/>
                  <w:iCs/>
                  <w:noProof/>
                </w:rPr>
                <w:t xml:space="preserve">Renewable Energy, </w:t>
              </w:r>
              <w:r>
                <w:rPr>
                  <w:noProof/>
                </w:rPr>
                <w:t>Volume 85, pp. 1371-1390.</w:t>
              </w:r>
            </w:p>
            <w:p w14:paraId="731DA6AA" w14:textId="77777777" w:rsidR="000307F0" w:rsidRDefault="000307F0" w:rsidP="000307F0">
              <w:pPr>
                <w:pStyle w:val="Bibliography"/>
                <w:rPr>
                  <w:noProof/>
                </w:rPr>
              </w:pPr>
              <w:r>
                <w:rPr>
                  <w:noProof/>
                </w:rPr>
                <w:t xml:space="preserve">Nana Yaw Amponsah, M. T. B. K. I. A. R. L. H., 2014. Greenhouse gas emissions from renewable energy sources: A review. </w:t>
              </w:r>
              <w:r>
                <w:rPr>
                  <w:i/>
                  <w:iCs/>
                  <w:noProof/>
                </w:rPr>
                <w:t xml:space="preserve">Renewable and Sustainable Energy Reviews, </w:t>
              </w:r>
              <w:r>
                <w:rPr>
                  <w:noProof/>
                </w:rPr>
                <w:t>Volume 39, pp. 461-475.</w:t>
              </w:r>
            </w:p>
            <w:p w14:paraId="538FAB56" w14:textId="77777777" w:rsidR="000307F0" w:rsidRDefault="000307F0" w:rsidP="000307F0">
              <w:pPr>
                <w:pStyle w:val="Bibliography"/>
                <w:rPr>
                  <w:noProof/>
                </w:rPr>
              </w:pPr>
              <w:r>
                <w:rPr>
                  <w:noProof/>
                </w:rPr>
                <w:t xml:space="preserve">Ogden, J., 2019. </w:t>
              </w:r>
              <w:r>
                <w:rPr>
                  <w:i/>
                  <w:iCs/>
                  <w:noProof/>
                </w:rPr>
                <w:t xml:space="preserve">Hydrogen storage and transportation: The potential of composites. Composite World.. </w:t>
              </w:r>
              <w:r>
                <w:rPr>
                  <w:noProof/>
                </w:rPr>
                <w:t xml:space="preserve">[Online] </w:t>
              </w:r>
              <w:r>
                <w:rPr>
                  <w:noProof/>
                </w:rPr>
                <w:br/>
                <w:t xml:space="preserve">Available at: </w:t>
              </w:r>
              <w:r>
                <w:rPr>
                  <w:noProof/>
                  <w:u w:val="single"/>
                </w:rPr>
                <w:t>www.compositesworld.com/articles/hydrogen-storage-and-transportation-the-potential-of-composites</w:t>
              </w:r>
              <w:r>
                <w:rPr>
                  <w:noProof/>
                </w:rPr>
                <w:br/>
                <w:t>[Accessed 19 March 2023].</w:t>
              </w:r>
            </w:p>
            <w:p w14:paraId="49ACEB84" w14:textId="77777777" w:rsidR="000307F0" w:rsidRDefault="000307F0" w:rsidP="000307F0">
              <w:pPr>
                <w:pStyle w:val="Bibliography"/>
                <w:rPr>
                  <w:noProof/>
                </w:rPr>
              </w:pPr>
              <w:r>
                <w:rPr>
                  <w:noProof/>
                </w:rPr>
                <w:t xml:space="preserve">Ogden, J. M., 2019. Renewable and Sustainable Energy Reviews. </w:t>
              </w:r>
              <w:r>
                <w:rPr>
                  <w:i/>
                  <w:iCs/>
                  <w:noProof/>
                </w:rPr>
                <w:t xml:space="preserve">Hydrogen storage for renewable energy: An educational review. , </w:t>
              </w:r>
              <w:r>
                <w:rPr>
                  <w:noProof/>
                </w:rPr>
                <w:t>Volume 113, p. 109273.</w:t>
              </w:r>
            </w:p>
            <w:p w14:paraId="09D408AA" w14:textId="77777777" w:rsidR="000307F0" w:rsidRDefault="000307F0" w:rsidP="000307F0">
              <w:pPr>
                <w:pStyle w:val="Bibliography"/>
                <w:rPr>
                  <w:noProof/>
                </w:rPr>
              </w:pPr>
              <w:r>
                <w:rPr>
                  <w:noProof/>
                </w:rPr>
                <w:t xml:space="preserve">Pachauri RK, A. M. B. V. B. J. C. W. C. R. e. a., 2014. </w:t>
              </w:r>
              <w:r>
                <w:rPr>
                  <w:i/>
                  <w:iCs/>
                  <w:noProof/>
                </w:rPr>
                <w:t xml:space="preserve">Climate Change, </w:t>
              </w:r>
              <w:r>
                <w:rPr>
                  <w:noProof/>
                </w:rPr>
                <w:t>Geneva, Switzerland: IPCC.</w:t>
              </w:r>
            </w:p>
            <w:p w14:paraId="265D0FD7" w14:textId="77777777" w:rsidR="000307F0" w:rsidRDefault="000307F0" w:rsidP="000307F0">
              <w:pPr>
                <w:pStyle w:val="Bibliography"/>
                <w:rPr>
                  <w:noProof/>
                </w:rPr>
              </w:pPr>
              <w:r>
                <w:rPr>
                  <w:noProof/>
                </w:rPr>
                <w:t xml:space="preserve">Ruxing Gao, C. Z. K.-W. J. S. K. K. H.-G. P. T. Z. L. W. H. W. G. G., 2021. Transformation of CO2 into liquid fuels and synthetic natural gas using green hydrogen. </w:t>
              </w:r>
              <w:r>
                <w:rPr>
                  <w:i/>
                  <w:iCs/>
                  <w:noProof/>
                </w:rPr>
                <w:t xml:space="preserve">Fuel , </w:t>
              </w:r>
              <w:r>
                <w:rPr>
                  <w:noProof/>
                </w:rPr>
                <w:t>Volume 291, p. 120111.</w:t>
              </w:r>
            </w:p>
            <w:p w14:paraId="5B3579C7" w14:textId="77777777" w:rsidR="000307F0" w:rsidRDefault="000307F0" w:rsidP="000307F0">
              <w:pPr>
                <w:pStyle w:val="Bibliography"/>
                <w:rPr>
                  <w:noProof/>
                </w:rPr>
              </w:pPr>
              <w:r>
                <w:rPr>
                  <w:noProof/>
                </w:rPr>
                <w:t xml:space="preserve">Ruxing Gao, L. Z. L. W. X. Z. C. Z. K.-w. J. S. K. K. H.-G. P. Y. G. Y. Z. T. Z. H. W. G. G., 2022. A comparative study on hybrid power-to-liquids/power-to-gas processes. </w:t>
              </w:r>
              <w:r>
                <w:rPr>
                  <w:i/>
                  <w:iCs/>
                  <w:noProof/>
                </w:rPr>
                <w:t xml:space="preserve">Energy Conversion and Management , </w:t>
              </w:r>
              <w:r>
                <w:rPr>
                  <w:noProof/>
                </w:rPr>
                <w:t>Volume 263, p. 115671.</w:t>
              </w:r>
            </w:p>
            <w:p w14:paraId="2D8DBCDB" w14:textId="77777777" w:rsidR="000307F0" w:rsidRDefault="000307F0" w:rsidP="000307F0">
              <w:pPr>
                <w:pStyle w:val="Bibliography"/>
                <w:rPr>
                  <w:noProof/>
                </w:rPr>
              </w:pPr>
              <w:r>
                <w:rPr>
                  <w:noProof/>
                </w:rPr>
                <w:t xml:space="preserve">Ruxing, G. C. G. Y.-J. S., 2020. Techno-economic evaluation of methanol production using by-product gases from iron and steel works. </w:t>
              </w:r>
              <w:r>
                <w:rPr>
                  <w:i/>
                  <w:iCs/>
                  <w:noProof/>
                </w:rPr>
                <w:t xml:space="preserve">Energy Conversion and Management, </w:t>
              </w:r>
              <w:r>
                <w:rPr>
                  <w:noProof/>
                </w:rPr>
                <w:t>Volume 213, p. 112819.</w:t>
              </w:r>
            </w:p>
            <w:p w14:paraId="3192F72D" w14:textId="77777777" w:rsidR="000307F0" w:rsidRDefault="000307F0" w:rsidP="000307F0">
              <w:pPr>
                <w:pStyle w:val="Bibliography"/>
                <w:rPr>
                  <w:noProof/>
                </w:rPr>
              </w:pPr>
              <w:r>
                <w:rPr>
                  <w:noProof/>
                </w:rPr>
                <w:t xml:space="preserve">Sayad B, A. D. A. H. B. J. A. N. M. Y., 2021. Nature-based solutions to improve the summer thermal. </w:t>
              </w:r>
              <w:r>
                <w:rPr>
                  <w:i/>
                  <w:iCs/>
                  <w:noProof/>
                </w:rPr>
                <w:t xml:space="preserve">Case Studies in Thermal Engineering, </w:t>
              </w:r>
              <w:r>
                <w:rPr>
                  <w:noProof/>
                </w:rPr>
                <w:t>Volume 28, p. 101399.</w:t>
              </w:r>
            </w:p>
            <w:p w14:paraId="6E21361D" w14:textId="77777777" w:rsidR="000307F0" w:rsidRDefault="000307F0" w:rsidP="000307F0">
              <w:pPr>
                <w:pStyle w:val="Bibliography"/>
                <w:rPr>
                  <w:noProof/>
                </w:rPr>
              </w:pPr>
              <w:r>
                <w:rPr>
                  <w:noProof/>
                </w:rPr>
                <w:t xml:space="preserve">Scholten, D. v. d. H. M. &amp;. M. H., 2021. Digital twin of a green hydrogen electrolysis facility: Design considerations and benefits. , 27, 100450.. </w:t>
              </w:r>
              <w:r>
                <w:rPr>
                  <w:i/>
                  <w:iCs/>
                  <w:noProof/>
                </w:rPr>
                <w:t xml:space="preserve">Sustainable Energy, Grids and Networks, </w:t>
              </w:r>
              <w:r>
                <w:rPr>
                  <w:noProof/>
                </w:rPr>
                <w:t>Volume 27, p. 100450.</w:t>
              </w:r>
            </w:p>
            <w:p w14:paraId="0B25DC4B" w14:textId="77777777" w:rsidR="000307F0" w:rsidRDefault="000307F0" w:rsidP="000307F0">
              <w:pPr>
                <w:pStyle w:val="Bibliography"/>
                <w:rPr>
                  <w:noProof/>
                </w:rPr>
              </w:pPr>
              <w:r>
                <w:rPr>
                  <w:noProof/>
                </w:rPr>
                <w:t xml:space="preserve">The Science Hive, 2023. </w:t>
              </w:r>
              <w:r>
                <w:rPr>
                  <w:i/>
                  <w:iCs/>
                  <w:noProof/>
                </w:rPr>
                <w:t xml:space="preserve">Electrolysis. </w:t>
              </w:r>
              <w:r>
                <w:rPr>
                  <w:noProof/>
                </w:rPr>
                <w:t xml:space="preserve">[Online] </w:t>
              </w:r>
              <w:r>
                <w:rPr>
                  <w:noProof/>
                </w:rPr>
                <w:br/>
                <w:t xml:space="preserve">Available at: </w:t>
              </w:r>
              <w:r>
                <w:rPr>
                  <w:noProof/>
                  <w:u w:val="single"/>
                </w:rPr>
                <w:t>https://www.thesciencehive.co.uk/electrolysis</w:t>
              </w:r>
              <w:r>
                <w:rPr>
                  <w:noProof/>
                </w:rPr>
                <w:br/>
                <w:t>[Accessed 19 March 2023].</w:t>
              </w:r>
            </w:p>
            <w:p w14:paraId="4680D022" w14:textId="77777777" w:rsidR="000307F0" w:rsidRDefault="000307F0" w:rsidP="000307F0">
              <w:pPr>
                <w:pStyle w:val="Bibliography"/>
                <w:rPr>
                  <w:noProof/>
                </w:rPr>
              </w:pPr>
              <w:r>
                <w:rPr>
                  <w:noProof/>
                </w:rPr>
                <w:lastRenderedPageBreak/>
                <w:t xml:space="preserve">Wright, M., 2020. A review. Composites Part B: Engineering. </w:t>
              </w:r>
              <w:r>
                <w:rPr>
                  <w:i/>
                  <w:iCs/>
                  <w:noProof/>
                </w:rPr>
                <w:t xml:space="preserve">Composite materials for hydrogen storage, </w:t>
              </w:r>
              <w:r>
                <w:rPr>
                  <w:noProof/>
                </w:rPr>
                <w:t>Volume 186, p. 107802.</w:t>
              </w:r>
            </w:p>
            <w:p w14:paraId="56BD8C9B" w14:textId="77777777" w:rsidR="000307F0" w:rsidRDefault="000307F0" w:rsidP="000307F0">
              <w:pPr>
                <w:pStyle w:val="Bibliography"/>
                <w:rPr>
                  <w:noProof/>
                </w:rPr>
              </w:pPr>
              <w:r>
                <w:rPr>
                  <w:noProof/>
                </w:rPr>
                <w:t xml:space="preserve">Xie, J. W. Y. Y. C. Y. X. &amp;. L. Y., 2020. Research progress and development prospects of green hydrogen production by water electrolysis.. </w:t>
              </w:r>
              <w:r>
                <w:rPr>
                  <w:i/>
                  <w:iCs/>
                  <w:noProof/>
                </w:rPr>
                <w:t xml:space="preserve">International Journal of Hydrogen Energy, </w:t>
              </w:r>
              <w:r>
                <w:rPr>
                  <w:noProof/>
                </w:rPr>
                <w:t>45(8), pp. 4566-4581.</w:t>
              </w:r>
            </w:p>
            <w:p w14:paraId="40C7F17F" w14:textId="77777777" w:rsidR="000307F0" w:rsidRDefault="000307F0" w:rsidP="000307F0">
              <w:pPr>
                <w:pStyle w:val="Bibliography"/>
                <w:rPr>
                  <w:noProof/>
                </w:rPr>
              </w:pPr>
              <w:r>
                <w:rPr>
                  <w:noProof/>
                </w:rPr>
                <w:t xml:space="preserve">Yoshida, S. T. Y. M. T. T. M. S. H. T. O. Y. T., 2018. Fatigue performance of composite pressure vessel for hydrogen storage. </w:t>
              </w:r>
              <w:r>
                <w:rPr>
                  <w:i/>
                  <w:iCs/>
                  <w:noProof/>
                </w:rPr>
                <w:t xml:space="preserve">International Journal of Hydrogen Energy., </w:t>
              </w:r>
              <w:r>
                <w:rPr>
                  <w:noProof/>
                </w:rPr>
                <w:t>43(14), pp. 7103-7113..</w:t>
              </w:r>
            </w:p>
            <w:p w14:paraId="51887126" w14:textId="77777777" w:rsidR="000307F0" w:rsidRDefault="000307F0" w:rsidP="000307F0">
              <w:pPr>
                <w:pStyle w:val="Bibliography"/>
                <w:rPr>
                  <w:noProof/>
                </w:rPr>
              </w:pPr>
              <w:r>
                <w:rPr>
                  <w:noProof/>
                </w:rPr>
                <w:t xml:space="preserve">Zhang C, G. R. J. K.-W. K. S. H. S.-M. P. H.-G. G. G., 2019. Direct conversion of carbon dioxide to liquid fuels and synthetic natural gas. </w:t>
              </w:r>
              <w:r>
                <w:rPr>
                  <w:i/>
                  <w:iCs/>
                  <w:noProof/>
                </w:rPr>
                <w:t xml:space="preserve">Journal of CO2 Utilization, </w:t>
              </w:r>
              <w:r>
                <w:rPr>
                  <w:noProof/>
                </w:rPr>
                <w:t>Volume 34, pp. 293-302.</w:t>
              </w:r>
            </w:p>
            <w:p w14:paraId="018B7901" w14:textId="143DCC84" w:rsidR="000307F0" w:rsidRDefault="000307F0" w:rsidP="000307F0">
              <w:r>
                <w:rPr>
                  <w:b/>
                  <w:bCs/>
                  <w:noProof/>
                </w:rPr>
                <w:fldChar w:fldCharType="end"/>
              </w:r>
            </w:p>
          </w:sdtContent>
        </w:sdt>
      </w:sdtContent>
    </w:sdt>
    <w:p w14:paraId="1A91CA2C" w14:textId="77777777" w:rsidR="000307F0" w:rsidRPr="000307F0" w:rsidRDefault="000307F0" w:rsidP="000307F0">
      <w:pPr>
        <w:rPr>
          <w:lang w:eastAsia="en-GB"/>
        </w:rPr>
      </w:pPr>
    </w:p>
    <w:p w14:paraId="5EC4DE27" w14:textId="1D1448C3" w:rsidR="000307F0" w:rsidRDefault="000307F0" w:rsidP="000307F0">
      <w:pPr>
        <w:rPr>
          <w:lang w:eastAsia="en-GB"/>
        </w:rPr>
      </w:pPr>
    </w:p>
    <w:p w14:paraId="2E381DE8" w14:textId="3E100323" w:rsidR="000307F0" w:rsidRDefault="000307F0" w:rsidP="000307F0">
      <w:pPr>
        <w:rPr>
          <w:lang w:eastAsia="en-GB"/>
        </w:rPr>
      </w:pPr>
    </w:p>
    <w:p w14:paraId="07552B10" w14:textId="6961B404" w:rsidR="000307F0" w:rsidRDefault="000307F0" w:rsidP="000307F0">
      <w:pPr>
        <w:rPr>
          <w:lang w:eastAsia="en-GB"/>
        </w:rPr>
      </w:pPr>
    </w:p>
    <w:p w14:paraId="6443E7ED" w14:textId="1C254D36" w:rsidR="000307F0" w:rsidRDefault="000307F0" w:rsidP="000307F0">
      <w:pPr>
        <w:rPr>
          <w:lang w:eastAsia="en-GB"/>
        </w:rPr>
      </w:pPr>
    </w:p>
    <w:p w14:paraId="5E0FC97C" w14:textId="1EB19515" w:rsidR="000307F0" w:rsidRDefault="000307F0" w:rsidP="000307F0">
      <w:pPr>
        <w:rPr>
          <w:lang w:eastAsia="en-GB"/>
        </w:rPr>
      </w:pPr>
    </w:p>
    <w:p w14:paraId="1DB103D9" w14:textId="2AED5EAB" w:rsidR="000307F0" w:rsidRDefault="000307F0" w:rsidP="000307F0">
      <w:pPr>
        <w:rPr>
          <w:lang w:eastAsia="en-GB"/>
        </w:rPr>
      </w:pPr>
    </w:p>
    <w:p w14:paraId="6F55A0DB" w14:textId="4308F07D" w:rsidR="000307F0" w:rsidRDefault="000307F0" w:rsidP="000307F0">
      <w:pPr>
        <w:rPr>
          <w:lang w:eastAsia="en-GB"/>
        </w:rPr>
      </w:pPr>
    </w:p>
    <w:p w14:paraId="48FEB9DC" w14:textId="6F2D0D94" w:rsidR="000307F0" w:rsidRDefault="000307F0" w:rsidP="000307F0">
      <w:pPr>
        <w:rPr>
          <w:lang w:eastAsia="en-GB"/>
        </w:rPr>
      </w:pPr>
    </w:p>
    <w:p w14:paraId="2E6ECCBF" w14:textId="6BB1771A" w:rsidR="000307F0" w:rsidRDefault="000307F0" w:rsidP="000307F0">
      <w:pPr>
        <w:rPr>
          <w:lang w:eastAsia="en-GB"/>
        </w:rPr>
      </w:pPr>
    </w:p>
    <w:p w14:paraId="123317BC" w14:textId="4D22415E" w:rsidR="000307F0" w:rsidRDefault="000307F0" w:rsidP="000307F0">
      <w:pPr>
        <w:rPr>
          <w:lang w:eastAsia="en-GB"/>
        </w:rPr>
      </w:pPr>
    </w:p>
    <w:p w14:paraId="36328439" w14:textId="4B0746B6" w:rsidR="000307F0" w:rsidRDefault="000307F0" w:rsidP="000307F0">
      <w:pPr>
        <w:rPr>
          <w:lang w:eastAsia="en-GB"/>
        </w:rPr>
      </w:pPr>
    </w:p>
    <w:p w14:paraId="7130A34F" w14:textId="71F5FCD1" w:rsidR="000307F0" w:rsidRDefault="000307F0" w:rsidP="000307F0">
      <w:pPr>
        <w:rPr>
          <w:lang w:eastAsia="en-GB"/>
        </w:rPr>
      </w:pPr>
    </w:p>
    <w:p w14:paraId="04F0C628" w14:textId="23EE931F" w:rsidR="000307F0" w:rsidRDefault="000307F0" w:rsidP="000307F0">
      <w:pPr>
        <w:rPr>
          <w:lang w:eastAsia="en-GB"/>
        </w:rPr>
      </w:pPr>
    </w:p>
    <w:p w14:paraId="128ED4A5" w14:textId="0C808341" w:rsidR="000307F0" w:rsidRDefault="000307F0" w:rsidP="000307F0">
      <w:pPr>
        <w:rPr>
          <w:lang w:eastAsia="en-GB"/>
        </w:rPr>
      </w:pPr>
    </w:p>
    <w:p w14:paraId="393808C4" w14:textId="35B50ADD" w:rsidR="000307F0" w:rsidRDefault="000307F0" w:rsidP="000307F0">
      <w:pPr>
        <w:rPr>
          <w:lang w:eastAsia="en-GB"/>
        </w:rPr>
      </w:pPr>
    </w:p>
    <w:p w14:paraId="7D6E9AF2" w14:textId="173B2DE1" w:rsidR="000307F0" w:rsidRDefault="000307F0" w:rsidP="000307F0">
      <w:pPr>
        <w:rPr>
          <w:lang w:eastAsia="en-GB"/>
        </w:rPr>
      </w:pPr>
    </w:p>
    <w:p w14:paraId="545BBCDF" w14:textId="5E699053" w:rsidR="000307F0" w:rsidRDefault="000307F0" w:rsidP="000307F0">
      <w:pPr>
        <w:rPr>
          <w:lang w:eastAsia="en-GB"/>
        </w:rPr>
      </w:pPr>
    </w:p>
    <w:p w14:paraId="12D2ADC7" w14:textId="376154CE" w:rsidR="000307F0" w:rsidRDefault="000307F0" w:rsidP="000307F0">
      <w:pPr>
        <w:rPr>
          <w:lang w:eastAsia="en-GB"/>
        </w:rPr>
      </w:pPr>
    </w:p>
    <w:p w14:paraId="2BFF2E71" w14:textId="77A56317" w:rsidR="000307F0" w:rsidRDefault="000307F0" w:rsidP="000307F0">
      <w:pPr>
        <w:rPr>
          <w:lang w:eastAsia="en-GB"/>
        </w:rPr>
      </w:pPr>
    </w:p>
    <w:p w14:paraId="1ED7527B" w14:textId="45840C87" w:rsidR="000307F0" w:rsidRDefault="000307F0" w:rsidP="000307F0">
      <w:pPr>
        <w:rPr>
          <w:lang w:eastAsia="en-GB"/>
        </w:rPr>
      </w:pPr>
    </w:p>
    <w:p w14:paraId="75E17AB2" w14:textId="662CEED4" w:rsidR="000307F0" w:rsidRDefault="000307F0" w:rsidP="000307F0">
      <w:pPr>
        <w:rPr>
          <w:lang w:eastAsia="en-GB"/>
        </w:rPr>
      </w:pPr>
    </w:p>
    <w:p w14:paraId="64D33812" w14:textId="161AEA73" w:rsidR="000307F0" w:rsidRDefault="000307F0" w:rsidP="000307F0">
      <w:pPr>
        <w:rPr>
          <w:lang w:eastAsia="en-GB"/>
        </w:rPr>
      </w:pPr>
    </w:p>
    <w:p w14:paraId="1A37D9EC" w14:textId="77777777" w:rsidR="000307F0" w:rsidRDefault="000307F0" w:rsidP="000307F0">
      <w:pPr>
        <w:rPr>
          <w:lang w:eastAsia="en-GB"/>
        </w:rPr>
      </w:pPr>
    </w:p>
    <w:p w14:paraId="1AB06B69" w14:textId="7D154926" w:rsidR="000307F0" w:rsidRDefault="000307F0" w:rsidP="000307F0">
      <w:pPr>
        <w:rPr>
          <w:lang w:eastAsia="en-GB"/>
        </w:rPr>
      </w:pPr>
    </w:p>
    <w:p w14:paraId="34A424E0" w14:textId="77777777" w:rsidR="000307F0" w:rsidRPr="000307F0" w:rsidRDefault="000307F0" w:rsidP="000307F0">
      <w:pPr>
        <w:rPr>
          <w:lang w:eastAsia="en-GB"/>
        </w:rPr>
      </w:pPr>
    </w:p>
    <w:p w14:paraId="29B5CC9F" w14:textId="4E4420BF" w:rsidR="00620C88" w:rsidRDefault="009A4CC1" w:rsidP="00EA1B10">
      <w:pPr>
        <w:pStyle w:val="Heading1"/>
      </w:pPr>
      <w:bookmarkStart w:id="51" w:name="_Toc130736554"/>
      <w:r>
        <w:lastRenderedPageBreak/>
        <w:t>Appendices</w:t>
      </w:r>
      <w:bookmarkEnd w:id="51"/>
    </w:p>
    <w:p w14:paraId="26A9260A" w14:textId="422521A1" w:rsidR="000A14B8" w:rsidRDefault="000A14B8" w:rsidP="000A14B8">
      <w:pPr>
        <w:rPr>
          <w:lang w:eastAsia="en-GB"/>
        </w:rPr>
      </w:pPr>
    </w:p>
    <w:p w14:paraId="2587E8B8" w14:textId="4FD8D7EA" w:rsidR="000A14B8" w:rsidRPr="000A14B8" w:rsidRDefault="000A14B8" w:rsidP="000A14B8">
      <w:pPr>
        <w:rPr>
          <w:lang w:eastAsia="en-GB"/>
        </w:rPr>
      </w:pPr>
      <w:r>
        <w:rPr>
          <w:lang w:eastAsia="en-GB"/>
        </w:rPr>
        <w:t>Appendix 1. Digital Twin Scope of Work</w:t>
      </w:r>
    </w:p>
    <w:p w14:paraId="3D76B8DF" w14:textId="0E9F112A" w:rsidR="000A14B8" w:rsidRDefault="000A14B8" w:rsidP="000A14B8">
      <w:pPr>
        <w:rPr>
          <w:lang w:eastAsia="en-GB"/>
        </w:rPr>
      </w:pPr>
    </w:p>
    <w:p w14:paraId="459E32CC" w14:textId="1371ECDB" w:rsidR="000A14B8" w:rsidRDefault="000A14B8" w:rsidP="000A14B8">
      <w:pPr>
        <w:pStyle w:val="Default"/>
        <w:rPr>
          <w:sz w:val="20"/>
          <w:szCs w:val="20"/>
        </w:rPr>
      </w:pPr>
      <w:r>
        <w:rPr>
          <w:noProof/>
        </w:rPr>
        <w:drawing>
          <wp:inline distT="0" distB="0" distL="0" distR="0" wp14:anchorId="3692F01A" wp14:editId="3BE4A96A">
            <wp:extent cx="4777921" cy="6736977"/>
            <wp:effectExtent l="0" t="0" r="3810" b="6985"/>
            <wp:docPr id="9" name="Picture 9" descr="A picture containing text, solar c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olar cell&#10;&#10;Description automatically generated"/>
                    <pic:cNvPicPr/>
                  </pic:nvPicPr>
                  <pic:blipFill>
                    <a:blip r:embed="rId19"/>
                    <a:stretch>
                      <a:fillRect/>
                    </a:stretch>
                  </pic:blipFill>
                  <pic:spPr>
                    <a:xfrm>
                      <a:off x="0" y="0"/>
                      <a:ext cx="4783693" cy="6745116"/>
                    </a:xfrm>
                    <a:prstGeom prst="rect">
                      <a:avLst/>
                    </a:prstGeom>
                  </pic:spPr>
                </pic:pic>
              </a:graphicData>
            </a:graphic>
          </wp:inline>
        </w:drawing>
      </w:r>
    </w:p>
    <w:p w14:paraId="1498489B" w14:textId="31262662" w:rsidR="008B3C40" w:rsidRDefault="008B3C40" w:rsidP="000A14B8">
      <w:pPr>
        <w:pStyle w:val="Default"/>
        <w:rPr>
          <w:sz w:val="20"/>
          <w:szCs w:val="20"/>
        </w:rPr>
      </w:pPr>
    </w:p>
    <w:p w14:paraId="1F9B450C" w14:textId="22B4AB79" w:rsidR="008B3C40" w:rsidRDefault="008B3C40" w:rsidP="000A14B8">
      <w:pPr>
        <w:pStyle w:val="Default"/>
        <w:rPr>
          <w:sz w:val="20"/>
          <w:szCs w:val="20"/>
        </w:rPr>
      </w:pPr>
    </w:p>
    <w:p w14:paraId="08231571" w14:textId="44FA4F07" w:rsidR="008B3C40" w:rsidRDefault="008B3C40" w:rsidP="000A14B8">
      <w:pPr>
        <w:pStyle w:val="Default"/>
        <w:rPr>
          <w:sz w:val="20"/>
          <w:szCs w:val="20"/>
        </w:rPr>
      </w:pPr>
    </w:p>
    <w:p w14:paraId="51B69FDD" w14:textId="661FBB0C" w:rsidR="008B3C40" w:rsidRDefault="008B3C40" w:rsidP="000A14B8">
      <w:pPr>
        <w:pStyle w:val="Default"/>
        <w:rPr>
          <w:sz w:val="20"/>
          <w:szCs w:val="20"/>
        </w:rPr>
      </w:pPr>
    </w:p>
    <w:p w14:paraId="6A57AC6D" w14:textId="407EAF1C" w:rsidR="008B3C40" w:rsidRDefault="008B3C40" w:rsidP="000A14B8">
      <w:pPr>
        <w:pStyle w:val="Default"/>
        <w:rPr>
          <w:sz w:val="20"/>
          <w:szCs w:val="20"/>
        </w:rPr>
      </w:pPr>
    </w:p>
    <w:p w14:paraId="57109305" w14:textId="77777777" w:rsidR="008B3C40" w:rsidRDefault="008B3C40" w:rsidP="000A14B8">
      <w:pPr>
        <w:pStyle w:val="Default"/>
        <w:rPr>
          <w:sz w:val="20"/>
          <w:szCs w:val="20"/>
        </w:rPr>
      </w:pPr>
    </w:p>
    <w:p w14:paraId="2CFE4834" w14:textId="77777777" w:rsidR="000A14B8" w:rsidRDefault="000A14B8" w:rsidP="000A14B8">
      <w:pPr>
        <w:pStyle w:val="Default"/>
        <w:rPr>
          <w:sz w:val="20"/>
          <w:szCs w:val="20"/>
        </w:rPr>
      </w:pPr>
    </w:p>
    <w:p w14:paraId="27655D30" w14:textId="610F8F6E" w:rsidR="000A14B8" w:rsidRDefault="000A14B8" w:rsidP="000A14B8">
      <w:pPr>
        <w:pStyle w:val="Default"/>
        <w:rPr>
          <w:sz w:val="20"/>
          <w:szCs w:val="20"/>
        </w:rPr>
      </w:pPr>
      <w:r>
        <w:rPr>
          <w:sz w:val="20"/>
          <w:szCs w:val="20"/>
        </w:rPr>
        <w:lastRenderedPageBreak/>
        <w:t xml:space="preserve">1. INTRODUCTION </w:t>
      </w:r>
    </w:p>
    <w:p w14:paraId="76B4BA46" w14:textId="77777777" w:rsidR="000A14B8" w:rsidRDefault="000A14B8" w:rsidP="000A14B8">
      <w:pPr>
        <w:pStyle w:val="Default"/>
        <w:rPr>
          <w:sz w:val="20"/>
          <w:szCs w:val="20"/>
        </w:rPr>
      </w:pPr>
      <w:r>
        <w:rPr>
          <w:rFonts w:ascii="Cambria" w:hAnsi="Cambria" w:cs="Cambria"/>
          <w:sz w:val="20"/>
          <w:szCs w:val="20"/>
        </w:rPr>
        <w:t xml:space="preserve">Protium is developing the project Pioneer which is its first UK electrolyser deployment in South Wales to generate electrolytic hydrogen. As part of its Digital Strategy to accelerate the net zero transition leveraging the power of digital tools, Protium aims to build a Digital Twin of the project Pioneer system that is able to increase the overall system efficiency, allows operational optimisation, improve asset management, productivity and safety, and deliver cost savings. </w:t>
      </w:r>
    </w:p>
    <w:p w14:paraId="0E5B0658" w14:textId="77777777" w:rsidR="000A14B8" w:rsidRDefault="000A14B8" w:rsidP="000A14B8">
      <w:pPr>
        <w:pStyle w:val="Default"/>
        <w:rPr>
          <w:sz w:val="20"/>
          <w:szCs w:val="20"/>
        </w:rPr>
      </w:pPr>
      <w:r>
        <w:rPr>
          <w:rFonts w:ascii="Cambria" w:hAnsi="Cambria" w:cs="Cambria"/>
          <w:sz w:val="20"/>
          <w:szCs w:val="20"/>
        </w:rPr>
        <w:t xml:space="preserve">This document provides an overview of the system to be deployed and describes the requirements and scope of work for the Digital Twin development. </w:t>
      </w:r>
    </w:p>
    <w:p w14:paraId="550F1BA2" w14:textId="77777777" w:rsidR="000A14B8" w:rsidRDefault="000A14B8" w:rsidP="000A14B8">
      <w:pPr>
        <w:pStyle w:val="Default"/>
        <w:rPr>
          <w:sz w:val="20"/>
          <w:szCs w:val="20"/>
        </w:rPr>
      </w:pPr>
      <w:r>
        <w:rPr>
          <w:sz w:val="20"/>
          <w:szCs w:val="20"/>
        </w:rPr>
        <w:t xml:space="preserve">2. PIONEER PROJECT OVERVIEW </w:t>
      </w:r>
    </w:p>
    <w:p w14:paraId="3FA4027F" w14:textId="77777777" w:rsidR="000A14B8" w:rsidRDefault="000A14B8" w:rsidP="000A14B8">
      <w:pPr>
        <w:pStyle w:val="Default"/>
        <w:rPr>
          <w:sz w:val="20"/>
          <w:szCs w:val="20"/>
        </w:rPr>
      </w:pPr>
      <w:r>
        <w:rPr>
          <w:sz w:val="20"/>
          <w:szCs w:val="20"/>
        </w:rPr>
        <w:t xml:space="preserve">2.1. Background </w:t>
      </w:r>
    </w:p>
    <w:p w14:paraId="1200AA84" w14:textId="77777777" w:rsidR="000A14B8" w:rsidRDefault="000A14B8" w:rsidP="000A14B8">
      <w:pPr>
        <w:pStyle w:val="Default"/>
        <w:rPr>
          <w:sz w:val="20"/>
          <w:szCs w:val="20"/>
        </w:rPr>
      </w:pPr>
      <w:r>
        <w:rPr>
          <w:rFonts w:ascii="Cambria" w:hAnsi="Cambria" w:cs="Cambria"/>
          <w:sz w:val="20"/>
          <w:szCs w:val="20"/>
        </w:rPr>
        <w:t xml:space="preserve">The Pioneer project is the deployment of an electrolyser, circa 100 kW, comprising 40 Enapter EL 2.1 units, and will be used to generate up to ~45 kg/d of electrolytic hydrogen at up to 450 </w:t>
      </w:r>
      <w:proofErr w:type="spellStart"/>
      <w:r>
        <w:rPr>
          <w:rFonts w:ascii="Cambria" w:hAnsi="Cambria" w:cs="Cambria"/>
          <w:sz w:val="20"/>
          <w:szCs w:val="20"/>
        </w:rPr>
        <w:t>barg</w:t>
      </w:r>
      <w:proofErr w:type="spellEnd"/>
      <w:r>
        <w:rPr>
          <w:rFonts w:ascii="Cambria" w:hAnsi="Cambria" w:cs="Cambria"/>
          <w:sz w:val="20"/>
          <w:szCs w:val="20"/>
        </w:rPr>
        <w:t xml:space="preserve">. For the initial phase of the project, the Low Pressure (LP) buffer storage will comprise of 4x manifolded Manifold Cylinder Pallets (MCPs) totalling 3,200L of storage, with the potential to be switched out to a dedicated LP storage tank in the future. </w:t>
      </w:r>
    </w:p>
    <w:p w14:paraId="3E9A3E67" w14:textId="77777777" w:rsidR="000A14B8" w:rsidRDefault="000A14B8" w:rsidP="000A14B8">
      <w:pPr>
        <w:pStyle w:val="Default"/>
        <w:rPr>
          <w:sz w:val="20"/>
          <w:szCs w:val="20"/>
        </w:rPr>
      </w:pPr>
      <w:r>
        <w:rPr>
          <w:rFonts w:ascii="Cambria" w:hAnsi="Cambria" w:cs="Cambria"/>
          <w:sz w:val="20"/>
          <w:szCs w:val="20"/>
        </w:rPr>
        <w:t xml:space="preserve">For this project, the hydrogen will be produced by electrolysis from grid power, with future potential to integrate solar power into the system to generate green hydrogen. </w:t>
      </w:r>
    </w:p>
    <w:p w14:paraId="3E58D4F4" w14:textId="77777777" w:rsidR="000A14B8" w:rsidRDefault="000A14B8" w:rsidP="000A14B8">
      <w:pPr>
        <w:pStyle w:val="Default"/>
        <w:rPr>
          <w:sz w:val="20"/>
          <w:szCs w:val="20"/>
        </w:rPr>
      </w:pPr>
      <w:r>
        <w:rPr>
          <w:sz w:val="20"/>
          <w:szCs w:val="20"/>
        </w:rPr>
        <w:t xml:space="preserve">2.2. System Description </w:t>
      </w:r>
    </w:p>
    <w:p w14:paraId="70EE5ED1" w14:textId="77777777" w:rsidR="000A14B8" w:rsidRDefault="000A14B8" w:rsidP="000A14B8">
      <w:pPr>
        <w:pStyle w:val="Default"/>
        <w:rPr>
          <w:sz w:val="20"/>
          <w:szCs w:val="20"/>
        </w:rPr>
      </w:pPr>
      <w:r>
        <w:rPr>
          <w:rFonts w:ascii="Cambria" w:hAnsi="Cambria" w:cs="Cambria"/>
          <w:sz w:val="20"/>
          <w:szCs w:val="20"/>
        </w:rPr>
        <w:t>The Electrolyser Container is designed to generate high-purity hydrogen gas from deionised water. It houses a total of 40 Enapter 2.1 LC electrolysers and 8 Enapter 2.1 Dryer modules. Each of the 2.4kW AEM modules produces hydrogen at a rate of ~1kg H</w:t>
      </w:r>
      <w:r>
        <w:rPr>
          <w:rFonts w:ascii="Cambria" w:hAnsi="Cambria" w:cs="Cambria"/>
          <w:sz w:val="13"/>
          <w:szCs w:val="13"/>
        </w:rPr>
        <w:t xml:space="preserve">2 </w:t>
      </w:r>
      <w:r>
        <w:rPr>
          <w:rFonts w:ascii="Cambria" w:hAnsi="Cambria" w:cs="Cambria"/>
          <w:sz w:val="20"/>
          <w:szCs w:val="20"/>
        </w:rPr>
        <w:t xml:space="preserve">per module per day (500 Normal Litres/hour) at a pressure of 35 bar. </w:t>
      </w:r>
    </w:p>
    <w:p w14:paraId="03B87163" w14:textId="77777777" w:rsidR="000A14B8" w:rsidRDefault="000A14B8" w:rsidP="000A14B8">
      <w:pPr>
        <w:pStyle w:val="Default"/>
        <w:rPr>
          <w:sz w:val="20"/>
          <w:szCs w:val="20"/>
        </w:rPr>
      </w:pPr>
      <w:r>
        <w:rPr>
          <w:rFonts w:ascii="Cambria" w:hAnsi="Cambria" w:cs="Cambria"/>
          <w:sz w:val="20"/>
          <w:szCs w:val="20"/>
        </w:rPr>
        <w:t xml:space="preserve">Mains water is provided via a hose connection on the back wall of the container and stored in a 100L break tank. From here the mains water is filtered through a reverse osmosis (RO) system and deionised, and the deionised water is stored in a second break tank which feeds the electrolysers. </w:t>
      </w:r>
    </w:p>
    <w:p w14:paraId="55E2A760" w14:textId="77777777" w:rsidR="000A14B8" w:rsidRDefault="000A14B8" w:rsidP="000A14B8">
      <w:pPr>
        <w:pStyle w:val="Default"/>
        <w:rPr>
          <w:sz w:val="20"/>
          <w:szCs w:val="20"/>
        </w:rPr>
      </w:pPr>
      <w:r>
        <w:rPr>
          <w:rFonts w:ascii="Cambria" w:hAnsi="Cambria" w:cs="Cambria"/>
          <w:sz w:val="20"/>
          <w:szCs w:val="20"/>
        </w:rPr>
        <w:t xml:space="preserve">Within each rack, the hydrogen outlet line from each electrolyser feeds into a common outlet line which transports hydrogen via a single inlet into the dryer, which removes residual moisture from the hydrogen gas stream. The hydrogen outlet line from each dryer then feed a common dried hydrogen line, which is routed out of the container for external use. Each electrolyser also has a purge line, which vents hydrogen at various points in the production cycle. </w:t>
      </w:r>
    </w:p>
    <w:p w14:paraId="733BE17E" w14:textId="77777777" w:rsidR="000A14B8" w:rsidRDefault="000A14B8" w:rsidP="000A14B8">
      <w:pPr>
        <w:pStyle w:val="Default"/>
        <w:rPr>
          <w:sz w:val="20"/>
          <w:szCs w:val="20"/>
        </w:rPr>
      </w:pPr>
      <w:r>
        <w:rPr>
          <w:rFonts w:ascii="Cambria" w:hAnsi="Cambria" w:cs="Cambria"/>
          <w:sz w:val="20"/>
          <w:szCs w:val="20"/>
        </w:rPr>
        <w:t xml:space="preserve">The electrolysers also produce a humid oxygen stream, which is vented to high level. Three ATEX rated fans provide high dilution to prevent high concentrations of hydrogen in the event of a leak. </w:t>
      </w:r>
    </w:p>
    <w:p w14:paraId="5B4693E3" w14:textId="77777777" w:rsidR="000A14B8" w:rsidRDefault="000A14B8" w:rsidP="000A14B8">
      <w:pPr>
        <w:pStyle w:val="Default"/>
        <w:rPr>
          <w:sz w:val="20"/>
          <w:szCs w:val="20"/>
        </w:rPr>
      </w:pPr>
      <w:r>
        <w:rPr>
          <w:rFonts w:ascii="Cambria" w:hAnsi="Cambria" w:cs="Cambria"/>
          <w:sz w:val="20"/>
          <w:szCs w:val="20"/>
        </w:rPr>
        <w:t xml:space="preserve">Each individual electrolyser is also provided with coolant to maintain optimum operating temperature. The coolant is fed via a packaged chiller which is located outside of the container. </w:t>
      </w:r>
    </w:p>
    <w:p w14:paraId="3DA441B5" w14:textId="77777777" w:rsidR="000A14B8" w:rsidRDefault="000A14B8" w:rsidP="000A14B8">
      <w:pPr>
        <w:pStyle w:val="Default"/>
        <w:rPr>
          <w:sz w:val="20"/>
          <w:szCs w:val="20"/>
        </w:rPr>
      </w:pPr>
      <w:r>
        <w:rPr>
          <w:rFonts w:ascii="Cambria" w:hAnsi="Cambria" w:cs="Cambria"/>
          <w:sz w:val="20"/>
          <w:szCs w:val="20"/>
        </w:rPr>
        <w:t xml:space="preserve">Each module has a safety valve installed which will activate at a pressure of 40 bar in the event of an overpressure and are vented externally via one of the 2 vent lines. </w:t>
      </w:r>
    </w:p>
    <w:p w14:paraId="61799937" w14:textId="77777777" w:rsidR="000A14B8" w:rsidRDefault="000A14B8" w:rsidP="000A14B8">
      <w:pPr>
        <w:pStyle w:val="Default"/>
        <w:rPr>
          <w:sz w:val="20"/>
          <w:szCs w:val="20"/>
        </w:rPr>
      </w:pPr>
      <w:r>
        <w:rPr>
          <w:rFonts w:ascii="Cambria" w:hAnsi="Cambria" w:cs="Cambria"/>
          <w:sz w:val="20"/>
          <w:szCs w:val="20"/>
        </w:rPr>
        <w:t xml:space="preserve">The system is designed to be connected to buffer storage via an externally mounted manifold panel, from where it can be used as required. The LP storage comprises 4 sets of MCPs, each containing 16x 50L cylinders. </w:t>
      </w:r>
    </w:p>
    <w:p w14:paraId="10F7B25E" w14:textId="77777777" w:rsidR="000A14B8" w:rsidRDefault="000A14B8" w:rsidP="000A14B8">
      <w:pPr>
        <w:pStyle w:val="Default"/>
        <w:rPr>
          <w:sz w:val="16"/>
          <w:szCs w:val="16"/>
        </w:rPr>
      </w:pPr>
      <w:r>
        <w:rPr>
          <w:rFonts w:ascii="Cambria" w:hAnsi="Cambria" w:cs="Cambria"/>
          <w:sz w:val="20"/>
          <w:szCs w:val="20"/>
        </w:rPr>
        <w:t xml:space="preserve">Hydrogen is directly compressed through a reciprocating compressor into the storage system, which has a maximum fill rate of 2kg/hr. The compressor switches on when the inlet pressure drops below 30 </w:t>
      </w:r>
      <w:proofErr w:type="spellStart"/>
      <w:r>
        <w:rPr>
          <w:rFonts w:ascii="Cambria" w:hAnsi="Cambria" w:cs="Cambria"/>
          <w:sz w:val="20"/>
          <w:szCs w:val="20"/>
        </w:rPr>
        <w:t>barg</w:t>
      </w:r>
      <w:proofErr w:type="spellEnd"/>
      <w:r>
        <w:rPr>
          <w:rFonts w:ascii="Cambria" w:hAnsi="Cambria" w:cs="Cambria"/>
          <w:sz w:val="20"/>
          <w:szCs w:val="20"/>
        </w:rPr>
        <w:t xml:space="preserve"> and switches off when the outlet pressure reaches 380 </w:t>
      </w:r>
      <w:proofErr w:type="spellStart"/>
      <w:r>
        <w:rPr>
          <w:rFonts w:ascii="Cambria" w:hAnsi="Cambria" w:cs="Cambria"/>
          <w:sz w:val="20"/>
          <w:szCs w:val="20"/>
        </w:rPr>
        <w:t>barg</w:t>
      </w:r>
      <w:proofErr w:type="spellEnd"/>
      <w:r>
        <w:rPr>
          <w:rFonts w:ascii="Cambria" w:hAnsi="Cambria" w:cs="Cambria"/>
          <w:sz w:val="20"/>
          <w:szCs w:val="20"/>
        </w:rPr>
        <w:t xml:space="preserve">. Since the compressor is air-driven, there is an option to control turndown via the air flow. More detailed information on the compressor control scheme is not yet available. </w:t>
      </w:r>
      <w:r>
        <w:rPr>
          <w:color w:val="486091"/>
          <w:sz w:val="16"/>
          <w:szCs w:val="16"/>
        </w:rPr>
        <w:t xml:space="preserve">PAGE 5 OF 7 </w:t>
      </w:r>
    </w:p>
    <w:p w14:paraId="09827C65" w14:textId="77777777" w:rsidR="000A14B8" w:rsidRDefault="000A14B8" w:rsidP="000A14B8">
      <w:pPr>
        <w:pStyle w:val="Default"/>
        <w:rPr>
          <w:color w:val="auto"/>
        </w:rPr>
      </w:pPr>
    </w:p>
    <w:p w14:paraId="6DEAE3AA" w14:textId="77777777" w:rsidR="000A14B8" w:rsidRDefault="000A14B8" w:rsidP="000A14B8">
      <w:pPr>
        <w:pStyle w:val="Default"/>
        <w:pageBreakBefore/>
        <w:rPr>
          <w:color w:val="auto"/>
          <w:sz w:val="20"/>
          <w:szCs w:val="20"/>
        </w:rPr>
      </w:pPr>
      <w:r>
        <w:rPr>
          <w:color w:val="auto"/>
          <w:sz w:val="20"/>
          <w:szCs w:val="20"/>
        </w:rPr>
        <w:lastRenderedPageBreak/>
        <w:t xml:space="preserve">2.3. How the Electrolyser container works </w:t>
      </w:r>
    </w:p>
    <w:p w14:paraId="672CDAB4" w14:textId="77777777" w:rsidR="000A14B8" w:rsidRDefault="000A14B8" w:rsidP="000A14B8">
      <w:pPr>
        <w:pStyle w:val="Default"/>
        <w:rPr>
          <w:color w:val="auto"/>
          <w:sz w:val="20"/>
          <w:szCs w:val="20"/>
        </w:rPr>
      </w:pPr>
      <w:r>
        <w:rPr>
          <w:rFonts w:ascii="Cambria" w:hAnsi="Cambria" w:cs="Cambria"/>
          <w:color w:val="auto"/>
          <w:sz w:val="20"/>
          <w:szCs w:val="20"/>
        </w:rPr>
        <w:t xml:space="preserve">Prior to use, the electrolysers must be filled with 3.6L of 1% KOH solution provided by Enapter. The electrolyser modules and the dryer(s) may be switched on via the power switch on the units, or via the app. Once powered on, the electrolyser modules begin a warm-up cycle to increase the electrolyte temperature to 20°C. Next, the process pump will begin to cycle electrolyte through the modules. </w:t>
      </w:r>
    </w:p>
    <w:p w14:paraId="3ECF2599" w14:textId="77777777" w:rsidR="000A14B8" w:rsidRDefault="000A14B8" w:rsidP="000A14B8">
      <w:pPr>
        <w:pStyle w:val="Default"/>
        <w:rPr>
          <w:color w:val="auto"/>
          <w:sz w:val="20"/>
          <w:szCs w:val="20"/>
        </w:rPr>
      </w:pPr>
      <w:r>
        <w:rPr>
          <w:rFonts w:ascii="Cambria" w:hAnsi="Cambria" w:cs="Cambria"/>
          <w:color w:val="auto"/>
          <w:sz w:val="20"/>
          <w:szCs w:val="20"/>
        </w:rPr>
        <w:t xml:space="preserve">Each electrolyser goes through a warm up stage when started. Once the electrolyte temperature reaches 20°C, it begins generating hydrogen. The pressure at the electrolyser hydrogen output increases to 5 bar and then purges. This process happens twice and the hydrogen is purged to atmosphere. The electrolysers will then start producing hydrogen until the output pressure reaches 35 bar, allowing flow through the dryer. This reduces the water content in the hydrogen stream, increasing its purity. The dryer outlet also opens and hydrogen flows into the common, dried hydrogen outlet line where it can be accessed from the external container manifold. </w:t>
      </w:r>
    </w:p>
    <w:p w14:paraId="2BE2423D" w14:textId="77777777" w:rsidR="000A14B8" w:rsidRDefault="000A14B8" w:rsidP="000A14B8">
      <w:pPr>
        <w:pStyle w:val="Default"/>
        <w:rPr>
          <w:color w:val="auto"/>
          <w:sz w:val="20"/>
          <w:szCs w:val="20"/>
        </w:rPr>
      </w:pPr>
      <w:r>
        <w:rPr>
          <w:rFonts w:ascii="Cambria" w:hAnsi="Cambria" w:cs="Cambria"/>
          <w:color w:val="auto"/>
          <w:sz w:val="20"/>
          <w:szCs w:val="20"/>
        </w:rPr>
        <w:t xml:space="preserve">When the electrolyser container outlet pressure reaches 35 bar, the electrolysers will cease hydrogen production and automatically go into standby mode. When the pressure at the outlet of the dryer module decreases to 30 bar, the hydrogen generation process restarts. </w:t>
      </w:r>
    </w:p>
    <w:p w14:paraId="2213E7F7" w14:textId="31E51C74" w:rsidR="000A14B8" w:rsidRDefault="000A14B8" w:rsidP="000A14B8">
      <w:pPr>
        <w:pStyle w:val="Default"/>
        <w:rPr>
          <w:rFonts w:ascii="Cambria" w:hAnsi="Cambria" w:cs="Cambria"/>
          <w:color w:val="auto"/>
          <w:sz w:val="20"/>
          <w:szCs w:val="20"/>
        </w:rPr>
      </w:pPr>
      <w:r>
        <w:rPr>
          <w:rFonts w:ascii="Cambria" w:hAnsi="Cambria" w:cs="Cambria"/>
          <w:color w:val="auto"/>
          <w:sz w:val="20"/>
          <w:szCs w:val="20"/>
        </w:rPr>
        <w:t xml:space="preserve">If a storage tank is not connected to the outlet, then the electrolysers will simply generate hydrogen until they have pressurised the outlet line to 35 bar and then go to standby. </w:t>
      </w:r>
    </w:p>
    <w:p w14:paraId="3D816EB9" w14:textId="29818E38" w:rsidR="008B3C40" w:rsidRDefault="008B3C40" w:rsidP="000A14B8">
      <w:pPr>
        <w:pStyle w:val="Default"/>
        <w:rPr>
          <w:rFonts w:ascii="Cambria" w:hAnsi="Cambria" w:cs="Cambria"/>
          <w:color w:val="auto"/>
          <w:sz w:val="20"/>
          <w:szCs w:val="20"/>
        </w:rPr>
      </w:pPr>
    </w:p>
    <w:p w14:paraId="6A39BA1B" w14:textId="77777777" w:rsidR="008B3C40" w:rsidRDefault="008B3C40" w:rsidP="000A14B8">
      <w:pPr>
        <w:pStyle w:val="Default"/>
        <w:rPr>
          <w:color w:val="auto"/>
          <w:sz w:val="20"/>
          <w:szCs w:val="20"/>
        </w:rPr>
      </w:pP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1436"/>
        <w:gridCol w:w="478"/>
        <w:gridCol w:w="958"/>
        <w:gridCol w:w="956"/>
        <w:gridCol w:w="480"/>
        <w:gridCol w:w="1436"/>
      </w:tblGrid>
      <w:tr w:rsidR="000A14B8" w14:paraId="0CC308EC" w14:textId="77777777">
        <w:trPr>
          <w:trHeight w:val="99"/>
        </w:trPr>
        <w:tc>
          <w:tcPr>
            <w:tcW w:w="1436" w:type="dxa"/>
            <w:tcBorders>
              <w:top w:val="none" w:sz="6" w:space="0" w:color="auto"/>
              <w:bottom w:val="none" w:sz="6" w:space="0" w:color="auto"/>
              <w:right w:val="none" w:sz="6" w:space="0" w:color="auto"/>
            </w:tcBorders>
          </w:tcPr>
          <w:p w14:paraId="70B6C558" w14:textId="77777777" w:rsidR="000A14B8" w:rsidRDefault="000A14B8">
            <w:pPr>
              <w:pStyle w:val="Default"/>
              <w:rPr>
                <w:rFonts w:ascii="Cambria" w:hAnsi="Cambria" w:cs="Cambria"/>
                <w:sz w:val="20"/>
                <w:szCs w:val="20"/>
              </w:rPr>
            </w:pPr>
            <w:r>
              <w:rPr>
                <w:color w:val="auto"/>
                <w:sz w:val="20"/>
                <w:szCs w:val="20"/>
              </w:rPr>
              <w:t xml:space="preserve">2.4. Technical Information </w:t>
            </w:r>
            <w:r>
              <w:rPr>
                <w:rFonts w:ascii="Cambria" w:hAnsi="Cambria" w:cs="Cambria"/>
                <w:b/>
                <w:bCs/>
                <w:sz w:val="20"/>
                <w:szCs w:val="20"/>
              </w:rPr>
              <w:t xml:space="preserve">Parameter </w:t>
            </w:r>
          </w:p>
        </w:tc>
        <w:tc>
          <w:tcPr>
            <w:tcW w:w="1436" w:type="dxa"/>
            <w:gridSpan w:val="2"/>
            <w:tcBorders>
              <w:top w:val="none" w:sz="6" w:space="0" w:color="auto"/>
              <w:left w:val="none" w:sz="6" w:space="0" w:color="auto"/>
              <w:bottom w:val="none" w:sz="6" w:space="0" w:color="auto"/>
              <w:right w:val="none" w:sz="6" w:space="0" w:color="auto"/>
            </w:tcBorders>
          </w:tcPr>
          <w:p w14:paraId="2EBDC046" w14:textId="77777777" w:rsidR="000A14B8" w:rsidRDefault="000A14B8">
            <w:pPr>
              <w:pStyle w:val="Default"/>
              <w:rPr>
                <w:rFonts w:ascii="Cambria" w:hAnsi="Cambria" w:cs="Cambria"/>
                <w:sz w:val="20"/>
                <w:szCs w:val="20"/>
              </w:rPr>
            </w:pPr>
            <w:r>
              <w:rPr>
                <w:rFonts w:ascii="Cambria" w:hAnsi="Cambria" w:cs="Cambria"/>
                <w:b/>
                <w:bCs/>
                <w:sz w:val="20"/>
                <w:szCs w:val="20"/>
              </w:rPr>
              <w:t xml:space="preserve">Value </w:t>
            </w:r>
          </w:p>
        </w:tc>
        <w:tc>
          <w:tcPr>
            <w:tcW w:w="1436" w:type="dxa"/>
            <w:gridSpan w:val="2"/>
            <w:tcBorders>
              <w:top w:val="none" w:sz="6" w:space="0" w:color="auto"/>
              <w:left w:val="none" w:sz="6" w:space="0" w:color="auto"/>
              <w:bottom w:val="none" w:sz="6" w:space="0" w:color="auto"/>
              <w:right w:val="none" w:sz="6" w:space="0" w:color="auto"/>
            </w:tcBorders>
          </w:tcPr>
          <w:p w14:paraId="40860849" w14:textId="77777777" w:rsidR="000A14B8" w:rsidRDefault="000A14B8">
            <w:pPr>
              <w:pStyle w:val="Default"/>
              <w:rPr>
                <w:rFonts w:ascii="Cambria" w:hAnsi="Cambria" w:cs="Cambria"/>
                <w:sz w:val="20"/>
                <w:szCs w:val="20"/>
              </w:rPr>
            </w:pPr>
            <w:r>
              <w:rPr>
                <w:rFonts w:ascii="Cambria" w:hAnsi="Cambria" w:cs="Cambria"/>
                <w:b/>
                <w:bCs/>
                <w:sz w:val="20"/>
                <w:szCs w:val="20"/>
              </w:rPr>
              <w:t xml:space="preserve">Unit </w:t>
            </w:r>
          </w:p>
        </w:tc>
        <w:tc>
          <w:tcPr>
            <w:tcW w:w="1436" w:type="dxa"/>
            <w:tcBorders>
              <w:top w:val="none" w:sz="6" w:space="0" w:color="auto"/>
              <w:left w:val="none" w:sz="6" w:space="0" w:color="auto"/>
              <w:bottom w:val="none" w:sz="6" w:space="0" w:color="auto"/>
            </w:tcBorders>
          </w:tcPr>
          <w:p w14:paraId="70F89D9A" w14:textId="77777777" w:rsidR="000A14B8" w:rsidRDefault="000A14B8">
            <w:pPr>
              <w:pStyle w:val="Default"/>
              <w:rPr>
                <w:rFonts w:ascii="Cambria" w:hAnsi="Cambria" w:cs="Cambria"/>
                <w:sz w:val="20"/>
                <w:szCs w:val="20"/>
              </w:rPr>
            </w:pPr>
            <w:r>
              <w:rPr>
                <w:rFonts w:ascii="Cambria" w:hAnsi="Cambria" w:cs="Cambria"/>
                <w:b/>
                <w:bCs/>
                <w:sz w:val="20"/>
                <w:szCs w:val="20"/>
              </w:rPr>
              <w:t xml:space="preserve">Notes </w:t>
            </w:r>
          </w:p>
        </w:tc>
      </w:tr>
      <w:tr w:rsidR="000A14B8" w14:paraId="18001FD1" w14:textId="77777777">
        <w:trPr>
          <w:trHeight w:val="90"/>
        </w:trPr>
        <w:tc>
          <w:tcPr>
            <w:tcW w:w="1436" w:type="dxa"/>
            <w:tcBorders>
              <w:top w:val="none" w:sz="6" w:space="0" w:color="auto"/>
              <w:bottom w:val="none" w:sz="6" w:space="0" w:color="auto"/>
              <w:right w:val="none" w:sz="6" w:space="0" w:color="auto"/>
            </w:tcBorders>
          </w:tcPr>
          <w:p w14:paraId="3139EF78" w14:textId="77777777" w:rsidR="000A14B8" w:rsidRDefault="000A14B8">
            <w:pPr>
              <w:pStyle w:val="Default"/>
              <w:rPr>
                <w:sz w:val="18"/>
                <w:szCs w:val="18"/>
              </w:rPr>
            </w:pPr>
            <w:r>
              <w:rPr>
                <w:rFonts w:ascii="Cambria" w:hAnsi="Cambria" w:cs="Cambria"/>
                <w:sz w:val="18"/>
                <w:szCs w:val="18"/>
              </w:rPr>
              <w:t xml:space="preserve">Operating Temperature (Ambient) </w:t>
            </w:r>
          </w:p>
        </w:tc>
        <w:tc>
          <w:tcPr>
            <w:tcW w:w="1436" w:type="dxa"/>
            <w:gridSpan w:val="2"/>
            <w:tcBorders>
              <w:top w:val="none" w:sz="6" w:space="0" w:color="auto"/>
              <w:left w:val="none" w:sz="6" w:space="0" w:color="auto"/>
              <w:bottom w:val="none" w:sz="6" w:space="0" w:color="auto"/>
              <w:right w:val="none" w:sz="6" w:space="0" w:color="auto"/>
            </w:tcBorders>
          </w:tcPr>
          <w:p w14:paraId="16A4AF1B" w14:textId="77777777" w:rsidR="000A14B8" w:rsidRDefault="000A14B8">
            <w:pPr>
              <w:pStyle w:val="Default"/>
              <w:rPr>
                <w:rFonts w:ascii="Cambria" w:hAnsi="Cambria" w:cs="Cambria"/>
                <w:sz w:val="18"/>
                <w:szCs w:val="18"/>
              </w:rPr>
            </w:pPr>
            <w:r>
              <w:rPr>
                <w:rFonts w:ascii="Cambria" w:hAnsi="Cambria" w:cs="Cambria"/>
                <w:sz w:val="18"/>
                <w:szCs w:val="18"/>
              </w:rPr>
              <w:t xml:space="preserve">1 to 50 </w:t>
            </w:r>
          </w:p>
        </w:tc>
        <w:tc>
          <w:tcPr>
            <w:tcW w:w="1436" w:type="dxa"/>
            <w:gridSpan w:val="2"/>
            <w:tcBorders>
              <w:top w:val="none" w:sz="6" w:space="0" w:color="auto"/>
              <w:left w:val="none" w:sz="6" w:space="0" w:color="auto"/>
              <w:bottom w:val="none" w:sz="6" w:space="0" w:color="auto"/>
              <w:right w:val="none" w:sz="6" w:space="0" w:color="auto"/>
            </w:tcBorders>
          </w:tcPr>
          <w:p w14:paraId="46DE507C" w14:textId="77777777" w:rsidR="000A14B8" w:rsidRDefault="000A14B8">
            <w:pPr>
              <w:pStyle w:val="Default"/>
              <w:rPr>
                <w:rFonts w:ascii="Cambria" w:hAnsi="Cambria" w:cs="Cambria"/>
                <w:sz w:val="18"/>
                <w:szCs w:val="18"/>
              </w:rPr>
            </w:pPr>
            <w:r>
              <w:rPr>
                <w:rFonts w:ascii="Cambria" w:hAnsi="Cambria" w:cs="Cambria"/>
                <w:sz w:val="18"/>
                <w:szCs w:val="18"/>
              </w:rPr>
              <w:t xml:space="preserve">°C </w:t>
            </w:r>
          </w:p>
        </w:tc>
        <w:tc>
          <w:tcPr>
            <w:tcW w:w="1436" w:type="dxa"/>
            <w:tcBorders>
              <w:top w:val="none" w:sz="6" w:space="0" w:color="auto"/>
              <w:left w:val="none" w:sz="6" w:space="0" w:color="auto"/>
              <w:bottom w:val="none" w:sz="6" w:space="0" w:color="auto"/>
            </w:tcBorders>
          </w:tcPr>
          <w:p w14:paraId="59C28F4B" w14:textId="77777777" w:rsidR="000A14B8" w:rsidRDefault="000A14B8">
            <w:pPr>
              <w:pStyle w:val="Default"/>
              <w:rPr>
                <w:rFonts w:ascii="Cambria" w:hAnsi="Cambria" w:cs="Cambria"/>
                <w:sz w:val="18"/>
                <w:szCs w:val="18"/>
              </w:rPr>
            </w:pPr>
            <w:r>
              <w:rPr>
                <w:rFonts w:ascii="Cambria" w:hAnsi="Cambria" w:cs="Cambria"/>
                <w:sz w:val="18"/>
                <w:szCs w:val="18"/>
              </w:rPr>
              <w:t xml:space="preserve">1 </w:t>
            </w:r>
          </w:p>
        </w:tc>
      </w:tr>
      <w:tr w:rsidR="000A14B8" w14:paraId="11993E3E" w14:textId="77777777">
        <w:trPr>
          <w:trHeight w:val="90"/>
        </w:trPr>
        <w:tc>
          <w:tcPr>
            <w:tcW w:w="1436" w:type="dxa"/>
            <w:tcBorders>
              <w:top w:val="none" w:sz="6" w:space="0" w:color="auto"/>
              <w:bottom w:val="none" w:sz="6" w:space="0" w:color="auto"/>
              <w:right w:val="none" w:sz="6" w:space="0" w:color="auto"/>
            </w:tcBorders>
          </w:tcPr>
          <w:p w14:paraId="57D15A29" w14:textId="77777777" w:rsidR="000A14B8" w:rsidRDefault="000A14B8">
            <w:pPr>
              <w:pStyle w:val="Default"/>
              <w:rPr>
                <w:rFonts w:ascii="Cambria" w:hAnsi="Cambria" w:cs="Cambria"/>
                <w:sz w:val="18"/>
                <w:szCs w:val="18"/>
              </w:rPr>
            </w:pPr>
            <w:r>
              <w:rPr>
                <w:rFonts w:ascii="Cambria" w:hAnsi="Cambria" w:cs="Cambria"/>
                <w:sz w:val="18"/>
                <w:szCs w:val="18"/>
              </w:rPr>
              <w:t xml:space="preserve">Operating Pressure (PN) </w:t>
            </w:r>
          </w:p>
        </w:tc>
        <w:tc>
          <w:tcPr>
            <w:tcW w:w="1436" w:type="dxa"/>
            <w:gridSpan w:val="2"/>
            <w:tcBorders>
              <w:top w:val="none" w:sz="6" w:space="0" w:color="auto"/>
              <w:left w:val="none" w:sz="6" w:space="0" w:color="auto"/>
              <w:bottom w:val="none" w:sz="6" w:space="0" w:color="auto"/>
              <w:right w:val="none" w:sz="6" w:space="0" w:color="auto"/>
            </w:tcBorders>
          </w:tcPr>
          <w:p w14:paraId="157CAA71" w14:textId="77777777" w:rsidR="000A14B8" w:rsidRDefault="000A14B8">
            <w:pPr>
              <w:pStyle w:val="Default"/>
              <w:rPr>
                <w:rFonts w:ascii="Cambria" w:hAnsi="Cambria" w:cs="Cambria"/>
                <w:sz w:val="18"/>
                <w:szCs w:val="18"/>
              </w:rPr>
            </w:pPr>
            <w:r>
              <w:rPr>
                <w:rFonts w:ascii="Cambria" w:hAnsi="Cambria" w:cs="Cambria"/>
                <w:sz w:val="18"/>
                <w:szCs w:val="18"/>
              </w:rPr>
              <w:t xml:space="preserve">35 </w:t>
            </w:r>
          </w:p>
        </w:tc>
        <w:tc>
          <w:tcPr>
            <w:tcW w:w="1436" w:type="dxa"/>
            <w:gridSpan w:val="2"/>
            <w:tcBorders>
              <w:top w:val="none" w:sz="6" w:space="0" w:color="auto"/>
              <w:left w:val="none" w:sz="6" w:space="0" w:color="auto"/>
              <w:bottom w:val="none" w:sz="6" w:space="0" w:color="auto"/>
              <w:right w:val="none" w:sz="6" w:space="0" w:color="auto"/>
            </w:tcBorders>
          </w:tcPr>
          <w:p w14:paraId="6AA378D4" w14:textId="77777777" w:rsidR="000A14B8" w:rsidRDefault="000A14B8">
            <w:pPr>
              <w:pStyle w:val="Default"/>
              <w:rPr>
                <w:rFonts w:ascii="Cambria" w:hAnsi="Cambria" w:cs="Cambria"/>
                <w:sz w:val="18"/>
                <w:szCs w:val="18"/>
              </w:rPr>
            </w:pPr>
            <w:r>
              <w:rPr>
                <w:rFonts w:ascii="Cambria" w:hAnsi="Cambria" w:cs="Cambria"/>
                <w:sz w:val="18"/>
                <w:szCs w:val="18"/>
              </w:rPr>
              <w:t xml:space="preserve">bar </w:t>
            </w:r>
          </w:p>
        </w:tc>
        <w:tc>
          <w:tcPr>
            <w:tcW w:w="1436" w:type="dxa"/>
            <w:tcBorders>
              <w:top w:val="none" w:sz="6" w:space="0" w:color="auto"/>
              <w:left w:val="none" w:sz="6" w:space="0" w:color="auto"/>
              <w:bottom w:val="none" w:sz="6" w:space="0" w:color="auto"/>
            </w:tcBorders>
          </w:tcPr>
          <w:p w14:paraId="1C5F5DAC"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r w:rsidR="000A14B8" w14:paraId="5D780383" w14:textId="77777777">
        <w:trPr>
          <w:trHeight w:val="90"/>
        </w:trPr>
        <w:tc>
          <w:tcPr>
            <w:tcW w:w="1436" w:type="dxa"/>
            <w:tcBorders>
              <w:top w:val="none" w:sz="6" w:space="0" w:color="auto"/>
              <w:bottom w:val="none" w:sz="6" w:space="0" w:color="auto"/>
              <w:right w:val="none" w:sz="6" w:space="0" w:color="auto"/>
            </w:tcBorders>
          </w:tcPr>
          <w:p w14:paraId="3EF59130" w14:textId="77777777" w:rsidR="000A14B8" w:rsidRDefault="000A14B8">
            <w:pPr>
              <w:pStyle w:val="Default"/>
              <w:rPr>
                <w:rFonts w:ascii="Cambria" w:hAnsi="Cambria" w:cs="Cambria"/>
                <w:sz w:val="18"/>
                <w:szCs w:val="18"/>
              </w:rPr>
            </w:pPr>
            <w:r>
              <w:rPr>
                <w:rFonts w:ascii="Cambria" w:hAnsi="Cambria" w:cs="Cambria"/>
                <w:sz w:val="18"/>
                <w:szCs w:val="18"/>
              </w:rPr>
              <w:t xml:space="preserve">Max. Allowable P (PS) </w:t>
            </w:r>
          </w:p>
        </w:tc>
        <w:tc>
          <w:tcPr>
            <w:tcW w:w="1436" w:type="dxa"/>
            <w:gridSpan w:val="2"/>
            <w:tcBorders>
              <w:top w:val="none" w:sz="6" w:space="0" w:color="auto"/>
              <w:left w:val="none" w:sz="6" w:space="0" w:color="auto"/>
              <w:bottom w:val="none" w:sz="6" w:space="0" w:color="auto"/>
              <w:right w:val="none" w:sz="6" w:space="0" w:color="auto"/>
            </w:tcBorders>
          </w:tcPr>
          <w:p w14:paraId="6DCFAEE8" w14:textId="77777777" w:rsidR="000A14B8" w:rsidRDefault="000A14B8">
            <w:pPr>
              <w:pStyle w:val="Default"/>
              <w:rPr>
                <w:rFonts w:ascii="Cambria" w:hAnsi="Cambria" w:cs="Cambria"/>
                <w:sz w:val="18"/>
                <w:szCs w:val="18"/>
              </w:rPr>
            </w:pPr>
            <w:r>
              <w:rPr>
                <w:rFonts w:ascii="Cambria" w:hAnsi="Cambria" w:cs="Cambria"/>
                <w:sz w:val="18"/>
                <w:szCs w:val="18"/>
              </w:rPr>
              <w:t xml:space="preserve">41 </w:t>
            </w:r>
          </w:p>
        </w:tc>
        <w:tc>
          <w:tcPr>
            <w:tcW w:w="1436" w:type="dxa"/>
            <w:gridSpan w:val="2"/>
            <w:tcBorders>
              <w:top w:val="none" w:sz="6" w:space="0" w:color="auto"/>
              <w:left w:val="none" w:sz="6" w:space="0" w:color="auto"/>
              <w:bottom w:val="none" w:sz="6" w:space="0" w:color="auto"/>
              <w:right w:val="none" w:sz="6" w:space="0" w:color="auto"/>
            </w:tcBorders>
          </w:tcPr>
          <w:p w14:paraId="5375FDA1" w14:textId="77777777" w:rsidR="000A14B8" w:rsidRDefault="000A14B8">
            <w:pPr>
              <w:pStyle w:val="Default"/>
              <w:rPr>
                <w:rFonts w:ascii="Cambria" w:hAnsi="Cambria" w:cs="Cambria"/>
                <w:sz w:val="18"/>
                <w:szCs w:val="18"/>
              </w:rPr>
            </w:pPr>
            <w:r>
              <w:rPr>
                <w:rFonts w:ascii="Cambria" w:hAnsi="Cambria" w:cs="Cambria"/>
                <w:sz w:val="18"/>
                <w:szCs w:val="18"/>
              </w:rPr>
              <w:t xml:space="preserve">bar </w:t>
            </w:r>
          </w:p>
        </w:tc>
        <w:tc>
          <w:tcPr>
            <w:tcW w:w="1436" w:type="dxa"/>
            <w:tcBorders>
              <w:top w:val="none" w:sz="6" w:space="0" w:color="auto"/>
              <w:left w:val="none" w:sz="6" w:space="0" w:color="auto"/>
              <w:bottom w:val="none" w:sz="6" w:space="0" w:color="auto"/>
            </w:tcBorders>
          </w:tcPr>
          <w:p w14:paraId="708FF35C"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r w:rsidR="000A14B8" w14:paraId="00913382" w14:textId="77777777">
        <w:trPr>
          <w:trHeight w:val="90"/>
        </w:trPr>
        <w:tc>
          <w:tcPr>
            <w:tcW w:w="1436" w:type="dxa"/>
            <w:tcBorders>
              <w:top w:val="none" w:sz="6" w:space="0" w:color="auto"/>
              <w:bottom w:val="none" w:sz="6" w:space="0" w:color="auto"/>
              <w:right w:val="none" w:sz="6" w:space="0" w:color="auto"/>
            </w:tcBorders>
          </w:tcPr>
          <w:p w14:paraId="602B926D" w14:textId="77777777" w:rsidR="000A14B8" w:rsidRDefault="000A14B8">
            <w:pPr>
              <w:pStyle w:val="Default"/>
              <w:rPr>
                <w:rFonts w:ascii="Cambria" w:hAnsi="Cambria" w:cs="Cambria"/>
                <w:sz w:val="18"/>
                <w:szCs w:val="18"/>
              </w:rPr>
            </w:pPr>
            <w:r>
              <w:rPr>
                <w:rFonts w:ascii="Cambria" w:hAnsi="Cambria" w:cs="Cambria"/>
                <w:sz w:val="18"/>
                <w:szCs w:val="18"/>
              </w:rPr>
              <w:t xml:space="preserve">Max Hydrogen Production Rate </w:t>
            </w:r>
          </w:p>
        </w:tc>
        <w:tc>
          <w:tcPr>
            <w:tcW w:w="1436" w:type="dxa"/>
            <w:gridSpan w:val="2"/>
            <w:tcBorders>
              <w:top w:val="none" w:sz="6" w:space="0" w:color="auto"/>
              <w:left w:val="none" w:sz="6" w:space="0" w:color="auto"/>
              <w:bottom w:val="none" w:sz="6" w:space="0" w:color="auto"/>
              <w:right w:val="none" w:sz="6" w:space="0" w:color="auto"/>
            </w:tcBorders>
          </w:tcPr>
          <w:p w14:paraId="029D57A3" w14:textId="77777777" w:rsidR="000A14B8" w:rsidRDefault="000A14B8">
            <w:pPr>
              <w:pStyle w:val="Default"/>
              <w:rPr>
                <w:rFonts w:ascii="Cambria" w:hAnsi="Cambria" w:cs="Cambria"/>
                <w:sz w:val="18"/>
                <w:szCs w:val="18"/>
              </w:rPr>
            </w:pPr>
            <w:r>
              <w:rPr>
                <w:rFonts w:ascii="Cambria" w:hAnsi="Cambria" w:cs="Cambria"/>
                <w:sz w:val="18"/>
                <w:szCs w:val="18"/>
              </w:rPr>
              <w:t xml:space="preserve">500 </w:t>
            </w:r>
          </w:p>
        </w:tc>
        <w:tc>
          <w:tcPr>
            <w:tcW w:w="1436" w:type="dxa"/>
            <w:gridSpan w:val="2"/>
            <w:tcBorders>
              <w:top w:val="none" w:sz="6" w:space="0" w:color="auto"/>
              <w:left w:val="none" w:sz="6" w:space="0" w:color="auto"/>
              <w:bottom w:val="none" w:sz="6" w:space="0" w:color="auto"/>
              <w:right w:val="none" w:sz="6" w:space="0" w:color="auto"/>
            </w:tcBorders>
          </w:tcPr>
          <w:p w14:paraId="6937BB3D" w14:textId="77777777" w:rsidR="000A14B8" w:rsidRDefault="000A14B8">
            <w:pPr>
              <w:pStyle w:val="Default"/>
              <w:rPr>
                <w:rFonts w:ascii="Cambria" w:hAnsi="Cambria" w:cs="Cambria"/>
                <w:sz w:val="18"/>
                <w:szCs w:val="18"/>
              </w:rPr>
            </w:pPr>
            <w:r>
              <w:rPr>
                <w:rFonts w:ascii="Cambria" w:hAnsi="Cambria" w:cs="Cambria"/>
                <w:sz w:val="18"/>
                <w:szCs w:val="18"/>
              </w:rPr>
              <w:t xml:space="preserve">NL/hr </w:t>
            </w:r>
          </w:p>
        </w:tc>
        <w:tc>
          <w:tcPr>
            <w:tcW w:w="1436" w:type="dxa"/>
            <w:tcBorders>
              <w:top w:val="none" w:sz="6" w:space="0" w:color="auto"/>
              <w:left w:val="none" w:sz="6" w:space="0" w:color="auto"/>
              <w:bottom w:val="none" w:sz="6" w:space="0" w:color="auto"/>
            </w:tcBorders>
          </w:tcPr>
          <w:p w14:paraId="1A1707C1"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r w:rsidR="000A14B8" w14:paraId="5847AA02" w14:textId="77777777">
        <w:trPr>
          <w:trHeight w:val="90"/>
        </w:trPr>
        <w:tc>
          <w:tcPr>
            <w:tcW w:w="1436" w:type="dxa"/>
            <w:tcBorders>
              <w:top w:val="none" w:sz="6" w:space="0" w:color="auto"/>
              <w:bottom w:val="none" w:sz="6" w:space="0" w:color="auto"/>
              <w:right w:val="none" w:sz="6" w:space="0" w:color="auto"/>
            </w:tcBorders>
          </w:tcPr>
          <w:p w14:paraId="5D71C523" w14:textId="77777777" w:rsidR="000A14B8" w:rsidRDefault="000A14B8">
            <w:pPr>
              <w:pStyle w:val="Default"/>
              <w:rPr>
                <w:rFonts w:ascii="Cambria" w:hAnsi="Cambria" w:cs="Cambria"/>
                <w:sz w:val="18"/>
                <w:szCs w:val="18"/>
              </w:rPr>
            </w:pPr>
            <w:r>
              <w:rPr>
                <w:rFonts w:ascii="Cambria" w:hAnsi="Cambria" w:cs="Cambria"/>
                <w:sz w:val="18"/>
                <w:szCs w:val="18"/>
              </w:rPr>
              <w:t xml:space="preserve">Max Water Consumption </w:t>
            </w:r>
          </w:p>
        </w:tc>
        <w:tc>
          <w:tcPr>
            <w:tcW w:w="1436" w:type="dxa"/>
            <w:gridSpan w:val="2"/>
            <w:tcBorders>
              <w:top w:val="none" w:sz="6" w:space="0" w:color="auto"/>
              <w:left w:val="none" w:sz="6" w:space="0" w:color="auto"/>
              <w:bottom w:val="none" w:sz="6" w:space="0" w:color="auto"/>
              <w:right w:val="none" w:sz="6" w:space="0" w:color="auto"/>
            </w:tcBorders>
          </w:tcPr>
          <w:p w14:paraId="70A4B16B" w14:textId="77777777" w:rsidR="000A14B8" w:rsidRDefault="000A14B8">
            <w:pPr>
              <w:pStyle w:val="Default"/>
              <w:rPr>
                <w:rFonts w:ascii="Cambria" w:hAnsi="Cambria" w:cs="Cambria"/>
                <w:sz w:val="18"/>
                <w:szCs w:val="18"/>
              </w:rPr>
            </w:pPr>
            <w:r>
              <w:rPr>
                <w:rFonts w:ascii="Cambria" w:hAnsi="Cambria" w:cs="Cambria"/>
                <w:sz w:val="18"/>
                <w:szCs w:val="18"/>
              </w:rPr>
              <w:t xml:space="preserve">16 </w:t>
            </w:r>
          </w:p>
        </w:tc>
        <w:tc>
          <w:tcPr>
            <w:tcW w:w="1436" w:type="dxa"/>
            <w:gridSpan w:val="2"/>
            <w:tcBorders>
              <w:top w:val="none" w:sz="6" w:space="0" w:color="auto"/>
              <w:left w:val="none" w:sz="6" w:space="0" w:color="auto"/>
              <w:bottom w:val="none" w:sz="6" w:space="0" w:color="auto"/>
              <w:right w:val="none" w:sz="6" w:space="0" w:color="auto"/>
            </w:tcBorders>
          </w:tcPr>
          <w:p w14:paraId="79375C24" w14:textId="77777777" w:rsidR="000A14B8" w:rsidRDefault="000A14B8">
            <w:pPr>
              <w:pStyle w:val="Default"/>
              <w:rPr>
                <w:rFonts w:ascii="Cambria" w:hAnsi="Cambria" w:cs="Cambria"/>
                <w:sz w:val="18"/>
                <w:szCs w:val="18"/>
              </w:rPr>
            </w:pPr>
            <w:r>
              <w:rPr>
                <w:rFonts w:ascii="Cambria" w:hAnsi="Cambria" w:cs="Cambria"/>
                <w:sz w:val="18"/>
                <w:szCs w:val="18"/>
              </w:rPr>
              <w:t xml:space="preserve">L/hr </w:t>
            </w:r>
          </w:p>
        </w:tc>
        <w:tc>
          <w:tcPr>
            <w:tcW w:w="1436" w:type="dxa"/>
            <w:tcBorders>
              <w:top w:val="none" w:sz="6" w:space="0" w:color="auto"/>
              <w:left w:val="none" w:sz="6" w:space="0" w:color="auto"/>
              <w:bottom w:val="none" w:sz="6" w:space="0" w:color="auto"/>
            </w:tcBorders>
          </w:tcPr>
          <w:p w14:paraId="5BD6BE19"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r w:rsidR="000A14B8" w14:paraId="7ED6EF6B" w14:textId="77777777">
        <w:trPr>
          <w:trHeight w:val="301"/>
        </w:trPr>
        <w:tc>
          <w:tcPr>
            <w:tcW w:w="1436" w:type="dxa"/>
            <w:tcBorders>
              <w:top w:val="none" w:sz="6" w:space="0" w:color="auto"/>
              <w:bottom w:val="none" w:sz="6" w:space="0" w:color="auto"/>
              <w:right w:val="none" w:sz="6" w:space="0" w:color="auto"/>
            </w:tcBorders>
          </w:tcPr>
          <w:p w14:paraId="50520244" w14:textId="77777777" w:rsidR="000A14B8" w:rsidRDefault="000A14B8">
            <w:pPr>
              <w:pStyle w:val="Default"/>
              <w:rPr>
                <w:rFonts w:ascii="Cambria" w:hAnsi="Cambria" w:cs="Cambria"/>
                <w:sz w:val="18"/>
                <w:szCs w:val="18"/>
              </w:rPr>
            </w:pPr>
            <w:r>
              <w:rPr>
                <w:rFonts w:ascii="Cambria" w:hAnsi="Cambria" w:cs="Cambria"/>
                <w:sz w:val="18"/>
                <w:szCs w:val="18"/>
              </w:rPr>
              <w:t xml:space="preserve">Electrical Connection </w:t>
            </w:r>
          </w:p>
        </w:tc>
        <w:tc>
          <w:tcPr>
            <w:tcW w:w="1436" w:type="dxa"/>
            <w:gridSpan w:val="2"/>
            <w:tcBorders>
              <w:top w:val="none" w:sz="6" w:space="0" w:color="auto"/>
              <w:left w:val="none" w:sz="6" w:space="0" w:color="auto"/>
              <w:bottom w:val="none" w:sz="6" w:space="0" w:color="auto"/>
              <w:right w:val="none" w:sz="6" w:space="0" w:color="auto"/>
            </w:tcBorders>
          </w:tcPr>
          <w:p w14:paraId="752DC7FC" w14:textId="77777777" w:rsidR="000A14B8" w:rsidRDefault="000A14B8">
            <w:pPr>
              <w:pStyle w:val="Default"/>
              <w:rPr>
                <w:rFonts w:ascii="Cambria" w:hAnsi="Cambria" w:cs="Cambria"/>
                <w:sz w:val="18"/>
                <w:szCs w:val="18"/>
              </w:rPr>
            </w:pPr>
            <w:r>
              <w:rPr>
                <w:rFonts w:ascii="Cambria" w:hAnsi="Cambria" w:cs="Cambria"/>
                <w:sz w:val="18"/>
                <w:szCs w:val="18"/>
              </w:rPr>
              <w:t xml:space="preserve">415 </w:t>
            </w:r>
          </w:p>
          <w:p w14:paraId="785E1437" w14:textId="77777777" w:rsidR="000A14B8" w:rsidRDefault="000A14B8">
            <w:pPr>
              <w:pStyle w:val="Default"/>
              <w:rPr>
                <w:rFonts w:ascii="Cambria" w:hAnsi="Cambria" w:cs="Cambria"/>
                <w:sz w:val="18"/>
                <w:szCs w:val="18"/>
              </w:rPr>
            </w:pPr>
            <w:r>
              <w:rPr>
                <w:rFonts w:ascii="Cambria" w:hAnsi="Cambria" w:cs="Cambria"/>
                <w:sz w:val="18"/>
                <w:szCs w:val="18"/>
              </w:rPr>
              <w:t xml:space="preserve">50 </w:t>
            </w:r>
          </w:p>
          <w:p w14:paraId="4C3A83FB" w14:textId="77777777" w:rsidR="000A14B8" w:rsidRDefault="000A14B8">
            <w:pPr>
              <w:pStyle w:val="Default"/>
              <w:rPr>
                <w:rFonts w:ascii="Cambria" w:hAnsi="Cambria" w:cs="Cambria"/>
                <w:sz w:val="18"/>
                <w:szCs w:val="18"/>
              </w:rPr>
            </w:pPr>
            <w:r>
              <w:rPr>
                <w:rFonts w:ascii="Cambria" w:hAnsi="Cambria" w:cs="Cambria"/>
                <w:sz w:val="18"/>
                <w:szCs w:val="18"/>
              </w:rPr>
              <w:t xml:space="preserve">200 </w:t>
            </w:r>
          </w:p>
        </w:tc>
        <w:tc>
          <w:tcPr>
            <w:tcW w:w="1436" w:type="dxa"/>
            <w:gridSpan w:val="2"/>
            <w:tcBorders>
              <w:top w:val="none" w:sz="6" w:space="0" w:color="auto"/>
              <w:left w:val="none" w:sz="6" w:space="0" w:color="auto"/>
              <w:bottom w:val="none" w:sz="6" w:space="0" w:color="auto"/>
              <w:right w:val="none" w:sz="6" w:space="0" w:color="auto"/>
            </w:tcBorders>
          </w:tcPr>
          <w:p w14:paraId="7BE613B7" w14:textId="77777777" w:rsidR="000A14B8" w:rsidRDefault="000A14B8">
            <w:pPr>
              <w:pStyle w:val="Default"/>
              <w:rPr>
                <w:rFonts w:ascii="Cambria" w:hAnsi="Cambria" w:cs="Cambria"/>
                <w:sz w:val="18"/>
                <w:szCs w:val="18"/>
              </w:rPr>
            </w:pPr>
            <w:r>
              <w:rPr>
                <w:rFonts w:ascii="Cambria" w:hAnsi="Cambria" w:cs="Cambria"/>
                <w:sz w:val="18"/>
                <w:szCs w:val="18"/>
              </w:rPr>
              <w:t xml:space="preserve">VAC </w:t>
            </w:r>
          </w:p>
          <w:p w14:paraId="448F4406" w14:textId="77777777" w:rsidR="000A14B8" w:rsidRDefault="000A14B8">
            <w:pPr>
              <w:pStyle w:val="Default"/>
              <w:rPr>
                <w:rFonts w:ascii="Cambria" w:hAnsi="Cambria" w:cs="Cambria"/>
                <w:sz w:val="18"/>
                <w:szCs w:val="18"/>
              </w:rPr>
            </w:pPr>
            <w:r>
              <w:rPr>
                <w:rFonts w:ascii="Cambria" w:hAnsi="Cambria" w:cs="Cambria"/>
                <w:sz w:val="18"/>
                <w:szCs w:val="18"/>
              </w:rPr>
              <w:t xml:space="preserve">Hz </w:t>
            </w:r>
          </w:p>
          <w:p w14:paraId="47316D6D" w14:textId="77777777" w:rsidR="000A14B8" w:rsidRDefault="000A14B8">
            <w:pPr>
              <w:pStyle w:val="Default"/>
              <w:rPr>
                <w:rFonts w:ascii="Cambria" w:hAnsi="Cambria" w:cs="Cambria"/>
                <w:sz w:val="18"/>
                <w:szCs w:val="18"/>
              </w:rPr>
            </w:pPr>
            <w:r>
              <w:rPr>
                <w:rFonts w:ascii="Cambria" w:hAnsi="Cambria" w:cs="Cambria"/>
                <w:sz w:val="18"/>
                <w:szCs w:val="18"/>
              </w:rPr>
              <w:t xml:space="preserve">A </w:t>
            </w:r>
          </w:p>
        </w:tc>
        <w:tc>
          <w:tcPr>
            <w:tcW w:w="1436" w:type="dxa"/>
            <w:tcBorders>
              <w:top w:val="none" w:sz="6" w:space="0" w:color="auto"/>
              <w:left w:val="none" w:sz="6" w:space="0" w:color="auto"/>
              <w:bottom w:val="none" w:sz="6" w:space="0" w:color="auto"/>
            </w:tcBorders>
          </w:tcPr>
          <w:p w14:paraId="4E3FC0DE"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r w:rsidR="000A14B8" w14:paraId="41625F24" w14:textId="77777777">
        <w:trPr>
          <w:trHeight w:val="90"/>
        </w:trPr>
        <w:tc>
          <w:tcPr>
            <w:tcW w:w="1914" w:type="dxa"/>
            <w:gridSpan w:val="2"/>
            <w:tcBorders>
              <w:top w:val="none" w:sz="6" w:space="0" w:color="auto"/>
              <w:bottom w:val="none" w:sz="6" w:space="0" w:color="auto"/>
              <w:right w:val="none" w:sz="6" w:space="0" w:color="auto"/>
            </w:tcBorders>
          </w:tcPr>
          <w:p w14:paraId="16ABD5DB" w14:textId="77777777" w:rsidR="000A14B8" w:rsidRDefault="000A14B8">
            <w:pPr>
              <w:pStyle w:val="Default"/>
              <w:rPr>
                <w:rFonts w:ascii="Cambria" w:hAnsi="Cambria" w:cs="Cambria"/>
                <w:sz w:val="18"/>
                <w:szCs w:val="18"/>
              </w:rPr>
            </w:pPr>
            <w:r>
              <w:rPr>
                <w:rFonts w:ascii="Cambria" w:hAnsi="Cambria" w:cs="Cambria"/>
                <w:sz w:val="18"/>
                <w:szCs w:val="18"/>
              </w:rPr>
              <w:t xml:space="preserve">Ingress Protection </w:t>
            </w:r>
          </w:p>
        </w:tc>
        <w:tc>
          <w:tcPr>
            <w:tcW w:w="1914" w:type="dxa"/>
            <w:gridSpan w:val="2"/>
            <w:tcBorders>
              <w:top w:val="none" w:sz="6" w:space="0" w:color="auto"/>
              <w:left w:val="none" w:sz="6" w:space="0" w:color="auto"/>
              <w:bottom w:val="none" w:sz="6" w:space="0" w:color="auto"/>
              <w:right w:val="none" w:sz="6" w:space="0" w:color="auto"/>
            </w:tcBorders>
          </w:tcPr>
          <w:p w14:paraId="5938014F" w14:textId="77777777" w:rsidR="000A14B8" w:rsidRDefault="000A14B8">
            <w:pPr>
              <w:pStyle w:val="Default"/>
              <w:rPr>
                <w:rFonts w:ascii="Cambria" w:hAnsi="Cambria" w:cs="Cambria"/>
                <w:sz w:val="18"/>
                <w:szCs w:val="18"/>
              </w:rPr>
            </w:pPr>
            <w:r>
              <w:rPr>
                <w:rFonts w:ascii="Cambria" w:hAnsi="Cambria" w:cs="Cambria"/>
                <w:sz w:val="18"/>
                <w:szCs w:val="18"/>
              </w:rPr>
              <w:t xml:space="preserve">IP 20 </w:t>
            </w:r>
          </w:p>
        </w:tc>
        <w:tc>
          <w:tcPr>
            <w:tcW w:w="1914" w:type="dxa"/>
            <w:gridSpan w:val="2"/>
            <w:tcBorders>
              <w:top w:val="none" w:sz="6" w:space="0" w:color="auto"/>
              <w:left w:val="none" w:sz="6" w:space="0" w:color="auto"/>
              <w:bottom w:val="none" w:sz="6" w:space="0" w:color="auto"/>
            </w:tcBorders>
          </w:tcPr>
          <w:p w14:paraId="549709DE"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r w:rsidR="000A14B8" w14:paraId="7D60E74A" w14:textId="77777777">
        <w:trPr>
          <w:trHeight w:val="90"/>
        </w:trPr>
        <w:tc>
          <w:tcPr>
            <w:tcW w:w="1914" w:type="dxa"/>
            <w:gridSpan w:val="2"/>
            <w:tcBorders>
              <w:top w:val="none" w:sz="6" w:space="0" w:color="auto"/>
              <w:bottom w:val="none" w:sz="6" w:space="0" w:color="auto"/>
              <w:right w:val="none" w:sz="6" w:space="0" w:color="auto"/>
            </w:tcBorders>
          </w:tcPr>
          <w:p w14:paraId="75E8CB94" w14:textId="77777777" w:rsidR="000A14B8" w:rsidRDefault="000A14B8">
            <w:pPr>
              <w:pStyle w:val="Default"/>
              <w:rPr>
                <w:rFonts w:ascii="Cambria" w:hAnsi="Cambria" w:cs="Cambria"/>
                <w:sz w:val="18"/>
                <w:szCs w:val="18"/>
              </w:rPr>
            </w:pPr>
            <w:r>
              <w:rPr>
                <w:rFonts w:ascii="Cambria" w:hAnsi="Cambria" w:cs="Cambria"/>
                <w:sz w:val="18"/>
                <w:szCs w:val="18"/>
              </w:rPr>
              <w:t xml:space="preserve">Hydrogen Wetted Components </w:t>
            </w:r>
          </w:p>
        </w:tc>
        <w:tc>
          <w:tcPr>
            <w:tcW w:w="1914" w:type="dxa"/>
            <w:gridSpan w:val="2"/>
            <w:tcBorders>
              <w:top w:val="none" w:sz="6" w:space="0" w:color="auto"/>
              <w:left w:val="none" w:sz="6" w:space="0" w:color="auto"/>
              <w:bottom w:val="none" w:sz="6" w:space="0" w:color="auto"/>
              <w:right w:val="none" w:sz="6" w:space="0" w:color="auto"/>
            </w:tcBorders>
          </w:tcPr>
          <w:p w14:paraId="7ED6F55B" w14:textId="77777777" w:rsidR="000A14B8" w:rsidRDefault="000A14B8">
            <w:pPr>
              <w:pStyle w:val="Default"/>
              <w:rPr>
                <w:rFonts w:ascii="Cambria" w:hAnsi="Cambria" w:cs="Cambria"/>
                <w:sz w:val="18"/>
                <w:szCs w:val="18"/>
              </w:rPr>
            </w:pPr>
            <w:r>
              <w:rPr>
                <w:rFonts w:ascii="Cambria" w:hAnsi="Cambria" w:cs="Cambria"/>
                <w:sz w:val="18"/>
                <w:szCs w:val="18"/>
              </w:rPr>
              <w:t xml:space="preserve">316 Stainless Steel </w:t>
            </w:r>
          </w:p>
        </w:tc>
        <w:tc>
          <w:tcPr>
            <w:tcW w:w="1914" w:type="dxa"/>
            <w:gridSpan w:val="2"/>
            <w:tcBorders>
              <w:top w:val="none" w:sz="6" w:space="0" w:color="auto"/>
              <w:left w:val="none" w:sz="6" w:space="0" w:color="auto"/>
              <w:bottom w:val="none" w:sz="6" w:space="0" w:color="auto"/>
            </w:tcBorders>
          </w:tcPr>
          <w:p w14:paraId="178FA95C"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r w:rsidR="000A14B8" w14:paraId="69A1709A" w14:textId="77777777">
        <w:trPr>
          <w:trHeight w:val="90"/>
        </w:trPr>
        <w:tc>
          <w:tcPr>
            <w:tcW w:w="1436" w:type="dxa"/>
            <w:tcBorders>
              <w:top w:val="none" w:sz="6" w:space="0" w:color="auto"/>
              <w:bottom w:val="none" w:sz="6" w:space="0" w:color="auto"/>
              <w:right w:val="none" w:sz="6" w:space="0" w:color="auto"/>
            </w:tcBorders>
          </w:tcPr>
          <w:p w14:paraId="0995FCEB" w14:textId="77777777" w:rsidR="000A14B8" w:rsidRDefault="000A14B8">
            <w:pPr>
              <w:pStyle w:val="Default"/>
              <w:rPr>
                <w:rFonts w:ascii="Cambria" w:hAnsi="Cambria" w:cs="Cambria"/>
                <w:sz w:val="18"/>
                <w:szCs w:val="18"/>
              </w:rPr>
            </w:pPr>
            <w:r>
              <w:rPr>
                <w:rFonts w:ascii="Cambria" w:hAnsi="Cambria" w:cs="Cambria"/>
                <w:sz w:val="18"/>
                <w:szCs w:val="18"/>
              </w:rPr>
              <w:t xml:space="preserve">Safety Devices </w:t>
            </w:r>
          </w:p>
        </w:tc>
        <w:tc>
          <w:tcPr>
            <w:tcW w:w="1436" w:type="dxa"/>
            <w:gridSpan w:val="2"/>
            <w:tcBorders>
              <w:top w:val="none" w:sz="6" w:space="0" w:color="auto"/>
              <w:left w:val="none" w:sz="6" w:space="0" w:color="auto"/>
              <w:bottom w:val="none" w:sz="6" w:space="0" w:color="auto"/>
              <w:right w:val="none" w:sz="6" w:space="0" w:color="auto"/>
            </w:tcBorders>
          </w:tcPr>
          <w:p w14:paraId="5A1480BC" w14:textId="77777777" w:rsidR="000A14B8" w:rsidRDefault="000A14B8">
            <w:pPr>
              <w:pStyle w:val="Default"/>
              <w:rPr>
                <w:rFonts w:ascii="Cambria" w:hAnsi="Cambria" w:cs="Cambria"/>
                <w:sz w:val="18"/>
                <w:szCs w:val="18"/>
              </w:rPr>
            </w:pPr>
            <w:r>
              <w:rPr>
                <w:rFonts w:ascii="Cambria" w:hAnsi="Cambria" w:cs="Cambria"/>
                <w:sz w:val="18"/>
                <w:szCs w:val="18"/>
              </w:rPr>
              <w:t xml:space="preserve">PRV 41 </w:t>
            </w:r>
          </w:p>
        </w:tc>
        <w:tc>
          <w:tcPr>
            <w:tcW w:w="1436" w:type="dxa"/>
            <w:gridSpan w:val="2"/>
            <w:tcBorders>
              <w:top w:val="none" w:sz="6" w:space="0" w:color="auto"/>
              <w:left w:val="none" w:sz="6" w:space="0" w:color="auto"/>
              <w:bottom w:val="none" w:sz="6" w:space="0" w:color="auto"/>
              <w:right w:val="none" w:sz="6" w:space="0" w:color="auto"/>
            </w:tcBorders>
          </w:tcPr>
          <w:p w14:paraId="5F9BA36E" w14:textId="77777777" w:rsidR="000A14B8" w:rsidRDefault="000A14B8">
            <w:pPr>
              <w:pStyle w:val="Default"/>
              <w:rPr>
                <w:rFonts w:ascii="Cambria" w:hAnsi="Cambria" w:cs="Cambria"/>
                <w:sz w:val="18"/>
                <w:szCs w:val="18"/>
              </w:rPr>
            </w:pPr>
            <w:r>
              <w:rPr>
                <w:rFonts w:ascii="Cambria" w:hAnsi="Cambria" w:cs="Cambria"/>
                <w:sz w:val="18"/>
                <w:szCs w:val="18"/>
              </w:rPr>
              <w:t xml:space="preserve">bar </w:t>
            </w:r>
          </w:p>
        </w:tc>
        <w:tc>
          <w:tcPr>
            <w:tcW w:w="1436" w:type="dxa"/>
            <w:tcBorders>
              <w:top w:val="none" w:sz="6" w:space="0" w:color="auto"/>
              <w:left w:val="none" w:sz="6" w:space="0" w:color="auto"/>
              <w:bottom w:val="none" w:sz="6" w:space="0" w:color="auto"/>
            </w:tcBorders>
          </w:tcPr>
          <w:p w14:paraId="70D9ABD1" w14:textId="77777777" w:rsidR="000A14B8" w:rsidRDefault="000A14B8">
            <w:pPr>
              <w:pStyle w:val="Default"/>
              <w:rPr>
                <w:rFonts w:ascii="Cambria" w:hAnsi="Cambria" w:cs="Cambria"/>
                <w:sz w:val="18"/>
                <w:szCs w:val="18"/>
              </w:rPr>
            </w:pPr>
            <w:r>
              <w:rPr>
                <w:rFonts w:ascii="Cambria" w:hAnsi="Cambria" w:cs="Cambria"/>
                <w:sz w:val="18"/>
                <w:szCs w:val="18"/>
              </w:rPr>
              <w:t xml:space="preserve">- </w:t>
            </w:r>
          </w:p>
        </w:tc>
      </w:tr>
    </w:tbl>
    <w:p w14:paraId="07623D0C" w14:textId="4CE005B2" w:rsidR="000A14B8" w:rsidRDefault="000A14B8" w:rsidP="000A14B8">
      <w:pPr>
        <w:rPr>
          <w:lang w:eastAsia="en-GB"/>
        </w:rPr>
      </w:pPr>
    </w:p>
    <w:p w14:paraId="494767C3" w14:textId="388D2D5A" w:rsidR="000A14B8" w:rsidRDefault="000A14B8" w:rsidP="000A14B8">
      <w:pPr>
        <w:rPr>
          <w:lang w:eastAsia="en-GB"/>
        </w:rPr>
      </w:pPr>
    </w:p>
    <w:p w14:paraId="1B11AABE" w14:textId="0FCFF4B9" w:rsidR="000A14B8" w:rsidRDefault="000A14B8" w:rsidP="000A14B8">
      <w:pPr>
        <w:rPr>
          <w:lang w:eastAsia="en-GB"/>
        </w:rPr>
      </w:pPr>
    </w:p>
    <w:p w14:paraId="37EC0B70" w14:textId="757FA44C" w:rsidR="000A14B8" w:rsidRDefault="000A14B8" w:rsidP="000A14B8">
      <w:pPr>
        <w:rPr>
          <w:lang w:eastAsia="en-GB"/>
        </w:rPr>
      </w:pPr>
    </w:p>
    <w:p w14:paraId="3CCEE4EE" w14:textId="637B5CCC" w:rsidR="000A14B8" w:rsidRDefault="000A14B8" w:rsidP="000A14B8">
      <w:pPr>
        <w:rPr>
          <w:lang w:eastAsia="en-GB"/>
        </w:rPr>
      </w:pPr>
    </w:p>
    <w:p w14:paraId="0EA3DF38" w14:textId="3FB72A68" w:rsidR="007C0CE5" w:rsidRDefault="007C0CE5" w:rsidP="000A14B8">
      <w:pPr>
        <w:rPr>
          <w:lang w:eastAsia="en-GB"/>
        </w:rPr>
      </w:pPr>
    </w:p>
    <w:p w14:paraId="70E2A10F" w14:textId="4149AF04" w:rsidR="007C0CE5" w:rsidRDefault="007C0CE5" w:rsidP="000A14B8">
      <w:pPr>
        <w:rPr>
          <w:lang w:eastAsia="en-GB"/>
        </w:rPr>
      </w:pPr>
    </w:p>
    <w:p w14:paraId="42CBFBF4" w14:textId="77777777" w:rsidR="007C0CE5" w:rsidRDefault="007C0CE5" w:rsidP="000A14B8">
      <w:pPr>
        <w:rPr>
          <w:lang w:eastAsia="en-GB"/>
        </w:rPr>
      </w:pPr>
    </w:p>
    <w:p w14:paraId="482C529C" w14:textId="676A0974" w:rsidR="000A14B8" w:rsidRDefault="000A14B8" w:rsidP="000A14B8">
      <w:pPr>
        <w:rPr>
          <w:lang w:eastAsia="en-GB"/>
        </w:rPr>
      </w:pPr>
    </w:p>
    <w:p w14:paraId="5261406F" w14:textId="77F1B51E" w:rsidR="000A14B8" w:rsidRDefault="000A14B8" w:rsidP="000A14B8">
      <w:pPr>
        <w:rPr>
          <w:lang w:eastAsia="en-GB"/>
        </w:rPr>
      </w:pPr>
    </w:p>
    <w:p w14:paraId="0EBE3517" w14:textId="5F88E80D" w:rsidR="000A14B8" w:rsidRDefault="000A14B8" w:rsidP="000A14B8">
      <w:pPr>
        <w:rPr>
          <w:lang w:eastAsia="en-GB"/>
        </w:rPr>
      </w:pPr>
      <w:r>
        <w:rPr>
          <w:lang w:eastAsia="en-GB"/>
        </w:rPr>
        <w:lastRenderedPageBreak/>
        <w:t>Appendix 2</w:t>
      </w:r>
    </w:p>
    <w:p w14:paraId="75F27408" w14:textId="284B1B84" w:rsidR="000A14B8" w:rsidRDefault="000A14B8" w:rsidP="000A14B8">
      <w:pPr>
        <w:rPr>
          <w:lang w:eastAsia="en-GB"/>
        </w:rPr>
      </w:pPr>
      <w:r>
        <w:rPr>
          <w:lang w:eastAsia="en-GB"/>
        </w:rPr>
        <w:t>Pioneer Site P&amp;ID</w:t>
      </w:r>
    </w:p>
    <w:p w14:paraId="646B578A" w14:textId="670CF578" w:rsidR="000A14B8" w:rsidRDefault="000A14B8" w:rsidP="000A14B8">
      <w:r w:rsidRPr="000A14B8">
        <w:rPr>
          <w:noProof/>
        </w:rPr>
        <w:drawing>
          <wp:inline distT="0" distB="0" distL="0" distR="0" wp14:anchorId="60BAAE11" wp14:editId="6FD0A189">
            <wp:extent cx="6325700" cy="4450977"/>
            <wp:effectExtent l="0" t="0" r="0" b="698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0"/>
                    <a:stretch>
                      <a:fillRect/>
                    </a:stretch>
                  </pic:blipFill>
                  <pic:spPr>
                    <a:xfrm>
                      <a:off x="0" y="0"/>
                      <a:ext cx="6329387" cy="4453571"/>
                    </a:xfrm>
                    <a:prstGeom prst="rect">
                      <a:avLst/>
                    </a:prstGeom>
                  </pic:spPr>
                </pic:pic>
              </a:graphicData>
            </a:graphic>
          </wp:inline>
        </w:drawing>
      </w:r>
    </w:p>
    <w:p w14:paraId="7731DB86" w14:textId="4EBFA934" w:rsidR="003D1F74" w:rsidRPr="003D1F74" w:rsidRDefault="003D1F74" w:rsidP="003D1F74">
      <w:pPr>
        <w:rPr>
          <w:lang w:eastAsia="en-GB"/>
        </w:rPr>
      </w:pPr>
    </w:p>
    <w:p w14:paraId="29CAFDBE" w14:textId="6B75314C" w:rsidR="003D1F74" w:rsidRPr="003D1F74" w:rsidRDefault="003D1F74" w:rsidP="003D1F74">
      <w:pPr>
        <w:rPr>
          <w:lang w:eastAsia="en-GB"/>
        </w:rPr>
      </w:pPr>
    </w:p>
    <w:p w14:paraId="09F11132" w14:textId="002D63E4" w:rsidR="003D1F74" w:rsidRDefault="003D1F74" w:rsidP="003D1F74"/>
    <w:p w14:paraId="685DC232" w14:textId="77777777" w:rsidR="003D1F74" w:rsidRPr="003D1F74" w:rsidRDefault="003D1F74" w:rsidP="003D1F74">
      <w:pPr>
        <w:rPr>
          <w:lang w:eastAsia="en-GB"/>
        </w:rPr>
      </w:pPr>
    </w:p>
    <w:sectPr w:rsidR="003D1F74" w:rsidRPr="003D1F7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075520" w14:textId="77777777" w:rsidR="00E73569" w:rsidRDefault="00E73569" w:rsidP="00820CB8">
      <w:pPr>
        <w:spacing w:after="0" w:line="240" w:lineRule="auto"/>
      </w:pPr>
      <w:r>
        <w:separator/>
      </w:r>
    </w:p>
  </w:endnote>
  <w:endnote w:type="continuationSeparator" w:id="0">
    <w:p w14:paraId="4DFB7B3D" w14:textId="77777777" w:rsidR="00E73569" w:rsidRDefault="00E73569" w:rsidP="00820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3537981"/>
      <w:docPartObj>
        <w:docPartGallery w:val="Page Numbers (Bottom of Page)"/>
        <w:docPartUnique/>
      </w:docPartObj>
    </w:sdtPr>
    <w:sdtEndPr>
      <w:rPr>
        <w:noProof/>
      </w:rPr>
    </w:sdtEndPr>
    <w:sdtContent>
      <w:p w14:paraId="2B728B5E" w14:textId="3662DA2A" w:rsidR="00820CB8" w:rsidRDefault="00820C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2E43D5" w14:textId="77777777" w:rsidR="00820CB8" w:rsidRDefault="00820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8996E" w14:textId="77777777" w:rsidR="00E73569" w:rsidRDefault="00E73569" w:rsidP="00820CB8">
      <w:pPr>
        <w:spacing w:after="0" w:line="240" w:lineRule="auto"/>
      </w:pPr>
      <w:r>
        <w:separator/>
      </w:r>
    </w:p>
  </w:footnote>
  <w:footnote w:type="continuationSeparator" w:id="0">
    <w:p w14:paraId="47543935" w14:textId="77777777" w:rsidR="00E73569" w:rsidRDefault="00E73569" w:rsidP="00820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69EC"/>
    <w:multiLevelType w:val="hybridMultilevel"/>
    <w:tmpl w:val="6D446076"/>
    <w:lvl w:ilvl="0" w:tplc="FFFFFFF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A740BE"/>
    <w:multiLevelType w:val="multilevel"/>
    <w:tmpl w:val="D1789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CB0E49"/>
    <w:multiLevelType w:val="multilevel"/>
    <w:tmpl w:val="5468A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4" w15:restartNumberingAfterBreak="0">
    <w:nsid w:val="50837131"/>
    <w:multiLevelType w:val="hybridMultilevel"/>
    <w:tmpl w:val="51A0FDF2"/>
    <w:lvl w:ilvl="0" w:tplc="FFFFFFF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5C94555"/>
    <w:multiLevelType w:val="multilevel"/>
    <w:tmpl w:val="165C2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380C27"/>
    <w:multiLevelType w:val="hybridMultilevel"/>
    <w:tmpl w:val="9168A616"/>
    <w:lvl w:ilvl="0" w:tplc="E5A22418">
      <w:start w:val="1"/>
      <w:numFmt w:val="decimal"/>
      <w:lvlText w:val="%1."/>
      <w:lvlJc w:val="left"/>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6153C2"/>
    <w:multiLevelType w:val="multilevel"/>
    <w:tmpl w:val="FE9EA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AD657F6"/>
    <w:multiLevelType w:val="hybridMultilevel"/>
    <w:tmpl w:val="46463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3C233B4"/>
    <w:multiLevelType w:val="multilevel"/>
    <w:tmpl w:val="87C04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2337F7"/>
    <w:multiLevelType w:val="hybridMultilevel"/>
    <w:tmpl w:val="0C0C8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5291143">
    <w:abstractNumId w:val="3"/>
  </w:num>
  <w:num w:numId="2" w16cid:durableId="191574340">
    <w:abstractNumId w:val="10"/>
  </w:num>
  <w:num w:numId="3" w16cid:durableId="1157723739">
    <w:abstractNumId w:val="9"/>
  </w:num>
  <w:num w:numId="4" w16cid:durableId="1426148581">
    <w:abstractNumId w:val="11"/>
  </w:num>
  <w:num w:numId="5" w16cid:durableId="752707046">
    <w:abstractNumId w:val="6"/>
  </w:num>
  <w:num w:numId="6" w16cid:durableId="2000956355">
    <w:abstractNumId w:val="0"/>
  </w:num>
  <w:num w:numId="7" w16cid:durableId="124202212">
    <w:abstractNumId w:val="4"/>
  </w:num>
  <w:num w:numId="8" w16cid:durableId="159038634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854806832">
    <w:abstractNumId w:val="2"/>
  </w:num>
  <w:num w:numId="10" w16cid:durableId="1838879590">
    <w:abstractNumId w:val="7"/>
  </w:num>
  <w:num w:numId="11" w16cid:durableId="1560479948">
    <w:abstractNumId w:val="1"/>
  </w:num>
  <w:num w:numId="12" w16cid:durableId="944582414">
    <w:abstractNumId w:val="5"/>
  </w:num>
  <w:num w:numId="13" w16cid:durableId="15525710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4B4"/>
    <w:rsid w:val="000307F0"/>
    <w:rsid w:val="000A14B8"/>
    <w:rsid w:val="000B5D19"/>
    <w:rsid w:val="001220C4"/>
    <w:rsid w:val="001435B0"/>
    <w:rsid w:val="001804AC"/>
    <w:rsid w:val="001F70B7"/>
    <w:rsid w:val="003514B4"/>
    <w:rsid w:val="003D1F74"/>
    <w:rsid w:val="003D5363"/>
    <w:rsid w:val="003E07DF"/>
    <w:rsid w:val="0048448F"/>
    <w:rsid w:val="00522B8B"/>
    <w:rsid w:val="005531B5"/>
    <w:rsid w:val="005A25E6"/>
    <w:rsid w:val="00620C88"/>
    <w:rsid w:val="00645B93"/>
    <w:rsid w:val="00702E88"/>
    <w:rsid w:val="007376B5"/>
    <w:rsid w:val="00775B6F"/>
    <w:rsid w:val="007C0CE5"/>
    <w:rsid w:val="00810251"/>
    <w:rsid w:val="00820CB8"/>
    <w:rsid w:val="008A66CC"/>
    <w:rsid w:val="008B3C40"/>
    <w:rsid w:val="00992D68"/>
    <w:rsid w:val="009A4CC1"/>
    <w:rsid w:val="00A06F62"/>
    <w:rsid w:val="00B2525D"/>
    <w:rsid w:val="00B30B8F"/>
    <w:rsid w:val="00BA056D"/>
    <w:rsid w:val="00C14506"/>
    <w:rsid w:val="00C354E2"/>
    <w:rsid w:val="00CB5344"/>
    <w:rsid w:val="00D478CA"/>
    <w:rsid w:val="00DD447C"/>
    <w:rsid w:val="00E73569"/>
    <w:rsid w:val="00EA1B10"/>
    <w:rsid w:val="00F624E1"/>
    <w:rsid w:val="00F66DC1"/>
    <w:rsid w:val="00F86900"/>
    <w:rsid w:val="00FD1457"/>
    <w:rsid w:val="00FF2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DF36"/>
  <w15:chartTrackingRefBased/>
  <w15:docId w15:val="{47A889C5-82F4-41AF-9A5E-8F8A3D46F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1B10"/>
    <w:pPr>
      <w:spacing w:after="0" w:line="240" w:lineRule="auto"/>
      <w:jc w:val="center"/>
      <w:outlineLvl w:val="0"/>
    </w:pPr>
    <w:rPr>
      <w:rFonts w:ascii="Arial" w:eastAsia="Times New Roman" w:hAnsi="Arial" w:cs="Arial"/>
      <w:b/>
      <w:bCs/>
      <w:kern w:val="0"/>
      <w:sz w:val="28"/>
      <w:szCs w:val="28"/>
      <w:lang w:eastAsia="en-GB"/>
      <w14:ligatures w14:val="none"/>
    </w:rPr>
  </w:style>
  <w:style w:type="paragraph" w:styleId="Heading2">
    <w:name w:val="heading 2"/>
    <w:basedOn w:val="Normal"/>
    <w:next w:val="Normal"/>
    <w:link w:val="Heading2Char"/>
    <w:uiPriority w:val="9"/>
    <w:unhideWhenUsed/>
    <w:qFormat/>
    <w:rsid w:val="008A66CC"/>
    <w:pPr>
      <w:spacing w:after="0" w:line="240" w:lineRule="auto"/>
      <w:outlineLvl w:val="1"/>
    </w:pPr>
    <w:rPr>
      <w:rFonts w:ascii="Arial" w:eastAsia="Times New Roman" w:hAnsi="Arial" w:cs="Arial"/>
      <w:b/>
      <w:bCs/>
      <w:kern w:val="0"/>
      <w:sz w:val="24"/>
      <w:szCs w:val="24"/>
      <w:lang w:eastAsia="en-GB"/>
      <w14:ligatures w14:val="none"/>
    </w:rPr>
  </w:style>
  <w:style w:type="paragraph" w:styleId="Heading3">
    <w:name w:val="heading 3"/>
    <w:basedOn w:val="Heading2"/>
    <w:next w:val="Normal"/>
    <w:link w:val="Heading3Char"/>
    <w:uiPriority w:val="9"/>
    <w:unhideWhenUsed/>
    <w:qFormat/>
    <w:rsid w:val="008A66CC"/>
    <w:pPr>
      <w:jc w:val="center"/>
      <w:outlineLvl w:val="2"/>
    </w:pPr>
  </w:style>
  <w:style w:type="paragraph" w:styleId="Heading4">
    <w:name w:val="heading 4"/>
    <w:basedOn w:val="Normal"/>
    <w:next w:val="Normal"/>
    <w:link w:val="Heading4Char"/>
    <w:uiPriority w:val="9"/>
    <w:unhideWhenUsed/>
    <w:qFormat/>
    <w:rsid w:val="008A66CC"/>
    <w:pPr>
      <w:jc w:val="center"/>
      <w:outlineLvl w:val="3"/>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B10"/>
    <w:rPr>
      <w:rFonts w:ascii="Arial" w:eastAsia="Times New Roman" w:hAnsi="Arial" w:cs="Arial"/>
      <w:b/>
      <w:bCs/>
      <w:kern w:val="0"/>
      <w:sz w:val="28"/>
      <w:szCs w:val="28"/>
      <w:lang w:eastAsia="en-GB"/>
      <w14:ligatures w14:val="none"/>
    </w:rPr>
  </w:style>
  <w:style w:type="character" w:customStyle="1" w:styleId="Heading2Char">
    <w:name w:val="Heading 2 Char"/>
    <w:basedOn w:val="DefaultParagraphFont"/>
    <w:link w:val="Heading2"/>
    <w:uiPriority w:val="9"/>
    <w:rsid w:val="008A66CC"/>
    <w:rPr>
      <w:rFonts w:ascii="Arial" w:eastAsia="Times New Roman" w:hAnsi="Arial" w:cs="Arial"/>
      <w:b/>
      <w:bCs/>
      <w:kern w:val="0"/>
      <w:sz w:val="24"/>
      <w:szCs w:val="24"/>
      <w:lang w:eastAsia="en-GB"/>
      <w14:ligatures w14:val="none"/>
    </w:rPr>
  </w:style>
  <w:style w:type="character" w:customStyle="1" w:styleId="Heading3Char">
    <w:name w:val="Heading 3 Char"/>
    <w:basedOn w:val="DefaultParagraphFont"/>
    <w:link w:val="Heading3"/>
    <w:uiPriority w:val="9"/>
    <w:rsid w:val="008A66CC"/>
    <w:rPr>
      <w:rFonts w:ascii="Arial" w:eastAsia="Times New Roman" w:hAnsi="Arial" w:cs="Arial"/>
      <w:b/>
      <w:bCs/>
      <w:kern w:val="0"/>
      <w:sz w:val="24"/>
      <w:szCs w:val="24"/>
      <w:lang w:eastAsia="en-GB"/>
      <w14:ligatures w14:val="none"/>
    </w:rPr>
  </w:style>
  <w:style w:type="character" w:customStyle="1" w:styleId="Heading4Char">
    <w:name w:val="Heading 4 Char"/>
    <w:basedOn w:val="DefaultParagraphFont"/>
    <w:link w:val="Heading4"/>
    <w:uiPriority w:val="9"/>
    <w:rsid w:val="008A66CC"/>
    <w:rPr>
      <w:kern w:val="0"/>
      <w14:ligatures w14:val="none"/>
    </w:rPr>
  </w:style>
  <w:style w:type="numbering" w:customStyle="1" w:styleId="NoList1">
    <w:name w:val="No List1"/>
    <w:next w:val="NoList"/>
    <w:uiPriority w:val="99"/>
    <w:semiHidden/>
    <w:unhideWhenUsed/>
    <w:rsid w:val="008A66CC"/>
  </w:style>
  <w:style w:type="paragraph" w:styleId="ListParagraph">
    <w:name w:val="List Paragraph"/>
    <w:basedOn w:val="Normal"/>
    <w:uiPriority w:val="34"/>
    <w:qFormat/>
    <w:rsid w:val="008A66CC"/>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8A66CC"/>
    <w:pPr>
      <w:spacing w:line="259" w:lineRule="auto"/>
      <w:outlineLvl w:val="9"/>
    </w:pPr>
    <w:rPr>
      <w:lang w:val="en-US" w:eastAsia="en-US"/>
    </w:rPr>
  </w:style>
  <w:style w:type="paragraph" w:styleId="TOC2">
    <w:name w:val="toc 2"/>
    <w:basedOn w:val="Normal"/>
    <w:next w:val="Normal"/>
    <w:autoRedefine/>
    <w:uiPriority w:val="39"/>
    <w:unhideWhenUsed/>
    <w:rsid w:val="00DD447C"/>
    <w:pPr>
      <w:tabs>
        <w:tab w:val="right" w:leader="dot" w:pos="9016"/>
      </w:tabs>
      <w:spacing w:after="100"/>
      <w:ind w:left="220"/>
    </w:pPr>
    <w:rPr>
      <w:rFonts w:ascii="Arial" w:eastAsiaTheme="minorEastAsia" w:hAnsi="Arial" w:cs="Arial"/>
      <w:noProof/>
      <w:kern w:val="0"/>
      <w:lang w:val="en-US"/>
      <w14:ligatures w14:val="none"/>
    </w:rPr>
  </w:style>
  <w:style w:type="paragraph" w:styleId="TOC1">
    <w:name w:val="toc 1"/>
    <w:basedOn w:val="Normal"/>
    <w:next w:val="Normal"/>
    <w:autoRedefine/>
    <w:uiPriority w:val="39"/>
    <w:unhideWhenUsed/>
    <w:rsid w:val="008A66C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8A66CC"/>
    <w:pPr>
      <w:spacing w:after="100"/>
      <w:ind w:left="440"/>
    </w:pPr>
    <w:rPr>
      <w:rFonts w:eastAsiaTheme="minorEastAsia" w:cs="Times New Roman"/>
      <w:kern w:val="0"/>
      <w:lang w:val="en-US"/>
      <w14:ligatures w14:val="none"/>
    </w:rPr>
  </w:style>
  <w:style w:type="paragraph" w:styleId="Bibliography">
    <w:name w:val="Bibliography"/>
    <w:basedOn w:val="Normal"/>
    <w:next w:val="Normal"/>
    <w:uiPriority w:val="37"/>
    <w:unhideWhenUsed/>
    <w:rsid w:val="008A66CC"/>
    <w:pPr>
      <w:spacing w:after="0" w:line="240" w:lineRule="auto"/>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8A66CC"/>
    <w:rPr>
      <w:color w:val="0563C1" w:themeColor="hyperlink"/>
      <w:u w:val="single"/>
    </w:rPr>
  </w:style>
  <w:style w:type="character" w:styleId="UnresolvedMention">
    <w:name w:val="Unresolved Mention"/>
    <w:basedOn w:val="DefaultParagraphFont"/>
    <w:uiPriority w:val="99"/>
    <w:semiHidden/>
    <w:unhideWhenUsed/>
    <w:rsid w:val="008A66CC"/>
    <w:rPr>
      <w:color w:val="605E5C"/>
      <w:shd w:val="clear" w:color="auto" w:fill="E1DFDD"/>
    </w:rPr>
  </w:style>
  <w:style w:type="character" w:styleId="FollowedHyperlink">
    <w:name w:val="FollowedHyperlink"/>
    <w:basedOn w:val="DefaultParagraphFont"/>
    <w:uiPriority w:val="99"/>
    <w:semiHidden/>
    <w:unhideWhenUsed/>
    <w:rsid w:val="008A66CC"/>
    <w:rPr>
      <w:color w:val="954F72" w:themeColor="followedHyperlink"/>
      <w:u w:val="single"/>
    </w:rPr>
  </w:style>
  <w:style w:type="character" w:styleId="CommentReference">
    <w:name w:val="annotation reference"/>
    <w:basedOn w:val="DefaultParagraphFont"/>
    <w:uiPriority w:val="99"/>
    <w:semiHidden/>
    <w:unhideWhenUsed/>
    <w:rsid w:val="008A66CC"/>
    <w:rPr>
      <w:sz w:val="16"/>
      <w:szCs w:val="16"/>
    </w:rPr>
  </w:style>
  <w:style w:type="paragraph" w:styleId="CommentText">
    <w:name w:val="annotation text"/>
    <w:basedOn w:val="Normal"/>
    <w:link w:val="CommentTextChar"/>
    <w:uiPriority w:val="99"/>
    <w:semiHidden/>
    <w:unhideWhenUsed/>
    <w:rsid w:val="008A66CC"/>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CommentTextChar">
    <w:name w:val="Comment Text Char"/>
    <w:basedOn w:val="DefaultParagraphFont"/>
    <w:link w:val="CommentText"/>
    <w:uiPriority w:val="99"/>
    <w:semiHidden/>
    <w:rsid w:val="008A66CC"/>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8A66CC"/>
    <w:rPr>
      <w:b/>
      <w:bCs/>
    </w:rPr>
  </w:style>
  <w:style w:type="character" w:customStyle="1" w:styleId="CommentSubjectChar">
    <w:name w:val="Comment Subject Char"/>
    <w:basedOn w:val="CommentTextChar"/>
    <w:link w:val="CommentSubject"/>
    <w:uiPriority w:val="99"/>
    <w:semiHidden/>
    <w:rsid w:val="008A66CC"/>
    <w:rPr>
      <w:rFonts w:ascii="Times New Roman" w:eastAsia="Times New Roman" w:hAnsi="Times New Roman" w:cs="Times New Roman"/>
      <w:b/>
      <w:bCs/>
      <w:kern w:val="0"/>
      <w:sz w:val="20"/>
      <w:szCs w:val="20"/>
      <w:lang w:eastAsia="en-GB"/>
      <w14:ligatures w14:val="none"/>
    </w:rPr>
  </w:style>
  <w:style w:type="paragraph" w:styleId="Header">
    <w:name w:val="header"/>
    <w:basedOn w:val="Normal"/>
    <w:link w:val="HeaderChar"/>
    <w:uiPriority w:val="99"/>
    <w:unhideWhenUsed/>
    <w:rsid w:val="008A66CC"/>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uiPriority w:val="99"/>
    <w:rsid w:val="008A66C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8A66CC"/>
    <w:pPr>
      <w:tabs>
        <w:tab w:val="center" w:pos="4513"/>
        <w:tab w:val="right" w:pos="902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erChar">
    <w:name w:val="Footer Char"/>
    <w:basedOn w:val="DefaultParagraphFont"/>
    <w:link w:val="Footer"/>
    <w:uiPriority w:val="99"/>
    <w:rsid w:val="008A66CC"/>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8A66CC"/>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66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A66CC"/>
    <w:rPr>
      <w:b/>
      <w:bCs/>
    </w:rPr>
  </w:style>
  <w:style w:type="character" w:styleId="Emphasis">
    <w:name w:val="Emphasis"/>
    <w:basedOn w:val="DefaultParagraphFont"/>
    <w:uiPriority w:val="20"/>
    <w:qFormat/>
    <w:rsid w:val="008A66CC"/>
    <w:rPr>
      <w:i/>
      <w:iCs/>
    </w:rPr>
  </w:style>
  <w:style w:type="paragraph" w:styleId="TableofFigures">
    <w:name w:val="table of figures"/>
    <w:basedOn w:val="Normal"/>
    <w:next w:val="Normal"/>
    <w:uiPriority w:val="99"/>
    <w:unhideWhenUsed/>
    <w:rsid w:val="008A66CC"/>
    <w:pPr>
      <w:spacing w:after="0" w:line="240" w:lineRule="auto"/>
    </w:pPr>
    <w:rPr>
      <w:rFonts w:ascii="Times New Roman" w:eastAsia="Times New Roman" w:hAnsi="Times New Roman" w:cs="Times New Roman"/>
      <w:kern w:val="0"/>
      <w:sz w:val="24"/>
      <w:szCs w:val="20"/>
      <w:lang w:eastAsia="en-GB"/>
      <w14:ligatures w14:val="none"/>
    </w:rPr>
  </w:style>
  <w:style w:type="paragraph" w:styleId="NoSpacing">
    <w:name w:val="No Spacing"/>
    <w:uiPriority w:val="1"/>
    <w:qFormat/>
    <w:rsid w:val="008A66CC"/>
    <w:pPr>
      <w:spacing w:after="0" w:line="240" w:lineRule="auto"/>
    </w:pPr>
    <w:rPr>
      <w:rFonts w:ascii="Times New Roman" w:eastAsia="Times New Roman" w:hAnsi="Times New Roman" w:cs="Times New Roman"/>
      <w:kern w:val="0"/>
      <w:sz w:val="20"/>
      <w:szCs w:val="20"/>
      <w:lang w:eastAsia="en-GB"/>
      <w14:ligatures w14:val="none"/>
    </w:rPr>
  </w:style>
  <w:style w:type="paragraph" w:customStyle="1" w:styleId="Default">
    <w:name w:val="Default"/>
    <w:rsid w:val="000A14B8"/>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0002">
      <w:bodyDiv w:val="1"/>
      <w:marLeft w:val="0"/>
      <w:marRight w:val="0"/>
      <w:marTop w:val="0"/>
      <w:marBottom w:val="0"/>
      <w:divBdr>
        <w:top w:val="none" w:sz="0" w:space="0" w:color="auto"/>
        <w:left w:val="none" w:sz="0" w:space="0" w:color="auto"/>
        <w:bottom w:val="none" w:sz="0" w:space="0" w:color="auto"/>
        <w:right w:val="none" w:sz="0" w:space="0" w:color="auto"/>
      </w:divBdr>
    </w:div>
    <w:div w:id="515004623">
      <w:bodyDiv w:val="1"/>
      <w:marLeft w:val="0"/>
      <w:marRight w:val="0"/>
      <w:marTop w:val="0"/>
      <w:marBottom w:val="0"/>
      <w:divBdr>
        <w:top w:val="none" w:sz="0" w:space="0" w:color="auto"/>
        <w:left w:val="none" w:sz="0" w:space="0" w:color="auto"/>
        <w:bottom w:val="none" w:sz="0" w:space="0" w:color="auto"/>
        <w:right w:val="none" w:sz="0" w:space="0" w:color="auto"/>
      </w:divBdr>
    </w:div>
    <w:div w:id="772673101">
      <w:bodyDiv w:val="1"/>
      <w:marLeft w:val="0"/>
      <w:marRight w:val="0"/>
      <w:marTop w:val="0"/>
      <w:marBottom w:val="0"/>
      <w:divBdr>
        <w:top w:val="none" w:sz="0" w:space="0" w:color="auto"/>
        <w:left w:val="none" w:sz="0" w:space="0" w:color="auto"/>
        <w:bottom w:val="none" w:sz="0" w:space="0" w:color="auto"/>
        <w:right w:val="none" w:sz="0" w:space="0" w:color="auto"/>
      </w:divBdr>
    </w:div>
    <w:div w:id="904879628">
      <w:bodyDiv w:val="1"/>
      <w:marLeft w:val="0"/>
      <w:marRight w:val="0"/>
      <w:marTop w:val="0"/>
      <w:marBottom w:val="0"/>
      <w:divBdr>
        <w:top w:val="none" w:sz="0" w:space="0" w:color="auto"/>
        <w:left w:val="none" w:sz="0" w:space="0" w:color="auto"/>
        <w:bottom w:val="none" w:sz="0" w:space="0" w:color="auto"/>
        <w:right w:val="none" w:sz="0" w:space="0" w:color="auto"/>
      </w:divBdr>
    </w:div>
    <w:div w:id="1459107537">
      <w:bodyDiv w:val="1"/>
      <w:marLeft w:val="0"/>
      <w:marRight w:val="0"/>
      <w:marTop w:val="0"/>
      <w:marBottom w:val="0"/>
      <w:divBdr>
        <w:top w:val="none" w:sz="0" w:space="0" w:color="auto"/>
        <w:left w:val="none" w:sz="0" w:space="0" w:color="auto"/>
        <w:bottom w:val="none" w:sz="0" w:space="0" w:color="auto"/>
        <w:right w:val="none" w:sz="0" w:space="0" w:color="auto"/>
      </w:divBdr>
    </w:div>
    <w:div w:id="1571845490">
      <w:bodyDiv w:val="1"/>
      <w:marLeft w:val="0"/>
      <w:marRight w:val="0"/>
      <w:marTop w:val="0"/>
      <w:marBottom w:val="0"/>
      <w:divBdr>
        <w:top w:val="none" w:sz="0" w:space="0" w:color="auto"/>
        <w:left w:val="none" w:sz="0" w:space="0" w:color="auto"/>
        <w:bottom w:val="none" w:sz="0" w:space="0" w:color="auto"/>
        <w:right w:val="none" w:sz="0" w:space="0" w:color="auto"/>
      </w:divBdr>
    </w:div>
    <w:div w:id="1982071413">
      <w:bodyDiv w:val="1"/>
      <w:marLeft w:val="0"/>
      <w:marRight w:val="0"/>
      <w:marTop w:val="0"/>
      <w:marBottom w:val="0"/>
      <w:divBdr>
        <w:top w:val="none" w:sz="0" w:space="0" w:color="auto"/>
        <w:left w:val="none" w:sz="0" w:space="0" w:color="auto"/>
        <w:bottom w:val="none" w:sz="0" w:space="0" w:color="auto"/>
        <w:right w:val="none" w:sz="0" w:space="0" w:color="auto"/>
      </w:divBdr>
    </w:div>
    <w:div w:id="2034530268">
      <w:bodyDiv w:val="1"/>
      <w:marLeft w:val="0"/>
      <w:marRight w:val="0"/>
      <w:marTop w:val="0"/>
      <w:marBottom w:val="0"/>
      <w:divBdr>
        <w:top w:val="none" w:sz="0" w:space="0" w:color="auto"/>
        <w:left w:val="none" w:sz="0" w:space="0" w:color="auto"/>
        <w:bottom w:val="none" w:sz="0" w:space="0" w:color="auto"/>
        <w:right w:val="none" w:sz="0" w:space="0" w:color="auto"/>
      </w:divBdr>
    </w:div>
    <w:div w:id="211073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b:Tag>
    <b:SourceType>InternetSite</b:SourceType>
    <b:Guid>{744BE3FA-D175-433B-82E2-7F0EE3DC68F9}</b:Guid>
    <b:Author>
      <b:Author>
        <b:Corporate>The Science Hive</b:Corporate>
      </b:Author>
    </b:Author>
    <b:Title>Electrolysis</b:Title>
    <b:Year>2023</b:Year>
    <b:YearAccessed>2023</b:YearAccessed>
    <b:MonthAccessed>March</b:MonthAccessed>
    <b:DayAccessed>19</b:DayAccessed>
    <b:URL>https://www.thesciencehive.co.uk/electrolysis</b:URL>
    <b:RefOrder>1</b:RefOrder>
  </b:Source>
  <b:Source>
    <b:Tag>GH222</b:Tag>
    <b:SourceType>InternetSite</b:SourceType>
    <b:Guid>{A49BF628-BC8A-4986-99C7-BBCFA89D5A84}</b:Guid>
    <b:Title>What is Green Hydrogen</b:Title>
    <b:Year>2022</b:Year>
    <b:YearAccessed>2023</b:YearAccessed>
    <b:MonthAccessed>January</b:MonthAccessed>
    <b:DayAccessed>08</b:DayAccessed>
    <b:URL>https://gh2.org/what-green-hydrogen</b:URL>
    <b:Author>
      <b:Author>
        <b:Corporate>GH2</b:Corporate>
      </b:Author>
    </b:Author>
    <b:RefOrder>2</b:RefOrder>
  </b:Source>
  <b:Source>
    <b:Tag>IES20</b:Tag>
    <b:SourceType>Report</b:SourceType>
    <b:Guid>{143864B6-B957-402E-BD90-70756CE1792C}</b:Guid>
    <b:Title>Global energy-related CO2 emissions, 1900-2020.</b:Title>
    <b:Year>2020</b:Year>
    <b:Author>
      <b:Author>
        <b:Corporate>IES</b:Corporate>
      </b:Author>
    </b:Author>
    <b:Publisher>IEA</b:Publisher>
    <b:City>Paris</b:City>
    <b:RefOrder>3</b:RefOrder>
  </b:Source>
  <b:Source>
    <b:Tag>Say21</b:Tag>
    <b:SourceType>JournalArticle</b:SourceType>
    <b:Guid>{A8F15CC1-EBE7-4D03-A3F7-EE270583E875}</b:Guid>
    <b:Author>
      <b:Author>
        <b:NameList>
          <b:Person>
            <b:Last>Sayad B</b:Last>
            <b:First>Alkama</b:First>
            <b:Middle>D, Ahmad H, Baili J, Aljahdaly NH, Menni Y.</b:Middle>
          </b:Person>
        </b:NameList>
      </b:Author>
    </b:Author>
    <b:Title>Nature-based solutions to improve the summer thermal</b:Title>
    <b:Year>2021</b:Year>
    <b:JournalName>Case Studies in Thermal Engineering</b:JournalName>
    <b:Pages>101399</b:Pages>
    <b:Volume>28</b:Volume>
    <b:RefOrder>5</b:RefOrder>
  </b:Source>
  <b:Source>
    <b:Tag>Rux20</b:Tag>
    <b:SourceType>JournalArticle</b:SourceType>
    <b:Guid>{F94ECAF7-B37E-4954-A263-0ACC5F2A9F6A}</b:Guid>
    <b:Author>
      <b:Author>
        <b:NameList>
          <b:Person>
            <b:Last>Ruxing</b:Last>
            <b:First>Gao.</b:First>
            <b:Middle>Chundong,Zhang. Geunjae,Kwak. Yun-JoLee. Seok,Chang,Kang.Guofeng,Guan.</b:Middle>
          </b:Person>
        </b:NameList>
      </b:Author>
    </b:Author>
    <b:Title>Techno-economic evaluation of methanol production using by-product gases from iron and steel works</b:Title>
    <b:JournalName>Energy Conversion and Management</b:JournalName>
    <b:Year>2020</b:Year>
    <b:Pages>112819</b:Pages>
    <b:Volume>213</b:Volume>
    <b:RefOrder>6</b:RefOrder>
  </b:Source>
  <b:Source>
    <b:Tag>Pac14</b:Tag>
    <b:SourceType>Report</b:SourceType>
    <b:Guid>{749B47A4-CCB7-4619-A85B-E02953D4F9C6}</b:Guid>
    <b:Author>
      <b:Author>
        <b:NameList>
          <b:Person>
            <b:Last>Pachauri RK</b:Last>
            <b:First>Allen</b:First>
            <b:Middle>MR, Barros VR, Broome J, Cramer W, Christ R, et al.</b:Middle>
          </b:Person>
        </b:NameList>
      </b:Author>
    </b:Author>
    <b:Title>Climate Change</b:Title>
    <b:Year>2014</b:Year>
    <b:Publisher>IPCC</b:Publisher>
    <b:City>Geneva, Switzerland</b:City>
    <b:RefOrder>7</b:RefOrder>
  </b:Source>
  <b:Source>
    <b:Tag>All21</b:Tag>
    <b:SourceType>JournalArticle</b:SourceType>
    <b:Guid>{17F1F4EF-6DB8-4EDC-A2C5-F01B465E2344}</b:Guid>
    <b:Author>
      <b:Author>
        <b:NameList>
          <b:Person>
            <b:Last>Alliche M</b:Last>
            <b:First>Rebhi</b:First>
            <b:Middle>R, Kaid N, Menni Y, Ameur H, Inc M, Ahmad H, Lorenzini G, Aly AA, Elagan SK, Felemban BF.</b:Middle>
          </b:Person>
        </b:NameList>
      </b:Author>
    </b:Author>
    <b:Title>Estimation of the wind energy potential in various north algerian regions</b:Title>
    <b:Year>2021</b:Year>
    <b:Publisher>Energies</b:Publisher>
    <b:JournalName>Energies </b:JournalName>
    <b:Pages>7564</b:Pages>
    <b:Volume>14</b:Volume>
    <b:Issue>22</b:Issue>
    <b:RefOrder>8</b:RefOrder>
  </b:Source>
  <b:Source>
    <b:Tag>Zha19</b:Tag>
    <b:SourceType>JournalArticle</b:SourceType>
    <b:Guid>{136599B6-7574-4CD5-92D5-89221006C063}</b:Guid>
    <b:Author>
      <b:Author>
        <b:NameList>
          <b:Person>
            <b:Last>Zhang C</b:Last>
            <b:First>Gao</b:First>
            <b:Middle>R, Jun K-W, Kim SK, Hwang S-M, Park H-G, Guan G.</b:Middle>
          </b:Person>
        </b:NameList>
      </b:Author>
    </b:Author>
    <b:Title>Direct conversion of carbon dioxide to liquid fuels and synthetic natural gas</b:Title>
    <b:JournalName>Journal of CO2 Utilization</b:JournalName>
    <b:Year>2019</b:Year>
    <b:Pages>293-302</b:Pages>
    <b:Volume>34</b:Volume>
    <b:RefOrder>9</b:RefOrder>
  </b:Source>
  <b:Source>
    <b:Tag>Rux21</b:Tag>
    <b:SourceType>JournalArticle</b:SourceType>
    <b:Guid>{2DF769D2-ED2B-449B-8B64-087D95EE0E9A}</b:Guid>
    <b:Author>
      <b:Author>
        <b:NameList>
          <b:Person>
            <b:Last>Ruxing Gao</b:Last>
            <b:First>Chundong</b:First>
            <b:Middle>Zhang, Ki-Won Jun, Seol Ki Kim, Hae-Gu Park, Tiansheng Zhao, Lei Wang, Hui Wang, Guofeng Guan.</b:Middle>
          </b:Person>
        </b:NameList>
      </b:Author>
    </b:Author>
    <b:Title>Transformation of CO2 into liquid fuels and synthetic natural gas using green hydrogen</b:Title>
    <b:JournalName>Fuel </b:JournalName>
    <b:Year>2021</b:Year>
    <b:Pages>120111</b:Pages>
    <b:Volume>291</b:Volume>
    <b:RefOrder>10</b:RefOrder>
  </b:Source>
  <b:Source>
    <b:Tag>Nan14</b:Tag>
    <b:SourceType>JournalArticle</b:SourceType>
    <b:Guid>{8D0CF2DD-3E8D-4469-87DD-6BADF9C19606}</b:Guid>
    <b:Author>
      <b:Author>
        <b:NameList>
          <b:Person>
            <b:Last>Nana Yaw Amponsah</b:Last>
            <b:First>Mads</b:First>
            <b:Middle>Troldborg, Bethany Kington, Inge Aalders, Rupert Lloyd Hough</b:Middle>
          </b:Person>
        </b:NameList>
      </b:Author>
    </b:Author>
    <b:Title>Greenhouse gas emissions from renewable energy sources: A review</b:Title>
    <b:JournalName>Renewable and Sustainable Energy Reviews</b:JournalName>
    <b:Year>2014</b:Year>
    <b:Pages>461-475</b:Pages>
    <b:Volume>39</b:Volume>
    <b:RefOrder>11</b:RefOrder>
  </b:Source>
  <b:Source>
    <b:Tag>Man16</b:Tag>
    <b:SourceType>JournalArticle</b:SourceType>
    <b:Guid>{8EA1132E-A308-4FB6-A455-9D140094B1AB}</b:Guid>
    <b:Author>
      <b:Author>
        <b:NameList>
          <b:Person>
            <b:Last>Manuel Gotz</b:Last>
            <b:First>Jonathan</b:First>
            <b:Middle>Lefebvre, Friedemann Mors, Amy McDaniel Koch, Frank Graf, Siegfried Bajohr , Rainer Reimert, Thomas Kolb.</b:Middle>
          </b:Person>
        </b:NameList>
      </b:Author>
    </b:Author>
    <b:Title>Renewable Power-to-Gas: A technological and economic review</b:Title>
    <b:JournalName>Renewable Energy</b:JournalName>
    <b:Year>2016</b:Year>
    <b:Pages>1371-1390</b:Pages>
    <b:Volume>85</b:Volume>
    <b:RefOrder>12</b:RefOrder>
  </b:Source>
  <b:Source>
    <b:Tag>Bla18</b:Tag>
    <b:SourceType>JournalArticle</b:SourceType>
    <b:Guid>{1730744B-082F-4182-8A49-01D14F04CFCC}</b:Guid>
    <b:Author>
      <b:Author>
        <b:NameList>
          <b:Person>
            <b:Last>Blanco H</b:Last>
            <b:First>Faaij</b:First>
            <b:Middle>A.</b:Middle>
          </b:Person>
        </b:NameList>
      </b:Author>
    </b:Author>
    <b:Title>A review at the role of storage in energy systems with a focus</b:Title>
    <b:JournalName>Renewable and Sustainable Energy Reviews</b:JournalName>
    <b:Year>2018</b:Year>
    <b:Pages>1049-1086</b:Pages>
    <b:Volume>81</b:Volume>
    <b:RefOrder>13</b:RefOrder>
  </b:Source>
  <b:Source>
    <b:Tag>But18</b:Tag>
    <b:SourceType>JournalArticle</b:SourceType>
    <b:Guid>{72F68270-9C83-4AF6-BB92-9CF0CBDA1726}</b:Guid>
    <b:Author>
      <b:Author>
        <b:NameList>
          <b:Person>
            <b:Last>Buttler A</b:Last>
            <b:First>Spliethoff</b:First>
            <b:Middle>H.</b:Middle>
          </b:Person>
        </b:NameList>
      </b:Author>
    </b:Author>
    <b:Title>Current status of water electrolysis for energy storage, grid balancing and</b:Title>
    <b:JournalName>Renewable and Sustainable Energy Reviews</b:JournalName>
    <b:Year>2018</b:Year>
    <b:Pages>2440-2454</b:Pages>
    <b:Volume>82</b:Volume>
    <b:RefOrder>14</b:RefOrder>
  </b:Source>
  <b:Source>
    <b:Tag>Imm</b:Tag>
    <b:SourceType>JournalArticle</b:SourceType>
    <b:Guid>{D21E611A-4132-4A37-AD8E-DFA45C7841D9}</b:Guid>
    <b:Author>
      <b:Author>
        <b:NameList>
          <b:Person>
            <b:Last>Immanuel Vincent</b:Last>
            <b:First>Andries</b:First>
            <b:Middle>Kruger, Dmitri Bessarabov</b:Middle>
          </b:Person>
        </b:NameList>
      </b:Author>
    </b:Author>
    <b:Title>Development of efficient membrane electrode</b:Title>
    <b:JournalName>Int Journal Hydrogen Energy</b:JournalName>
    <b:Year>2017</b:Year>
    <b:Pages>10752-61</b:Pages>
    <b:Volume>42</b:Volume>
    <b:RefOrder>15</b:RefOrder>
  </b:Source>
  <b:Source>
    <b:Tag>Rux22</b:Tag>
    <b:SourceType>JournalArticle</b:SourceType>
    <b:Guid>{2A0DD0E7-29EE-44D8-A46A-F9DBCDEE356E}</b:Guid>
    <b:Author>
      <b:Author>
        <b:NameList>
          <b:Person>
            <b:Last>Ruxing Gao</b:Last>
            <b:First>Leiyu</b:First>
            <b:Middle>Zhang, Lei Wang, Xiudong Zhang, Chundong Zhang, Ki-won Jun, Seok Ki Kim, Hae-Gu Park, Ying Gao, Yuezhao Zhu, Tiansheng Zhao, Hui Wan, Guofeng Guan.</b:Middle>
          </b:Person>
        </b:NameList>
      </b:Author>
    </b:Author>
    <b:Title>A comparative study on hybrid power-to-liquids/power-to-gas processes </b:Title>
    <b:JournalName>Energy Conversion and Management </b:JournalName>
    <b:Year>2022</b:Year>
    <b:Pages>115671</b:Pages>
    <b:Volume>263</b:Volume>
    <b:RefOrder>4</b:RefOrder>
  </b:Source>
  <b:Source>
    <b:Tag>Kum19</b:Tag>
    <b:SourceType>JournalArticle</b:SourceType>
    <b:Guid>{C9E92F74-FF9B-47CF-BD58-6F2138107FE2}</b:Guid>
    <b:Author>
      <b:Author>
        <b:NameList>
          <b:Person>
            <b:Last>Kumar</b:Last>
            <b:First>A.,</b:First>
            <b:Middle>Kumar, S., &amp; Kumar, S.</b:Middle>
          </b:Person>
        </b:NameList>
      </b:Author>
    </b:Author>
    <b:Title> current state-of-the-art, new developments, and future prospects. Renewable and Sustainable Energy Reviews, </b:Title>
    <b:JournalName> Hydrogen storage materials</b:JournalName>
    <b:Year>2019</b:Year>
    <b:Pages> 340-356.</b:Pages>
    <b:Volume>105</b:Volume>
    <b:RefOrder>16</b:RefOrder>
  </b:Source>
  <b:Source>
    <b:Tag>Yos18</b:Tag>
    <b:SourceType>JournalArticle</b:SourceType>
    <b:Guid>{E258EE34-E63D-4E4F-A19C-A3BE74342E45}</b:Guid>
    <b:Author>
      <b:Author>
        <b:NameList>
          <b:Person>
            <b:Last>Yoshida</b:Last>
            <b:First>S.,</b:First>
            <b:Middle>Tomita, Y., Matsunaga, T., Takayanagi, M., Shintaku, H., Takeda, O., Yamaguchi, T.</b:Middle>
          </b:Person>
        </b:NameList>
      </b:Author>
    </b:Author>
    <b:Title>Fatigue performance of composite pressure vessel for hydrogen storage</b:Title>
    <b:JournalName>International Journal of Hydrogen Energy.</b:JournalName>
    <b:Year>2018</b:Year>
    <b:Pages> 7103-7113.</b:Pages>
    <b:Volume>43</b:Volume>
    <b:Issue>14</b:Issue>
    <b:RefOrder>17</b:RefOrder>
  </b:Source>
  <b:Source>
    <b:Tag>Xie20</b:Tag>
    <b:SourceType>JournalArticle</b:SourceType>
    <b:Guid>{79102313-BB0F-496F-9C80-7D02B566D61B}</b:Guid>
    <b:Author>
      <b:Author>
        <b:NameList>
          <b:Person>
            <b:Last>Xie</b:Last>
            <b:First>J.,</b:First>
            <b:Middle>Wang, Y., Yu, C., Yang, X., &amp; Liu, Y.</b:Middle>
          </b:Person>
        </b:NameList>
      </b:Author>
    </b:Author>
    <b:Title>Research progress and development prospects of green hydrogen production by water electrolysis.</b:Title>
    <b:JournalName>International Journal of Hydrogen Energy</b:JournalName>
    <b:Year>2020</b:Year>
    <b:Pages>4566-4581</b:Pages>
    <b:Volume>45</b:Volume>
    <b:Issue>8</b:Issue>
    <b:RefOrder>18</b:RefOrder>
  </b:Source>
  <b:Source>
    <b:Tag>Heg19</b:Tag>
    <b:SourceType>JournalArticle</b:SourceType>
    <b:Guid>{8736AC79-04E3-49FC-955E-CE55133F2446}</b:Guid>
    <b:Author>
      <b:Author>
        <b:NameList>
          <b:Person>
            <b:Last>Hegger</b:Last>
            <b:First>J.,</b:First>
            <b:Middle>Oñate, E., Kröger, M., &amp; Wriggers, P</b:Middle>
          </b:Person>
        </b:NameList>
      </b:Author>
    </b:Author>
    <b:Title>Challenges and opportunities for hydrogen storage in composite materials. </b:Title>
    <b:JournalName>Composite Structures</b:JournalName>
    <b:Year>2019</b:Year>
    <b:Pages>182-197</b:Pages>
    <b:Volume>211</b:Volume>
    <b:RefOrder>19</b:RefOrder>
  </b:Source>
  <b:Source>
    <b:Tag>Ahm19</b:Tag>
    <b:SourceType>JournalArticle</b:SourceType>
    <b:Guid>{8FB2CDB6-FCD5-44F6-9378-CDD30D10A45C}</b:Guid>
    <b:Author>
      <b:Author>
        <b:NameList>
          <b:Person>
            <b:Last>Ahmed</b:Last>
            <b:First>R.,</b:First>
            <b:Middle>Pham, T. L., &amp; Abdin, Z.</b:Middle>
          </b:Person>
        </b:NameList>
      </b:Author>
    </b:Author>
    <b:Title>Composite materials for high-pressure vessels. In Advanced Materials and Techniques for Hydrogen Storage</b:Title>
    <b:JournalName>Hydrogen storage: Springer.</b:JournalName>
    <b:Year>2019</b:Year>
    <b:Pages>1-22</b:Pages>
    <b:Volume>Springer.</b:Volume>
    <b:RefOrder>20</b:RefOrder>
  </b:Source>
  <b:Source>
    <b:Tag>Ogd19</b:Tag>
    <b:SourceType>JournalArticle</b:SourceType>
    <b:Guid>{61324AD2-7E48-4F91-B0B2-4D3944B73A10}</b:Guid>
    <b:Author>
      <b:Author>
        <b:NameList>
          <b:Person>
            <b:Last>Ogden</b:Last>
            <b:First>J.</b:First>
            <b:Middle>M.</b:Middle>
          </b:Person>
        </b:NameList>
      </b:Author>
    </b:Author>
    <b:Title>Renewable and Sustainable Energy Reviews</b:Title>
    <b:JournalName>Hydrogen storage for renewable energy: An educational review. </b:JournalName>
    <b:Year>2019</b:Year>
    <b:Pages>109273</b:Pages>
    <b:Volume>113</b:Volume>
    <b:RefOrder>21</b:RefOrder>
  </b:Source>
  <b:Source>
    <b:Tag>Eur19</b:Tag>
    <b:SourceType>JournalArticle</b:SourceType>
    <b:Guid>{B71F8364-DDA6-4210-845E-0868F14B168E}</b:Guid>
    <b:Author>
      <b:Author>
        <b:Corporate>European Commission Joint Research Centre.</b:Corporate>
      </b:Author>
    </b:Author>
    <b:Title>Technical assessment of compressed hydrogen storage tank systems for automotive applications</b:Title>
    <b:JournalName>publications.jrc.ec.europa.eu/repository/handle/</b:JournalName>
    <b:Year>2019</b:Year>
    <b:Pages>JRC116988</b:Pages>
    <b:RefOrder>22</b:RefOrder>
  </b:Source>
  <b:Source>
    <b:Tag>Bha21</b:Tag>
    <b:SourceType>JournalArticle</b:SourceType>
    <b:Guid>{89A13743-C606-4D09-B81B-473C3FA03C98}</b:Guid>
    <b:Author>
      <b:Author>
        <b:NameList>
          <b:Person>
            <b:Last>Bhattacharya</b:Last>
            <b:First>S.,</b:First>
            <b:Middle>Wu, J., Miao, Y., &amp; Sharma, A.</b:Middle>
          </b:Person>
        </b:NameList>
      </b:Author>
    </b:Author>
    <b:Title>Recent advances in composite materials for hydrogen storage</b:Title>
    <b:JournalName>International Journal of Hydrogen Energy</b:JournalName>
    <b:Year>2021</b:Year>
    <b:Pages>13232-13247</b:Pages>
    <b:Volume>46</b:Volume>
    <b:Issue>25</b:Issue>
    <b:RefOrder>23</b:RefOrder>
  </b:Source>
  <b:Source>
    <b:Tag>Ogd191</b:Tag>
    <b:SourceType>InternetSite</b:SourceType>
    <b:Guid>{6BB4A601-9AE1-4113-B74B-04740B3C859B}</b:Guid>
    <b:Title>Hydrogen storage and transportation: The potential of composites. Composite World. </b:Title>
    <b:Year>2019</b:Year>
    <b:Author>
      <b:Author>
        <b:NameList>
          <b:Person>
            <b:Last>Ogden</b:Last>
            <b:First>J.</b:First>
          </b:Person>
        </b:NameList>
      </b:Author>
    </b:Author>
    <b:YearAccessed>2023</b:YearAccessed>
    <b:MonthAccessed>March</b:MonthAccessed>
    <b:DayAccessed>19</b:DayAccessed>
    <b:URL>www.compositesworld.com/articles/hydrogen-storage-and-transportation-the-potential-of-composites</b:URL>
    <b:RefOrder>24</b:RefOrder>
  </b:Source>
  <b:Source>
    <b:Tag>Car21</b:Tag>
    <b:SourceType>InternetSite</b:SourceType>
    <b:Guid>{2EA83E1A-AE04-42FD-9D7C-AEE49E677D7B}</b:Guid>
    <b:Author>
      <b:Author>
        <b:NameList>
          <b:Person>
            <b:Last>Composites</b:Last>
            <b:First>Carbon</b:First>
          </b:Person>
        </b:NameList>
      </b:Author>
    </b:Author>
    <b:Title>Composite pressure vessels for hydrogen storage: Industry outlook 2021.</b:Title>
    <b:Year>2021</b:Year>
    <b:YearAccessed>2023</b:YearAccessed>
    <b:MonthAccessed>March</b:MonthAccessed>
    <b:DayAccessed>19</b:DayAccessed>
    <b:URL>www.carbon-composites.eu/en/projects/h2pressurevessel.</b:URL>
    <b:RefOrder>25</b:RefOrder>
  </b:Source>
  <b:Source>
    <b:Tag>Wri20</b:Tag>
    <b:SourceType>JournalArticle</b:SourceType>
    <b:Guid>{CF869647-9FF3-4A80-8029-784497175D43}</b:Guid>
    <b:Title>A review. Composites Part B: Engineering</b:Title>
    <b:Year>2020</b:Year>
    <b:Author>
      <b:Author>
        <b:NameList>
          <b:Person>
            <b:Last>Wright</b:Last>
            <b:First>M.</b:First>
          </b:Person>
        </b:NameList>
      </b:Author>
    </b:Author>
    <b:JournalName>Composite materials for hydrogen storage</b:JournalName>
    <b:Pages>107802</b:Pages>
    <b:Volume>186</b:Volume>
    <b:RefOrder>26</b:RefOrder>
  </b:Source>
  <b:Source>
    <b:Tag>Ahm20</b:Tag>
    <b:SourceType>JournalArticle</b:SourceType>
    <b:Guid>{2D9A43DE-4438-4584-9026-36CCB6FEB04D}</b:Guid>
    <b:Author>
      <b:Author>
        <b:NameList>
          <b:Person>
            <b:Last>Ahmed</b:Last>
            <b:First>S.,</b:First>
            <b:Middle>Ali, M., Hanif, A., Nawab, Y., &amp; Alzahrani, S.</b:Middle>
          </b:Person>
        </b:NameList>
      </b:Author>
    </b:Author>
    <b:Title>A review. Composites Science and Technology</b:Title>
    <b:JournalName>Design and analysis of composite pressure vessels  </b:JournalName>
    <b:Year>2020</b:Year>
    <b:Pages>191</b:Pages>
    <b:Volume>108105</b:Volume>
    <b:RefOrder>27</b:RefOrder>
  </b:Source>
  <b:Source>
    <b:Tag>Gre23</b:Tag>
    <b:SourceType>InternetSite</b:SourceType>
    <b:Guid>{A6B32AC8-6A1F-412E-88E7-889B857BEF06}</b:Guid>
    <b:Title>ACCELERATING THE GLOBAL ENERGY TRANSITION WITH GREEN HYDROGEN</b:Title>
    <b:Year>2023</b:Year>
    <b:Author>
      <b:Author>
        <b:Corporate>Green Hydrogen Systems</b:Corporate>
      </b:Author>
    </b:Author>
    <b:YearAccessed>2023</b:YearAccessed>
    <b:MonthAccessed>March</b:MonthAccessed>
    <b:DayAccessed>19</b:DayAccessed>
    <b:URL>https://www.greenhydrogensystems.com/</b:URL>
    <b:RefOrder>30</b:RefOrder>
  </b:Source>
  <b:Source>
    <b:Tag>Sch21</b:Tag>
    <b:SourceType>JournalArticle</b:SourceType>
    <b:Guid>{D1E4B997-7394-441B-85AF-372A1F76E1B1}</b:Guid>
    <b:Title> Digital twin of a green hydrogen electrolysis facility: Design considerations and benefits. , 27, 100450.</b:Title>
    <b:Year>2021</b:Year>
    <b:Author>
      <b:Author>
        <b:NameList>
          <b:Person>
            <b:Last>Scholten</b:Last>
            <b:First>D.,</b:First>
            <b:Middle>van der Hoorn, M., &amp; Metselaar, H.</b:Middle>
          </b:Person>
        </b:NameList>
      </b:Author>
    </b:Author>
    <b:JournalName>Sustainable Energy, Grids and Networks</b:JournalName>
    <b:Pages>100450</b:Pages>
    <b:Volume>27</b:Volume>
    <b:RefOrder>28</b:RefOrder>
  </b:Source>
  <b:Source>
    <b:Tag>Liu21</b:Tag>
    <b:SourceType>JournalArticle</b:SourceType>
    <b:Guid>{5A3D96D3-1AF5-4B97-B496-93A266143F91}</b:Guid>
    <b:Author>
      <b:Author>
        <b:NameList>
          <b:Person>
            <b:Last>Liu</b:Last>
            <b:First>Y.,</b:First>
            <b:Middle>Dong, L., &amp; Wang, Y.</b:Middle>
          </b:Person>
        </b:NameList>
      </b:Author>
    </b:Author>
    <b:Title>Liu, Y., Dong, L., &amp; Wang, Y.  A digital twin-based approach for real-time optimization of a green hydrogen production system</b:Title>
    <b:JournalName> Journal of Cleaner Production</b:JournalName>
    <b:Year>2021</b:Year>
    <b:Pages>126230</b:Pages>
    <b:Volume>293</b:Volume>
    <b:RefOrder>29</b:RefOrder>
  </b:Source>
</b:Sources>
</file>

<file path=customXml/itemProps1.xml><?xml version="1.0" encoding="utf-8"?>
<ds:datastoreItem xmlns:ds="http://schemas.openxmlformats.org/officeDocument/2006/customXml" ds:itemID="{DDD1F5C5-BAA2-407C-B42F-DEDF0A8F9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23</Pages>
  <Words>6956</Words>
  <Characters>39653</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Thomas</dc:creator>
  <cp:keywords/>
  <dc:description/>
  <cp:lastModifiedBy>Darren Thomas</cp:lastModifiedBy>
  <cp:revision>23</cp:revision>
  <dcterms:created xsi:type="dcterms:W3CDTF">2023-03-25T15:09:00Z</dcterms:created>
  <dcterms:modified xsi:type="dcterms:W3CDTF">2023-03-29T17:06:00Z</dcterms:modified>
</cp:coreProperties>
</file>