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32D6FE" w14:textId="78251959" w:rsidR="002E2CF9" w:rsidRDefault="006A2B09" w:rsidP="006A2B09">
      <w:pPr>
        <w:jc w:val="center"/>
        <w:rPr>
          <w:rFonts w:ascii="Arial" w:hAnsi="Arial" w:cs="Arial"/>
          <w:b/>
          <w:sz w:val="44"/>
          <w:szCs w:val="44"/>
        </w:rPr>
      </w:pPr>
      <w:r w:rsidRPr="006A2B09">
        <w:rPr>
          <w:rFonts w:ascii="Arial" w:hAnsi="Arial" w:cs="Arial"/>
          <w:b/>
          <w:sz w:val="44"/>
          <w:szCs w:val="44"/>
        </w:rPr>
        <w:t>REFORM OF NON-FATAL OFFENCES AGAINST THE PERSON</w:t>
      </w:r>
    </w:p>
    <w:p w14:paraId="424A5A00" w14:textId="396B96C7" w:rsidR="006A2B09" w:rsidRPr="007D44DE" w:rsidRDefault="006A2B09" w:rsidP="006A2B09">
      <w:pPr>
        <w:jc w:val="center"/>
        <w:rPr>
          <w:rFonts w:ascii="Arial" w:hAnsi="Arial" w:cs="Arial"/>
          <w:b/>
          <w:sz w:val="20"/>
          <w:szCs w:val="20"/>
        </w:rPr>
      </w:pPr>
    </w:p>
    <w:p w14:paraId="6F8435E5" w14:textId="5DEF4705" w:rsidR="006A2B09" w:rsidRPr="007D44DE" w:rsidRDefault="006A2B09" w:rsidP="006A2B09">
      <w:pPr>
        <w:rPr>
          <w:rFonts w:ascii="Arial" w:hAnsi="Arial" w:cs="Arial"/>
          <w:bCs/>
          <w:sz w:val="20"/>
          <w:szCs w:val="20"/>
        </w:rPr>
      </w:pPr>
      <w:r w:rsidRPr="007D44DE">
        <w:rPr>
          <w:rFonts w:ascii="Arial" w:hAnsi="Arial" w:cs="Arial"/>
          <w:b/>
          <w:sz w:val="20"/>
          <w:szCs w:val="20"/>
          <w:u w:val="single"/>
        </w:rPr>
        <w:t xml:space="preserve">Introduction: </w:t>
      </w:r>
      <w:r w:rsidRPr="007D44DE">
        <w:rPr>
          <w:rFonts w:ascii="Arial" w:hAnsi="Arial" w:cs="Arial"/>
          <w:bCs/>
          <w:sz w:val="20"/>
          <w:szCs w:val="20"/>
        </w:rPr>
        <w:t>The main purpose for this essay is to discuss why the non-fatal offences against a person act needs reform. Throughout the essay the discussion topic will be where the offences against the person act is outdated and some of the offences does not apply to crimes in the modern day.</w:t>
      </w:r>
    </w:p>
    <w:p w14:paraId="604667F2" w14:textId="59FBDD54" w:rsidR="00826790" w:rsidRPr="007D44DE" w:rsidRDefault="00826790" w:rsidP="006A2B09">
      <w:pPr>
        <w:rPr>
          <w:rFonts w:ascii="Arial" w:hAnsi="Arial" w:cs="Arial"/>
          <w:bCs/>
          <w:sz w:val="20"/>
          <w:szCs w:val="20"/>
        </w:rPr>
      </w:pPr>
      <w:r w:rsidRPr="007D44DE">
        <w:rPr>
          <w:rFonts w:ascii="Arial" w:hAnsi="Arial" w:cs="Arial"/>
          <w:bCs/>
          <w:sz w:val="20"/>
          <w:szCs w:val="20"/>
        </w:rPr>
        <w:t>The offences against the person act 1861 was created to give a statutory basis for crimes that are not fatal as well as non-sexual offences against a person which had previously prevailed at common law.</w:t>
      </w:r>
      <w:r w:rsidR="001F2121" w:rsidRPr="007D44DE">
        <w:rPr>
          <w:rFonts w:ascii="Arial" w:hAnsi="Arial" w:cs="Arial"/>
          <w:bCs/>
          <w:sz w:val="20"/>
          <w:szCs w:val="20"/>
        </w:rPr>
        <w:t xml:space="preserve"> During the time when the act was being drafted, the act itself was glorified for summarizing the current law. The unique value of the statutory scheme lay in the basis that the act itself solidified offences against the person, in the fundamental aspects which had </w:t>
      </w:r>
      <w:r w:rsidR="005A7B2F" w:rsidRPr="007D44DE">
        <w:rPr>
          <w:rFonts w:ascii="Arial" w:hAnsi="Arial" w:cs="Arial"/>
          <w:bCs/>
          <w:sz w:val="20"/>
          <w:szCs w:val="20"/>
        </w:rPr>
        <w:t>been dispersed between various judicial authorities which is hundreds of years old. It is worth noting that the primary offences which fall under the act are as follows:</w:t>
      </w:r>
    </w:p>
    <w:p w14:paraId="2E66B8C2" w14:textId="4DEAACF7" w:rsidR="005A7B2F" w:rsidRPr="007D44DE" w:rsidRDefault="005A7B2F" w:rsidP="005A7B2F">
      <w:pPr>
        <w:pStyle w:val="ListParagraph"/>
        <w:numPr>
          <w:ilvl w:val="0"/>
          <w:numId w:val="2"/>
        </w:numPr>
        <w:rPr>
          <w:rFonts w:ascii="Arial" w:hAnsi="Arial" w:cs="Arial"/>
          <w:bCs/>
          <w:sz w:val="20"/>
          <w:szCs w:val="20"/>
        </w:rPr>
      </w:pPr>
      <w:r w:rsidRPr="007D44DE">
        <w:rPr>
          <w:rFonts w:ascii="Arial" w:hAnsi="Arial" w:cs="Arial"/>
          <w:bCs/>
          <w:sz w:val="20"/>
          <w:szCs w:val="20"/>
        </w:rPr>
        <w:t>Assault occasioning Actual Bodily Harm contrary to section 47</w:t>
      </w:r>
    </w:p>
    <w:p w14:paraId="3EFA5586" w14:textId="7339D029" w:rsidR="005A7B2F" w:rsidRPr="007D44DE" w:rsidRDefault="005A7B2F" w:rsidP="005A7B2F">
      <w:pPr>
        <w:pStyle w:val="ListParagraph"/>
        <w:numPr>
          <w:ilvl w:val="0"/>
          <w:numId w:val="2"/>
        </w:numPr>
        <w:rPr>
          <w:rFonts w:ascii="Arial" w:hAnsi="Arial" w:cs="Arial"/>
          <w:bCs/>
          <w:sz w:val="20"/>
          <w:szCs w:val="20"/>
        </w:rPr>
      </w:pPr>
      <w:r w:rsidRPr="007D44DE">
        <w:rPr>
          <w:rFonts w:ascii="Arial" w:eastAsia="Times New Roman" w:hAnsi="Arial" w:cs="Arial"/>
          <w:color w:val="000000"/>
          <w:sz w:val="20"/>
          <w:szCs w:val="20"/>
          <w:lang w:eastAsia="en-GB"/>
        </w:rPr>
        <w:t>Malicious wounding or infliction of grievous bodily harm contrary to section 20</w:t>
      </w:r>
    </w:p>
    <w:p w14:paraId="0BF39F4C" w14:textId="574FC92C" w:rsidR="005A7B2F" w:rsidRPr="007D44DE" w:rsidRDefault="005A7B2F" w:rsidP="005A7B2F">
      <w:pPr>
        <w:pStyle w:val="ListParagraph"/>
        <w:numPr>
          <w:ilvl w:val="0"/>
          <w:numId w:val="2"/>
        </w:numPr>
        <w:rPr>
          <w:rFonts w:ascii="Arial" w:hAnsi="Arial" w:cs="Arial"/>
          <w:bCs/>
          <w:sz w:val="20"/>
          <w:szCs w:val="20"/>
        </w:rPr>
      </w:pPr>
      <w:r w:rsidRPr="007D44DE">
        <w:rPr>
          <w:rFonts w:ascii="Arial" w:eastAsia="Times New Roman" w:hAnsi="Arial" w:cs="Arial"/>
          <w:color w:val="000000"/>
          <w:sz w:val="20"/>
          <w:szCs w:val="20"/>
          <w:lang w:eastAsia="en-GB"/>
        </w:rPr>
        <w:t>Wounding or causing grievous bodily harm with intent to cause grievous bodily harm or intent to evade or resist arrest contrary to section 18</w:t>
      </w:r>
    </w:p>
    <w:p w14:paraId="06EF9EB0" w14:textId="77777777" w:rsidR="001D531D" w:rsidRPr="001D531D" w:rsidRDefault="005A7B2F" w:rsidP="001D531D">
      <w:pPr>
        <w:pStyle w:val="ListParagraph"/>
        <w:numPr>
          <w:ilvl w:val="0"/>
          <w:numId w:val="2"/>
        </w:numPr>
        <w:jc w:val="both"/>
        <w:rPr>
          <w:rFonts w:ascii="Arial" w:hAnsi="Arial" w:cs="Arial"/>
          <w:bCs/>
          <w:sz w:val="20"/>
          <w:szCs w:val="20"/>
        </w:rPr>
      </w:pPr>
      <w:r w:rsidRPr="001D531D">
        <w:rPr>
          <w:rFonts w:ascii="Arial" w:hAnsi="Arial" w:cs="Arial"/>
          <w:color w:val="000000"/>
          <w:sz w:val="20"/>
          <w:szCs w:val="20"/>
          <w:shd w:val="clear" w:color="auto" w:fill="FFFFFF"/>
        </w:rPr>
        <w:t xml:space="preserve">(Offences Against The Person: Options </w:t>
      </w:r>
      <w:proofErr w:type="gramStart"/>
      <w:r w:rsidRPr="001D531D">
        <w:rPr>
          <w:rFonts w:ascii="Arial" w:hAnsi="Arial" w:cs="Arial"/>
          <w:color w:val="000000"/>
          <w:sz w:val="20"/>
          <w:szCs w:val="20"/>
          <w:shd w:val="clear" w:color="auto" w:fill="FFFFFF"/>
        </w:rPr>
        <w:t>For</w:t>
      </w:r>
      <w:proofErr w:type="gramEnd"/>
      <w:r w:rsidRPr="001D531D">
        <w:rPr>
          <w:rFonts w:ascii="Arial" w:hAnsi="Arial" w:cs="Arial"/>
          <w:color w:val="000000"/>
          <w:sz w:val="20"/>
          <w:szCs w:val="20"/>
          <w:shd w:val="clear" w:color="auto" w:fill="FFFFFF"/>
        </w:rPr>
        <w:t xml:space="preserve"> Reform | Keep Calm Talk Law, 2021)</w:t>
      </w:r>
    </w:p>
    <w:p w14:paraId="6BFB7530" w14:textId="457D21D1" w:rsidR="00937BB4" w:rsidRDefault="007D44DE" w:rsidP="00937BB4">
      <w:pPr>
        <w:ind w:left="360"/>
        <w:jc w:val="both"/>
        <w:rPr>
          <w:rFonts w:ascii="Arial" w:hAnsi="Arial" w:cs="Arial"/>
          <w:color w:val="000000"/>
          <w:sz w:val="20"/>
          <w:szCs w:val="20"/>
          <w:shd w:val="clear" w:color="auto" w:fill="FFFFFF"/>
        </w:rPr>
      </w:pPr>
      <w:r w:rsidRPr="001D531D">
        <w:rPr>
          <w:rFonts w:ascii="Arial" w:hAnsi="Arial" w:cs="Arial"/>
          <w:color w:val="000000"/>
          <w:sz w:val="20"/>
          <w:szCs w:val="20"/>
          <w:shd w:val="clear" w:color="auto" w:fill="FFFFFF"/>
        </w:rPr>
        <w:t>The legislation which governs these offences has been in place for around 150 years during which time modern day society has changed drastically since the Victorian era. A lot of offences</w:t>
      </w:r>
      <w:r w:rsidR="001D531D" w:rsidRPr="001D531D">
        <w:rPr>
          <w:rFonts w:ascii="Arial" w:hAnsi="Arial" w:cs="Arial"/>
          <w:color w:val="000000"/>
          <w:sz w:val="20"/>
          <w:szCs w:val="20"/>
          <w:shd w:val="clear" w:color="auto" w:fill="FFFFFF"/>
        </w:rPr>
        <w:t xml:space="preserve"> confined by time have only judicial interpretation available to deal with this outdated legislation.</w:t>
      </w:r>
      <w:r w:rsidR="001D531D">
        <w:rPr>
          <w:rFonts w:ascii="Arial" w:hAnsi="Arial" w:cs="Arial"/>
          <w:color w:val="000000"/>
          <w:sz w:val="20"/>
          <w:szCs w:val="20"/>
          <w:shd w:val="clear" w:color="auto" w:fill="FFFFFF"/>
        </w:rPr>
        <w:t xml:space="preserve"> One of the issues is that there is no hierarchy regarding the offences meaning</w:t>
      </w:r>
      <w:r w:rsidR="00171B99">
        <w:rPr>
          <w:rFonts w:ascii="Arial" w:hAnsi="Arial" w:cs="Arial"/>
          <w:color w:val="000000"/>
          <w:sz w:val="20"/>
          <w:szCs w:val="20"/>
          <w:shd w:val="clear" w:color="auto" w:fill="FFFFFF"/>
        </w:rPr>
        <w:t xml:space="preserve"> there is no order in which offences are classified by seriousness, An increasing number of litigants in person compounded with economic inefficiencies inside the sy</w:t>
      </w:r>
      <w:r w:rsidR="008A6F0B">
        <w:rPr>
          <w:rFonts w:ascii="Arial" w:hAnsi="Arial" w:cs="Arial"/>
          <w:color w:val="000000"/>
          <w:sz w:val="20"/>
          <w:szCs w:val="20"/>
          <w:shd w:val="clear" w:color="auto" w:fill="FFFFFF"/>
        </w:rPr>
        <w:t>s</w:t>
      </w:r>
      <w:r w:rsidR="00171B99">
        <w:rPr>
          <w:rFonts w:ascii="Arial" w:hAnsi="Arial" w:cs="Arial"/>
          <w:color w:val="000000"/>
          <w:sz w:val="20"/>
          <w:szCs w:val="20"/>
          <w:shd w:val="clear" w:color="auto" w:fill="FFFFFF"/>
        </w:rPr>
        <w:t>tem</w:t>
      </w:r>
      <w:r w:rsidR="008A6F0B">
        <w:rPr>
          <w:rFonts w:ascii="Arial" w:hAnsi="Arial" w:cs="Arial"/>
          <w:color w:val="000000"/>
          <w:sz w:val="20"/>
          <w:szCs w:val="20"/>
          <w:shd w:val="clear" w:color="auto" w:fill="FFFFFF"/>
        </w:rPr>
        <w:t>, reform is urgently needed. Numerous academics and practitioners from a number of different areas have pushed for reform with one of the complaints being that the outdated language in the legislation has caused unnecessary difficult procedure processes. There is also a variety of arguments in relation to reform on the basis of making details of an offence a lot more clear and concise which could increase cost and time efficiency by lowering many cases down from crown court to the magistrates court by reform of the legislation.</w:t>
      </w:r>
      <w:r w:rsidR="008A6F0B" w:rsidRPr="008A6F0B">
        <w:rPr>
          <w:rFonts w:ascii="Arial" w:hAnsi="Arial" w:cs="Arial"/>
          <w:color w:val="000000"/>
          <w:sz w:val="20"/>
          <w:szCs w:val="20"/>
          <w:shd w:val="clear" w:color="auto" w:fill="FFFFFF"/>
        </w:rPr>
        <w:t xml:space="preserve"> </w:t>
      </w:r>
      <w:r w:rsidR="008A6F0B">
        <w:rPr>
          <w:rFonts w:ascii="Arial" w:hAnsi="Arial" w:cs="Arial"/>
          <w:color w:val="000000"/>
          <w:sz w:val="20"/>
          <w:szCs w:val="20"/>
          <w:shd w:val="clear" w:color="auto" w:fill="FFFFFF"/>
        </w:rPr>
        <w:t>(</w:t>
      </w:r>
      <w:proofErr w:type="spellStart"/>
      <w:r w:rsidR="008A6F0B">
        <w:rPr>
          <w:rFonts w:ascii="Arial" w:hAnsi="Arial" w:cs="Arial"/>
          <w:color w:val="000000"/>
          <w:sz w:val="20"/>
          <w:szCs w:val="20"/>
          <w:shd w:val="clear" w:color="auto" w:fill="FFFFFF"/>
        </w:rPr>
        <w:t>Eugenicos</w:t>
      </w:r>
      <w:proofErr w:type="spellEnd"/>
      <w:r w:rsidR="008A6F0B">
        <w:rPr>
          <w:rFonts w:ascii="Arial" w:hAnsi="Arial" w:cs="Arial"/>
          <w:color w:val="000000"/>
          <w:sz w:val="20"/>
          <w:szCs w:val="20"/>
          <w:shd w:val="clear" w:color="auto" w:fill="FFFFFF"/>
        </w:rPr>
        <w:t>, 2017)</w:t>
      </w:r>
      <w:r w:rsidR="008F2E8A">
        <w:rPr>
          <w:rFonts w:ascii="Arial" w:hAnsi="Arial" w:cs="Arial"/>
          <w:color w:val="000000"/>
          <w:sz w:val="20"/>
          <w:szCs w:val="20"/>
          <w:shd w:val="clear" w:color="auto" w:fill="FFFFFF"/>
        </w:rPr>
        <w:t xml:space="preserve"> </w:t>
      </w:r>
      <w:r w:rsidR="008A6F0B">
        <w:rPr>
          <w:rFonts w:ascii="Arial" w:hAnsi="Arial" w:cs="Arial"/>
          <w:color w:val="000000"/>
          <w:sz w:val="20"/>
          <w:szCs w:val="20"/>
          <w:shd w:val="clear" w:color="auto" w:fill="FFFFFF"/>
        </w:rPr>
        <w:t>The Home Office as well as The Law Co</w:t>
      </w:r>
      <w:r w:rsidR="008F2E8A">
        <w:rPr>
          <w:rFonts w:ascii="Arial" w:hAnsi="Arial" w:cs="Arial"/>
          <w:color w:val="000000"/>
          <w:sz w:val="20"/>
          <w:szCs w:val="20"/>
          <w:shd w:val="clear" w:color="auto" w:fill="FFFFFF"/>
        </w:rPr>
        <w:t>m</w:t>
      </w:r>
      <w:r w:rsidR="008A6F0B">
        <w:rPr>
          <w:rFonts w:ascii="Arial" w:hAnsi="Arial" w:cs="Arial"/>
          <w:color w:val="000000"/>
          <w:sz w:val="20"/>
          <w:szCs w:val="20"/>
          <w:shd w:val="clear" w:color="auto" w:fill="FFFFFF"/>
        </w:rPr>
        <w:t xml:space="preserve">mission </w:t>
      </w:r>
      <w:r w:rsidR="008F2E8A">
        <w:rPr>
          <w:rFonts w:ascii="Arial" w:hAnsi="Arial" w:cs="Arial"/>
          <w:color w:val="000000"/>
          <w:sz w:val="20"/>
          <w:szCs w:val="20"/>
          <w:shd w:val="clear" w:color="auto" w:fill="FFFFFF"/>
        </w:rPr>
        <w:t xml:space="preserve">have been trying to discuss the reform Offences Against the Person Act for </w:t>
      </w:r>
      <w:proofErr w:type="gramStart"/>
      <w:r w:rsidR="008F2E8A">
        <w:rPr>
          <w:rFonts w:ascii="Arial" w:hAnsi="Arial" w:cs="Arial"/>
          <w:color w:val="000000"/>
          <w:sz w:val="20"/>
          <w:szCs w:val="20"/>
          <w:shd w:val="clear" w:color="auto" w:fill="FFFFFF"/>
        </w:rPr>
        <w:t>a number of</w:t>
      </w:r>
      <w:proofErr w:type="gramEnd"/>
      <w:r w:rsidR="008F2E8A">
        <w:rPr>
          <w:rFonts w:ascii="Arial" w:hAnsi="Arial" w:cs="Arial"/>
          <w:color w:val="000000"/>
          <w:sz w:val="20"/>
          <w:szCs w:val="20"/>
          <w:shd w:val="clear" w:color="auto" w:fill="FFFFFF"/>
        </w:rPr>
        <w:t xml:space="preserve"> years. There has been a silence surrounding this issue from the Ministry of Justice. There is a difficulty regarding Political views which always forms around any reform of the criminal law as well as others who are less enthused by reform which gets discussed. It is in the best interest of the public that a single piece of legislation which affects the lives of numerous people will be efficient in the way it is enforced ensuring that it does not alienate anyone to who it applies to.</w:t>
      </w:r>
      <w:r w:rsidR="008F2E8A" w:rsidRPr="008F2E8A">
        <w:rPr>
          <w:rFonts w:ascii="Arial" w:hAnsi="Arial" w:cs="Arial"/>
          <w:color w:val="000000"/>
          <w:sz w:val="20"/>
          <w:szCs w:val="20"/>
          <w:shd w:val="clear" w:color="auto" w:fill="FFFFFF"/>
        </w:rPr>
        <w:t xml:space="preserve"> </w:t>
      </w:r>
      <w:r w:rsidR="008F2E8A">
        <w:rPr>
          <w:rFonts w:ascii="Arial" w:hAnsi="Arial" w:cs="Arial"/>
          <w:color w:val="000000"/>
          <w:sz w:val="20"/>
          <w:szCs w:val="20"/>
          <w:shd w:val="clear" w:color="auto" w:fill="FFFFFF"/>
        </w:rPr>
        <w:t>(</w:t>
      </w:r>
      <w:proofErr w:type="spellStart"/>
      <w:r w:rsidR="008F2E8A">
        <w:rPr>
          <w:rFonts w:ascii="Arial" w:hAnsi="Arial" w:cs="Arial"/>
          <w:color w:val="000000"/>
          <w:sz w:val="20"/>
          <w:szCs w:val="20"/>
          <w:shd w:val="clear" w:color="auto" w:fill="FFFFFF"/>
        </w:rPr>
        <w:t>Eugenicos</w:t>
      </w:r>
      <w:proofErr w:type="spellEnd"/>
      <w:r w:rsidR="008F2E8A">
        <w:rPr>
          <w:rFonts w:ascii="Arial" w:hAnsi="Arial" w:cs="Arial"/>
          <w:color w:val="000000"/>
          <w:sz w:val="20"/>
          <w:szCs w:val="20"/>
          <w:shd w:val="clear" w:color="auto" w:fill="FFFFFF"/>
        </w:rPr>
        <w:t>, 2017)</w:t>
      </w:r>
      <w:r w:rsidR="00BB2A50">
        <w:rPr>
          <w:rFonts w:ascii="Arial" w:hAnsi="Arial" w:cs="Arial"/>
          <w:color w:val="000000"/>
          <w:sz w:val="20"/>
          <w:szCs w:val="20"/>
          <w:shd w:val="clear" w:color="auto" w:fill="FFFFFF"/>
        </w:rPr>
        <w:t>. The main law which deals with violent offences committed against someone is the Offences Against The Person Act 1861 which amounts to over 26,000 prosecutions across the United Kingdom every single year, in addition to that assault and battery offences amount to over 100,000 prosecutions a year, but the law itself has had a great deal of criticism on the basis that some offences can relate to thinly specialised situations and can also include a complex list of situations where they could set out a clearer principle, as well as the mental element included in some offences which is not clearly stated and does not take into consideration the external elements of the offences, The language itself is chaotic and vague.</w:t>
      </w:r>
      <w:r w:rsidR="00BC00E3">
        <w:rPr>
          <w:rFonts w:ascii="Arial" w:hAnsi="Arial" w:cs="Arial"/>
          <w:color w:val="000000"/>
          <w:sz w:val="20"/>
          <w:szCs w:val="20"/>
          <w:shd w:val="clear" w:color="auto" w:fill="FFFFFF"/>
        </w:rPr>
        <w:t xml:space="preserve"> Periodic changes which have been made to the law have left the legislation in an incomprehensible and confusing state which has seen more provisions abolished than provisions that are currently in force. Such needles ramifications can make the law difficult to apply to many </w:t>
      </w:r>
      <w:proofErr w:type="gramStart"/>
      <w:r w:rsidR="00BC00E3">
        <w:rPr>
          <w:rFonts w:ascii="Arial" w:hAnsi="Arial" w:cs="Arial"/>
          <w:color w:val="000000"/>
          <w:sz w:val="20"/>
          <w:szCs w:val="20"/>
          <w:shd w:val="clear" w:color="auto" w:fill="FFFFFF"/>
        </w:rPr>
        <w:t>and also</w:t>
      </w:r>
      <w:proofErr w:type="gramEnd"/>
      <w:r w:rsidR="00BC00E3">
        <w:rPr>
          <w:rFonts w:ascii="Arial" w:hAnsi="Arial" w:cs="Arial"/>
          <w:color w:val="000000"/>
          <w:sz w:val="20"/>
          <w:szCs w:val="20"/>
          <w:shd w:val="clear" w:color="auto" w:fill="FFFFFF"/>
        </w:rPr>
        <w:t xml:space="preserve"> reduces accessibility and fair labelling and is at odds with the rule of law.</w:t>
      </w:r>
      <w:r w:rsidR="00BC00E3" w:rsidRPr="00BC00E3">
        <w:rPr>
          <w:rStyle w:val="NormalWeb"/>
          <w:rFonts w:ascii="Arial" w:hAnsi="Arial" w:cs="Arial"/>
          <w:color w:val="666666"/>
          <w:sz w:val="20"/>
          <w:szCs w:val="20"/>
          <w:shd w:val="clear" w:color="auto" w:fill="FFFFFF"/>
        </w:rPr>
        <w:t xml:space="preserve"> </w:t>
      </w:r>
      <w:r w:rsidR="00BC00E3">
        <w:rPr>
          <w:rStyle w:val="Strong"/>
          <w:rFonts w:ascii="Arial" w:hAnsi="Arial" w:cs="Arial"/>
          <w:color w:val="666666"/>
          <w:sz w:val="20"/>
          <w:szCs w:val="20"/>
          <w:shd w:val="clear" w:color="auto" w:fill="FFFFFF"/>
        </w:rPr>
        <w:t> </w:t>
      </w:r>
      <w:r w:rsidR="00BC00E3">
        <w:rPr>
          <w:rStyle w:val="selectable"/>
          <w:rFonts w:ascii="Arial" w:hAnsi="Arial" w:cs="Arial"/>
          <w:color w:val="000000"/>
          <w:sz w:val="20"/>
          <w:szCs w:val="20"/>
          <w:shd w:val="clear" w:color="auto" w:fill="FFFFFF"/>
        </w:rPr>
        <w:t>(Offences against the Person | Law Commission, 2021)</w:t>
      </w:r>
      <w:r w:rsidR="008C4351">
        <w:rPr>
          <w:rStyle w:val="selectable"/>
          <w:rFonts w:ascii="Arial" w:hAnsi="Arial" w:cs="Arial"/>
          <w:color w:val="000000"/>
          <w:sz w:val="20"/>
          <w:szCs w:val="20"/>
          <w:shd w:val="clear" w:color="auto" w:fill="FFFFFF"/>
        </w:rPr>
        <w:t xml:space="preserve">. The 1861 act is a consolidation statute- it is </w:t>
      </w:r>
      <w:proofErr w:type="gramStart"/>
      <w:r w:rsidR="008C4351">
        <w:rPr>
          <w:rStyle w:val="selectable"/>
          <w:rFonts w:ascii="Arial" w:hAnsi="Arial" w:cs="Arial"/>
          <w:color w:val="000000"/>
          <w:sz w:val="20"/>
          <w:szCs w:val="20"/>
          <w:shd w:val="clear" w:color="auto" w:fill="FFFFFF"/>
        </w:rPr>
        <w:t>merged together</w:t>
      </w:r>
      <w:proofErr w:type="gramEnd"/>
      <w:r w:rsidR="008C4351">
        <w:rPr>
          <w:rStyle w:val="selectable"/>
          <w:rFonts w:ascii="Arial" w:hAnsi="Arial" w:cs="Arial"/>
          <w:color w:val="000000"/>
          <w:sz w:val="20"/>
          <w:szCs w:val="20"/>
          <w:shd w:val="clear" w:color="auto" w:fill="FFFFFF"/>
        </w:rPr>
        <w:t xml:space="preserve"> law that already exists on injury to on person or persons into one piece of legislation. As a way </w:t>
      </w:r>
      <w:proofErr w:type="gramStart"/>
      <w:r w:rsidR="008C4351">
        <w:rPr>
          <w:rStyle w:val="selectable"/>
          <w:rFonts w:ascii="Arial" w:hAnsi="Arial" w:cs="Arial"/>
          <w:color w:val="000000"/>
          <w:sz w:val="20"/>
          <w:szCs w:val="20"/>
          <w:shd w:val="clear" w:color="auto" w:fill="FFFFFF"/>
        </w:rPr>
        <w:t xml:space="preserve">of  </w:t>
      </w:r>
      <w:r w:rsidR="008C4351">
        <w:rPr>
          <w:rStyle w:val="selectable"/>
          <w:rFonts w:ascii="Arial" w:hAnsi="Arial" w:cs="Arial"/>
          <w:color w:val="000000"/>
          <w:sz w:val="20"/>
          <w:szCs w:val="20"/>
          <w:shd w:val="clear" w:color="auto" w:fill="FFFFFF"/>
        </w:rPr>
        <w:lastRenderedPageBreak/>
        <w:t>maintaining</w:t>
      </w:r>
      <w:proofErr w:type="gramEnd"/>
      <w:r w:rsidR="008C4351">
        <w:rPr>
          <w:rStyle w:val="selectable"/>
          <w:rFonts w:ascii="Arial" w:hAnsi="Arial" w:cs="Arial"/>
          <w:color w:val="000000"/>
          <w:sz w:val="20"/>
          <w:szCs w:val="20"/>
          <w:shd w:val="clear" w:color="auto" w:fill="FFFFFF"/>
        </w:rPr>
        <w:t xml:space="preserve"> the law and keeping it up to date this way</w:t>
      </w:r>
      <w:r w:rsidR="00F727A1">
        <w:rPr>
          <w:rStyle w:val="selectable"/>
          <w:rFonts w:ascii="Arial" w:hAnsi="Arial" w:cs="Arial"/>
          <w:color w:val="000000"/>
          <w:sz w:val="20"/>
          <w:szCs w:val="20"/>
          <w:shd w:val="clear" w:color="auto" w:fill="FFFFFF"/>
        </w:rPr>
        <w:t xml:space="preserve"> </w:t>
      </w:r>
      <w:r w:rsidR="008C4351">
        <w:rPr>
          <w:rStyle w:val="selectable"/>
          <w:rFonts w:ascii="Arial" w:hAnsi="Arial" w:cs="Arial"/>
          <w:color w:val="000000"/>
          <w:sz w:val="20"/>
          <w:szCs w:val="20"/>
          <w:shd w:val="clear" w:color="auto" w:fill="FFFFFF"/>
        </w:rPr>
        <w:t>it can be very efficient</w:t>
      </w:r>
      <w:r w:rsidR="00F727A1">
        <w:rPr>
          <w:rStyle w:val="selectable"/>
          <w:rFonts w:ascii="Arial" w:hAnsi="Arial" w:cs="Arial"/>
          <w:color w:val="000000"/>
          <w:sz w:val="20"/>
          <w:szCs w:val="20"/>
          <w:shd w:val="clear" w:color="auto" w:fill="FFFFFF"/>
        </w:rPr>
        <w:t xml:space="preserve">. While common law develops and starts to stabilize and old pieces of legislation are being replaced in a piecemeal way in regards to separate legislation, it is facilitates putting everything in one place so that the general public find it easier to understand as well as making it easier for solicitors to work with. The Offences Against </w:t>
      </w:r>
      <w:proofErr w:type="gramStart"/>
      <w:r w:rsidR="00F727A1">
        <w:rPr>
          <w:rStyle w:val="selectable"/>
          <w:rFonts w:ascii="Arial" w:hAnsi="Arial" w:cs="Arial"/>
          <w:color w:val="000000"/>
          <w:sz w:val="20"/>
          <w:szCs w:val="20"/>
          <w:shd w:val="clear" w:color="auto" w:fill="FFFFFF"/>
        </w:rPr>
        <w:t>The</w:t>
      </w:r>
      <w:proofErr w:type="gramEnd"/>
      <w:r w:rsidR="00F727A1">
        <w:rPr>
          <w:rStyle w:val="selectable"/>
          <w:rFonts w:ascii="Arial" w:hAnsi="Arial" w:cs="Arial"/>
          <w:color w:val="000000"/>
          <w:sz w:val="20"/>
          <w:szCs w:val="20"/>
          <w:shd w:val="clear" w:color="auto" w:fill="FFFFFF"/>
        </w:rPr>
        <w:t xml:space="preserve"> Person act was consolidated by the 1828 act of the same name and previous statutes all in one place, during that period of time arranging everything together in the same place was </w:t>
      </w:r>
      <w:r w:rsidR="00FF35B0">
        <w:rPr>
          <w:rStyle w:val="selectable"/>
          <w:rFonts w:ascii="Arial" w:hAnsi="Arial" w:cs="Arial"/>
          <w:color w:val="000000"/>
          <w:sz w:val="20"/>
          <w:szCs w:val="20"/>
          <w:shd w:val="clear" w:color="auto" w:fill="FFFFFF"/>
        </w:rPr>
        <w:t xml:space="preserve">fairly tidy. In today’s </w:t>
      </w:r>
      <w:proofErr w:type="gramStart"/>
      <w:r w:rsidR="00FF35B0">
        <w:rPr>
          <w:rStyle w:val="selectable"/>
          <w:rFonts w:ascii="Arial" w:hAnsi="Arial" w:cs="Arial"/>
          <w:color w:val="000000"/>
          <w:sz w:val="20"/>
          <w:szCs w:val="20"/>
          <w:shd w:val="clear" w:color="auto" w:fill="FFFFFF"/>
        </w:rPr>
        <w:t>modern day</w:t>
      </w:r>
      <w:proofErr w:type="gramEnd"/>
      <w:r w:rsidR="00FF35B0">
        <w:rPr>
          <w:rStyle w:val="selectable"/>
          <w:rFonts w:ascii="Arial" w:hAnsi="Arial" w:cs="Arial"/>
          <w:color w:val="000000"/>
          <w:sz w:val="20"/>
          <w:szCs w:val="20"/>
          <w:shd w:val="clear" w:color="auto" w:fill="FFFFFF"/>
        </w:rPr>
        <w:t xml:space="preserve"> society not only is the act an old piece of legislation but it is also very difficult to interpret. The main aim of law is to guide the way the general public behave by preventing them from behaving in a certain way, the 1861 act is not ideally an effective piece of legislation due to the outdated language as well as not being specific in the order of seriousness of offences. It is common sense to the public that people are not to attack each other in the street but a solicitor would be able to understand the ins and outs of the statute as well as somebody with the correct literature, a wide vocabulary and a bit of free time to play with. For example section 20 of the Act reads </w:t>
      </w:r>
      <w:r w:rsidR="00893F21">
        <w:rPr>
          <w:rStyle w:val="selectable"/>
          <w:rFonts w:ascii="Arial" w:hAnsi="Arial" w:cs="Arial"/>
          <w:color w:val="000000"/>
          <w:sz w:val="20"/>
          <w:szCs w:val="20"/>
          <w:shd w:val="clear" w:color="auto" w:fill="FFFFFF"/>
        </w:rPr>
        <w:t xml:space="preserve">“ </w:t>
      </w:r>
      <w:r w:rsidR="00FF35B0">
        <w:rPr>
          <w:rStyle w:val="selectable"/>
          <w:rFonts w:ascii="Arial" w:hAnsi="Arial" w:cs="Arial"/>
          <w:color w:val="000000"/>
          <w:sz w:val="20"/>
          <w:szCs w:val="20"/>
          <w:shd w:val="clear" w:color="auto" w:fill="FFFFFF"/>
        </w:rPr>
        <w:t>Whosoever shall unlawfully and maliciously wound or inflict any grievous bodily harm upon any other person, either with or without any weapon or instrument</w:t>
      </w:r>
      <w:r w:rsidR="00893F21">
        <w:rPr>
          <w:rStyle w:val="selectable"/>
          <w:rFonts w:ascii="Arial" w:hAnsi="Arial" w:cs="Arial"/>
          <w:color w:val="000000"/>
          <w:sz w:val="20"/>
          <w:szCs w:val="20"/>
          <w:shd w:val="clear" w:color="auto" w:fill="FFFFFF"/>
        </w:rPr>
        <w:t xml:space="preserve">, shall be guilty of a </w:t>
      </w:r>
      <w:proofErr w:type="spellStart"/>
      <w:r w:rsidR="00893F21">
        <w:rPr>
          <w:rStyle w:val="selectable"/>
          <w:rFonts w:ascii="Arial" w:hAnsi="Arial" w:cs="Arial"/>
          <w:color w:val="000000"/>
          <w:sz w:val="20"/>
          <w:szCs w:val="20"/>
          <w:shd w:val="clear" w:color="auto" w:fill="FFFFFF"/>
        </w:rPr>
        <w:t>misdemeanor</w:t>
      </w:r>
      <w:proofErr w:type="spellEnd"/>
      <w:r w:rsidR="00893F21">
        <w:rPr>
          <w:rStyle w:val="selectable"/>
          <w:rFonts w:ascii="Arial" w:hAnsi="Arial" w:cs="Arial"/>
          <w:color w:val="000000"/>
          <w:sz w:val="20"/>
          <w:szCs w:val="20"/>
          <w:shd w:val="clear" w:color="auto" w:fill="FFFFFF"/>
        </w:rPr>
        <w:t xml:space="preserve"> and being convicted thereof shall be liable to be kept in penal servitude” unless a person possesses a good understanding of the English language and vocabulary they wouldn’t be able to understand it.</w:t>
      </w:r>
      <w:r w:rsidR="00893F21" w:rsidRPr="00893F21">
        <w:rPr>
          <w:rFonts w:ascii="Arial" w:hAnsi="Arial" w:cs="Arial"/>
          <w:color w:val="000000"/>
          <w:sz w:val="20"/>
          <w:szCs w:val="20"/>
          <w:shd w:val="clear" w:color="auto" w:fill="FFFFFF"/>
        </w:rPr>
        <w:t xml:space="preserve"> </w:t>
      </w:r>
      <w:r w:rsidR="00893F21">
        <w:rPr>
          <w:rFonts w:ascii="Arial" w:hAnsi="Arial" w:cs="Arial"/>
          <w:color w:val="000000"/>
          <w:sz w:val="20"/>
          <w:szCs w:val="20"/>
          <w:shd w:val="clear" w:color="auto" w:fill="FFFFFF"/>
        </w:rPr>
        <w:t>(The Massively Outdated Offences Against the Person Act 1861 Shows How Well the Common Law System Works - Oxford Royale Academy, 2021)</w:t>
      </w:r>
      <w:r w:rsidR="00937BB4">
        <w:rPr>
          <w:rFonts w:ascii="Arial" w:hAnsi="Arial" w:cs="Arial"/>
          <w:color w:val="000000"/>
          <w:sz w:val="20"/>
          <w:szCs w:val="20"/>
          <w:shd w:val="clear" w:color="auto" w:fill="FFFFFF"/>
        </w:rPr>
        <w:t xml:space="preserve">. The Act also </w:t>
      </w:r>
      <w:proofErr w:type="gramStart"/>
      <w:r w:rsidR="00937BB4">
        <w:rPr>
          <w:rFonts w:ascii="Arial" w:hAnsi="Arial" w:cs="Arial"/>
          <w:color w:val="000000"/>
          <w:sz w:val="20"/>
          <w:szCs w:val="20"/>
          <w:shd w:val="clear" w:color="auto" w:fill="FFFFFF"/>
        </w:rPr>
        <w:t>has the ability to</w:t>
      </w:r>
      <w:proofErr w:type="gramEnd"/>
      <w:r w:rsidR="00937BB4">
        <w:rPr>
          <w:rFonts w:ascii="Arial" w:hAnsi="Arial" w:cs="Arial"/>
          <w:color w:val="000000"/>
          <w:sz w:val="20"/>
          <w:szCs w:val="20"/>
          <w:shd w:val="clear" w:color="auto" w:fill="FFFFFF"/>
        </w:rPr>
        <w:t xml:space="preserve"> be criticised by failing terribly to identify some injuries which are regarded in today’s day and age as important, such as psychological injuries. Although actual bodily harm is now acknowledged to incorporate recognise psychiatric illnesses, this is not stated clearly enough on the face of the legislation and is considered outdated to treat it as ‘bodily’ injury. </w:t>
      </w:r>
      <w:proofErr w:type="gramStart"/>
      <w:r w:rsidR="00937BB4">
        <w:rPr>
          <w:rFonts w:ascii="Arial" w:hAnsi="Arial" w:cs="Arial"/>
          <w:color w:val="000000"/>
          <w:sz w:val="20"/>
          <w:szCs w:val="20"/>
          <w:shd w:val="clear" w:color="auto" w:fill="FFFFFF"/>
        </w:rPr>
        <w:t>Also</w:t>
      </w:r>
      <w:proofErr w:type="gramEnd"/>
      <w:r w:rsidR="00937BB4">
        <w:rPr>
          <w:rFonts w:ascii="Arial" w:hAnsi="Arial" w:cs="Arial"/>
          <w:color w:val="000000"/>
          <w:sz w:val="20"/>
          <w:szCs w:val="20"/>
          <w:shd w:val="clear" w:color="auto" w:fill="FFFFFF"/>
        </w:rPr>
        <w:t xml:space="preserve"> a strange anomaly included it that murder is at no point restricted by statute. Sections 1 to 3 of the legislation did previously deal with the consequences i</w:t>
      </w:r>
      <w:r w:rsidR="001A7733">
        <w:rPr>
          <w:rFonts w:ascii="Arial" w:hAnsi="Arial" w:cs="Arial"/>
          <w:color w:val="000000"/>
          <w:sz w:val="20"/>
          <w:szCs w:val="20"/>
          <w:shd w:val="clear" w:color="auto" w:fill="FFFFFF"/>
        </w:rPr>
        <w:t>n relation to murder, but these were abolished  when Wales and England got rid of the death penalty, although there is parts of the legislation on sentencing along with CPS guidelines , but the actual crime is situated in common law rather than statute.</w:t>
      </w:r>
      <w:r w:rsidR="001A7733" w:rsidRPr="001A7733">
        <w:rPr>
          <w:rFonts w:ascii="Arial" w:hAnsi="Arial" w:cs="Arial"/>
          <w:color w:val="000000"/>
          <w:sz w:val="20"/>
          <w:szCs w:val="20"/>
          <w:shd w:val="clear" w:color="auto" w:fill="FFFFFF"/>
        </w:rPr>
        <w:t xml:space="preserve"> </w:t>
      </w:r>
      <w:r w:rsidR="001A7733">
        <w:rPr>
          <w:rFonts w:ascii="Arial" w:hAnsi="Arial" w:cs="Arial"/>
          <w:color w:val="000000"/>
          <w:sz w:val="20"/>
          <w:szCs w:val="20"/>
          <w:shd w:val="clear" w:color="auto" w:fill="FFFFFF"/>
        </w:rPr>
        <w:t>(The Massively Outdated Offences Against the Person Act 1861 Shows How Well the Common Law System Works - Oxford Royale Academy, 2021)</w:t>
      </w:r>
      <w:r w:rsidR="001A7733">
        <w:rPr>
          <w:rFonts w:ascii="Arial" w:hAnsi="Arial" w:cs="Arial"/>
          <w:color w:val="000000"/>
          <w:sz w:val="20"/>
          <w:szCs w:val="20"/>
          <w:shd w:val="clear" w:color="auto" w:fill="FFFFFF"/>
        </w:rPr>
        <w:t xml:space="preserve"> The Law Commission has recommended that the Offence Against the Person Act be replace with a more modernized legislation which was based on a bill which was previously drafted at a Home Office attempt at reform. The most recent bill is a lot clearer and easier to understand because the offences stated are</w:t>
      </w:r>
      <w:r w:rsidR="00F45434">
        <w:rPr>
          <w:rFonts w:ascii="Arial" w:hAnsi="Arial" w:cs="Arial"/>
          <w:color w:val="000000"/>
          <w:sz w:val="20"/>
          <w:szCs w:val="20"/>
          <w:shd w:val="clear" w:color="auto" w:fill="FFFFFF"/>
        </w:rPr>
        <w:t xml:space="preserve"> made a lot clearer and are conferred in a more relevant order, and in some cases an obligation has been introduced stating that the defendant in question would have been able to asses the level of harm that would be caused. For </w:t>
      </w:r>
      <w:proofErr w:type="gramStart"/>
      <w:r w:rsidR="00F45434">
        <w:rPr>
          <w:rFonts w:ascii="Arial" w:hAnsi="Arial" w:cs="Arial"/>
          <w:color w:val="000000"/>
          <w:sz w:val="20"/>
          <w:szCs w:val="20"/>
          <w:shd w:val="clear" w:color="auto" w:fill="FFFFFF"/>
        </w:rPr>
        <w:t>example</w:t>
      </w:r>
      <w:proofErr w:type="gramEnd"/>
      <w:r w:rsidR="00F45434">
        <w:rPr>
          <w:rFonts w:ascii="Arial" w:hAnsi="Arial" w:cs="Arial"/>
          <w:color w:val="000000"/>
          <w:sz w:val="20"/>
          <w:szCs w:val="20"/>
          <w:shd w:val="clear" w:color="auto" w:fill="FFFFFF"/>
        </w:rPr>
        <w:t xml:space="preserve"> a new offence of aggravated assault would permit a maximum sentence of a 12 month custodial sentence and only be able to be tried within the magistrates court. It would directly let prosecutors to redirect low-level injury cases away from the crown court which in turn costs more money down to the magistrates court which is cheaper, which aligns with the intended increase the magistrates sentencing from delivering six months to 12 months which was introduced by the Criminal Justice Act 2003. The new </w:t>
      </w:r>
      <w:r w:rsidR="007F46A9">
        <w:rPr>
          <w:rFonts w:ascii="Arial" w:hAnsi="Arial" w:cs="Arial"/>
          <w:color w:val="000000"/>
          <w:sz w:val="20"/>
          <w:szCs w:val="20"/>
          <w:shd w:val="clear" w:color="auto" w:fill="FFFFFF"/>
        </w:rPr>
        <w:t xml:space="preserve">offence not only undoubtedly cuts court costs also paves the way for violent assaults to be charged at a more appropriate level. As it stands over 70% of all Actual Bodily Harm cases that have been overloading the crown courts and consuming time result in sentences of 12 months or less. If these cases were charged as an aggravated assault </w:t>
      </w:r>
      <w:proofErr w:type="gramStart"/>
      <w:r w:rsidR="007F46A9">
        <w:rPr>
          <w:rFonts w:ascii="Arial" w:hAnsi="Arial" w:cs="Arial"/>
          <w:color w:val="000000"/>
          <w:sz w:val="20"/>
          <w:szCs w:val="20"/>
          <w:shd w:val="clear" w:color="auto" w:fill="FFFFFF"/>
        </w:rPr>
        <w:t>instead</w:t>
      </w:r>
      <w:proofErr w:type="gramEnd"/>
      <w:r w:rsidR="007F46A9">
        <w:rPr>
          <w:rFonts w:ascii="Arial" w:hAnsi="Arial" w:cs="Arial"/>
          <w:color w:val="000000"/>
          <w:sz w:val="20"/>
          <w:szCs w:val="20"/>
          <w:shd w:val="clear" w:color="auto" w:fill="FFFFFF"/>
        </w:rPr>
        <w:t xml:space="preserve"> they could be heard within the Magistrates court which in turn is more cost effective. In order to prevent the cases from being hear in crown court a lot of assaults causing injury are at present being charged with the lesser offence of common assault, which doesn’t acknowledge the violent nature in which the offence takes place. The Law Commission’s instruction to increase the “threatening” offences which would compromise of threats to cause serious injury as well as threats to rape</w:t>
      </w:r>
      <w:r w:rsidR="009C5B12">
        <w:rPr>
          <w:rFonts w:ascii="Arial" w:hAnsi="Arial" w:cs="Arial"/>
          <w:color w:val="000000"/>
          <w:sz w:val="20"/>
          <w:szCs w:val="20"/>
          <w:shd w:val="clear" w:color="auto" w:fill="FFFFFF"/>
        </w:rPr>
        <w:t xml:space="preserve"> would also grant behaviour of offending to be charged and tried at a devote level. In current law there is not one offence that is situated between threat to kill which can carry a maximum custodial sentence of 10 years, and a threat to assault which has a lesser maximum sentence of six months. Presenting the new report at a committed event at Bangor University Professor David Ormerod QC, Law Commissioner for criminal Law said: “Violent behaviour results in up to 200,000 prosecutions each year but the law under which violent offences are prosecuted is out of date and confusing for the courts, defendants and victims” “ If implemented, our recommended reforms will produce a clear, modern statutory code to deal with offences of violence. A logical hierarchy of clearly defined </w:t>
      </w:r>
      <w:r w:rsidR="009C5B12">
        <w:rPr>
          <w:rFonts w:ascii="Arial" w:hAnsi="Arial" w:cs="Arial"/>
          <w:color w:val="000000"/>
          <w:sz w:val="20"/>
          <w:szCs w:val="20"/>
          <w:shd w:val="clear" w:color="auto" w:fill="FFFFFF"/>
        </w:rPr>
        <w:lastRenderedPageBreak/>
        <w:t>offences will allow prosecutors to make more appropriate and efficient use of valuable court time. And properly labelled offences will make sure the true nature of violent behaviour is recognised for what it is”</w:t>
      </w:r>
      <w:r w:rsidR="009C5B12" w:rsidRPr="009C5B12">
        <w:rPr>
          <w:rFonts w:ascii="Arial" w:hAnsi="Arial" w:cs="Arial"/>
          <w:color w:val="000000"/>
          <w:sz w:val="20"/>
          <w:szCs w:val="20"/>
          <w:shd w:val="clear" w:color="auto" w:fill="FFFFFF"/>
        </w:rPr>
        <w:t xml:space="preserve"> </w:t>
      </w:r>
      <w:r w:rsidR="009C5B12">
        <w:rPr>
          <w:rFonts w:ascii="Arial" w:hAnsi="Arial" w:cs="Arial"/>
          <w:color w:val="000000"/>
          <w:sz w:val="20"/>
          <w:szCs w:val="20"/>
          <w:shd w:val="clear" w:color="auto" w:fill="FFFFFF"/>
        </w:rPr>
        <w:t>(Offences against the person – modernising the law on violence | Law Commission, 2021)</w:t>
      </w:r>
      <w:r w:rsidR="006E2FDE">
        <w:rPr>
          <w:rFonts w:ascii="Arial" w:hAnsi="Arial" w:cs="Arial"/>
          <w:color w:val="000000"/>
          <w:sz w:val="20"/>
          <w:szCs w:val="20"/>
          <w:shd w:val="clear" w:color="auto" w:fill="FFFFFF"/>
        </w:rPr>
        <w:t xml:space="preserve"> The Law Commission has recommended the following.</w:t>
      </w:r>
    </w:p>
    <w:p w14:paraId="6C87192D" w14:textId="76EADECF"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 Adoption of a modified version of the Home Office’s 1998 draft bill to replace the outdated Offences Against the Person Act 1861.</w:t>
      </w:r>
    </w:p>
    <w:p w14:paraId="2B729C7E" w14:textId="138BE97A"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Modifications to the draft bill to preserve the present position on disease transmission pending a wider review involving more input from healthcare professionals and bodies.</w:t>
      </w:r>
    </w:p>
    <w:p w14:paraId="5E3E3EFB" w14:textId="0B5D7237"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Adding in a new summary-only offence of aggravated assault only triable in magistrates court and carry a maximum sentence of 12 months. </w:t>
      </w:r>
    </w:p>
    <w:p w14:paraId="1AF370F5" w14:textId="135F3E1C"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Expanding the offence of threats to kill to also include threats to cause serious injure and threats to rape. All three would be punishable by up to 10 years in prison.</w:t>
      </w:r>
    </w:p>
    <w:p w14:paraId="47DE7A7C" w14:textId="7DB9AE7A"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The repeal of 25 offences to be replaced with 15 new ones.</w:t>
      </w:r>
    </w:p>
    <w:p w14:paraId="576776A7" w14:textId="04890958" w:rsidR="006E2FDE" w:rsidRDefault="006E2FDE" w:rsidP="006E2FDE">
      <w:pPr>
        <w:pStyle w:val="ListParagraph"/>
        <w:numPr>
          <w:ilvl w:val="0"/>
          <w:numId w:val="5"/>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Many more minor changes to things like maximum sentence and definitions as shown in a table published in the report</w:t>
      </w:r>
    </w:p>
    <w:p w14:paraId="18382BAB" w14:textId="4C8D75EF" w:rsidR="006E2FDE" w:rsidRPr="006E2FDE" w:rsidRDefault="006E2FDE" w:rsidP="006E2FDE">
      <w:pPr>
        <w:ind w:left="360"/>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(Offences against the person – modernising the law on violence | Law Commission, 2021)</w:t>
      </w:r>
    </w:p>
    <w:p w14:paraId="106A513F" w14:textId="1503026C" w:rsidR="006E2FDE" w:rsidRPr="006E2FDE" w:rsidRDefault="006E2FDE" w:rsidP="006E2FDE">
      <w:pPr>
        <w:shd w:val="clear" w:color="auto" w:fill="FFFFFF"/>
        <w:spacing w:before="100" w:beforeAutospacing="1" w:after="100" w:afterAutospacing="1" w:line="240" w:lineRule="auto"/>
        <w:ind w:left="360"/>
        <w:rPr>
          <w:rFonts w:ascii="Verdana" w:eastAsia="Times New Roman" w:hAnsi="Verdana" w:cs="Times New Roman"/>
          <w:color w:val="333333"/>
          <w:sz w:val="24"/>
          <w:szCs w:val="24"/>
          <w:lang w:eastAsia="en-GB"/>
        </w:rPr>
      </w:pPr>
      <w:r w:rsidRPr="006E2FDE">
        <w:rPr>
          <w:rFonts w:ascii="Verdana" w:eastAsia="Times New Roman" w:hAnsi="Verdana" w:cs="Times New Roman"/>
          <w:color w:val="333333"/>
          <w:sz w:val="24"/>
          <w:szCs w:val="24"/>
          <w:lang w:eastAsia="en-GB"/>
        </w:rPr>
        <w:t>.</w:t>
      </w:r>
    </w:p>
    <w:p w14:paraId="225874EC" w14:textId="77777777" w:rsidR="006E2FDE" w:rsidRDefault="006E2FDE" w:rsidP="00937BB4">
      <w:pPr>
        <w:ind w:left="360"/>
        <w:jc w:val="both"/>
        <w:rPr>
          <w:rStyle w:val="selectable"/>
          <w:rFonts w:ascii="Arial" w:hAnsi="Arial" w:cs="Arial"/>
          <w:color w:val="000000"/>
          <w:sz w:val="20"/>
          <w:szCs w:val="20"/>
          <w:shd w:val="clear" w:color="auto" w:fill="FFFFFF"/>
        </w:rPr>
      </w:pPr>
    </w:p>
    <w:p w14:paraId="545A6128" w14:textId="77777777" w:rsidR="00BB2A50" w:rsidRPr="001D531D" w:rsidRDefault="00BB2A50" w:rsidP="001D531D">
      <w:pPr>
        <w:ind w:left="360"/>
        <w:jc w:val="both"/>
        <w:rPr>
          <w:rFonts w:ascii="Arial" w:hAnsi="Arial" w:cs="Arial"/>
          <w:bCs/>
          <w:sz w:val="20"/>
          <w:szCs w:val="20"/>
        </w:rPr>
      </w:pPr>
    </w:p>
    <w:p w14:paraId="76F6F58B" w14:textId="77777777" w:rsidR="007D44DE" w:rsidRPr="007D44DE" w:rsidRDefault="007D44DE" w:rsidP="007D44DE">
      <w:pPr>
        <w:pStyle w:val="ListParagraph"/>
        <w:shd w:val="clear" w:color="auto" w:fill="FFFFFF"/>
        <w:spacing w:before="100" w:beforeAutospacing="1" w:after="100" w:afterAutospacing="1" w:line="390" w:lineRule="atLeast"/>
        <w:rPr>
          <w:rFonts w:ascii="Arial" w:eastAsia="Times New Roman" w:hAnsi="Arial" w:cs="Arial"/>
          <w:color w:val="333333"/>
          <w:sz w:val="20"/>
          <w:szCs w:val="20"/>
          <w:lang w:eastAsia="en-GB"/>
        </w:rPr>
      </w:pPr>
    </w:p>
    <w:p w14:paraId="24C7FC6E" w14:textId="77777777" w:rsidR="007D44DE" w:rsidRDefault="007D44DE" w:rsidP="007D44DE">
      <w:pPr>
        <w:pStyle w:val="ListParagraph"/>
        <w:shd w:val="clear" w:color="auto" w:fill="FFFFFF"/>
        <w:spacing w:before="100" w:beforeAutospacing="1" w:after="100" w:afterAutospacing="1" w:line="390" w:lineRule="atLeast"/>
        <w:rPr>
          <w:rFonts w:ascii="Arial" w:eastAsia="Times New Roman" w:hAnsi="Arial" w:cs="Arial"/>
          <w:color w:val="333333"/>
          <w:sz w:val="24"/>
          <w:szCs w:val="24"/>
          <w:lang w:eastAsia="en-GB"/>
        </w:rPr>
      </w:pPr>
    </w:p>
    <w:p w14:paraId="431C67CE" w14:textId="77777777" w:rsidR="00826790" w:rsidRDefault="00826790" w:rsidP="006A2B09">
      <w:pPr>
        <w:rPr>
          <w:rFonts w:ascii="Arial" w:hAnsi="Arial" w:cs="Arial"/>
          <w:bCs/>
        </w:rPr>
      </w:pPr>
    </w:p>
    <w:p w14:paraId="49BA4919" w14:textId="0A931E4D" w:rsidR="006A2B09" w:rsidRDefault="006A2B09" w:rsidP="006A2B09">
      <w:pPr>
        <w:rPr>
          <w:rFonts w:ascii="Arial" w:hAnsi="Arial" w:cs="Arial"/>
          <w:bCs/>
        </w:rPr>
      </w:pPr>
    </w:p>
    <w:p w14:paraId="48FE17C2" w14:textId="77777777" w:rsidR="006A2B09" w:rsidRDefault="006A2B09" w:rsidP="006A2B09">
      <w:pPr>
        <w:rPr>
          <w:rFonts w:ascii="Arial" w:hAnsi="Arial" w:cs="Arial"/>
          <w:bCs/>
        </w:rPr>
      </w:pPr>
    </w:p>
    <w:p w14:paraId="7F6D3729" w14:textId="30517AF3" w:rsidR="006A2B09" w:rsidRDefault="006A2B09" w:rsidP="006A2B09">
      <w:pPr>
        <w:rPr>
          <w:bCs/>
        </w:rPr>
      </w:pPr>
    </w:p>
    <w:p w14:paraId="40E68555" w14:textId="6695EB8A" w:rsidR="005A7B2F" w:rsidRDefault="005A7B2F" w:rsidP="006A2B09">
      <w:pPr>
        <w:rPr>
          <w:bCs/>
        </w:rPr>
      </w:pPr>
    </w:p>
    <w:p w14:paraId="2079E8EC" w14:textId="7FE96CC3" w:rsidR="005A7B2F" w:rsidRDefault="005A7B2F" w:rsidP="006A2B09">
      <w:pPr>
        <w:rPr>
          <w:bCs/>
        </w:rPr>
      </w:pPr>
    </w:p>
    <w:p w14:paraId="38FE7C89" w14:textId="15FC6BD0" w:rsidR="005A7B2F" w:rsidRDefault="005A7B2F" w:rsidP="006A2B09">
      <w:pPr>
        <w:rPr>
          <w:bCs/>
        </w:rPr>
      </w:pPr>
    </w:p>
    <w:p w14:paraId="0FC0CE73" w14:textId="72BCDAFB" w:rsidR="005A7B2F" w:rsidRDefault="005A7B2F" w:rsidP="006A2B09">
      <w:pPr>
        <w:rPr>
          <w:bCs/>
        </w:rPr>
      </w:pPr>
    </w:p>
    <w:p w14:paraId="5229BAC8" w14:textId="25EF5E34" w:rsidR="005A7B2F" w:rsidRDefault="005A7B2F" w:rsidP="006A2B09">
      <w:pPr>
        <w:rPr>
          <w:bCs/>
        </w:rPr>
      </w:pPr>
    </w:p>
    <w:p w14:paraId="6AFDB8AB" w14:textId="22A278C6" w:rsidR="005A7B2F" w:rsidRDefault="005A7B2F" w:rsidP="006A2B09">
      <w:pPr>
        <w:rPr>
          <w:bCs/>
        </w:rPr>
      </w:pPr>
    </w:p>
    <w:p w14:paraId="4E00191F" w14:textId="74D0A841" w:rsidR="005A7B2F" w:rsidRDefault="005A7B2F" w:rsidP="006A2B09">
      <w:pPr>
        <w:rPr>
          <w:bCs/>
        </w:rPr>
      </w:pPr>
    </w:p>
    <w:p w14:paraId="03D3B855" w14:textId="6C534BF3" w:rsidR="005A7B2F" w:rsidRDefault="005A7B2F" w:rsidP="006A2B09">
      <w:pPr>
        <w:rPr>
          <w:bCs/>
        </w:rPr>
      </w:pPr>
    </w:p>
    <w:p w14:paraId="52959686" w14:textId="4FBC6639" w:rsidR="005A7B2F" w:rsidRDefault="005A7B2F" w:rsidP="006A2B09">
      <w:pPr>
        <w:rPr>
          <w:bCs/>
        </w:rPr>
      </w:pPr>
    </w:p>
    <w:p w14:paraId="09AA86DB" w14:textId="6E04337B" w:rsidR="005A7B2F" w:rsidRDefault="005A7B2F" w:rsidP="006A2B09">
      <w:pPr>
        <w:rPr>
          <w:bCs/>
        </w:rPr>
      </w:pPr>
    </w:p>
    <w:p w14:paraId="0AD266D0" w14:textId="77777777" w:rsidR="006E2FDE" w:rsidRDefault="006E2FDE" w:rsidP="006A2B09">
      <w:pPr>
        <w:rPr>
          <w:bCs/>
        </w:rPr>
      </w:pPr>
    </w:p>
    <w:p w14:paraId="545623FE" w14:textId="69F22DC2" w:rsidR="005A7B2F" w:rsidRDefault="005A7B2F" w:rsidP="006A2B09">
      <w:pPr>
        <w:rPr>
          <w:bCs/>
          <w:sz w:val="40"/>
          <w:szCs w:val="40"/>
          <w:u w:val="single"/>
        </w:rPr>
      </w:pPr>
      <w:r>
        <w:rPr>
          <w:bCs/>
          <w:sz w:val="40"/>
          <w:szCs w:val="40"/>
          <w:u w:val="single"/>
        </w:rPr>
        <w:lastRenderedPageBreak/>
        <w:t>Reference List:</w:t>
      </w:r>
    </w:p>
    <w:p w14:paraId="6288F6A7" w14:textId="5D595387" w:rsidR="005A7B2F" w:rsidRPr="005A7B2F" w:rsidRDefault="005A7B2F" w:rsidP="006A2B09">
      <w:pPr>
        <w:rPr>
          <w:bCs/>
        </w:rPr>
      </w:pPr>
      <w:r>
        <w:rPr>
          <w:rFonts w:ascii="Arial" w:hAnsi="Arial" w:cs="Arial"/>
          <w:color w:val="000000"/>
          <w:sz w:val="20"/>
          <w:szCs w:val="20"/>
          <w:shd w:val="clear" w:color="auto" w:fill="FFFFFF"/>
        </w:rPr>
        <w:t>Keep Calm Talk Law. 2021. </w:t>
      </w:r>
      <w:r>
        <w:rPr>
          <w:rFonts w:ascii="Arial" w:hAnsi="Arial" w:cs="Arial"/>
          <w:i/>
          <w:iCs/>
          <w:color w:val="000000"/>
          <w:sz w:val="20"/>
          <w:szCs w:val="20"/>
          <w:shd w:val="clear" w:color="auto" w:fill="FFFFFF"/>
        </w:rPr>
        <w:t xml:space="preserve">Offences Against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Person: Options For Reform | Keep Calm Talk Law</w:t>
      </w:r>
      <w:r>
        <w:rPr>
          <w:rFonts w:ascii="Arial" w:hAnsi="Arial" w:cs="Arial"/>
          <w:color w:val="000000"/>
          <w:sz w:val="20"/>
          <w:szCs w:val="20"/>
          <w:shd w:val="clear" w:color="auto" w:fill="FFFFFF"/>
        </w:rPr>
        <w:t>. [online] Available at: &lt;http://www.keepcalmtalklaw.co.uk/offences-against-the-person-options-for-reform/&gt; [Accessed 26 February 2021].</w:t>
      </w:r>
    </w:p>
    <w:p w14:paraId="783D61C6" w14:textId="26DB09D1" w:rsidR="005A7B2F" w:rsidRDefault="008A6F0B" w:rsidP="006A2B0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Eugenicos</w:t>
      </w:r>
      <w:proofErr w:type="spellEnd"/>
      <w:r>
        <w:rPr>
          <w:rFonts w:ascii="Arial" w:hAnsi="Arial" w:cs="Arial"/>
          <w:color w:val="000000"/>
          <w:sz w:val="20"/>
          <w:szCs w:val="20"/>
          <w:shd w:val="clear" w:color="auto" w:fill="FFFFFF"/>
        </w:rPr>
        <w:t xml:space="preserve">, A., 2017. Should We Reform the Offences Against the Person Act </w:t>
      </w:r>
      <w:proofErr w:type="gramStart"/>
      <w:r>
        <w:rPr>
          <w:rFonts w:ascii="Arial" w:hAnsi="Arial" w:cs="Arial"/>
          <w:color w:val="000000"/>
          <w:sz w:val="20"/>
          <w:szCs w:val="20"/>
          <w:shd w:val="clear" w:color="auto" w:fill="FFFFFF"/>
        </w:rPr>
        <w:t>1861?.</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Journal of Criminal Law</w:t>
      </w:r>
      <w:r>
        <w:rPr>
          <w:rFonts w:ascii="Arial" w:hAnsi="Arial" w:cs="Arial"/>
          <w:color w:val="000000"/>
          <w:sz w:val="20"/>
          <w:szCs w:val="20"/>
          <w:shd w:val="clear" w:color="auto" w:fill="FFFFFF"/>
        </w:rPr>
        <w:t>, 81(1), pp.26-32.</w:t>
      </w:r>
    </w:p>
    <w:p w14:paraId="3C1463CE" w14:textId="235DF932" w:rsidR="008F2E8A" w:rsidRDefault="008F2E8A" w:rsidP="006A2B0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Eugenicos</w:t>
      </w:r>
      <w:proofErr w:type="spellEnd"/>
      <w:r>
        <w:rPr>
          <w:rFonts w:ascii="Arial" w:hAnsi="Arial" w:cs="Arial"/>
          <w:color w:val="000000"/>
          <w:sz w:val="20"/>
          <w:szCs w:val="20"/>
          <w:shd w:val="clear" w:color="auto" w:fill="FFFFFF"/>
        </w:rPr>
        <w:t xml:space="preserve">, A., 2017. Should We Reform the Offences Against the Person Act </w:t>
      </w:r>
      <w:proofErr w:type="gramStart"/>
      <w:r>
        <w:rPr>
          <w:rFonts w:ascii="Arial" w:hAnsi="Arial" w:cs="Arial"/>
          <w:color w:val="000000"/>
          <w:sz w:val="20"/>
          <w:szCs w:val="20"/>
          <w:shd w:val="clear" w:color="auto" w:fill="FFFFFF"/>
        </w:rPr>
        <w:t>1861?.</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Journal of Criminal Law</w:t>
      </w:r>
      <w:r>
        <w:rPr>
          <w:rFonts w:ascii="Arial" w:hAnsi="Arial" w:cs="Arial"/>
          <w:color w:val="000000"/>
          <w:sz w:val="20"/>
          <w:szCs w:val="20"/>
          <w:shd w:val="clear" w:color="auto" w:fill="FFFFFF"/>
        </w:rPr>
        <w:t>, 81(1), pp.26-32.</w:t>
      </w:r>
    </w:p>
    <w:p w14:paraId="672DADE8" w14:textId="38A87FFB" w:rsidR="00BC00E3" w:rsidRDefault="00BC00E3" w:rsidP="006A2B09">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Lawcom.gov.uk. 2021. </w:t>
      </w:r>
      <w:r>
        <w:rPr>
          <w:rFonts w:ascii="Arial" w:hAnsi="Arial" w:cs="Arial"/>
          <w:i/>
          <w:iCs/>
          <w:color w:val="000000"/>
          <w:sz w:val="20"/>
          <w:szCs w:val="20"/>
          <w:shd w:val="clear" w:color="auto" w:fill="FFFFFF"/>
        </w:rPr>
        <w:t>Offences against the Person | Law Commission</w:t>
      </w:r>
      <w:r>
        <w:rPr>
          <w:rFonts w:ascii="Arial" w:hAnsi="Arial" w:cs="Arial"/>
          <w:color w:val="000000"/>
          <w:sz w:val="20"/>
          <w:szCs w:val="20"/>
          <w:shd w:val="clear" w:color="auto" w:fill="FFFFFF"/>
        </w:rPr>
        <w:t>. [online] Available at: &lt;https://www.lawcom.gov.uk/project/offences-against-the-person/&gt; [Accessed 5 March 2021].</w:t>
      </w:r>
    </w:p>
    <w:p w14:paraId="3342874B" w14:textId="6B8FEB57" w:rsidR="00893F21" w:rsidRDefault="00893F21" w:rsidP="006A2B09">
      <w:pPr>
        <w:rPr>
          <w:rFonts w:ascii="Arial" w:hAnsi="Arial" w:cs="Arial"/>
          <w:color w:val="000000"/>
          <w:sz w:val="20"/>
          <w:szCs w:val="20"/>
          <w:shd w:val="clear" w:color="auto" w:fill="FFFFFF"/>
        </w:rPr>
      </w:pPr>
      <w:r>
        <w:rPr>
          <w:rFonts w:ascii="Arial" w:hAnsi="Arial" w:cs="Arial"/>
          <w:color w:val="000000"/>
          <w:sz w:val="20"/>
          <w:szCs w:val="20"/>
          <w:shd w:val="clear" w:color="auto" w:fill="FFFFFF"/>
        </w:rPr>
        <w:t>Oxford Royale Academy. 2021. </w:t>
      </w:r>
      <w:r>
        <w:rPr>
          <w:rFonts w:ascii="Arial" w:hAnsi="Arial" w:cs="Arial"/>
          <w:i/>
          <w:iCs/>
          <w:color w:val="000000"/>
          <w:sz w:val="20"/>
          <w:szCs w:val="20"/>
          <w:shd w:val="clear" w:color="auto" w:fill="FFFFFF"/>
        </w:rPr>
        <w:t>The Massively Outdated Offences Against the Person Act 1861 Shows How Well the Common Law System Works - Oxford Royale Academy</w:t>
      </w:r>
      <w:r>
        <w:rPr>
          <w:rFonts w:ascii="Arial" w:hAnsi="Arial" w:cs="Arial"/>
          <w:color w:val="000000"/>
          <w:sz w:val="20"/>
          <w:szCs w:val="20"/>
          <w:shd w:val="clear" w:color="auto" w:fill="FFFFFF"/>
        </w:rPr>
        <w:t>. [online] Available at: &lt;https://www.oxford-royale.com/articles/offences-against-the-person-act-1861-needs-reform/&gt; [Accessed 5 March 2021].</w:t>
      </w:r>
    </w:p>
    <w:p w14:paraId="0B445614" w14:textId="297A3997" w:rsidR="001A7733" w:rsidRDefault="001A7733" w:rsidP="006A2B09">
      <w:pPr>
        <w:rPr>
          <w:rFonts w:ascii="Arial" w:hAnsi="Arial" w:cs="Arial"/>
          <w:color w:val="000000"/>
          <w:sz w:val="20"/>
          <w:szCs w:val="20"/>
          <w:shd w:val="clear" w:color="auto" w:fill="FFFFFF"/>
        </w:rPr>
      </w:pPr>
      <w:r>
        <w:rPr>
          <w:rFonts w:ascii="Arial" w:hAnsi="Arial" w:cs="Arial"/>
          <w:color w:val="000000"/>
          <w:sz w:val="20"/>
          <w:szCs w:val="20"/>
          <w:shd w:val="clear" w:color="auto" w:fill="FFFFFF"/>
        </w:rPr>
        <w:t>Oxford Royale Academy. 2021. </w:t>
      </w:r>
      <w:r>
        <w:rPr>
          <w:rFonts w:ascii="Arial" w:hAnsi="Arial" w:cs="Arial"/>
          <w:i/>
          <w:iCs/>
          <w:color w:val="000000"/>
          <w:sz w:val="20"/>
          <w:szCs w:val="20"/>
          <w:shd w:val="clear" w:color="auto" w:fill="FFFFFF"/>
        </w:rPr>
        <w:t>The Massively Outdated Offences Against the Person Act 1861 Shows How Well the Common Law System Works - Oxford Royale Academy</w:t>
      </w:r>
      <w:r>
        <w:rPr>
          <w:rFonts w:ascii="Arial" w:hAnsi="Arial" w:cs="Arial"/>
          <w:color w:val="000000"/>
          <w:sz w:val="20"/>
          <w:szCs w:val="20"/>
          <w:shd w:val="clear" w:color="auto" w:fill="FFFFFF"/>
        </w:rPr>
        <w:t>. [online] Available at: &lt;https://www.oxford-royale.com/articles/offences-against-the-person-act-1861-needs-reform/&gt; [Accessed 5 March 2021].</w:t>
      </w:r>
    </w:p>
    <w:p w14:paraId="51001F5C" w14:textId="44BEEC4A" w:rsidR="009C5B12" w:rsidRDefault="009C5B12" w:rsidP="006A2B09">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Lawcom.gov.uk. 2021. </w:t>
      </w:r>
      <w:r>
        <w:rPr>
          <w:rFonts w:ascii="Arial" w:hAnsi="Arial" w:cs="Arial"/>
          <w:i/>
          <w:iCs/>
          <w:color w:val="000000"/>
          <w:sz w:val="20"/>
          <w:szCs w:val="20"/>
          <w:shd w:val="clear" w:color="auto" w:fill="FFFFFF"/>
        </w:rPr>
        <w:t>Offences against the person – modernising the law on violence | Law Commission</w:t>
      </w:r>
      <w:r>
        <w:rPr>
          <w:rFonts w:ascii="Arial" w:hAnsi="Arial" w:cs="Arial"/>
          <w:color w:val="000000"/>
          <w:sz w:val="20"/>
          <w:szCs w:val="20"/>
          <w:shd w:val="clear" w:color="auto" w:fill="FFFFFF"/>
        </w:rPr>
        <w:t>. [online] Available at: &lt;https://www.lawcom.gov.uk/offences-against-the-person-modernising-the-law-on-violence-2/&gt; [Accessed 5 March 2021].</w:t>
      </w:r>
    </w:p>
    <w:p w14:paraId="6B7BAB98" w14:textId="29E49EC3" w:rsidR="006E2FDE" w:rsidRPr="006A2B09" w:rsidRDefault="006E2FDE" w:rsidP="006A2B09">
      <w:pPr>
        <w:rPr>
          <w:bCs/>
        </w:rPr>
      </w:pPr>
      <w:r>
        <w:rPr>
          <w:rFonts w:ascii="Arial" w:hAnsi="Arial" w:cs="Arial"/>
          <w:color w:val="000000"/>
          <w:sz w:val="20"/>
          <w:szCs w:val="20"/>
          <w:shd w:val="clear" w:color="auto" w:fill="FFFFFF"/>
        </w:rPr>
        <w:t>Lawcom.gov.uk. 2021. </w:t>
      </w:r>
      <w:r>
        <w:rPr>
          <w:rFonts w:ascii="Arial" w:hAnsi="Arial" w:cs="Arial"/>
          <w:i/>
          <w:iCs/>
          <w:color w:val="000000"/>
          <w:sz w:val="20"/>
          <w:szCs w:val="20"/>
          <w:shd w:val="clear" w:color="auto" w:fill="FFFFFF"/>
        </w:rPr>
        <w:t>Offences against the person – modernising the law on violence | Law Commission</w:t>
      </w:r>
      <w:r>
        <w:rPr>
          <w:rFonts w:ascii="Arial" w:hAnsi="Arial" w:cs="Arial"/>
          <w:color w:val="000000"/>
          <w:sz w:val="20"/>
          <w:szCs w:val="20"/>
          <w:shd w:val="clear" w:color="auto" w:fill="FFFFFF"/>
        </w:rPr>
        <w:t>. [online] Available at: &lt;https://www.lawcom.gov.uk/offences-against-the-person-modernising-the-law-on-violence-2/&gt; [Accessed 5 March 2021].</w:t>
      </w:r>
    </w:p>
    <w:sectPr w:rsidR="006E2FDE" w:rsidRPr="006A2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267B0B"/>
    <w:multiLevelType w:val="multilevel"/>
    <w:tmpl w:val="3F90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061DA"/>
    <w:multiLevelType w:val="multilevel"/>
    <w:tmpl w:val="50F0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495767"/>
    <w:multiLevelType w:val="multilevel"/>
    <w:tmpl w:val="8FC0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6313F4"/>
    <w:multiLevelType w:val="hybridMultilevel"/>
    <w:tmpl w:val="552CDD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CA3B05"/>
    <w:multiLevelType w:val="hybridMultilevel"/>
    <w:tmpl w:val="2ED8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B09"/>
    <w:rsid w:val="00171B99"/>
    <w:rsid w:val="001A7733"/>
    <w:rsid w:val="001D531D"/>
    <w:rsid w:val="001F2121"/>
    <w:rsid w:val="002E2CF9"/>
    <w:rsid w:val="004A4C03"/>
    <w:rsid w:val="005A7B2F"/>
    <w:rsid w:val="005E5803"/>
    <w:rsid w:val="006A2B09"/>
    <w:rsid w:val="006E2FDE"/>
    <w:rsid w:val="007D44DE"/>
    <w:rsid w:val="007F46A9"/>
    <w:rsid w:val="00826790"/>
    <w:rsid w:val="00893F21"/>
    <w:rsid w:val="008A6F0B"/>
    <w:rsid w:val="008C4351"/>
    <w:rsid w:val="008F2E8A"/>
    <w:rsid w:val="00937BB4"/>
    <w:rsid w:val="009C5B12"/>
    <w:rsid w:val="00BB2A50"/>
    <w:rsid w:val="00BC00E3"/>
    <w:rsid w:val="00ED4CB0"/>
    <w:rsid w:val="00F45434"/>
    <w:rsid w:val="00F727A1"/>
    <w:rsid w:val="00FF3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5044"/>
  <w15:chartTrackingRefBased/>
  <w15:docId w15:val="{B9CE4272-346B-4C3D-A133-BA07D9F43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6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26790"/>
    <w:rPr>
      <w:color w:val="0000FF"/>
      <w:u w:val="single"/>
    </w:rPr>
  </w:style>
  <w:style w:type="paragraph" w:styleId="ListParagraph">
    <w:name w:val="List Paragraph"/>
    <w:basedOn w:val="Normal"/>
    <w:uiPriority w:val="34"/>
    <w:qFormat/>
    <w:rsid w:val="005A7B2F"/>
    <w:pPr>
      <w:ind w:left="720"/>
      <w:contextualSpacing/>
    </w:pPr>
  </w:style>
  <w:style w:type="character" w:styleId="Strong">
    <w:name w:val="Strong"/>
    <w:basedOn w:val="DefaultParagraphFont"/>
    <w:uiPriority w:val="22"/>
    <w:qFormat/>
    <w:rsid w:val="00BC00E3"/>
    <w:rPr>
      <w:b/>
      <w:bCs/>
    </w:rPr>
  </w:style>
  <w:style w:type="character" w:customStyle="1" w:styleId="selectable">
    <w:name w:val="selectable"/>
    <w:basedOn w:val="DefaultParagraphFont"/>
    <w:rsid w:val="00BC0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700588">
      <w:bodyDiv w:val="1"/>
      <w:marLeft w:val="0"/>
      <w:marRight w:val="0"/>
      <w:marTop w:val="0"/>
      <w:marBottom w:val="0"/>
      <w:divBdr>
        <w:top w:val="none" w:sz="0" w:space="0" w:color="auto"/>
        <w:left w:val="none" w:sz="0" w:space="0" w:color="auto"/>
        <w:bottom w:val="none" w:sz="0" w:space="0" w:color="auto"/>
        <w:right w:val="none" w:sz="0" w:space="0" w:color="auto"/>
      </w:divBdr>
    </w:div>
    <w:div w:id="395008327">
      <w:bodyDiv w:val="1"/>
      <w:marLeft w:val="0"/>
      <w:marRight w:val="0"/>
      <w:marTop w:val="0"/>
      <w:marBottom w:val="0"/>
      <w:divBdr>
        <w:top w:val="none" w:sz="0" w:space="0" w:color="auto"/>
        <w:left w:val="none" w:sz="0" w:space="0" w:color="auto"/>
        <w:bottom w:val="none" w:sz="0" w:space="0" w:color="auto"/>
        <w:right w:val="none" w:sz="0" w:space="0" w:color="auto"/>
      </w:divBdr>
    </w:div>
    <w:div w:id="551308424">
      <w:bodyDiv w:val="1"/>
      <w:marLeft w:val="0"/>
      <w:marRight w:val="0"/>
      <w:marTop w:val="0"/>
      <w:marBottom w:val="0"/>
      <w:divBdr>
        <w:top w:val="none" w:sz="0" w:space="0" w:color="auto"/>
        <w:left w:val="none" w:sz="0" w:space="0" w:color="auto"/>
        <w:bottom w:val="none" w:sz="0" w:space="0" w:color="auto"/>
        <w:right w:val="none" w:sz="0" w:space="0" w:color="auto"/>
      </w:divBdr>
    </w:div>
    <w:div w:id="1758938995">
      <w:bodyDiv w:val="1"/>
      <w:marLeft w:val="0"/>
      <w:marRight w:val="0"/>
      <w:marTop w:val="0"/>
      <w:marBottom w:val="0"/>
      <w:divBdr>
        <w:top w:val="none" w:sz="0" w:space="0" w:color="auto"/>
        <w:left w:val="none" w:sz="0" w:space="0" w:color="auto"/>
        <w:bottom w:val="none" w:sz="0" w:space="0" w:color="auto"/>
        <w:right w:val="none" w:sz="0" w:space="0" w:color="auto"/>
      </w:divBdr>
    </w:div>
    <w:div w:id="206020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Thomas (2016629)</dc:creator>
  <cp:keywords/>
  <dc:description/>
  <cp:lastModifiedBy>Connor Thomas (2016629)</cp:lastModifiedBy>
  <cp:revision>2</cp:revision>
  <dcterms:created xsi:type="dcterms:W3CDTF">2021-03-05T21:35:00Z</dcterms:created>
  <dcterms:modified xsi:type="dcterms:W3CDTF">2021-03-05T21:35:00Z</dcterms:modified>
</cp:coreProperties>
</file>