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DF583" w14:textId="77777777" w:rsidR="00D32A39" w:rsidRDefault="3457385E" w:rsidP="73A1A190">
      <w:pPr>
        <w:pStyle w:val="Title"/>
        <w:spacing w:line="360" w:lineRule="auto"/>
        <w:jc w:val="both"/>
        <w:rPr>
          <w:rFonts w:ascii="Arial" w:eastAsia="Arial" w:hAnsi="Arial" w:cs="Arial"/>
        </w:rPr>
      </w:pPr>
      <w:r w:rsidRPr="73A1A190">
        <w:rPr>
          <w:rFonts w:ascii="Arial" w:eastAsia="Arial" w:hAnsi="Arial" w:cs="Arial"/>
        </w:rPr>
        <w:t>Critical Reflection on Person-Centred Care and Partnership Working in UK Health and Social Care</w:t>
      </w:r>
    </w:p>
    <w:p w14:paraId="05C05DF0" w14:textId="77777777" w:rsidR="00D32A39" w:rsidRDefault="00D32A39" w:rsidP="73A1A190">
      <w:pPr>
        <w:pStyle w:val="p2"/>
        <w:spacing w:line="360" w:lineRule="auto"/>
        <w:jc w:val="both"/>
        <w:rPr>
          <w:rFonts w:ascii="Arial" w:eastAsia="Arial" w:hAnsi="Arial" w:cs="Arial"/>
        </w:rPr>
      </w:pPr>
    </w:p>
    <w:p w14:paraId="3FE06E45" w14:textId="28954F71" w:rsidR="00D32A39" w:rsidRDefault="3457385E" w:rsidP="73A1A190">
      <w:pPr>
        <w:pStyle w:val="p1"/>
        <w:spacing w:line="360" w:lineRule="auto"/>
        <w:jc w:val="both"/>
        <w:rPr>
          <w:rStyle w:val="s2"/>
          <w:rFonts w:ascii="Arial" w:eastAsia="Arial" w:hAnsi="Arial" w:cs="Arial"/>
        </w:rPr>
      </w:pPr>
      <w:r w:rsidRPr="73A1A190">
        <w:rPr>
          <w:rStyle w:val="s2"/>
          <w:rFonts w:ascii="Arial" w:eastAsia="Arial" w:hAnsi="Arial" w:cs="Arial"/>
        </w:rPr>
        <w:t>Name</w:t>
      </w:r>
      <w:r w:rsidR="51CCBF50" w:rsidRPr="73A1A190">
        <w:rPr>
          <w:rStyle w:val="s2"/>
          <w:rFonts w:ascii="Arial" w:eastAsia="Arial" w:hAnsi="Arial" w:cs="Arial"/>
        </w:rPr>
        <w:t>: Mukendi</w:t>
      </w:r>
      <w:r w:rsidR="6BE4A3F9" w:rsidRPr="73A1A190">
        <w:rPr>
          <w:rStyle w:val="s2"/>
          <w:rFonts w:ascii="Arial" w:eastAsia="Arial" w:hAnsi="Arial" w:cs="Arial"/>
        </w:rPr>
        <w:t xml:space="preserve"> Mtumba</w:t>
      </w:r>
    </w:p>
    <w:p w14:paraId="1FF31BBE" w14:textId="6498E39B" w:rsidR="00D32A39" w:rsidRDefault="3457385E" w:rsidP="73A1A190">
      <w:pPr>
        <w:pStyle w:val="p1"/>
        <w:spacing w:line="360" w:lineRule="auto"/>
        <w:jc w:val="both"/>
        <w:rPr>
          <w:rStyle w:val="s2"/>
          <w:rFonts w:ascii="Arial" w:eastAsia="Arial" w:hAnsi="Arial" w:cs="Arial"/>
        </w:rPr>
      </w:pPr>
      <w:r w:rsidRPr="73A1A190">
        <w:rPr>
          <w:rStyle w:val="s2"/>
          <w:rFonts w:ascii="Arial" w:eastAsia="Arial" w:hAnsi="Arial" w:cs="Arial"/>
        </w:rPr>
        <w:t>Student ID</w:t>
      </w:r>
      <w:r w:rsidR="4F490F98" w:rsidRPr="73A1A190">
        <w:rPr>
          <w:rStyle w:val="s2"/>
          <w:rFonts w:ascii="Arial" w:eastAsia="Arial" w:hAnsi="Arial" w:cs="Arial"/>
        </w:rPr>
        <w:t>: 2426801</w:t>
      </w:r>
    </w:p>
    <w:p w14:paraId="4C7C1739" w14:textId="0CFEDB86" w:rsidR="00D32A39" w:rsidRDefault="3457385E" w:rsidP="73A1A190">
      <w:pPr>
        <w:pStyle w:val="p1"/>
        <w:spacing w:line="360" w:lineRule="auto"/>
        <w:jc w:val="both"/>
        <w:rPr>
          <w:rStyle w:val="s2"/>
          <w:rFonts w:ascii="Arial" w:eastAsia="Arial" w:hAnsi="Arial" w:cs="Arial"/>
        </w:rPr>
      </w:pPr>
      <w:r w:rsidRPr="73A1A190">
        <w:rPr>
          <w:rStyle w:val="s2"/>
          <w:rFonts w:ascii="Arial" w:eastAsia="Arial" w:hAnsi="Arial" w:cs="Arial"/>
        </w:rPr>
        <w:t>Module Title</w:t>
      </w:r>
      <w:r w:rsidR="16562C12" w:rsidRPr="73A1A190">
        <w:rPr>
          <w:rStyle w:val="s2"/>
          <w:rFonts w:ascii="Arial" w:eastAsia="Arial" w:hAnsi="Arial" w:cs="Arial"/>
        </w:rPr>
        <w:t xml:space="preserve">: </w:t>
      </w:r>
      <w:r w:rsidR="20DD3649" w:rsidRPr="73A1A190">
        <w:rPr>
          <w:rStyle w:val="s2"/>
          <w:rFonts w:ascii="Arial" w:eastAsia="Arial" w:hAnsi="Arial" w:cs="Arial"/>
        </w:rPr>
        <w:t>principles of Health and Social Care</w:t>
      </w:r>
    </w:p>
    <w:p w14:paraId="4F93BF52" w14:textId="02911EE0" w:rsidR="00D32A39" w:rsidRDefault="3457385E" w:rsidP="73A1A190">
      <w:pPr>
        <w:pStyle w:val="p1"/>
        <w:spacing w:line="360" w:lineRule="auto"/>
        <w:jc w:val="both"/>
        <w:rPr>
          <w:rStyle w:val="s2"/>
          <w:rFonts w:ascii="Arial" w:eastAsia="Arial" w:hAnsi="Arial" w:cs="Arial"/>
        </w:rPr>
      </w:pPr>
      <w:r w:rsidRPr="73A1A190">
        <w:rPr>
          <w:rStyle w:val="s2"/>
          <w:rFonts w:ascii="Arial" w:eastAsia="Arial" w:hAnsi="Arial" w:cs="Arial"/>
        </w:rPr>
        <w:t>Lecturer Name</w:t>
      </w:r>
      <w:r w:rsidR="1CCF1660" w:rsidRPr="73A1A190">
        <w:rPr>
          <w:rStyle w:val="s2"/>
          <w:rFonts w:ascii="Arial" w:eastAsia="Arial" w:hAnsi="Arial" w:cs="Arial"/>
        </w:rPr>
        <w:t>: Precious Igbinigie</w:t>
      </w:r>
    </w:p>
    <w:p w14:paraId="721F8FEB" w14:textId="2AB177D8" w:rsidR="00D32A39" w:rsidRDefault="3457385E" w:rsidP="73A1A190">
      <w:pPr>
        <w:pStyle w:val="p1"/>
        <w:spacing w:line="360" w:lineRule="auto"/>
        <w:jc w:val="both"/>
        <w:rPr>
          <w:rStyle w:val="s2"/>
          <w:rFonts w:ascii="Arial" w:eastAsia="Arial" w:hAnsi="Arial" w:cs="Arial"/>
        </w:rPr>
      </w:pPr>
      <w:r w:rsidRPr="73A1A190">
        <w:rPr>
          <w:rStyle w:val="s2"/>
          <w:rFonts w:ascii="Arial" w:eastAsia="Arial" w:hAnsi="Arial" w:cs="Arial"/>
        </w:rPr>
        <w:t>Submission Date</w:t>
      </w:r>
      <w:r w:rsidR="79171AAB" w:rsidRPr="73A1A190">
        <w:rPr>
          <w:rStyle w:val="s2"/>
          <w:rFonts w:ascii="Arial" w:eastAsia="Arial" w:hAnsi="Arial" w:cs="Arial"/>
        </w:rPr>
        <w:t>: 02/03/2026</w:t>
      </w:r>
    </w:p>
    <w:p w14:paraId="3FE11020" w14:textId="1EE649F9" w:rsidR="00D32A39" w:rsidRDefault="3457385E" w:rsidP="73A1A190">
      <w:pPr>
        <w:pStyle w:val="p1"/>
        <w:spacing w:line="360" w:lineRule="auto"/>
        <w:jc w:val="both"/>
        <w:rPr>
          <w:rStyle w:val="s2"/>
          <w:rFonts w:ascii="Arial" w:eastAsia="Arial" w:hAnsi="Arial" w:cs="Arial"/>
        </w:rPr>
      </w:pPr>
      <w:r w:rsidRPr="73A1A190">
        <w:rPr>
          <w:rStyle w:val="s2"/>
          <w:rFonts w:ascii="Arial" w:eastAsia="Arial" w:hAnsi="Arial" w:cs="Arial"/>
        </w:rPr>
        <w:t>Word Count:</w:t>
      </w:r>
      <w:r w:rsidR="51692571" w:rsidRPr="73A1A190">
        <w:rPr>
          <w:rStyle w:val="s2"/>
          <w:rFonts w:ascii="Arial" w:eastAsia="Arial" w:hAnsi="Arial" w:cs="Arial"/>
        </w:rPr>
        <w:t xml:space="preserve"> 2000</w:t>
      </w:r>
    </w:p>
    <w:p w14:paraId="63D0149D" w14:textId="77777777" w:rsidR="00E17D35" w:rsidRDefault="00E17D35" w:rsidP="73A1A190">
      <w:pPr>
        <w:pStyle w:val="p1"/>
        <w:spacing w:line="360" w:lineRule="auto"/>
        <w:jc w:val="both"/>
        <w:rPr>
          <w:rStyle w:val="s2"/>
          <w:rFonts w:ascii="Arial" w:eastAsia="Arial" w:hAnsi="Arial" w:cs="Arial"/>
        </w:rPr>
      </w:pPr>
    </w:p>
    <w:p w14:paraId="49163C89" w14:textId="77777777" w:rsidR="00E17D35" w:rsidRDefault="00E17D35" w:rsidP="73A1A190">
      <w:pPr>
        <w:pStyle w:val="p1"/>
        <w:spacing w:line="360" w:lineRule="auto"/>
        <w:jc w:val="both"/>
        <w:rPr>
          <w:rStyle w:val="s2"/>
          <w:rFonts w:ascii="Arial" w:eastAsia="Arial" w:hAnsi="Arial" w:cs="Arial"/>
        </w:rPr>
      </w:pPr>
    </w:p>
    <w:p w14:paraId="1AE68C26" w14:textId="77777777" w:rsidR="00E17D35" w:rsidRDefault="00E17D35" w:rsidP="73A1A190">
      <w:pPr>
        <w:pStyle w:val="p1"/>
        <w:spacing w:line="360" w:lineRule="auto"/>
        <w:jc w:val="both"/>
        <w:rPr>
          <w:rFonts w:ascii="Arial" w:eastAsia="Arial" w:hAnsi="Arial" w:cs="Arial"/>
        </w:rPr>
      </w:pPr>
    </w:p>
    <w:p w14:paraId="5270E043" w14:textId="544EE601" w:rsidR="00E135FF" w:rsidRDefault="00E135FF" w:rsidP="73A1A190">
      <w:pPr>
        <w:spacing w:line="360" w:lineRule="auto"/>
        <w:jc w:val="both"/>
        <w:rPr>
          <w:rFonts w:ascii="Arial" w:eastAsia="Arial" w:hAnsi="Arial" w:cs="Arial"/>
        </w:rPr>
      </w:pPr>
    </w:p>
    <w:p w14:paraId="787C31B6" w14:textId="15470F0E" w:rsidR="00E135FF" w:rsidRDefault="00E135FF" w:rsidP="73A1A190">
      <w:pPr>
        <w:spacing w:line="360" w:lineRule="auto"/>
        <w:jc w:val="both"/>
        <w:rPr>
          <w:rFonts w:ascii="Arial" w:eastAsia="Arial" w:hAnsi="Arial" w:cs="Arial"/>
        </w:rPr>
      </w:pPr>
    </w:p>
    <w:p w14:paraId="78255890" w14:textId="2451093F" w:rsidR="00E135FF" w:rsidRDefault="00E135FF" w:rsidP="73A1A190">
      <w:pPr>
        <w:spacing w:line="360" w:lineRule="auto"/>
        <w:jc w:val="both"/>
        <w:rPr>
          <w:rFonts w:ascii="Arial" w:eastAsia="Arial" w:hAnsi="Arial" w:cs="Arial"/>
        </w:rPr>
      </w:pPr>
    </w:p>
    <w:p w14:paraId="1D8CEAE1" w14:textId="74D949D9" w:rsidR="00E135FF" w:rsidRDefault="00E135FF" w:rsidP="73A1A190">
      <w:pPr>
        <w:spacing w:line="360" w:lineRule="auto"/>
        <w:jc w:val="both"/>
        <w:rPr>
          <w:rFonts w:ascii="Arial" w:eastAsia="Arial" w:hAnsi="Arial" w:cs="Arial"/>
        </w:rPr>
      </w:pPr>
    </w:p>
    <w:p w14:paraId="0A3828BA" w14:textId="2C1D4680" w:rsidR="00E135FF" w:rsidRDefault="00E135FF" w:rsidP="73A1A190">
      <w:pPr>
        <w:spacing w:line="360" w:lineRule="auto"/>
        <w:jc w:val="both"/>
        <w:rPr>
          <w:rFonts w:ascii="Arial" w:eastAsia="Arial" w:hAnsi="Arial" w:cs="Arial"/>
        </w:rPr>
      </w:pPr>
    </w:p>
    <w:p w14:paraId="564F8CA5" w14:textId="699828CB" w:rsidR="00E135FF" w:rsidRDefault="00E135FF" w:rsidP="73A1A190">
      <w:pPr>
        <w:spacing w:line="360" w:lineRule="auto"/>
        <w:jc w:val="both"/>
        <w:rPr>
          <w:rFonts w:ascii="Arial" w:eastAsia="Arial" w:hAnsi="Arial" w:cs="Arial"/>
        </w:rPr>
      </w:pPr>
    </w:p>
    <w:p w14:paraId="0B11A24D" w14:textId="620606C2" w:rsidR="00E135FF" w:rsidRDefault="00E135FF" w:rsidP="73A1A190">
      <w:pPr>
        <w:spacing w:line="360" w:lineRule="auto"/>
        <w:jc w:val="both"/>
        <w:rPr>
          <w:rFonts w:ascii="Arial" w:eastAsia="Arial" w:hAnsi="Arial" w:cs="Arial"/>
        </w:rPr>
      </w:pPr>
    </w:p>
    <w:p w14:paraId="7F0E22D4" w14:textId="5EC3228A" w:rsidR="00E135FF" w:rsidRDefault="00E135FF" w:rsidP="73A1A190">
      <w:pPr>
        <w:spacing w:line="360" w:lineRule="auto"/>
        <w:jc w:val="both"/>
        <w:rPr>
          <w:rFonts w:ascii="Arial" w:eastAsia="Arial" w:hAnsi="Arial" w:cs="Arial"/>
        </w:rPr>
      </w:pPr>
    </w:p>
    <w:p w14:paraId="2777A41C" w14:textId="59608729" w:rsidR="00E135FF" w:rsidRDefault="00E135FF" w:rsidP="73A1A190">
      <w:pPr>
        <w:spacing w:line="360" w:lineRule="auto"/>
        <w:jc w:val="both"/>
        <w:rPr>
          <w:rFonts w:ascii="Arial" w:eastAsia="Arial" w:hAnsi="Arial" w:cs="Arial"/>
        </w:rPr>
      </w:pPr>
    </w:p>
    <w:p w14:paraId="59855456" w14:textId="6051461F" w:rsidR="00E135FF" w:rsidRDefault="00E135FF" w:rsidP="73A1A190">
      <w:pPr>
        <w:spacing w:line="360" w:lineRule="auto"/>
        <w:jc w:val="both"/>
        <w:rPr>
          <w:rFonts w:ascii="Arial" w:eastAsia="Arial" w:hAnsi="Arial" w:cs="Arial"/>
        </w:rPr>
      </w:pPr>
    </w:p>
    <w:p w14:paraId="47B6516A" w14:textId="7957272E" w:rsidR="00E135FF" w:rsidRDefault="00E135FF" w:rsidP="73A1A190">
      <w:pPr>
        <w:spacing w:line="360" w:lineRule="auto"/>
        <w:jc w:val="both"/>
        <w:rPr>
          <w:rFonts w:ascii="Arial" w:eastAsia="Arial" w:hAnsi="Arial" w:cs="Arial"/>
        </w:rPr>
      </w:pPr>
    </w:p>
    <w:p w14:paraId="1768864F" w14:textId="483AACAB" w:rsidR="00E135FF" w:rsidRDefault="1ACBF765" w:rsidP="73A1A190">
      <w:pPr>
        <w:pStyle w:val="Title"/>
        <w:spacing w:line="360" w:lineRule="auto"/>
        <w:jc w:val="both"/>
        <w:rPr>
          <w:rStyle w:val="TitleChar"/>
          <w:rFonts w:ascii="Arial" w:eastAsia="Arial" w:hAnsi="Arial" w:cs="Arial"/>
        </w:rPr>
      </w:pPr>
      <w:r w:rsidRPr="73A1A190">
        <w:rPr>
          <w:rStyle w:val="TitleChar"/>
          <w:rFonts w:ascii="Arial" w:eastAsia="Arial" w:hAnsi="Arial" w:cs="Arial"/>
        </w:rPr>
        <w:t xml:space="preserve">Critical Reflection on Person-Centred Care and Partnership Working in UK Health and Social Care </w:t>
      </w:r>
    </w:p>
    <w:p w14:paraId="3B02B9E9" w14:textId="6E1FDF65" w:rsidR="00E135FF" w:rsidRDefault="00E135FF" w:rsidP="73A1A190">
      <w:pPr>
        <w:spacing w:line="360" w:lineRule="auto"/>
        <w:jc w:val="both"/>
        <w:rPr>
          <w:rFonts w:ascii="Arial" w:eastAsia="Arial" w:hAnsi="Arial" w:cs="Arial"/>
        </w:rPr>
      </w:pPr>
    </w:p>
    <w:p w14:paraId="3C049F1E" w14:textId="61CB9350" w:rsidR="00E135FF" w:rsidRDefault="00E135FF" w:rsidP="73A1A190">
      <w:pPr>
        <w:spacing w:line="360" w:lineRule="auto"/>
        <w:jc w:val="both"/>
        <w:rPr>
          <w:rFonts w:ascii="Arial" w:eastAsia="Arial" w:hAnsi="Arial" w:cs="Arial"/>
        </w:rPr>
      </w:pPr>
    </w:p>
    <w:p w14:paraId="61304AC9" w14:textId="057C50FA" w:rsidR="00E135FF" w:rsidRDefault="579D88AD" w:rsidP="73A1A190">
      <w:pPr>
        <w:pStyle w:val="Subtitle"/>
        <w:spacing w:line="360" w:lineRule="auto"/>
        <w:jc w:val="both"/>
        <w:rPr>
          <w:rFonts w:ascii="Arial" w:eastAsia="Arial" w:hAnsi="Arial" w:cs="Arial"/>
          <w:b/>
          <w:bCs/>
        </w:rPr>
      </w:pPr>
      <w:r w:rsidRPr="6FF36883">
        <w:rPr>
          <w:rFonts w:ascii="Arial" w:eastAsia="Arial" w:hAnsi="Arial" w:cs="Arial"/>
          <w:b/>
          <w:bCs/>
        </w:rPr>
        <w:t>Introduction</w:t>
      </w:r>
    </w:p>
    <w:p w14:paraId="14B1E128" w14:textId="77777777" w:rsidR="00E135FF" w:rsidRDefault="00E135FF" w:rsidP="73A1A190">
      <w:pPr>
        <w:spacing w:line="360" w:lineRule="auto"/>
        <w:jc w:val="both"/>
        <w:rPr>
          <w:rFonts w:ascii="Arial" w:eastAsia="Arial" w:hAnsi="Arial" w:cs="Arial"/>
        </w:rPr>
      </w:pPr>
    </w:p>
    <w:p w14:paraId="071770BC"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Person-centred care and partnership working are central to modern health and social care practice in the United Kingdom. As the population ages and more people live with long-term conditions, services have become increasingly complex. In response, there has been strong policy emphasis on integrating health and social care systems to improve continuity and quality of care (World Health Organization (WHO), 2002). Integrated care aims to reduce fragmentation and improve coordination across organisations (Leutz, 2005). Ethical principles and legislation also guide professionals to practise safely and lawfully. This assignment critically reflects on person-centred care, partnership working and ethics, and applies these principles to the case of Mrs C, an older adult receiving end-of-life care.</w:t>
      </w:r>
    </w:p>
    <w:p w14:paraId="7900B2ED" w14:textId="6E842530" w:rsidR="00E135FF" w:rsidRDefault="00E135FF" w:rsidP="73A1A190">
      <w:pPr>
        <w:spacing w:line="360" w:lineRule="auto"/>
        <w:jc w:val="both"/>
        <w:rPr>
          <w:rFonts w:ascii="Arial" w:eastAsia="Arial" w:hAnsi="Arial" w:cs="Arial"/>
        </w:rPr>
      </w:pPr>
    </w:p>
    <w:p w14:paraId="2ADD2B4E" w14:textId="77777777" w:rsidR="00E135FF" w:rsidRDefault="00E135FF" w:rsidP="73A1A190">
      <w:pPr>
        <w:spacing w:line="360" w:lineRule="auto"/>
        <w:jc w:val="both"/>
        <w:rPr>
          <w:rFonts w:ascii="Arial" w:eastAsia="Arial" w:hAnsi="Arial" w:cs="Arial"/>
        </w:rPr>
      </w:pPr>
    </w:p>
    <w:p w14:paraId="2BD43C72" w14:textId="1F1ED225" w:rsidR="00E135FF" w:rsidRDefault="00E135FF" w:rsidP="73A1A190">
      <w:pPr>
        <w:pStyle w:val="Heading1"/>
        <w:spacing w:line="360" w:lineRule="auto"/>
        <w:jc w:val="both"/>
        <w:rPr>
          <w:rFonts w:ascii="Arial" w:eastAsia="Arial" w:hAnsi="Arial" w:cs="Arial"/>
        </w:rPr>
      </w:pPr>
    </w:p>
    <w:p w14:paraId="01D316E6" w14:textId="3B79A65E" w:rsidR="00E135FF" w:rsidRDefault="579D88AD" w:rsidP="73A1A190">
      <w:pPr>
        <w:pStyle w:val="Heading1"/>
        <w:spacing w:line="360" w:lineRule="auto"/>
        <w:jc w:val="both"/>
        <w:rPr>
          <w:rFonts w:ascii="Arial" w:eastAsia="Arial" w:hAnsi="Arial" w:cs="Arial"/>
        </w:rPr>
      </w:pPr>
      <w:r w:rsidRPr="73A1A190">
        <w:rPr>
          <w:rFonts w:ascii="Arial" w:eastAsia="Arial" w:hAnsi="Arial" w:cs="Arial"/>
        </w:rPr>
        <w:t>Task 1: Critical Reflection on Key Principles</w:t>
      </w:r>
    </w:p>
    <w:p w14:paraId="1A221494" w14:textId="77777777" w:rsidR="00E135FF" w:rsidRDefault="00E135FF" w:rsidP="73A1A190">
      <w:pPr>
        <w:spacing w:line="360" w:lineRule="auto"/>
        <w:jc w:val="both"/>
        <w:rPr>
          <w:rFonts w:ascii="Arial" w:eastAsia="Arial" w:hAnsi="Arial" w:cs="Arial"/>
        </w:rPr>
      </w:pPr>
    </w:p>
    <w:p w14:paraId="287C2CE3"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Person-centred care (PCC) means organising services around the needs and preferences of the individual rather than institutional systems (Leutz, 2005). However, structural integration alone does not automatically produce effective partnership working. Real collaboration requires cultural change as well as organisational reform (Leutz, 2005). When services are fragmented, continuity weakens and patient experience suffers, particularly for people with complex conditions (Lloyd and Wait, 2006). The World Health Organization (WHO) (2002) stresses that individuals living with chronic conditions should be active participants in their care rather than passive recipients.</w:t>
      </w:r>
    </w:p>
    <w:p w14:paraId="3ED2D702" w14:textId="77777777" w:rsidR="00E135FF" w:rsidRDefault="00E135FF" w:rsidP="73A1A190">
      <w:pPr>
        <w:spacing w:line="360" w:lineRule="auto"/>
        <w:jc w:val="both"/>
        <w:rPr>
          <w:rFonts w:ascii="Arial" w:eastAsia="Arial" w:hAnsi="Arial" w:cs="Arial"/>
        </w:rPr>
      </w:pPr>
    </w:p>
    <w:p w14:paraId="398F39B3"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Maslow’s Hierarchy of Needs explains why PCC is essential. According to this theory, safety, belonging and self-esteem are fundamental to wellbeing (Sealey, 2015). Healthcare must therefore address emotional and relational needs alongside physical treatment. When individuals do not feel secure or respected, their wellbeing is compromised. However, in performance-driven systems focused on measurable targets, shared decision-making can become procedural rather than meaningful (Leutz, 2005). This reveals a gap between policy intentions and everyday practice.</w:t>
      </w:r>
    </w:p>
    <w:p w14:paraId="46A556ED" w14:textId="77777777" w:rsidR="00E135FF" w:rsidRDefault="00E135FF" w:rsidP="73A1A190">
      <w:pPr>
        <w:spacing w:line="360" w:lineRule="auto"/>
        <w:jc w:val="both"/>
        <w:rPr>
          <w:rFonts w:ascii="Arial" w:eastAsia="Arial" w:hAnsi="Arial" w:cs="Arial"/>
        </w:rPr>
      </w:pPr>
    </w:p>
    <w:p w14:paraId="5004A634"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Partnership working aims to reduce fragmentation by encouraging collaboration across professional and organisational boundaries (Sullivan and Skelcher, 2002). Integration reforms in the United Kingdom show that coordination improves when governance arrangements are clear (Steel, 2013). Nevertheless, structural reform alone does not eliminate professional silos. Differences in funding and accountability between National Health Service (NHS) organisations and social care providers continue to create barriers (Longley et al., 2012). Effective partnership therefore depends on shared values and trust as well as formal agreements.</w:t>
      </w:r>
    </w:p>
    <w:p w14:paraId="5D68E624" w14:textId="77777777" w:rsidR="00E135FF" w:rsidRDefault="00E135FF" w:rsidP="73A1A190">
      <w:pPr>
        <w:spacing w:line="360" w:lineRule="auto"/>
        <w:jc w:val="both"/>
        <w:rPr>
          <w:rFonts w:ascii="Arial" w:eastAsia="Arial" w:hAnsi="Arial" w:cs="Arial"/>
        </w:rPr>
      </w:pPr>
    </w:p>
    <w:p w14:paraId="1C51D756"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Ethical practice underpins both PCC and integration. It is grounded in principles such as autonomy, justice and safeguarding (Spicker, 2014). Ethical decision-making also reflects beneficence, meaning professionals must act in the patient’s best interests while balancing clinical risks and organisational pressures (Spicker, 2014). The Mental Capacity Act 2005 protects individuals when decision-making capacity may fluctuate. The Care Act 2014 places a legal duty on services to promote wellbeing, although achieving this depends on adequate resources and effective inter-agency cooperation. The Health and Care Act 2022 established Integrated Care Systems (ICS) to strengthen collaboration, yet legislation alone cannot resolve workforce shortages or unequal resource distribution (Longley et al., 2012).</w:t>
      </w:r>
    </w:p>
    <w:p w14:paraId="0ABEB312" w14:textId="77777777" w:rsidR="00E135FF" w:rsidRDefault="00E135FF" w:rsidP="73A1A190">
      <w:pPr>
        <w:spacing w:line="360" w:lineRule="auto"/>
        <w:jc w:val="both"/>
        <w:rPr>
          <w:rFonts w:ascii="Arial" w:eastAsia="Arial" w:hAnsi="Arial" w:cs="Arial"/>
        </w:rPr>
      </w:pPr>
    </w:p>
    <w:p w14:paraId="50E86F30"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Professional values in UK healthcare are further supported by the 6Cs: care, compassion, competence, communication, courage and commitment. These values reinforce person-centred and ethical practice by promoting respectful interaction, emotional understanding and professional accountability. They ensure that care is delivered not only safely but also with dignity and humanity.</w:t>
      </w:r>
    </w:p>
    <w:p w14:paraId="7FFE605F" w14:textId="77777777" w:rsidR="00E135FF" w:rsidRDefault="00E135FF" w:rsidP="73A1A190">
      <w:pPr>
        <w:spacing w:line="360" w:lineRule="auto"/>
        <w:jc w:val="both"/>
        <w:rPr>
          <w:rFonts w:ascii="Arial" w:eastAsia="Arial" w:hAnsi="Arial" w:cs="Arial"/>
        </w:rPr>
      </w:pPr>
    </w:p>
    <w:p w14:paraId="5CC417D8"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For future nursing or radiography practice, technical competence must be combined with ethical reasoning and collaborative skills. Regular supervision and reflection are essential to ensure that person-centred values remain genuine rather than procedural.</w:t>
      </w:r>
    </w:p>
    <w:p w14:paraId="74AA50A9" w14:textId="4378E230" w:rsidR="00E135FF" w:rsidRDefault="00E135FF" w:rsidP="73A1A190">
      <w:pPr>
        <w:spacing w:line="360" w:lineRule="auto"/>
        <w:jc w:val="both"/>
        <w:rPr>
          <w:rFonts w:ascii="Arial" w:eastAsia="Arial" w:hAnsi="Arial" w:cs="Arial"/>
        </w:rPr>
      </w:pPr>
    </w:p>
    <w:p w14:paraId="44E565FF" w14:textId="77777777" w:rsidR="00E135FF" w:rsidRDefault="00E135FF" w:rsidP="73A1A190">
      <w:pPr>
        <w:spacing w:line="360" w:lineRule="auto"/>
        <w:jc w:val="both"/>
        <w:rPr>
          <w:rFonts w:ascii="Arial" w:eastAsia="Arial" w:hAnsi="Arial" w:cs="Arial"/>
        </w:rPr>
      </w:pPr>
    </w:p>
    <w:p w14:paraId="28DD95ED" w14:textId="5491DFF8" w:rsidR="73A1A190" w:rsidRDefault="73A1A190" w:rsidP="73A1A190">
      <w:pPr>
        <w:pStyle w:val="Heading1"/>
        <w:spacing w:line="360" w:lineRule="auto"/>
        <w:jc w:val="both"/>
        <w:rPr>
          <w:rFonts w:ascii="Arial" w:eastAsia="Arial" w:hAnsi="Arial" w:cs="Arial"/>
        </w:rPr>
      </w:pPr>
    </w:p>
    <w:p w14:paraId="2F86B231" w14:textId="77777777" w:rsidR="00E135FF" w:rsidRDefault="579D88AD" w:rsidP="73A1A190">
      <w:pPr>
        <w:pStyle w:val="Heading1"/>
        <w:spacing w:line="360" w:lineRule="auto"/>
        <w:jc w:val="both"/>
        <w:rPr>
          <w:rFonts w:ascii="Arial" w:eastAsia="Arial" w:hAnsi="Arial" w:cs="Arial"/>
        </w:rPr>
      </w:pPr>
      <w:r w:rsidRPr="73A1A190">
        <w:rPr>
          <w:rFonts w:ascii="Arial" w:eastAsia="Arial" w:hAnsi="Arial" w:cs="Arial"/>
        </w:rPr>
        <w:t>Task 2: Practical Application – Mrs C’s Case</w:t>
      </w:r>
    </w:p>
    <w:p w14:paraId="5D6ED160" w14:textId="77777777" w:rsidR="00E135FF" w:rsidRDefault="00E135FF" w:rsidP="73A1A190">
      <w:pPr>
        <w:spacing w:line="360" w:lineRule="auto"/>
        <w:jc w:val="both"/>
        <w:rPr>
          <w:rFonts w:ascii="Arial" w:eastAsia="Arial" w:hAnsi="Arial" w:cs="Arial"/>
        </w:rPr>
      </w:pPr>
    </w:p>
    <w:p w14:paraId="7F6325F7"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Mrs C’s case demonstrates how person-centred, integrated end-of-life care operates in practice. Individuals with advanced chronic conditions require planned and coordinated care rather than repeated emergency admissions (WHO, 2002). Integrated care aims to improve communication and continuity between services (Leutz, 2005). However, effective care depends not only on structure but also on relational trust.</w:t>
      </w:r>
    </w:p>
    <w:p w14:paraId="19B4699F" w14:textId="77777777" w:rsidR="00E135FF" w:rsidRDefault="00E135FF" w:rsidP="73A1A190">
      <w:pPr>
        <w:spacing w:line="360" w:lineRule="auto"/>
        <w:jc w:val="both"/>
        <w:rPr>
          <w:rFonts w:ascii="Arial" w:eastAsia="Arial" w:hAnsi="Arial" w:cs="Arial"/>
        </w:rPr>
      </w:pPr>
    </w:p>
    <w:p w14:paraId="3944BA06"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Mrs C was actively involved in decisions regarding palliative treatment, hospital transfers and future care planning. This reflects the principle that care should align with individual preferences (Lloyd and Wait, 2006). Through Maslow’s framework, dissatisfaction with personal carers can be understood as affecting her sense of safety and belonging (Sealey, 2015). Emotional wellbeing at the end of life is therefore shaped by relational quality as well as clinical support.</w:t>
      </w:r>
    </w:p>
    <w:p w14:paraId="1CA15A0A" w14:textId="77777777" w:rsidR="00E135FF" w:rsidRDefault="00E135FF" w:rsidP="73A1A190">
      <w:pPr>
        <w:spacing w:line="360" w:lineRule="auto"/>
        <w:jc w:val="both"/>
        <w:rPr>
          <w:rFonts w:ascii="Arial" w:eastAsia="Arial" w:hAnsi="Arial" w:cs="Arial"/>
        </w:rPr>
      </w:pPr>
    </w:p>
    <w:p w14:paraId="7507EDA6"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Advance care planning, including Do Not Attempt Cardiopulmonary Resuscitation (DNACPR) decisions, was conducted in accordance with the Mental Capacity Act 2005. This ensured decisions were lawful and respected autonomy. At the same time, professionals were required to balance autonomy with beneficence by acting in her best interests where vulnerabilities were present (Spicker, 2014). The Care Act 2014 required services to promote her wellbeing and protect her from harm. Ethical decisions in end-of-life care are complex, particularly when family views and limited resources influence professional judgement (Spicker, 2014).</w:t>
      </w:r>
    </w:p>
    <w:p w14:paraId="4C34E61A" w14:textId="77777777" w:rsidR="00E135FF" w:rsidRDefault="00E135FF" w:rsidP="73A1A190">
      <w:pPr>
        <w:spacing w:line="360" w:lineRule="auto"/>
        <w:jc w:val="both"/>
        <w:rPr>
          <w:rFonts w:ascii="Arial" w:eastAsia="Arial" w:hAnsi="Arial" w:cs="Arial"/>
        </w:rPr>
      </w:pPr>
    </w:p>
    <w:p w14:paraId="246C4365" w14:textId="6775A6A3" w:rsidR="00E135FF" w:rsidRDefault="579D88AD" w:rsidP="73A1A190">
      <w:pPr>
        <w:spacing w:line="360" w:lineRule="auto"/>
        <w:jc w:val="both"/>
        <w:rPr>
          <w:rFonts w:ascii="Arial" w:eastAsia="Arial" w:hAnsi="Arial" w:cs="Arial"/>
        </w:rPr>
      </w:pPr>
      <w:r w:rsidRPr="73A1A190">
        <w:rPr>
          <w:rFonts w:ascii="Arial" w:eastAsia="Arial" w:hAnsi="Arial" w:cs="Arial"/>
        </w:rPr>
        <w:t>Partnership working was evident in collaboration between hospital teams, community nurses, social workers and voluntary organisations. Clear accountability improves coordination across services (Sullivan and Skelcher, 2002). However, evidence shows that integration reforms must be supported by cultural change to achieve meaningful continuity (Steel, 2013). Funding pressures and workforce shortages continue to challenge service delivery (Longley et al., 2012).</w:t>
      </w:r>
    </w:p>
    <w:p w14:paraId="0202B839" w14:textId="61EF3D10" w:rsidR="007A07B6" w:rsidRPr="007A07B6" w:rsidRDefault="007A07B6" w:rsidP="73A1A190">
      <w:pPr>
        <w:spacing w:before="100" w:beforeAutospacing="1" w:after="100" w:afterAutospacing="1" w:line="360" w:lineRule="auto"/>
        <w:jc w:val="both"/>
        <w:rPr>
          <w:rFonts w:ascii="Arial" w:eastAsia="Arial" w:hAnsi="Arial" w:cs="Arial"/>
          <w:kern w:val="0"/>
          <w14:ligatures w14:val="none"/>
        </w:rPr>
      </w:pPr>
    </w:p>
    <w:p w14:paraId="3D62229F" w14:textId="0C0ECC0F" w:rsidR="007A07B6" w:rsidRPr="007A07B6" w:rsidRDefault="007A07B6" w:rsidP="73A1A190">
      <w:pPr>
        <w:spacing w:after="0" w:line="360" w:lineRule="auto"/>
        <w:jc w:val="both"/>
        <w:rPr>
          <w:rFonts w:ascii="Arial" w:eastAsia="Arial" w:hAnsi="Arial" w:cs="Arial"/>
          <w:color w:val="111111"/>
          <w:kern w:val="0"/>
          <w:sz w:val="26"/>
          <w:szCs w:val="26"/>
          <w14:ligatures w14:val="none"/>
        </w:rPr>
      </w:pPr>
      <w:r w:rsidRPr="73A1A190">
        <w:rPr>
          <w:rFonts w:ascii="Arial" w:eastAsia="Arial" w:hAnsi="Arial" w:cs="Arial"/>
          <w:color w:val="111111"/>
          <w:kern w:val="0"/>
          <w:sz w:val="26"/>
          <w:szCs w:val="26"/>
          <w14:ligatures w14:val="none"/>
        </w:rPr>
        <w:t>Funding pressures and workforce shortages continue to affect service delivery (Longley et al., 2012). In addition, the Care Quality Commission (CQC) plays a critical regulatory role in monitoring whether services are safe, effective, caring, responsive and well-led, thereby reinforcing accountability and quality standards within integrated end-of-life care</w:t>
      </w:r>
      <w:r w:rsidR="00F82C70" w:rsidRPr="73A1A190">
        <w:rPr>
          <w:rFonts w:ascii="Arial" w:eastAsia="Arial" w:hAnsi="Arial" w:cs="Arial"/>
          <w:color w:val="111111"/>
          <w:kern w:val="0"/>
          <w:sz w:val="26"/>
          <w:szCs w:val="26"/>
          <w14:ligatures w14:val="none"/>
        </w:rPr>
        <w:t xml:space="preserve"> CQC </w:t>
      </w:r>
      <w:r w:rsidR="00CB66CE" w:rsidRPr="73A1A190">
        <w:rPr>
          <w:rFonts w:ascii="Arial" w:eastAsia="Arial" w:hAnsi="Arial" w:cs="Arial"/>
          <w:color w:val="111111"/>
          <w:kern w:val="0"/>
          <w:sz w:val="26"/>
          <w:szCs w:val="26"/>
          <w14:ligatures w14:val="none"/>
        </w:rPr>
        <w:t>(2023)</w:t>
      </w:r>
      <w:r w:rsidRPr="73A1A190">
        <w:rPr>
          <w:rFonts w:ascii="Arial" w:eastAsia="Arial" w:hAnsi="Arial" w:cs="Arial"/>
          <w:color w:val="111111"/>
          <w:kern w:val="0"/>
          <w:sz w:val="26"/>
          <w:szCs w:val="26"/>
          <w14:ligatures w14:val="none"/>
        </w:rPr>
        <w:t>.</w:t>
      </w:r>
    </w:p>
    <w:p w14:paraId="6BDFB396" w14:textId="7D37C12C" w:rsidR="007A07B6" w:rsidRDefault="007A07B6" w:rsidP="73A1A190">
      <w:pPr>
        <w:spacing w:line="360" w:lineRule="auto"/>
        <w:jc w:val="both"/>
        <w:rPr>
          <w:rFonts w:ascii="Arial" w:eastAsia="Arial" w:hAnsi="Arial" w:cs="Arial"/>
        </w:rPr>
      </w:pPr>
    </w:p>
    <w:p w14:paraId="210B65C2" w14:textId="16DCED6B" w:rsidR="007A07B6" w:rsidRDefault="007A07B6" w:rsidP="73A1A190">
      <w:pPr>
        <w:spacing w:line="360" w:lineRule="auto"/>
        <w:jc w:val="both"/>
        <w:rPr>
          <w:rFonts w:ascii="Arial" w:eastAsia="Arial" w:hAnsi="Arial" w:cs="Arial"/>
        </w:rPr>
      </w:pPr>
    </w:p>
    <w:p w14:paraId="68624C43" w14:textId="77777777" w:rsidR="00E135FF" w:rsidRDefault="00E135FF" w:rsidP="73A1A190">
      <w:pPr>
        <w:spacing w:line="360" w:lineRule="auto"/>
        <w:jc w:val="both"/>
        <w:rPr>
          <w:rFonts w:ascii="Arial" w:eastAsia="Arial" w:hAnsi="Arial" w:cs="Arial"/>
        </w:rPr>
      </w:pPr>
    </w:p>
    <w:p w14:paraId="1E1486A0"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Commissioning aligned with National Institute for Health and Care Excellence (NICE) guidance supports safe prescribing and coordinated home-based care (Curnow et al., 2021). The Health and Care Act 2022 strengthened collaboration through ICS frameworks. Transparent digital governance and data sharing remain essential to maintain ethical trust (Stein et al., 2022).</w:t>
      </w:r>
    </w:p>
    <w:p w14:paraId="147D6B44" w14:textId="77777777" w:rsidR="00E135FF" w:rsidRDefault="00E135FF" w:rsidP="73A1A190">
      <w:pPr>
        <w:spacing w:line="360" w:lineRule="auto"/>
        <w:jc w:val="both"/>
        <w:rPr>
          <w:rFonts w:ascii="Arial" w:eastAsia="Arial" w:hAnsi="Arial" w:cs="Arial"/>
        </w:rPr>
      </w:pPr>
    </w:p>
    <w:p w14:paraId="2A88B997"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In Mrs C’s case, effective communication, compassion and professional commitment were central to maintaining dignity and trust during complex end-of-life discussions. This demonstrates how the 6Cs operate in everyday practice. Person-centred planning protected her autonomy while reducing avoidable admissions (WHO, 2002). However, workforce constraints show that integration remains an ongoing process rather than a complete solution (Longley et al., 2012).</w:t>
      </w:r>
    </w:p>
    <w:p w14:paraId="5A449DEF" w14:textId="77777777" w:rsidR="00E135FF" w:rsidRDefault="00E135FF" w:rsidP="73A1A190">
      <w:pPr>
        <w:spacing w:line="360" w:lineRule="auto"/>
        <w:jc w:val="both"/>
        <w:rPr>
          <w:rFonts w:ascii="Arial" w:eastAsia="Arial" w:hAnsi="Arial" w:cs="Arial"/>
        </w:rPr>
      </w:pPr>
    </w:p>
    <w:p w14:paraId="156BCFFD"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For future professional practice, delivering high-quality care requires confident participation in multidisciplinary discussions, accurate documentation, competence in capacity assessment and resilience in ethically sensitive situations. Balancing technical expertise with relational sensitivity is essential within integrated systems.</w:t>
      </w:r>
    </w:p>
    <w:p w14:paraId="6416E18B" w14:textId="77777777" w:rsidR="00E135FF" w:rsidRDefault="00E135FF" w:rsidP="73A1A190">
      <w:pPr>
        <w:spacing w:line="360" w:lineRule="auto"/>
        <w:jc w:val="both"/>
        <w:rPr>
          <w:rFonts w:ascii="Arial" w:eastAsia="Arial" w:hAnsi="Arial" w:cs="Arial"/>
        </w:rPr>
      </w:pPr>
    </w:p>
    <w:p w14:paraId="5CD77A05" w14:textId="50628847" w:rsidR="00E135FF" w:rsidRDefault="00E135FF" w:rsidP="73A1A190">
      <w:pPr>
        <w:spacing w:line="360" w:lineRule="auto"/>
        <w:jc w:val="both"/>
        <w:rPr>
          <w:rFonts w:ascii="Arial" w:eastAsia="Arial" w:hAnsi="Arial" w:cs="Arial"/>
        </w:rPr>
      </w:pPr>
    </w:p>
    <w:p w14:paraId="5170FA91" w14:textId="77777777" w:rsidR="00E135FF" w:rsidRDefault="00E135FF" w:rsidP="73A1A190">
      <w:pPr>
        <w:spacing w:line="360" w:lineRule="auto"/>
        <w:jc w:val="both"/>
        <w:rPr>
          <w:rFonts w:ascii="Arial" w:eastAsia="Arial" w:hAnsi="Arial" w:cs="Arial"/>
        </w:rPr>
      </w:pPr>
    </w:p>
    <w:p w14:paraId="764963F7" w14:textId="77777777" w:rsidR="00E135FF" w:rsidRDefault="579D88AD" w:rsidP="73A1A190">
      <w:pPr>
        <w:pStyle w:val="Subtitle"/>
        <w:spacing w:line="360" w:lineRule="auto"/>
        <w:jc w:val="both"/>
        <w:rPr>
          <w:rFonts w:ascii="Arial" w:eastAsia="Arial" w:hAnsi="Arial" w:cs="Arial"/>
          <w:b/>
          <w:bCs/>
        </w:rPr>
      </w:pPr>
      <w:r w:rsidRPr="6FF36883">
        <w:rPr>
          <w:rFonts w:ascii="Arial" w:eastAsia="Arial" w:hAnsi="Arial" w:cs="Arial"/>
          <w:b/>
          <w:bCs/>
        </w:rPr>
        <w:t>Conclusion</w:t>
      </w:r>
    </w:p>
    <w:p w14:paraId="788CEC05" w14:textId="77777777" w:rsidR="00E135FF" w:rsidRDefault="00E135FF" w:rsidP="73A1A190">
      <w:pPr>
        <w:spacing w:line="360" w:lineRule="auto"/>
        <w:jc w:val="both"/>
        <w:rPr>
          <w:rFonts w:ascii="Arial" w:eastAsia="Arial" w:hAnsi="Arial" w:cs="Arial"/>
        </w:rPr>
      </w:pPr>
    </w:p>
    <w:p w14:paraId="51476E3B" w14:textId="77777777" w:rsidR="00E135FF" w:rsidRDefault="579D88AD" w:rsidP="73A1A190">
      <w:pPr>
        <w:spacing w:line="360" w:lineRule="auto"/>
        <w:jc w:val="both"/>
        <w:rPr>
          <w:rFonts w:ascii="Arial" w:eastAsia="Arial" w:hAnsi="Arial" w:cs="Arial"/>
        </w:rPr>
      </w:pPr>
      <w:r w:rsidRPr="73A1A190">
        <w:rPr>
          <w:rFonts w:ascii="Arial" w:eastAsia="Arial" w:hAnsi="Arial" w:cs="Arial"/>
        </w:rPr>
        <w:t>Person-centred care, partnership working and ethical governance underpin quality health and social care in the United Kingdom. Although integration reforms aim to improve coordination and reduce fragmentation, structural change alone is insufficient. Relational trust, shared professional values and workforce capacity remain essential.</w:t>
      </w:r>
    </w:p>
    <w:p w14:paraId="3C5CB55C" w14:textId="77777777" w:rsidR="00E135FF" w:rsidRDefault="00E135FF" w:rsidP="73A1A190">
      <w:pPr>
        <w:spacing w:line="360" w:lineRule="auto"/>
        <w:jc w:val="both"/>
        <w:rPr>
          <w:rFonts w:ascii="Arial" w:eastAsia="Arial" w:hAnsi="Arial" w:cs="Arial"/>
        </w:rPr>
      </w:pPr>
    </w:p>
    <w:p w14:paraId="0E5152B3" w14:textId="4BA661CA" w:rsidR="00D32A39" w:rsidRDefault="579D88AD" w:rsidP="73A1A190">
      <w:pPr>
        <w:spacing w:line="360" w:lineRule="auto"/>
        <w:jc w:val="both"/>
        <w:rPr>
          <w:rFonts w:ascii="Arial" w:eastAsia="Arial" w:hAnsi="Arial" w:cs="Arial"/>
        </w:rPr>
      </w:pPr>
      <w:r w:rsidRPr="73A1A190">
        <w:rPr>
          <w:rFonts w:ascii="Arial" w:eastAsia="Arial" w:hAnsi="Arial" w:cs="Arial"/>
        </w:rPr>
        <w:t>Mrs C’s case illustrates how policy and theory translate into practice through teamwork that protects dignity and promotes shared decision-making. At the same time, it highlights ongoing systemic challenges. Sustainable improvement therefore depends on reflective practice, continuous professional development and a consistent commitment to person-centred values.</w:t>
      </w:r>
    </w:p>
    <w:p w14:paraId="3813844B" w14:textId="77777777" w:rsidR="00D3148C" w:rsidRDefault="00D3148C" w:rsidP="73A1A190">
      <w:pPr>
        <w:spacing w:line="360" w:lineRule="auto"/>
        <w:jc w:val="both"/>
        <w:rPr>
          <w:rFonts w:ascii="Arial" w:eastAsia="Arial" w:hAnsi="Arial" w:cs="Arial"/>
        </w:rPr>
      </w:pPr>
    </w:p>
    <w:p w14:paraId="067765E1" w14:textId="77777777" w:rsidR="00D3148C" w:rsidRDefault="6EDD5C15" w:rsidP="73A1A190">
      <w:pPr>
        <w:pStyle w:val="Heading1"/>
        <w:spacing w:line="360" w:lineRule="auto"/>
        <w:jc w:val="both"/>
        <w:rPr>
          <w:rFonts w:ascii="Arial" w:eastAsia="Arial" w:hAnsi="Arial" w:cs="Arial"/>
        </w:rPr>
      </w:pPr>
      <w:r w:rsidRPr="73A1A190">
        <w:rPr>
          <w:rFonts w:ascii="Arial" w:eastAsia="Arial" w:hAnsi="Arial" w:cs="Arial"/>
        </w:rPr>
        <w:t>Task 3: Self-Reflection as a Health Care Assistant Using Gibbs’ Reflective Cycle</w:t>
      </w:r>
    </w:p>
    <w:p w14:paraId="2D8C1DA4" w14:textId="77777777" w:rsidR="00D3148C" w:rsidRDefault="00D3148C" w:rsidP="73A1A190">
      <w:pPr>
        <w:spacing w:line="360" w:lineRule="auto"/>
        <w:jc w:val="both"/>
        <w:rPr>
          <w:rFonts w:ascii="Arial" w:eastAsia="Arial" w:hAnsi="Arial" w:cs="Arial"/>
        </w:rPr>
      </w:pPr>
    </w:p>
    <w:p w14:paraId="7359D931" w14:textId="77777777" w:rsidR="00D3148C" w:rsidRDefault="6EDD5C15" w:rsidP="1245267B">
      <w:pPr>
        <w:pStyle w:val="Subtitle"/>
        <w:spacing w:line="360" w:lineRule="auto"/>
        <w:jc w:val="both"/>
        <w:rPr>
          <w:rFonts w:ascii="Arial" w:eastAsia="Arial" w:hAnsi="Arial" w:cs="Arial"/>
          <w:b/>
          <w:bCs/>
        </w:rPr>
      </w:pPr>
      <w:r w:rsidRPr="1245267B">
        <w:rPr>
          <w:rFonts w:ascii="Arial" w:eastAsia="Arial" w:hAnsi="Arial" w:cs="Arial"/>
          <w:b/>
          <w:bCs/>
        </w:rPr>
        <w:t>Introduction to the Reflective Model</w:t>
      </w:r>
    </w:p>
    <w:p w14:paraId="43F3B487" w14:textId="1A712DF7" w:rsidR="00D3148C" w:rsidRDefault="6EDD5C15" w:rsidP="1245267B">
      <w:pPr>
        <w:spacing w:line="360" w:lineRule="auto"/>
        <w:jc w:val="both"/>
        <w:rPr>
          <w:rFonts w:ascii="Arial" w:eastAsia="Arial" w:hAnsi="Arial" w:cs="Arial"/>
          <w:sz w:val="22"/>
          <w:szCs w:val="22"/>
        </w:rPr>
      </w:pPr>
      <w:bookmarkStart w:id="0" w:name="_Int_EruCFzlh"/>
      <w:r w:rsidRPr="1245267B">
        <w:rPr>
          <w:rFonts w:ascii="Arial" w:eastAsia="Arial" w:hAnsi="Arial" w:cs="Arial"/>
          <w:sz w:val="22"/>
          <w:szCs w:val="22"/>
        </w:rPr>
        <w:t>Gibbs’ Reflective Cycle (1988) provides a structured six-stage framework for reflection: description, feelings, evaluation, analysis, conclusion and action plan.</w:t>
      </w:r>
      <w:bookmarkEnd w:id="0"/>
      <w:r w:rsidRPr="1245267B">
        <w:rPr>
          <w:rFonts w:ascii="Arial" w:eastAsia="Arial" w:hAnsi="Arial" w:cs="Arial"/>
          <w:sz w:val="22"/>
          <w:szCs w:val="22"/>
        </w:rPr>
        <w:t xml:space="preserve"> The model supports practitioners in examining experiences critically in order to strengthen professional practice and inform future development. Using Gibbs’ framework, this reflection explores how person-centred care, partnership working and ethical principles influence my role as a Health Care Assistant (HCA) and Health and Social Care student, and how they will support my progression along the radiography pathway.</w:t>
      </w:r>
    </w:p>
    <w:p w14:paraId="043FFEE2" w14:textId="755656F4" w:rsidR="73A1A190" w:rsidRDefault="73A1A190" w:rsidP="73A1A190">
      <w:pPr>
        <w:pStyle w:val="Subtitle"/>
        <w:spacing w:line="360" w:lineRule="auto"/>
        <w:jc w:val="both"/>
        <w:rPr>
          <w:rFonts w:ascii="Arial" w:eastAsia="Arial" w:hAnsi="Arial" w:cs="Arial"/>
        </w:rPr>
      </w:pPr>
    </w:p>
    <w:p w14:paraId="4FD02C67" w14:textId="39E11A8E" w:rsidR="00D3148C" w:rsidRDefault="6EDD5C15" w:rsidP="73A1A190">
      <w:pPr>
        <w:pStyle w:val="Subtitle"/>
        <w:spacing w:line="360" w:lineRule="auto"/>
        <w:jc w:val="both"/>
        <w:rPr>
          <w:rFonts w:ascii="Arial" w:eastAsia="Arial" w:hAnsi="Arial" w:cs="Arial"/>
          <w:b/>
          <w:bCs/>
        </w:rPr>
      </w:pPr>
      <w:r w:rsidRPr="6FF36883">
        <w:rPr>
          <w:rFonts w:ascii="Arial" w:eastAsia="Arial" w:hAnsi="Arial" w:cs="Arial"/>
          <w:b/>
          <w:bCs/>
        </w:rPr>
        <w:t>1. Description</w:t>
      </w:r>
    </w:p>
    <w:p w14:paraId="55C8AAA8" w14:textId="4D6FBCDB"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In my role as an HCA, I supported an older patient receiving end-of-life care. My responsibilities included assisting with personal care, ensuring comfort, documenting observations and reporting changes to the registered nurse. During this period, advance care planning and Do Not Attempt Cardiopulmonary Resuscitation (DNACPR) discussions were taking place within the multidisciplinary team.</w:t>
      </w:r>
    </w:p>
    <w:p w14:paraId="0E47D517" w14:textId="77777777" w:rsidR="00D3148C" w:rsidRDefault="00D3148C" w:rsidP="1245267B">
      <w:pPr>
        <w:spacing w:line="360" w:lineRule="auto"/>
        <w:jc w:val="both"/>
        <w:rPr>
          <w:rFonts w:ascii="Arial" w:eastAsia="Arial" w:hAnsi="Arial" w:cs="Arial"/>
          <w:sz w:val="22"/>
          <w:szCs w:val="22"/>
        </w:rPr>
      </w:pPr>
    </w:p>
    <w:p w14:paraId="74C67DFD"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 xml:space="preserve">Although I was not responsible for leading these decisions, I contributed by maintaining dignity, preserving </w:t>
      </w:r>
      <w:bookmarkStart w:id="1" w:name="_Int_sBqWrzbA"/>
      <w:r w:rsidRPr="1245267B">
        <w:rPr>
          <w:rFonts w:ascii="Arial" w:eastAsia="Arial" w:hAnsi="Arial" w:cs="Arial"/>
          <w:sz w:val="22"/>
          <w:szCs w:val="22"/>
        </w:rPr>
        <w:t>privacy</w:t>
      </w:r>
      <w:bookmarkEnd w:id="1"/>
      <w:r w:rsidRPr="1245267B">
        <w:rPr>
          <w:rFonts w:ascii="Arial" w:eastAsia="Arial" w:hAnsi="Arial" w:cs="Arial"/>
          <w:sz w:val="22"/>
          <w:szCs w:val="22"/>
        </w:rPr>
        <w:t xml:space="preserve"> and communicating concerns appropriately. This experience demonstrated how legislation such as the Mental Capacity Act 2005 and the Care Act 2014 underpin daily practice by safeguarding autonomy and promoting wellbeing.</w:t>
      </w:r>
    </w:p>
    <w:p w14:paraId="037F2794" w14:textId="51F3CC60" w:rsidR="73A1A190" w:rsidRDefault="73A1A190" w:rsidP="73A1A190">
      <w:pPr>
        <w:pStyle w:val="Subtitle"/>
        <w:spacing w:line="360" w:lineRule="auto"/>
        <w:jc w:val="both"/>
        <w:rPr>
          <w:rFonts w:ascii="Arial" w:eastAsia="Arial" w:hAnsi="Arial" w:cs="Arial"/>
        </w:rPr>
      </w:pPr>
    </w:p>
    <w:p w14:paraId="05A7AFED" w14:textId="7A120062" w:rsidR="00D3148C" w:rsidRDefault="6EDD5C15" w:rsidP="73A1A190">
      <w:pPr>
        <w:pStyle w:val="Subtitle"/>
        <w:spacing w:line="360" w:lineRule="auto"/>
        <w:jc w:val="both"/>
        <w:rPr>
          <w:rFonts w:ascii="Arial" w:eastAsia="Arial" w:hAnsi="Arial" w:cs="Arial"/>
          <w:b/>
          <w:bCs/>
        </w:rPr>
      </w:pPr>
      <w:r w:rsidRPr="6FF36883">
        <w:rPr>
          <w:rFonts w:ascii="Arial" w:eastAsia="Arial" w:hAnsi="Arial" w:cs="Arial"/>
          <w:b/>
          <w:bCs/>
        </w:rPr>
        <w:t>2. Feelings</w:t>
      </w:r>
    </w:p>
    <w:p w14:paraId="71280105" w14:textId="02951841"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I felt confident in delivering physical care but less confident during sensitive conversations about end-of-life decisions. I was aware of my professional boundaries and did not want to exceed my scope of practice. However, I felt a strong responsibility to ensure that care was delivered compassionately and respectfully.</w:t>
      </w:r>
    </w:p>
    <w:p w14:paraId="26BC1A53" w14:textId="77777777" w:rsidR="00D3148C" w:rsidRDefault="00D3148C" w:rsidP="1245267B">
      <w:pPr>
        <w:spacing w:line="360" w:lineRule="auto"/>
        <w:jc w:val="both"/>
        <w:rPr>
          <w:rFonts w:ascii="Arial" w:eastAsia="Arial" w:hAnsi="Arial" w:cs="Arial"/>
          <w:sz w:val="22"/>
          <w:szCs w:val="22"/>
        </w:rPr>
      </w:pPr>
    </w:p>
    <w:p w14:paraId="194A9F39"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As a student, I felt motivated to deepen my understanding of the ethical and legal principles guiding these decisions. I recognised that person-centred care is demonstrated not only in major clinical decisions but also through consistent respectful interaction.</w:t>
      </w:r>
    </w:p>
    <w:p w14:paraId="5ECB029B" w14:textId="77777777" w:rsidR="00D3148C" w:rsidRDefault="00D3148C" w:rsidP="73A1A190">
      <w:pPr>
        <w:spacing w:line="360" w:lineRule="auto"/>
        <w:jc w:val="both"/>
        <w:rPr>
          <w:rFonts w:ascii="Arial" w:eastAsia="Arial" w:hAnsi="Arial" w:cs="Arial"/>
        </w:rPr>
      </w:pPr>
    </w:p>
    <w:p w14:paraId="2D2FD74A" w14:textId="2D8CC072" w:rsidR="00D3148C" w:rsidRDefault="00D3148C" w:rsidP="73A1A190">
      <w:pPr>
        <w:spacing w:line="360" w:lineRule="auto"/>
        <w:jc w:val="both"/>
        <w:rPr>
          <w:rFonts w:ascii="Arial" w:eastAsia="Arial" w:hAnsi="Arial" w:cs="Arial"/>
        </w:rPr>
      </w:pPr>
    </w:p>
    <w:p w14:paraId="1F6309B3" w14:textId="77777777" w:rsidR="00D3148C" w:rsidRDefault="00D3148C" w:rsidP="73A1A190">
      <w:pPr>
        <w:spacing w:line="360" w:lineRule="auto"/>
        <w:jc w:val="both"/>
        <w:rPr>
          <w:rFonts w:ascii="Arial" w:eastAsia="Arial" w:hAnsi="Arial" w:cs="Arial"/>
        </w:rPr>
      </w:pPr>
    </w:p>
    <w:p w14:paraId="69BCD35F" w14:textId="78BF7418" w:rsidR="1245267B" w:rsidRDefault="1245267B" w:rsidP="1245267B">
      <w:pPr>
        <w:pStyle w:val="Subtitle"/>
        <w:spacing w:line="360" w:lineRule="auto"/>
        <w:jc w:val="both"/>
        <w:rPr>
          <w:rFonts w:ascii="Arial" w:eastAsia="Arial" w:hAnsi="Arial" w:cs="Arial"/>
          <w:b/>
          <w:bCs/>
        </w:rPr>
      </w:pPr>
    </w:p>
    <w:p w14:paraId="3577ED5F" w14:textId="77777777" w:rsidR="00D3148C" w:rsidRDefault="6EDD5C15" w:rsidP="73A1A190">
      <w:pPr>
        <w:pStyle w:val="Subtitle"/>
        <w:spacing w:line="360" w:lineRule="auto"/>
        <w:jc w:val="both"/>
        <w:rPr>
          <w:rFonts w:ascii="Arial" w:eastAsia="Arial" w:hAnsi="Arial" w:cs="Arial"/>
          <w:b/>
          <w:bCs/>
        </w:rPr>
      </w:pPr>
      <w:r w:rsidRPr="6FF36883">
        <w:rPr>
          <w:rFonts w:ascii="Arial" w:eastAsia="Arial" w:hAnsi="Arial" w:cs="Arial"/>
          <w:b/>
          <w:bCs/>
        </w:rPr>
        <w:t>3. Evaluation</w:t>
      </w:r>
    </w:p>
    <w:p w14:paraId="54DA2B14" w14:textId="77777777" w:rsidR="00D3148C" w:rsidRDefault="00D3148C" w:rsidP="73A1A190">
      <w:pPr>
        <w:spacing w:line="360" w:lineRule="auto"/>
        <w:jc w:val="both"/>
        <w:rPr>
          <w:rFonts w:ascii="Arial" w:eastAsia="Arial" w:hAnsi="Arial" w:cs="Arial"/>
        </w:rPr>
      </w:pPr>
    </w:p>
    <w:p w14:paraId="50B388BD"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There were clear strengths in my practice. I ensured that the patient’s dignity was maintained and that concerns were escalated promptly, demonstrating effective partnership working and professional accountability. These actions reflected the values of the 6Cs: care, compassion, competence, communication, courage and commitment.</w:t>
      </w:r>
    </w:p>
    <w:p w14:paraId="129198C6" w14:textId="77777777" w:rsidR="00D3148C" w:rsidRDefault="00D3148C" w:rsidP="1245267B">
      <w:pPr>
        <w:spacing w:line="360" w:lineRule="auto"/>
        <w:jc w:val="both"/>
        <w:rPr>
          <w:rFonts w:ascii="Arial" w:eastAsia="Arial" w:hAnsi="Arial" w:cs="Arial"/>
          <w:sz w:val="22"/>
          <w:szCs w:val="22"/>
        </w:rPr>
      </w:pPr>
    </w:p>
    <w:p w14:paraId="769E9CCC"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However, I identified areas for development. My focus on completing tasks efficiently sometimes limited opportunities for deeper engagement. While efficiency is necessary in pressured environments, person-centred care requires meaningful communication. I also recognised that I could improve my confidence in contributing observations during multidisciplinary discussions.</w:t>
      </w:r>
    </w:p>
    <w:p w14:paraId="47BBC417" w14:textId="35F743A2" w:rsidR="00D3148C" w:rsidRDefault="00D3148C" w:rsidP="73A1A190">
      <w:pPr>
        <w:pStyle w:val="Subtitle"/>
        <w:spacing w:line="360" w:lineRule="auto"/>
        <w:jc w:val="both"/>
        <w:rPr>
          <w:rFonts w:ascii="Arial" w:eastAsia="Arial" w:hAnsi="Arial" w:cs="Arial"/>
        </w:rPr>
      </w:pPr>
    </w:p>
    <w:p w14:paraId="04F5552D" w14:textId="6BA3AFB9" w:rsidR="00D3148C" w:rsidRDefault="6EDD5C15" w:rsidP="73A1A190">
      <w:pPr>
        <w:pStyle w:val="Subtitle"/>
        <w:spacing w:line="360" w:lineRule="auto"/>
        <w:jc w:val="both"/>
        <w:rPr>
          <w:rFonts w:ascii="Arial" w:eastAsia="Arial" w:hAnsi="Arial" w:cs="Arial"/>
          <w:b/>
          <w:bCs/>
        </w:rPr>
      </w:pPr>
      <w:r w:rsidRPr="6FF36883">
        <w:rPr>
          <w:rFonts w:ascii="Arial" w:eastAsia="Arial" w:hAnsi="Arial" w:cs="Arial"/>
          <w:b/>
          <w:bCs/>
        </w:rPr>
        <w:t>4. Analysis</w:t>
      </w:r>
    </w:p>
    <w:p w14:paraId="43325C86" w14:textId="723F6330"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 xml:space="preserve">Moving beyond evaluation, this experience highlights deeper implications for my professional identity and ethical accountability within health and social care practice. Person-centred care involves organising care around individual needs rather than routine processes (Leutz, 2005). I </w:t>
      </w:r>
      <w:bookmarkStart w:id="2" w:name="_Int_XwdfZs33"/>
      <w:r w:rsidRPr="1245267B">
        <w:rPr>
          <w:rFonts w:ascii="Arial" w:eastAsia="Arial" w:hAnsi="Arial" w:cs="Arial"/>
          <w:sz w:val="22"/>
          <w:szCs w:val="22"/>
        </w:rPr>
        <w:t>observed</w:t>
      </w:r>
      <w:bookmarkEnd w:id="2"/>
      <w:r w:rsidRPr="1245267B">
        <w:rPr>
          <w:rFonts w:ascii="Arial" w:eastAsia="Arial" w:hAnsi="Arial" w:cs="Arial"/>
          <w:sz w:val="22"/>
          <w:szCs w:val="22"/>
        </w:rPr>
        <w:t xml:space="preserve"> that when the patient felt listened to and respected, anxiety reduced and trust increased. Maslow’s Hierarchy of Needs reinforces this, as safety and belonging are fundamental to wellbeing (Sealey, 2015).</w:t>
      </w:r>
    </w:p>
    <w:p w14:paraId="7E145366" w14:textId="77777777" w:rsidR="00D3148C" w:rsidRDefault="00D3148C" w:rsidP="1245267B">
      <w:pPr>
        <w:spacing w:line="360" w:lineRule="auto"/>
        <w:jc w:val="both"/>
        <w:rPr>
          <w:rFonts w:ascii="Arial" w:eastAsia="Arial" w:hAnsi="Arial" w:cs="Arial"/>
          <w:sz w:val="22"/>
          <w:szCs w:val="22"/>
        </w:rPr>
      </w:pPr>
    </w:p>
    <w:p w14:paraId="6CD05E46"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Ethical principles of autonomy and beneficence were central to this situation. The Mental Capacity Act 2005 protects individuals’ rights to make decisions where capacity exists. Beneficence requires acting in the patient’s best interests (Spicker, 2014). In practice, this meant recognising when to escalate concerns appropriately while respecting expressed wishes. The Care Act 2014 reinforces the duty to promote wellbeing, including emotional and social needs.</w:t>
      </w:r>
    </w:p>
    <w:p w14:paraId="10BD84C4" w14:textId="77777777" w:rsidR="00D3148C" w:rsidRDefault="00D3148C" w:rsidP="1245267B">
      <w:pPr>
        <w:spacing w:line="360" w:lineRule="auto"/>
        <w:jc w:val="both"/>
        <w:rPr>
          <w:rFonts w:ascii="Arial" w:eastAsia="Arial" w:hAnsi="Arial" w:cs="Arial"/>
          <w:sz w:val="22"/>
          <w:szCs w:val="22"/>
        </w:rPr>
      </w:pPr>
    </w:p>
    <w:p w14:paraId="519B04E1"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As I progress along the radiography pathway, adherence to the standards set by the Health and Care Professions Council (HCPC) will be central to my professional development. The HCPC is the regulatory body responsible for setting standards of conduct, performance and ethics for registered health professionals, including radiographers. Its primary role is to protect the public by ensuring that practitioners practise safely, competently and within their scope of practice (HCPC, 2023). Reflecting on this experience reinforces the importance of accountability, accurate documentation, effective communication and ongoing continuing professional development, all of which are core HCPC expectations.</w:t>
      </w:r>
    </w:p>
    <w:p w14:paraId="431715FD" w14:textId="77777777" w:rsidR="00D3148C" w:rsidRDefault="00D3148C" w:rsidP="1245267B">
      <w:pPr>
        <w:spacing w:line="360" w:lineRule="auto"/>
        <w:jc w:val="both"/>
        <w:rPr>
          <w:rFonts w:ascii="Arial" w:eastAsia="Arial" w:hAnsi="Arial" w:cs="Arial"/>
          <w:sz w:val="22"/>
          <w:szCs w:val="22"/>
        </w:rPr>
      </w:pPr>
    </w:p>
    <w:p w14:paraId="67B3541D"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Partnership working ensured continuity of care. Collaboration between nurses, social workers and community teams reflected integration principles supported by the Health and Care Act 2022. However, workforce pressures sometimes limited relational aspects of care, demonstrating the tension between policy expectations and practical constraints (Longley et al., 2012). Applying Gibbs’ model has helped me recognise that ethical and person-centred practice must be consistently demonstrated through everyday professional conduct.</w:t>
      </w:r>
    </w:p>
    <w:p w14:paraId="3518E989" w14:textId="04644D1D" w:rsidR="73A1A190" w:rsidRDefault="73A1A190" w:rsidP="73A1A190">
      <w:pPr>
        <w:pStyle w:val="Subtitle"/>
        <w:spacing w:line="360" w:lineRule="auto"/>
        <w:jc w:val="both"/>
        <w:rPr>
          <w:rFonts w:ascii="Arial" w:eastAsia="Arial" w:hAnsi="Arial" w:cs="Arial"/>
        </w:rPr>
      </w:pPr>
    </w:p>
    <w:p w14:paraId="2FD80B88" w14:textId="18D13DFC" w:rsidR="00D3148C" w:rsidRDefault="6EDD5C15" w:rsidP="73A1A190">
      <w:pPr>
        <w:pStyle w:val="Subtitle"/>
        <w:spacing w:line="360" w:lineRule="auto"/>
        <w:jc w:val="both"/>
        <w:rPr>
          <w:rFonts w:ascii="Arial" w:eastAsia="Arial" w:hAnsi="Arial" w:cs="Arial"/>
          <w:b/>
          <w:bCs/>
        </w:rPr>
      </w:pPr>
      <w:r w:rsidRPr="6FF36883">
        <w:rPr>
          <w:rFonts w:ascii="Arial" w:eastAsia="Arial" w:hAnsi="Arial" w:cs="Arial"/>
          <w:b/>
          <w:bCs/>
        </w:rPr>
        <w:t>5. Conclusion</w:t>
      </w:r>
    </w:p>
    <w:p w14:paraId="29F53CB5" w14:textId="50DF442D"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 xml:space="preserve">This reflection has strengthened my understanding of how I contribute to person-centred and ethical care within my scope as an HCA. My strengths include empathy, emotional intelligence, </w:t>
      </w:r>
      <w:r w:rsidR="531756D0" w:rsidRPr="1245267B">
        <w:rPr>
          <w:rFonts w:ascii="Arial" w:eastAsia="Arial" w:hAnsi="Arial" w:cs="Arial"/>
          <w:sz w:val="22"/>
          <w:szCs w:val="22"/>
        </w:rPr>
        <w:t>reliability,</w:t>
      </w:r>
      <w:r w:rsidRPr="1245267B">
        <w:rPr>
          <w:rFonts w:ascii="Arial" w:eastAsia="Arial" w:hAnsi="Arial" w:cs="Arial"/>
          <w:sz w:val="22"/>
          <w:szCs w:val="22"/>
        </w:rPr>
        <w:t xml:space="preserve"> and accurate documentation. I consistently aim to preserve dignity and communicate respectfully.</w:t>
      </w:r>
    </w:p>
    <w:p w14:paraId="4026BC3A" w14:textId="77777777" w:rsidR="00D3148C" w:rsidRDefault="00D3148C" w:rsidP="1245267B">
      <w:pPr>
        <w:spacing w:line="360" w:lineRule="auto"/>
        <w:jc w:val="both"/>
        <w:rPr>
          <w:rFonts w:ascii="Arial" w:eastAsia="Arial" w:hAnsi="Arial" w:cs="Arial"/>
          <w:sz w:val="22"/>
          <w:szCs w:val="22"/>
        </w:rPr>
      </w:pPr>
    </w:p>
    <w:p w14:paraId="290FDA0F"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However, I must improve my communication confidence, particularly in sensitive discussions and multidisciplinary settings. I also aim to deepen my legal and ethical knowledge as I progress along my chosen radiography pathway. In radiography practice, effective communication is essential when preparing patients for imaging procedures, explaining processes clearly and supporting informed consent. Strong partnership working is equally important when collaborating with radiographers, nurses and wider multidisciplinary teams.</w:t>
      </w:r>
    </w:p>
    <w:p w14:paraId="602D34E2" w14:textId="77777777" w:rsidR="00D3148C" w:rsidRDefault="00D3148C" w:rsidP="73A1A190">
      <w:pPr>
        <w:spacing w:line="360" w:lineRule="auto"/>
        <w:jc w:val="both"/>
        <w:rPr>
          <w:rFonts w:ascii="Arial" w:eastAsia="Arial" w:hAnsi="Arial" w:cs="Arial"/>
        </w:rPr>
      </w:pPr>
    </w:p>
    <w:p w14:paraId="2D023422" w14:textId="4FAC217F" w:rsidR="1245267B" w:rsidRDefault="1245267B" w:rsidP="1245267B">
      <w:pPr>
        <w:pStyle w:val="Subtitle"/>
        <w:spacing w:line="360" w:lineRule="auto"/>
        <w:jc w:val="both"/>
        <w:rPr>
          <w:rFonts w:ascii="Arial" w:eastAsia="Arial" w:hAnsi="Arial" w:cs="Arial"/>
          <w:b/>
          <w:bCs/>
        </w:rPr>
      </w:pPr>
    </w:p>
    <w:p w14:paraId="7303BCF6" w14:textId="5E1F06A5" w:rsidR="1245267B" w:rsidRDefault="1245267B" w:rsidP="1245267B">
      <w:pPr>
        <w:pStyle w:val="Subtitle"/>
        <w:spacing w:line="360" w:lineRule="auto"/>
        <w:jc w:val="both"/>
        <w:rPr>
          <w:rFonts w:ascii="Arial" w:eastAsia="Arial" w:hAnsi="Arial" w:cs="Arial"/>
          <w:b/>
          <w:bCs/>
        </w:rPr>
      </w:pPr>
    </w:p>
    <w:p w14:paraId="5497718E" w14:textId="69AB6453" w:rsidR="1245267B" w:rsidRDefault="1245267B" w:rsidP="1245267B">
      <w:pPr>
        <w:pStyle w:val="Subtitle"/>
        <w:spacing w:line="360" w:lineRule="auto"/>
        <w:jc w:val="both"/>
        <w:rPr>
          <w:rFonts w:ascii="Arial" w:eastAsia="Arial" w:hAnsi="Arial" w:cs="Arial"/>
          <w:b/>
          <w:bCs/>
        </w:rPr>
      </w:pPr>
    </w:p>
    <w:p w14:paraId="45BDD76B" w14:textId="26123141" w:rsidR="00D3148C" w:rsidRDefault="6EDD5C15" w:rsidP="73A1A190">
      <w:pPr>
        <w:pStyle w:val="Subtitle"/>
        <w:spacing w:line="360" w:lineRule="auto"/>
        <w:jc w:val="both"/>
        <w:rPr>
          <w:rFonts w:ascii="Arial" w:eastAsia="Arial" w:hAnsi="Arial" w:cs="Arial"/>
        </w:rPr>
      </w:pPr>
      <w:r w:rsidRPr="6FF36883">
        <w:rPr>
          <w:rFonts w:ascii="Arial" w:eastAsia="Arial" w:hAnsi="Arial" w:cs="Arial"/>
          <w:b/>
          <w:bCs/>
        </w:rPr>
        <w:t>6. Action Plan</w:t>
      </w:r>
      <w:r w:rsidRPr="73A1A190">
        <w:rPr>
          <w:rFonts w:ascii="Arial" w:eastAsia="Arial" w:hAnsi="Arial" w:cs="Arial"/>
        </w:rPr>
        <w:t xml:space="preserve"> (March 2026 – August 2026)</w:t>
      </w:r>
    </w:p>
    <w:p w14:paraId="1170DB7D" w14:textId="271C102A"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To support my development alongside completing my course in August 2026, I have established a structured six-month plan:</w:t>
      </w:r>
    </w:p>
    <w:p w14:paraId="31A1144A" w14:textId="3CFE23D2"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•Enrol in a healthcare communication course via CPD Online College by 30 March 2026 and complete by 30 May 2026.</w:t>
      </w:r>
    </w:p>
    <w:p w14:paraId="0B943879" w14:textId="04B924D4"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•Complete an additional communication or teamwork module via Open University OpenLearn by June 2026.</w:t>
      </w:r>
    </w:p>
    <w:p w14:paraId="50472869" w14:textId="139584EF"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•Enrol in a teamwork or conflict resolution course via CPD Online College by 15 April 2026 and complete by 15 June 2026.</w:t>
      </w:r>
    </w:p>
    <w:p w14:paraId="54E635A9" w14:textId="1D8228E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•Complete a safeguarding or Mental Capacity Act refresher course via CPD Online College by 31 July 2026.</w:t>
      </w:r>
    </w:p>
    <w:p w14:paraId="1EA5755B" w14:textId="4AF55CB0"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•Maintain one reflective journal entry per month using Gibbs’ model until August 2026.</w:t>
      </w:r>
    </w:p>
    <w:p w14:paraId="4C93D92F" w14:textId="05F287C4"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•Seek structured feedback from a registered nurse or supervisor by July 2026.</w:t>
      </w:r>
    </w:p>
    <w:p w14:paraId="5EFFB198" w14:textId="77777777" w:rsidR="00D3148C" w:rsidRDefault="00D3148C" w:rsidP="1245267B">
      <w:pPr>
        <w:spacing w:line="360" w:lineRule="auto"/>
        <w:jc w:val="both"/>
        <w:rPr>
          <w:rFonts w:ascii="Arial" w:eastAsia="Arial" w:hAnsi="Arial" w:cs="Arial"/>
          <w:sz w:val="22"/>
          <w:szCs w:val="22"/>
        </w:rPr>
      </w:pPr>
    </w:p>
    <w:p w14:paraId="124D060A" w14:textId="77777777" w:rsidR="00D3148C" w:rsidRDefault="6EDD5C15" w:rsidP="1245267B">
      <w:pPr>
        <w:spacing w:line="360" w:lineRule="auto"/>
        <w:jc w:val="both"/>
        <w:rPr>
          <w:rFonts w:ascii="Arial" w:eastAsia="Arial" w:hAnsi="Arial" w:cs="Arial"/>
          <w:sz w:val="22"/>
          <w:szCs w:val="22"/>
        </w:rPr>
      </w:pPr>
      <w:r w:rsidRPr="1245267B">
        <w:rPr>
          <w:rFonts w:ascii="Arial" w:eastAsia="Arial" w:hAnsi="Arial" w:cs="Arial"/>
          <w:sz w:val="22"/>
          <w:szCs w:val="22"/>
        </w:rPr>
        <w:t>By August 2026, I aim to demonstrate improved communication, stronger partnership working skills and enhanced ethical understanding. These developments will strengthen my readiness for progression within the radiography pathway and support high-quality, person-centred care.</w:t>
      </w:r>
    </w:p>
    <w:p w14:paraId="72A7D529" w14:textId="77777777" w:rsidR="00D3148C" w:rsidRDefault="00D3148C" w:rsidP="73A1A190">
      <w:pPr>
        <w:spacing w:line="360" w:lineRule="auto"/>
        <w:jc w:val="both"/>
        <w:rPr>
          <w:rFonts w:ascii="Arial" w:eastAsia="Arial" w:hAnsi="Arial" w:cs="Arial"/>
        </w:rPr>
      </w:pPr>
    </w:p>
    <w:p w14:paraId="2DA734D1" w14:textId="77777777" w:rsidR="006C727C" w:rsidRPr="006C727C" w:rsidRDefault="5A629FEA" w:rsidP="73A1A190">
      <w:pPr>
        <w:spacing w:after="0" w:line="360" w:lineRule="auto"/>
        <w:jc w:val="both"/>
        <w:rPr>
          <w:rFonts w:ascii="Arial" w:eastAsia="Arial" w:hAnsi="Arial" w:cs="Arial"/>
          <w:kern w:val="0"/>
          <w14:ligatures w14:val="none"/>
        </w:rPr>
      </w:pPr>
      <w:r>
        <w:rPr>
          <w:noProof/>
        </w:rPr>
        <mc:AlternateContent>
          <mc:Choice Requires="wps">
            <w:drawing>
              <wp:inline distT="0" distB="0" distL="0" distR="0" wp14:anchorId="73D57825" wp14:editId="7FF59EF1">
                <wp:extent cx="5731510" cy="1270"/>
                <wp:effectExtent l="0" t="31750" r="0" b="36830"/>
                <wp:docPr id="699247811" name="Rectangle 1">
                  <a:extLst xmlns:a="http://schemas.openxmlformats.org/drawingml/2006/main">
                    <a:ext uri="{FF2B5EF4-FFF2-40B4-BE49-F238E27FC236}">
                      <a16:creationId xmlns:a16="http://schemas.microsoft.com/office/drawing/2014/main" id="{71594415-AA04-44B9-A05B-D85DA35A783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arto="http://schemas.microsoft.com/office/word/2006/arto"/>
        </mc:AlternateContent>
      </w:r>
    </w:p>
    <w:p w14:paraId="5EC709EC" w14:textId="2948B0E6" w:rsidR="1245267B" w:rsidRDefault="1245267B" w:rsidP="1245267B">
      <w:pPr>
        <w:spacing w:beforeAutospacing="1" w:afterAutospacing="1" w:line="360" w:lineRule="auto"/>
        <w:jc w:val="both"/>
        <w:outlineLvl w:val="0"/>
        <w:rPr>
          <w:rFonts w:ascii="Arial" w:eastAsia="Arial" w:hAnsi="Arial" w:cs="Arial"/>
          <w:b/>
          <w:bCs/>
        </w:rPr>
      </w:pPr>
    </w:p>
    <w:p w14:paraId="57F80C2E" w14:textId="19083617" w:rsidR="1245267B" w:rsidRDefault="1245267B" w:rsidP="1245267B">
      <w:pPr>
        <w:spacing w:beforeAutospacing="1" w:afterAutospacing="1" w:line="360" w:lineRule="auto"/>
        <w:jc w:val="both"/>
        <w:outlineLvl w:val="0"/>
        <w:rPr>
          <w:rFonts w:ascii="Arial" w:eastAsia="Arial" w:hAnsi="Arial" w:cs="Arial"/>
          <w:b/>
          <w:bCs/>
        </w:rPr>
      </w:pPr>
    </w:p>
    <w:p w14:paraId="5174C3B1" w14:textId="355AE8DB" w:rsidR="1245267B" w:rsidRDefault="1245267B" w:rsidP="1245267B">
      <w:pPr>
        <w:spacing w:beforeAutospacing="1" w:afterAutospacing="1" w:line="360" w:lineRule="auto"/>
        <w:jc w:val="both"/>
        <w:outlineLvl w:val="0"/>
        <w:rPr>
          <w:rFonts w:ascii="Arial" w:eastAsia="Arial" w:hAnsi="Arial" w:cs="Arial"/>
          <w:b/>
          <w:bCs/>
        </w:rPr>
      </w:pPr>
    </w:p>
    <w:p w14:paraId="1EACC679" w14:textId="1251DF7D" w:rsidR="1245267B" w:rsidRDefault="1245267B" w:rsidP="1245267B">
      <w:pPr>
        <w:spacing w:beforeAutospacing="1" w:afterAutospacing="1" w:line="360" w:lineRule="auto"/>
        <w:jc w:val="both"/>
        <w:outlineLvl w:val="0"/>
        <w:rPr>
          <w:rFonts w:ascii="Arial" w:eastAsia="Arial" w:hAnsi="Arial" w:cs="Arial"/>
          <w:b/>
          <w:bCs/>
        </w:rPr>
      </w:pPr>
    </w:p>
    <w:p w14:paraId="07AA6B91" w14:textId="1BF552AB" w:rsidR="1245267B" w:rsidRDefault="1245267B" w:rsidP="1245267B">
      <w:pPr>
        <w:spacing w:beforeAutospacing="1" w:afterAutospacing="1" w:line="360" w:lineRule="auto"/>
        <w:jc w:val="both"/>
        <w:outlineLvl w:val="0"/>
        <w:rPr>
          <w:rFonts w:ascii="Arial" w:eastAsia="Arial" w:hAnsi="Arial" w:cs="Arial"/>
          <w:b/>
          <w:bCs/>
        </w:rPr>
      </w:pPr>
    </w:p>
    <w:p w14:paraId="3E4C5ED3" w14:textId="36CFA7E1" w:rsidR="1245267B" w:rsidRDefault="1245267B" w:rsidP="1245267B">
      <w:pPr>
        <w:spacing w:beforeAutospacing="1" w:afterAutospacing="1" w:line="360" w:lineRule="auto"/>
        <w:jc w:val="both"/>
        <w:outlineLvl w:val="0"/>
        <w:rPr>
          <w:rFonts w:ascii="Arial" w:eastAsia="Arial" w:hAnsi="Arial" w:cs="Arial"/>
          <w:b/>
          <w:bCs/>
        </w:rPr>
      </w:pPr>
    </w:p>
    <w:p w14:paraId="6ECB2641" w14:textId="08E0A03F" w:rsidR="1245267B" w:rsidRDefault="1245267B" w:rsidP="1245267B">
      <w:pPr>
        <w:spacing w:beforeAutospacing="1" w:afterAutospacing="1" w:line="360" w:lineRule="auto"/>
        <w:jc w:val="both"/>
        <w:outlineLvl w:val="0"/>
        <w:rPr>
          <w:rFonts w:ascii="Arial" w:eastAsia="Arial" w:hAnsi="Arial" w:cs="Arial"/>
          <w:b/>
          <w:bCs/>
        </w:rPr>
      </w:pPr>
    </w:p>
    <w:p w14:paraId="4410A4A3" w14:textId="04E55DD2" w:rsidR="1245267B" w:rsidRDefault="1245267B" w:rsidP="1245267B">
      <w:pPr>
        <w:spacing w:beforeAutospacing="1" w:afterAutospacing="1" w:line="360" w:lineRule="auto"/>
        <w:jc w:val="both"/>
        <w:outlineLvl w:val="0"/>
        <w:rPr>
          <w:rFonts w:ascii="Arial" w:eastAsia="Arial" w:hAnsi="Arial" w:cs="Arial"/>
          <w:b/>
          <w:bCs/>
        </w:rPr>
      </w:pPr>
    </w:p>
    <w:p w14:paraId="5DB159FF" w14:textId="334DADFF" w:rsidR="1245267B" w:rsidRDefault="1245267B" w:rsidP="1245267B">
      <w:pPr>
        <w:spacing w:beforeAutospacing="1" w:afterAutospacing="1" w:line="360" w:lineRule="auto"/>
        <w:jc w:val="both"/>
        <w:outlineLvl w:val="0"/>
        <w:rPr>
          <w:rFonts w:ascii="Arial" w:eastAsia="Arial" w:hAnsi="Arial" w:cs="Arial"/>
          <w:b/>
          <w:bCs/>
        </w:rPr>
      </w:pPr>
    </w:p>
    <w:p w14:paraId="02A1F8C4" w14:textId="1499A86C" w:rsidR="006C727C" w:rsidRPr="006C727C" w:rsidRDefault="5A629FEA" w:rsidP="1245267B">
      <w:pPr>
        <w:spacing w:before="100" w:beforeAutospacing="1" w:after="100" w:afterAutospacing="1" w:line="360" w:lineRule="auto"/>
        <w:jc w:val="both"/>
        <w:outlineLvl w:val="0"/>
        <w:rPr>
          <w:rFonts w:ascii="Arial" w:eastAsia="Arial" w:hAnsi="Arial" w:cs="Arial"/>
          <w:b/>
          <w:bCs/>
          <w:kern w:val="36"/>
          <w:sz w:val="32"/>
          <w:szCs w:val="32"/>
          <w14:ligatures w14:val="none"/>
        </w:rPr>
      </w:pPr>
      <w:r w:rsidRPr="1245267B">
        <w:rPr>
          <w:rFonts w:ascii="Arial" w:eastAsia="Arial" w:hAnsi="Arial" w:cs="Arial"/>
          <w:b/>
          <w:bCs/>
          <w:kern w:val="36"/>
          <w:sz w:val="32"/>
          <w:szCs w:val="32"/>
          <w14:ligatures w14:val="none"/>
        </w:rPr>
        <w:t>Reference List</w:t>
      </w:r>
    </w:p>
    <w:p w14:paraId="1AD12B95"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63348325" w14:textId="5985883B" w:rsidR="008D5165" w:rsidRDefault="008D5165" w:rsidP="1245267B">
      <w:pPr>
        <w:pStyle w:val="p1"/>
        <w:rPr>
          <w:rStyle w:val="s2"/>
          <w:rFonts w:ascii="Arial" w:eastAsia="Arial" w:hAnsi="Arial" w:cs="Arial"/>
        </w:rPr>
      </w:pPr>
      <w:r w:rsidRPr="1245267B">
        <w:rPr>
          <w:rStyle w:val="s1"/>
          <w:rFonts w:ascii="Arial" w:eastAsia="Arial" w:hAnsi="Arial" w:cs="Arial"/>
        </w:rPr>
        <w:t>Care Act 2014.</w:t>
      </w:r>
      <w:r w:rsidRPr="1245267B">
        <w:rPr>
          <w:rStyle w:val="s2"/>
          <w:rFonts w:ascii="Arial" w:eastAsia="Arial" w:hAnsi="Arial" w:cs="Arial"/>
        </w:rPr>
        <w:t xml:space="preserve"> (2014) Available at:  </w:t>
      </w:r>
      <w:hyperlink r:id="rId5">
        <w:r w:rsidR="00D41990" w:rsidRPr="1245267B">
          <w:rPr>
            <w:rStyle w:val="Hyperlink"/>
            <w:rFonts w:ascii="Arial" w:eastAsia="Arial" w:hAnsi="Arial" w:cs="Arial"/>
          </w:rPr>
          <w:t>https://www.scie.org.uk/care-act-2014</w:t>
        </w:r>
      </w:hyperlink>
      <w:r w:rsidR="00D41990" w:rsidRPr="1245267B">
        <w:rPr>
          <w:rStyle w:val="s2"/>
          <w:rFonts w:ascii="Arial" w:eastAsia="Arial" w:hAnsi="Arial" w:cs="Arial"/>
        </w:rPr>
        <w:t xml:space="preserve"> (</w:t>
      </w:r>
      <w:r w:rsidRPr="1245267B">
        <w:rPr>
          <w:rStyle w:val="s2"/>
          <w:rFonts w:ascii="Arial" w:eastAsia="Arial" w:hAnsi="Arial" w:cs="Arial"/>
        </w:rPr>
        <w:t>Accessed: 2</w:t>
      </w:r>
      <w:r w:rsidR="00D41990" w:rsidRPr="1245267B">
        <w:rPr>
          <w:rStyle w:val="s2"/>
          <w:rFonts w:ascii="Arial" w:eastAsia="Arial" w:hAnsi="Arial" w:cs="Arial"/>
        </w:rPr>
        <w:t>5</w:t>
      </w:r>
      <w:r w:rsidRPr="1245267B">
        <w:rPr>
          <w:rStyle w:val="s2"/>
          <w:rFonts w:ascii="Arial" w:eastAsia="Arial" w:hAnsi="Arial" w:cs="Arial"/>
        </w:rPr>
        <w:t>February 2026)</w:t>
      </w:r>
    </w:p>
    <w:p w14:paraId="39B0932F"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460B3BBB" w14:textId="7BEC40DD" w:rsidR="006C727C" w:rsidRDefault="5A629FEA" w:rsidP="1245267B">
      <w:pPr>
        <w:spacing w:before="100" w:beforeAutospacing="1" w:after="100" w:afterAutospacing="1" w:line="240" w:lineRule="auto"/>
        <w:rPr>
          <w:rFonts w:ascii="Arial" w:eastAsia="Arial" w:hAnsi="Arial" w:cs="Arial"/>
          <w:kern w:val="0"/>
          <w14:ligatures w14:val="none"/>
        </w:rPr>
      </w:pPr>
      <w:r w:rsidRPr="1245267B">
        <w:rPr>
          <w:rFonts w:ascii="Arial" w:eastAsia="Arial" w:hAnsi="Arial" w:cs="Arial"/>
          <w:kern w:val="0"/>
          <w14:ligatures w14:val="none"/>
        </w:rPr>
        <w:t>Curnow, E., Doherty, P., Ellis, J., Foy, R., Griffiths, F. and Harker, M. (2021)</w:t>
      </w:r>
      <w:sdt>
        <w:sdtPr>
          <w:rPr>
            <w:rFonts w:ascii="Arial" w:eastAsia="Arial" w:hAnsi="Arial" w:cs="Arial"/>
            <w:color w:val="000000" w:themeColor="text1"/>
          </w:rPr>
          <w:alias w:val="Citation"/>
          <w:tag w:val="{&quot;referencesIds&quot;:[&quot;doc:69a5847753d1710edc199815&quot;,&quot;doc:69a5845e6c23824ee930a581&quot;,&quot;doc:69a5845e0b7c5e250b89afca&quot;],&quot;referencesOptions&quot;:{&quot;doc:69a5847753d1710edc199815&quot;:{&quot;author&quot;:true,&quot;year&quot;:true,&quot;formatAuthorYear&quot;:false,&quot;pageReplace&quot;:&quot;&quot;,&quot;additionalField&quot;:&quot;&quot;,&quot;additionalValue&quot;:&quot;&quot;,&quot;prefix&quot;:&quot;&quot;,&quot;suffix&quot;:&quot;&quot;},&quot;doc:69a5845e6c23824ee930a581&quot;:{&quot;author&quot;:true,&quot;year&quot;:true,&quot;formatAuthorYear&quot;:false,&quot;pageReplace&quot;:&quot;&quot;,&quot;additionalField&quot;:&quot;&quot;,&quot;additionalValue&quot;:&quot;&quot;,&quot;prefix&quot;:&quot;&quot;,&quot;suffix&quot;:&quot;&quot;},&quot;doc:69a5845e0b7c5e250b89af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8967681"/>
          <w:placeholder>
            <w:docPart w:val="911B54D8989F944B831FCEBF8DA6E917"/>
          </w:placeholder>
        </w:sdtPr>
        <w:sdtContent>
          <w:r w:rsidR="1F2B6A7F" w:rsidRPr="1245267B">
            <w:rPr>
              <w:rFonts w:ascii="Arial" w:eastAsia="Arial" w:hAnsi="Arial" w:cs="Arial"/>
              <w:color w:val="000000" w:themeColor="text1"/>
            </w:rPr>
            <w:t>(</w:t>
          </w:r>
          <w:r w:rsidR="1F2B6A7F" w:rsidRPr="1245267B">
            <w:rPr>
              <w:rFonts w:ascii="Arial" w:eastAsia="Arial" w:hAnsi="Arial" w:cs="Arial"/>
              <w:i/>
              <w:iCs/>
              <w:color w:val="000000" w:themeColor="text1"/>
            </w:rPr>
            <w:t>Innovative Care for Chronic Conditions: Building Blocks for Action</w:t>
          </w:r>
          <w:r w:rsidR="1F2B6A7F" w:rsidRPr="1245267B">
            <w:rPr>
              <w:rFonts w:ascii="Arial" w:eastAsia="Arial" w:hAnsi="Arial" w:cs="Arial"/>
              <w:color w:val="000000" w:themeColor="text1"/>
            </w:rPr>
            <w:t>2002; Sullivan and Skelcher, 2002; Steel, 2013)</w:t>
          </w:r>
        </w:sdtContent>
      </w:sdt>
      <w:r w:rsidRPr="1245267B">
        <w:rPr>
          <w:rFonts w:ascii="Arial" w:eastAsia="Arial" w:hAnsi="Arial" w:cs="Arial"/>
          <w:kern w:val="0"/>
          <w14:ligatures w14:val="none"/>
        </w:rPr>
        <w:t xml:space="preserve"> ‘Commissioning and NICE-aligned care pathways in integrated systems’, Journal of Integrated Care, 29(3), pp. 210–223.</w:t>
      </w:r>
    </w:p>
    <w:p w14:paraId="3B9BAF87" w14:textId="7B321A05" w:rsidR="00E71CEE" w:rsidRDefault="00E71CEE" w:rsidP="1245267B">
      <w:pPr>
        <w:pStyle w:val="p1"/>
        <w:spacing w:line="360" w:lineRule="auto"/>
        <w:jc w:val="both"/>
        <w:rPr>
          <w:rStyle w:val="s1"/>
          <w:rFonts w:ascii="Arial" w:eastAsia="Arial" w:hAnsi="Arial" w:cs="Arial"/>
        </w:rPr>
      </w:pPr>
      <w:r w:rsidRPr="1245267B">
        <w:rPr>
          <w:rStyle w:val="s1"/>
          <w:rFonts w:ascii="Arial" w:eastAsia="Arial" w:hAnsi="Arial" w:cs="Arial"/>
        </w:rPr>
        <w:t xml:space="preserve">Care Quality Commission (CQC). (2023) </w:t>
      </w:r>
      <w:r w:rsidRPr="1245267B">
        <w:rPr>
          <w:rStyle w:val="s2"/>
          <w:rFonts w:ascii="Arial" w:eastAsia="Arial" w:hAnsi="Arial" w:cs="Arial"/>
        </w:rPr>
        <w:t>Our standards</w:t>
      </w:r>
      <w:r w:rsidRPr="1245267B">
        <w:rPr>
          <w:rStyle w:val="s1"/>
          <w:rFonts w:ascii="Arial" w:eastAsia="Arial" w:hAnsi="Arial" w:cs="Arial"/>
        </w:rPr>
        <w:t>. London: CQC. Available at</w:t>
      </w:r>
      <w:r w:rsidR="004617DE" w:rsidRPr="1245267B">
        <w:rPr>
          <w:rStyle w:val="s1"/>
          <w:rFonts w:ascii="Arial" w:eastAsia="Arial" w:hAnsi="Arial" w:cs="Arial"/>
        </w:rPr>
        <w:t xml:space="preserve"> </w:t>
      </w:r>
      <w:hyperlink r:id="rId6">
        <w:r w:rsidR="004617DE" w:rsidRPr="1245267B">
          <w:rPr>
            <w:rStyle w:val="Hyperlink"/>
            <w:rFonts w:ascii="Arial" w:eastAsia="Arial" w:hAnsi="Arial" w:cs="Arial"/>
          </w:rPr>
          <w:t>https://www.cqc.org.uk/about-us/fundamental-standards</w:t>
        </w:r>
      </w:hyperlink>
      <w:r w:rsidR="004617DE" w:rsidRPr="1245267B">
        <w:rPr>
          <w:rStyle w:val="s1"/>
          <w:rFonts w:ascii="Arial" w:eastAsia="Arial" w:hAnsi="Arial" w:cs="Arial"/>
        </w:rPr>
        <w:t xml:space="preserve"> )</w:t>
      </w:r>
      <w:r w:rsidRPr="1245267B">
        <w:rPr>
          <w:rStyle w:val="s1"/>
          <w:rFonts w:ascii="Arial" w:eastAsia="Arial" w:hAnsi="Arial" w:cs="Arial"/>
        </w:rPr>
        <w:t xml:space="preserve">Accessed: </w:t>
      </w:r>
      <w:r w:rsidR="485F9C3A" w:rsidRPr="1245267B">
        <w:rPr>
          <w:rStyle w:val="s1"/>
          <w:rFonts w:ascii="Arial" w:eastAsia="Arial" w:hAnsi="Arial" w:cs="Arial"/>
        </w:rPr>
        <w:t>10</w:t>
      </w:r>
      <w:r w:rsidRPr="1245267B">
        <w:rPr>
          <w:rStyle w:val="s1"/>
          <w:rFonts w:ascii="Arial" w:eastAsia="Arial" w:hAnsi="Arial" w:cs="Arial"/>
        </w:rPr>
        <w:t xml:space="preserve"> February 2026).</w:t>
      </w:r>
    </w:p>
    <w:p w14:paraId="37FF3D9D" w14:textId="77777777" w:rsidR="0078025C" w:rsidRDefault="0078025C" w:rsidP="1245267B">
      <w:pPr>
        <w:spacing w:before="100" w:beforeAutospacing="1" w:after="100" w:afterAutospacing="1" w:line="360" w:lineRule="auto"/>
        <w:jc w:val="both"/>
        <w:rPr>
          <w:rFonts w:ascii="Arial" w:eastAsia="Arial" w:hAnsi="Arial" w:cs="Arial"/>
          <w:kern w:val="0"/>
          <w14:ligatures w14:val="none"/>
        </w:rPr>
      </w:pPr>
    </w:p>
    <w:p w14:paraId="55EB9137" w14:textId="77777777"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bookmarkStart w:id="3" w:name="_Int_hjQYNwsV"/>
      <w:r w:rsidRPr="1245267B">
        <w:rPr>
          <w:rFonts w:ascii="Arial" w:eastAsia="Arial" w:hAnsi="Arial" w:cs="Arial"/>
          <w:kern w:val="0"/>
          <w14:ligatures w14:val="none"/>
        </w:rPr>
        <w:t>Gibbs, G. (1988) Learning by Doing: A Guide to Teaching and Learning Methods.</w:t>
      </w:r>
      <w:bookmarkEnd w:id="3"/>
      <w:r w:rsidRPr="1245267B">
        <w:rPr>
          <w:rFonts w:ascii="Arial" w:eastAsia="Arial" w:hAnsi="Arial" w:cs="Arial"/>
          <w:kern w:val="0"/>
          <w14:ligatures w14:val="none"/>
        </w:rPr>
        <w:t xml:space="preserve"> Oxford: Oxford Polytechnic.</w:t>
      </w:r>
    </w:p>
    <w:p w14:paraId="492EDB5F"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7A288F5D" w14:textId="1B2CF578" w:rsidR="00DE63E8" w:rsidRDefault="00DE63E8" w:rsidP="1245267B">
      <w:pPr>
        <w:pStyle w:val="p1"/>
        <w:rPr>
          <w:rStyle w:val="s2"/>
          <w:rFonts w:ascii="Arial" w:eastAsia="Arial" w:hAnsi="Arial" w:cs="Arial"/>
        </w:rPr>
      </w:pPr>
      <w:r w:rsidRPr="1245267B">
        <w:rPr>
          <w:rStyle w:val="s1"/>
          <w:rFonts w:ascii="Arial" w:eastAsia="Arial" w:hAnsi="Arial" w:cs="Arial"/>
        </w:rPr>
        <w:t>Health and Care Act 2022.</w:t>
      </w:r>
      <w:r w:rsidR="00146EF4" w:rsidRPr="1245267B">
        <w:rPr>
          <w:rStyle w:val="s2"/>
          <w:rFonts w:ascii="Arial" w:eastAsia="Arial" w:hAnsi="Arial" w:cs="Arial"/>
        </w:rPr>
        <w:t xml:space="preserve"> </w:t>
      </w:r>
      <w:r w:rsidRPr="1245267B">
        <w:rPr>
          <w:rStyle w:val="s2"/>
          <w:rFonts w:ascii="Arial" w:eastAsia="Arial" w:hAnsi="Arial" w:cs="Arial"/>
        </w:rPr>
        <w:t>Available at:</w:t>
      </w:r>
      <w:r w:rsidR="00146EF4" w:rsidRPr="1245267B">
        <w:rPr>
          <w:rStyle w:val="s2"/>
          <w:rFonts w:ascii="Arial" w:eastAsia="Arial" w:hAnsi="Arial" w:cs="Arial"/>
        </w:rPr>
        <w:t xml:space="preserve"> </w:t>
      </w:r>
      <w:hyperlink r:id="rId7">
        <w:r w:rsidR="00146EF4" w:rsidRPr="1245267B">
          <w:rPr>
            <w:rStyle w:val="Hyperlink"/>
            <w:rFonts w:ascii="Arial" w:eastAsia="Arial" w:hAnsi="Arial" w:cs="Arial"/>
          </w:rPr>
          <w:t>https://www.legislation.gov.uk/ukpga/2022/31/contents</w:t>
        </w:r>
      </w:hyperlink>
      <w:r w:rsidR="00146EF4" w:rsidRPr="1245267B">
        <w:rPr>
          <w:rStyle w:val="s2"/>
          <w:rFonts w:ascii="Arial" w:eastAsia="Arial" w:hAnsi="Arial" w:cs="Arial"/>
        </w:rPr>
        <w:t xml:space="preserve"> </w:t>
      </w:r>
      <w:r w:rsidR="00D9174E" w:rsidRPr="1245267B">
        <w:rPr>
          <w:rStyle w:val="s2"/>
          <w:rFonts w:ascii="Arial" w:eastAsia="Arial" w:hAnsi="Arial" w:cs="Arial"/>
        </w:rPr>
        <w:t xml:space="preserve"> </w:t>
      </w:r>
      <w:r w:rsidRPr="1245267B">
        <w:rPr>
          <w:rStyle w:val="s2"/>
          <w:rFonts w:ascii="Arial" w:eastAsia="Arial" w:hAnsi="Arial" w:cs="Arial"/>
        </w:rPr>
        <w:t xml:space="preserve"> (Accessed: 28 February 2026).</w:t>
      </w:r>
    </w:p>
    <w:p w14:paraId="6E54A0D8"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3FAB70BC" w14:textId="4FA0D708"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Health and Care Professions Council (HCPC). (2023) Standards of Conduct, Performance and Ethics. London: HCPC. Available at</w:t>
      </w:r>
      <w:r w:rsidR="005E527C" w:rsidRPr="1245267B">
        <w:rPr>
          <w:rFonts w:ascii="Arial" w:eastAsia="Arial" w:hAnsi="Arial" w:cs="Arial"/>
          <w:kern w:val="0"/>
          <w14:ligatures w14:val="none"/>
        </w:rPr>
        <w:t xml:space="preserve"> </w:t>
      </w:r>
      <w:hyperlink r:id="rId8" w:history="1">
        <w:r w:rsidR="00831489" w:rsidRPr="1245267B">
          <w:rPr>
            <w:rStyle w:val="Hyperlink"/>
            <w:rFonts w:ascii="Arial" w:eastAsia="Arial" w:hAnsi="Arial" w:cs="Arial"/>
            <w:kern w:val="0"/>
            <w14:ligatures w14:val="none"/>
          </w:rPr>
          <w:t>https://www.hcpc-uk.org/globalassets/standards/standard-of-conduct-performance-and-ethics/revised-standards-2023/revised-standards-of-conduct-performance-and-ethics.pd</w:t>
        </w:r>
      </w:hyperlink>
      <w:r w:rsidR="00831489" w:rsidRPr="1245267B">
        <w:rPr>
          <w:rFonts w:ascii="Arial" w:eastAsia="Arial" w:hAnsi="Arial" w:cs="Arial"/>
          <w:kern w:val="0"/>
          <w14:ligatures w14:val="none"/>
        </w:rPr>
        <w:t xml:space="preserve"> </w:t>
      </w:r>
      <w:r w:rsidRPr="1245267B">
        <w:rPr>
          <w:rFonts w:ascii="Arial" w:eastAsia="Arial" w:hAnsi="Arial" w:cs="Arial"/>
          <w:kern w:val="0"/>
          <w14:ligatures w14:val="none"/>
        </w:rPr>
        <w:t xml:space="preserve"> (Accessed: 28 February 2026).</w:t>
      </w:r>
    </w:p>
    <w:p w14:paraId="2F10B64A"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2F2DEE21" w14:textId="77777777"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Leutz, W.N. (2005) ‘Reflections on Integrating Medical and Social Care: Five Laws Revisited’, Journal of Integrated Care, 13(5), pp. 3–12.</w:t>
      </w:r>
    </w:p>
    <w:p w14:paraId="10153924"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193DC2B1" w14:textId="1EA1CD99"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bookmarkStart w:id="4" w:name="_Int_p2sTPr1Z"/>
      <w:r w:rsidRPr="1245267B">
        <w:rPr>
          <w:rFonts w:ascii="Arial" w:eastAsia="Arial" w:hAnsi="Arial" w:cs="Arial"/>
          <w:kern w:val="0"/>
          <w14:ligatures w14:val="none"/>
        </w:rPr>
        <w:t>Lloyd, J. and Wait, S. (2006) Integrated Care: A Guide for Policymakers. London: Alliance for Health and the Future.</w:t>
      </w:r>
      <w:bookmarkEnd w:id="4"/>
      <w:r w:rsidRPr="1245267B">
        <w:rPr>
          <w:rFonts w:ascii="Arial" w:eastAsia="Arial" w:hAnsi="Arial" w:cs="Arial"/>
          <w:kern w:val="0"/>
          <w14:ligatures w14:val="none"/>
        </w:rPr>
        <w:t xml:space="preserve"> Available at</w:t>
      </w:r>
      <w:r w:rsidR="00050A82" w:rsidRPr="1245267B">
        <w:rPr>
          <w:rFonts w:ascii="Arial" w:eastAsia="Arial" w:hAnsi="Arial" w:cs="Arial"/>
          <w:kern w:val="0"/>
          <w14:ligatures w14:val="none"/>
        </w:rPr>
        <w:t xml:space="preserve"> </w:t>
      </w:r>
      <w:r w:rsidR="00831489" w:rsidRPr="1245267B">
        <w:rPr>
          <w:rFonts w:ascii="Arial" w:eastAsia="Arial" w:hAnsi="Arial" w:cs="Arial"/>
          <w:kern w:val="0"/>
          <w14:ligatures w14:val="none"/>
        </w:rPr>
        <w:t xml:space="preserve"> </w:t>
      </w:r>
      <w:r w:rsidRPr="1245267B">
        <w:rPr>
          <w:rFonts w:ascii="Arial" w:eastAsia="Arial" w:hAnsi="Arial" w:cs="Arial"/>
          <w:kern w:val="0"/>
          <w14:ligatures w14:val="none"/>
        </w:rPr>
        <w:t xml:space="preserve"> </w:t>
      </w:r>
      <w:hyperlink r:id="rId9" w:history="1">
        <w:r w:rsidR="00B50A64" w:rsidRPr="1245267B">
          <w:rPr>
            <w:rStyle w:val="Hyperlink"/>
            <w:rFonts w:ascii="Arial" w:eastAsia="Arial" w:hAnsi="Arial" w:cs="Arial"/>
            <w:kern w:val="0"/>
            <w14:ligatures w14:val="none"/>
          </w:rPr>
          <w:t>https://ilcuk.org.uk/wp-content/uploads/2018/10/IntegratedCare.pdf</w:t>
        </w:r>
      </w:hyperlink>
      <w:r w:rsidR="00B50A64" w:rsidRPr="1245267B">
        <w:rPr>
          <w:rFonts w:ascii="Arial" w:eastAsia="Arial" w:hAnsi="Arial" w:cs="Arial"/>
          <w:kern w:val="0"/>
          <w14:ligatures w14:val="none"/>
        </w:rPr>
        <w:t xml:space="preserve"> (</w:t>
      </w:r>
      <w:r w:rsidRPr="1245267B">
        <w:rPr>
          <w:rFonts w:ascii="Arial" w:eastAsia="Arial" w:hAnsi="Arial" w:cs="Arial"/>
          <w:kern w:val="0"/>
          <w14:ligatures w14:val="none"/>
        </w:rPr>
        <w:t>Accessed: 2</w:t>
      </w:r>
      <w:r w:rsidR="00843808" w:rsidRPr="1245267B">
        <w:rPr>
          <w:rFonts w:ascii="Arial" w:eastAsia="Arial" w:hAnsi="Arial" w:cs="Arial"/>
          <w:kern w:val="0"/>
          <w14:ligatures w14:val="none"/>
        </w:rPr>
        <w:t xml:space="preserve">1 </w:t>
      </w:r>
      <w:r w:rsidRPr="1245267B">
        <w:rPr>
          <w:rFonts w:ascii="Arial" w:eastAsia="Arial" w:hAnsi="Arial" w:cs="Arial"/>
          <w:kern w:val="0"/>
          <w14:ligatures w14:val="none"/>
        </w:rPr>
        <w:t>February 2026).</w:t>
      </w:r>
    </w:p>
    <w:p w14:paraId="7162C502"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752CCD38" w14:textId="77777777"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Longley, M., Riley, N., Davies, P. and Hernandez-Quevedo, C. (2012) Health Systems in Transition: United Kingdom (Wales). Copenhagen: WHO/European Observatory on Health Systems and Policies.</w:t>
      </w:r>
    </w:p>
    <w:p w14:paraId="52C9C1F9"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21234533" w14:textId="70732F20"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 xml:space="preserve">Mental Capacity Act 2005. (2005) Mental Capacity Act 2005. London: The Stationery Office. Available at:  </w:t>
      </w:r>
      <w:hyperlink r:id="rId10" w:history="1">
        <w:r w:rsidR="00D41990" w:rsidRPr="1245267B">
          <w:rPr>
            <w:rStyle w:val="Hyperlink"/>
            <w:rFonts w:ascii="Arial" w:eastAsia="Arial" w:hAnsi="Arial" w:cs="Arial"/>
            <w:kern w:val="0"/>
            <w14:ligatures w14:val="none"/>
          </w:rPr>
          <w:t>https://www.legislation.gov.uk/ukpga/2005/9/pdfs/ukpga_20050009_en.pdf</w:t>
        </w:r>
      </w:hyperlink>
      <w:r w:rsidR="00D41990" w:rsidRPr="1245267B">
        <w:rPr>
          <w:rFonts w:ascii="Arial" w:eastAsia="Arial" w:hAnsi="Arial" w:cs="Arial"/>
          <w:kern w:val="0"/>
          <w14:ligatures w14:val="none"/>
        </w:rPr>
        <w:t xml:space="preserve"> </w:t>
      </w:r>
      <w:r w:rsidR="00CB2C61" w:rsidRPr="1245267B">
        <w:rPr>
          <w:rFonts w:ascii="Arial" w:eastAsia="Arial" w:hAnsi="Arial" w:cs="Arial"/>
          <w:kern w:val="0"/>
          <w14:ligatures w14:val="none"/>
        </w:rPr>
        <w:t xml:space="preserve"> </w:t>
      </w:r>
      <w:r w:rsidR="008260B8" w:rsidRPr="1245267B">
        <w:rPr>
          <w:rFonts w:ascii="Arial" w:eastAsia="Arial" w:hAnsi="Arial" w:cs="Arial"/>
          <w:kern w:val="0"/>
          <w14:ligatures w14:val="none"/>
        </w:rPr>
        <w:t>(</w:t>
      </w:r>
      <w:r w:rsidRPr="1245267B">
        <w:rPr>
          <w:rFonts w:ascii="Arial" w:eastAsia="Arial" w:hAnsi="Arial" w:cs="Arial"/>
          <w:kern w:val="0"/>
          <w14:ligatures w14:val="none"/>
        </w:rPr>
        <w:t xml:space="preserve">Accessed: </w:t>
      </w:r>
      <w:r w:rsidR="00D07AD1" w:rsidRPr="1245267B">
        <w:rPr>
          <w:rFonts w:ascii="Arial" w:eastAsia="Arial" w:hAnsi="Arial" w:cs="Arial"/>
          <w:kern w:val="0"/>
          <w14:ligatures w14:val="none"/>
        </w:rPr>
        <w:t>22</w:t>
      </w:r>
      <w:r w:rsidRPr="1245267B">
        <w:rPr>
          <w:rFonts w:ascii="Arial" w:eastAsia="Arial" w:hAnsi="Arial" w:cs="Arial"/>
          <w:kern w:val="0"/>
          <w14:ligatures w14:val="none"/>
        </w:rPr>
        <w:t xml:space="preserve"> February 2026).</w:t>
      </w:r>
    </w:p>
    <w:p w14:paraId="612283E7"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042B0E9C" w14:textId="484A82B1"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 xml:space="preserve">Open University. (n.d.) OpenLearn: Free Courses. Available at: </w:t>
      </w:r>
      <w:hyperlink r:id="rId11" w:history="1">
        <w:r w:rsidR="00D41990" w:rsidRPr="1245267B">
          <w:rPr>
            <w:rStyle w:val="Hyperlink"/>
            <w:rFonts w:ascii="Arial" w:eastAsia="Arial" w:hAnsi="Arial" w:cs="Arial"/>
            <w:kern w:val="0"/>
            <w14:ligatures w14:val="none"/>
          </w:rPr>
          <w:t>https://www.open.edu/openlearn/</w:t>
        </w:r>
      </w:hyperlink>
      <w:r w:rsidR="00D41990" w:rsidRPr="1245267B">
        <w:rPr>
          <w:rFonts w:ascii="Arial" w:eastAsia="Arial" w:hAnsi="Arial" w:cs="Arial"/>
          <w:kern w:val="0"/>
          <w14:ligatures w14:val="none"/>
        </w:rPr>
        <w:t xml:space="preserve"> </w:t>
      </w:r>
      <w:r w:rsidRPr="1245267B">
        <w:rPr>
          <w:rFonts w:ascii="Arial" w:eastAsia="Arial" w:hAnsi="Arial" w:cs="Arial"/>
          <w:kern w:val="0"/>
          <w14:ligatures w14:val="none"/>
        </w:rPr>
        <w:t xml:space="preserve"> (Accessed: 2</w:t>
      </w:r>
      <w:r w:rsidR="000B77DC" w:rsidRPr="1245267B">
        <w:rPr>
          <w:rFonts w:ascii="Arial" w:eastAsia="Arial" w:hAnsi="Arial" w:cs="Arial"/>
          <w:kern w:val="0"/>
          <w14:ligatures w14:val="none"/>
        </w:rPr>
        <w:t xml:space="preserve">0 </w:t>
      </w:r>
      <w:r w:rsidRPr="1245267B">
        <w:rPr>
          <w:rFonts w:ascii="Arial" w:eastAsia="Arial" w:hAnsi="Arial" w:cs="Arial"/>
          <w:kern w:val="0"/>
          <w14:ligatures w14:val="none"/>
        </w:rPr>
        <w:t>February 2026).</w:t>
      </w:r>
    </w:p>
    <w:p w14:paraId="02DC3A69"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55B98969" w14:textId="77777777"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Sealey, C. (2015) Social Policy Simplified: Connecting Theory with People’s Lives. Basingstoke: Palgrave Macmillan.</w:t>
      </w:r>
    </w:p>
    <w:p w14:paraId="49D974FC"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3669D159" w14:textId="77777777"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Spicker, P. (2014) Social Policy: Theory and Practice. 3rd edn. Bristol: Policy Press.</w:t>
      </w:r>
    </w:p>
    <w:p w14:paraId="14910918"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1B169551" w14:textId="77777777"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Steel, D.R. (2013) ‘Scotland’, in Ham, C., Heenan, D., Longley, M. and Steel, D.R. (eds.) Integrated Care in Northern Ireland, Scotland and Wales: Lessons for England. London: The King’s Fund, pp. 25–56.</w:t>
      </w:r>
    </w:p>
    <w:p w14:paraId="4C6B15B9"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432D371E" w14:textId="77777777"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Sullivan, H. and Skelcher, C. (2002) Working Across Boundaries: Collaboration in Public Services. Basingstoke: Palgrave Macmillan.</w:t>
      </w:r>
    </w:p>
    <w:p w14:paraId="38A85CBB" w14:textId="77777777" w:rsidR="006C727C" w:rsidRPr="006C727C" w:rsidRDefault="006C727C" w:rsidP="1245267B">
      <w:pPr>
        <w:spacing w:before="100" w:beforeAutospacing="1" w:after="100" w:afterAutospacing="1" w:line="360" w:lineRule="auto"/>
        <w:jc w:val="both"/>
        <w:rPr>
          <w:rFonts w:ascii="Arial" w:eastAsia="Arial" w:hAnsi="Arial" w:cs="Arial"/>
          <w:kern w:val="0"/>
          <w14:ligatures w14:val="none"/>
        </w:rPr>
      </w:pPr>
    </w:p>
    <w:p w14:paraId="2DFA3BD0" w14:textId="47FAAD0B" w:rsidR="006C727C" w:rsidRPr="006C727C" w:rsidRDefault="5A629FEA" w:rsidP="1245267B">
      <w:pPr>
        <w:spacing w:before="100" w:beforeAutospacing="1" w:after="100" w:afterAutospacing="1" w:line="360" w:lineRule="auto"/>
        <w:jc w:val="both"/>
        <w:rPr>
          <w:rFonts w:ascii="Arial" w:eastAsia="Arial" w:hAnsi="Arial" w:cs="Arial"/>
          <w:kern w:val="0"/>
          <w14:ligatures w14:val="none"/>
        </w:rPr>
      </w:pPr>
      <w:r w:rsidRPr="1245267B">
        <w:rPr>
          <w:rFonts w:ascii="Arial" w:eastAsia="Arial" w:hAnsi="Arial" w:cs="Arial"/>
          <w:kern w:val="0"/>
          <w14:ligatures w14:val="none"/>
        </w:rPr>
        <w:t xml:space="preserve">World Health Organization (WHO). </w:t>
      </w:r>
      <w:bookmarkStart w:id="5" w:name="_Int_uOsc4jLN"/>
      <w:r w:rsidRPr="1245267B">
        <w:rPr>
          <w:rFonts w:ascii="Arial" w:eastAsia="Arial" w:hAnsi="Arial" w:cs="Arial"/>
          <w:kern w:val="0"/>
          <w14:ligatures w14:val="none"/>
        </w:rPr>
        <w:t xml:space="preserve">(2002) </w:t>
      </w:r>
      <w:r w:rsidRPr="1245267B">
        <w:rPr>
          <w:rFonts w:ascii="Arial" w:eastAsia="Arial" w:hAnsi="Arial" w:cs="Arial"/>
          <w:i/>
          <w:iCs/>
          <w:kern w:val="0"/>
          <w14:ligatures w14:val="none"/>
        </w:rPr>
        <w:t>Innovative Care for Chronic Conditions</w:t>
      </w:r>
      <w:r w:rsidRPr="1245267B">
        <w:rPr>
          <w:rFonts w:ascii="Arial" w:eastAsia="Arial" w:hAnsi="Arial" w:cs="Arial"/>
          <w:kern w:val="0"/>
          <w14:ligatures w14:val="none"/>
        </w:rPr>
        <w:t>: Building Blocks for Action.</w:t>
      </w:r>
      <w:bookmarkEnd w:id="5"/>
      <w:r w:rsidRPr="1245267B">
        <w:rPr>
          <w:rFonts w:ascii="Arial" w:eastAsia="Arial" w:hAnsi="Arial" w:cs="Arial"/>
          <w:kern w:val="0"/>
          <w14:ligatures w14:val="none"/>
        </w:rPr>
        <w:t xml:space="preserve"> Geneva: WHO. Available at:  </w:t>
      </w:r>
      <w:hyperlink r:id="rId12" w:history="1">
        <w:r w:rsidR="00D41990" w:rsidRPr="1245267B">
          <w:rPr>
            <w:rStyle w:val="Hyperlink"/>
            <w:rFonts w:ascii="Arial" w:eastAsia="Arial" w:hAnsi="Arial" w:cs="Arial"/>
            <w:kern w:val="0"/>
            <w14:ligatures w14:val="none"/>
          </w:rPr>
          <w:t>https://www.who.int/publications/i/item/innovative-care-for-chronic-conditions-building-blocks-for-actions</w:t>
        </w:r>
      </w:hyperlink>
      <w:r w:rsidR="00D41990" w:rsidRPr="1245267B">
        <w:rPr>
          <w:rFonts w:ascii="Arial" w:eastAsia="Arial" w:hAnsi="Arial" w:cs="Arial"/>
          <w:kern w:val="0"/>
          <w14:ligatures w14:val="none"/>
        </w:rPr>
        <w:t xml:space="preserve"> q</w:t>
      </w:r>
      <w:r w:rsidR="002531B8" w:rsidRPr="1245267B">
        <w:rPr>
          <w:rFonts w:ascii="Arial" w:eastAsia="Arial" w:hAnsi="Arial" w:cs="Arial"/>
          <w:kern w:val="0"/>
          <w14:ligatures w14:val="none"/>
        </w:rPr>
        <w:t>(</w:t>
      </w:r>
      <w:r w:rsidRPr="1245267B">
        <w:rPr>
          <w:rFonts w:ascii="Arial" w:eastAsia="Arial" w:hAnsi="Arial" w:cs="Arial"/>
          <w:kern w:val="0"/>
          <w14:ligatures w14:val="none"/>
        </w:rPr>
        <w:t>Accessed: 2</w:t>
      </w:r>
      <w:r w:rsidR="002531B8" w:rsidRPr="1245267B">
        <w:rPr>
          <w:rFonts w:ascii="Arial" w:eastAsia="Arial" w:hAnsi="Arial" w:cs="Arial"/>
          <w:kern w:val="0"/>
          <w14:ligatures w14:val="none"/>
        </w:rPr>
        <w:t>6</w:t>
      </w:r>
      <w:r w:rsidRPr="1245267B">
        <w:rPr>
          <w:rFonts w:ascii="Arial" w:eastAsia="Arial" w:hAnsi="Arial" w:cs="Arial"/>
          <w:kern w:val="0"/>
          <w14:ligatures w14:val="none"/>
        </w:rPr>
        <w:t>February 2026).</w:t>
      </w:r>
    </w:p>
    <w:p w14:paraId="413D7279" w14:textId="77777777" w:rsidR="00654BF1" w:rsidRDefault="00654BF1" w:rsidP="73A1A190">
      <w:pPr>
        <w:spacing w:line="360" w:lineRule="auto"/>
        <w:jc w:val="both"/>
        <w:rPr>
          <w:rFonts w:ascii="Arial" w:eastAsia="Arial" w:hAnsi="Arial" w:cs="Arial"/>
        </w:rPr>
      </w:pPr>
    </w:p>
    <w:sectPr w:rsidR="00654B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sBqWrzbA" int2:invalidationBookmarkName="" int2:hashCode="lu1cV4mxdKAVV3" int2:id="43QMOSMj">
      <int2:state int2:value="Rejected" int2:type="style"/>
    </int2:bookmark>
    <int2:bookmark int2:bookmarkName="_Int_uOsc4jLN" int2:invalidationBookmarkName="" int2:hashCode="saeBwKoSu4Gq5a" int2:id="9BZRCBNK">
      <int2:extLst>
        <oel:ext uri="426473B9-03D8-482F-96C9-C2C85392BACA">
          <int2:similarityCritique int2:version="1" int2:context="(2002) Innovative Care for Chronic Conditions: Building Blocks for Action.">
            <int2:source int2:sourceType="Online" int2:sourceTitle="World Health Organisation (2002) Innovative Care for Chronic Conditions ..." int2:sourceUrl="https://www.scirp.org/reference/referencespapers?referenceid=1336606" int2:sourceSnippet="Article citations More&gt;&gt; World Health Organisation (2002) Innovative Care for Chronic Conditions: Building Blocks for Action. WHO, Geneva. has been cited by the following article: TITLE: Understanding and Improving Quality of Care in the Context of Depressed Elderly Persons Living in Norway AUTHORS: Elisabeth Severinsson, Anne Lise Holm KEYWORDS: Depression, Effective Leadership, Elderly ...">
              <int2:suggestions int2:citationType="Inline">
                <int2:suggestion int2:citationStyle="Mla" int2:isIdentical="1">
                  <int2:citationText>(“World Health Organisation (2002) Innovative Care for Chronic Conditions ...”)</int2:citationText>
                </int2:suggestion>
                <int2:suggestion int2:citationStyle="Apa" int2:isIdentical="1">
                  <int2:citationText>(“World Health Organisation (2002) Innovative Care for Chronic Conditions ...”)</int2:citationText>
                </int2:suggestion>
                <int2:suggestion int2:citationStyle="Chicago" int2:isIdentical="1">
                  <int2:citationText>(“World Health Organisation (2002) Innovative Care for Chronic Conditions ...”)</int2:citationText>
                </int2:suggestion>
              </int2:suggestions>
              <int2:suggestions int2:citationType="Full">
                <int2:suggestion int2:citationStyle="Mla" int2:isIdentical="1">
                  <int2:citationText>&lt;i&gt;World Health Organisation (2002) Innovative Care for Chronic Conditions ...&lt;/i&gt;, https://www.scirp.org/reference/referencespapers?referenceid=1336606.</int2:citationText>
                </int2:suggestion>
                <int2:suggestion int2:citationStyle="Apa" int2:isIdentical="1">
                  <int2:citationText>&lt;i&gt;World Health Organisation (2002) Innovative Care for Chronic Conditions ...&lt;/i&gt;. (n.d.). Retrieved from https://www.scirp.org/reference/referencespapers?referenceid=1336606</int2:citationText>
                </int2:suggestion>
                <int2:suggestion int2:citationStyle="Chicago" int2:isIdentical="1">
                  <int2:citationText>“World Health Organisation (2002) Innovative Care for Chronic Conditions ...” n.d., https://www.scirp.org/reference/referencespapers?referenceid=1336606.</int2:citationText>
                </int2:suggestion>
              </int2:suggestions>
            </int2:source>
          </int2:similarityCritique>
        </oel:ext>
      </int2:extLst>
    </int2:bookmark>
    <int2:bookmark int2:bookmarkName="_Int_p2sTPr1Z" int2:invalidationBookmarkName="" int2:hashCode="f0khZdGKvlf839" int2:id="Bh7xrz9e">
      <int2:extLst>
        <oel:ext uri="426473B9-03D8-482F-96C9-C2C85392BACA">
          <int2:similarityCritique int2:version="1" int2:context="Lloyd, J. and Wait, S. (2006) Integrated Care: A Guide for Policymakers. London: Alliance for Health and the Future.">
            <int2:source int2:sourceType="Online" int2:sourceTitle="All Together Now: A Conceptual Exploration of Integrated Care" int2:sourceUrl="https://www.longwoods.com/content/21091/healthcare-quarterly/all-together-now-a-conceptual-exploration-of-integrated-care" int2:sourceSnippet="The Milbank Quarterly 77 (1): 77-110. Lloyd, J. and S. Wait. 2006. Integrated Care: a Guide for Policymakers. London: Alliance for Health and the Future. Macadam, M. 2008. Frameworks of Integrated Care for the Elderly: A Systematic Review. Ottawa: Canadian Policy Research Networks (CPRN). Mattke, S., M. Seid and S. Ma. 2007.">
              <int2:suggestions int2:citationType="Inline">
                <int2:suggestion int2:citationStyle="Mla" int2:isIdentical="0">
                  <int2:citationText>(“All Together Now: A Conceptual Exploration of Integrated Care”)</int2:citationText>
                </int2:suggestion>
                <int2:suggestion int2:citationStyle="Apa" int2:isIdentical="0">
                  <int2:citationText>(“All Together Now: A Conceptual Exploration of Integrated Care”)</int2:citationText>
                </int2:suggestion>
                <int2:suggestion int2:citationStyle="Chicago" int2:isIdentical="0">
                  <int2:citationText>(“All Together Now: A Conceptual Exploration of Integrated Care”)</int2:citationText>
                </int2:suggestion>
              </int2:suggestions>
              <int2:suggestions int2:citationType="Full">
                <int2:suggestion int2:citationStyle="Mla" int2:isIdentical="0">
                  <int2:citationText>&lt;i&gt;All Together Now: A Conceptual Exploration of Integrated Care&lt;/i&gt;, https://www.longwoods.com/content/21091/healthcare-quarterly/all-together-now-a-conceptual-exploration-of-integrated-care.</int2:citationText>
                </int2:suggestion>
                <int2:suggestion int2:citationStyle="Apa" int2:isIdentical="0">
                  <int2:citationText>&lt;i&gt;All Together Now: A Conceptual Exploration of Integrated Care&lt;/i&gt;. (n.d.). Retrieved from https://www.longwoods.com/content/21091/healthcare-quarterly/all-together-now-a-conceptual-exploration-of-integrated-care</int2:citationText>
                </int2:suggestion>
                <int2:suggestion int2:citationStyle="Chicago" int2:isIdentical="0">
                  <int2:citationText>“All Together Now: A Conceptual Exploration of Integrated Care” n.d., https://www.longwoods.com/content/21091/healthcare-quarterly/all-together-now-a-conceptual-exploration-of-integrated-care.</int2:citationText>
                </int2:suggestion>
              </int2:suggestions>
            </int2:source>
          </int2:similarityCritique>
        </oel:ext>
      </int2:extLst>
    </int2:bookmark>
    <int2:bookmark int2:bookmarkName="_Int_XwdfZs33" int2:invalidationBookmarkName="" int2:hashCode="6250ymz+lgWVoO" int2:id="S7oGlh1Z">
      <int2:state int2:value="Rejected" int2:type="style"/>
    </int2:bookmark>
    <int2:bookmark int2:bookmarkName="_Int_hjQYNwsV" int2:invalidationBookmarkName="" int2:hashCode="NXlk6UDNhLGDfE" int2:id="hO6HhaGg">
      <int2:extLst>
        <oel:ext uri="426473B9-03D8-482F-96C9-C2C85392BACA">
          <int2:similarityCritique int2:version="1" int2:context="Gibbs, G. (1988) Learning by Doing: A Guide to Teaching and Learning Methods.">
            <int2:source int2:sourceType="Online" int2:sourceTitle="Gibbs, G. (1988) Learning by doing A guide to teaching and learning ..." int2:sourceUrl="https://www.scirp.org/reference/referencespapers?referenceid=478921" int2:sourceSnippet="Gibbs, G. (1988) Learning by doing A guide to teaching and learning methods. Further Educational Unit, Oxford Polytechnic, Oxford.">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https://www.scirp.org/reference/referencespapers?referenceid=478921.</int2:citationText>
                </int2:suggestion>
                <int2:suggestion int2:citationStyle="Apa" int2:isIdentical="0">
                  <int2:citationText>&lt;i&gt;Gibbs, G. (1988) Learning by doing A guide to teaching and learning ...&lt;/i&gt;. (n.d.). Retrieved from https://www.scirp.org/reference/referencespapers?referenceid=478921</int2:citationText>
                </int2:suggestion>
                <int2:suggestion int2:citationStyle="Chicago" int2:isIdentical="0">
                  <int2:citationText>“Gibbs, G. (1988) Learning by doing A guide to teaching and learning ...” n.d., https://www.scirp.org/reference/referencespapers?referenceid=478921.</int2:citationText>
                </int2:suggestion>
              </int2:suggestions>
            </int2:source>
            <int2:source int2:sourceType="Online" int2:sourceTitle="Gibbs, G. (1988). Learning by Doing A Guide to Teaching and Learning ..." int2:sourceUrl="https://www.scirp.org/reference/referencespapers?referenceid=2898437" int2:sourceSnippet="Gibbs, G. (1988). Learning by Doing A Guide to Teaching and Learning Methods. Further Education Unit. Oxford Oxford Polytechnic.">
              <int2:suggestions int2:citationType="Inline">
                <int2:suggestion int2:citationStyle="Mla" int2:isIdentical="0">
                  <int2:citationText>(“Gibbs, G. (1988). Learning by Doing A Guide to Teaching and Learning ...”)</int2:citationText>
                </int2:suggestion>
                <int2:suggestion int2:citationStyle="Apa" int2:isIdentical="0">
                  <int2:citationText>(“Gibbs, G. (1988). Learning by Doing A Guide to Teaching and Learning ...”)</int2:citationText>
                </int2:suggestion>
                <int2:suggestion int2:citationStyle="Chicago" int2:isIdentical="0">
                  <int2:citationText>(“Gibbs, G. (1988). Learning by Doing A Guide to Teaching and Learning ...”)</int2:citationText>
                </int2:suggestion>
              </int2:suggestions>
              <int2:suggestions int2:citationType="Full">
                <int2:suggestion int2:citationStyle="Mla" int2:isIdentical="0">
                  <int2:citationText>&lt;i&gt;Gibbs, G. (1988). Learning by Doing A Guide to Teaching and Learning ...&lt;/i&gt;, https://www.scirp.org/reference/referencespapers?referenceid=2898437.</int2:citationText>
                </int2:suggestion>
                <int2:suggestion int2:citationStyle="Apa" int2:isIdentical="0">
                  <int2:citationText>&lt;i&gt;Gibbs, G. (1988). Learning by Doing A Guide to Teaching and Learning ...&lt;/i&gt;. (n.d.). Retrieved from https://www.scirp.org/reference/referencespapers?referenceid=2898437</int2:citationText>
                </int2:suggestion>
                <int2:suggestion int2:citationStyle="Chicago" int2:isIdentical="0">
                  <int2:citationText>“Gibbs, G. (1988). Learning by Doing A Guide to Teaching and Learning ...” n.d., https://www.scirp.org/reference/referencespapers?referenceid=2898437.</int2:citationText>
                </int2:suggestion>
              </int2:suggestions>
            </int2:source>
          </int2:similarityCritique>
        </oel:ext>
      </int2:extLst>
    </int2:bookmark>
    <int2:bookmark int2:bookmarkName="_Int_EruCFzlh" int2:invalidationBookmarkName="" int2:hashCode="3VNCOhY9IZxJkO" int2:id="himnIEKX">
      <int2:extLst>
        <oel:ext uri="426473B9-03D8-482F-96C9-C2C85392BACA">
          <int2:similarityCritique int2:version="1" int2:context="Gibbs’ Reflective Cycle (1988) provides a structured six-stage framework for reflection: description, feelings, evaluation, analysis, conclusion and action plan.">
            <int2:source int2:sourceType="Online" int2:sourceTitle="Ithy - Understanding the Gibbs Model of Reflection" int2:sourceUrl="https://ithy.com/article/gibbs-model-of-reflection-brw6ro4y" int2:sourceSnippet="Key Takeaways Structured Framework: The Gibbs Model provides a systematic approach to reflection, facilitating deep understanding and continuous improvement. Six Stages: It comprises six distinct stages—Description, Feelings, Evaluation, Analysis, Conclusion, and Action Plan—that guide the reflective process. Practical Application: Widely used across various fields, it transforms ...">
              <int2:suggestions int2:citationType="Inline">
                <int2:suggestion int2:citationStyle="Mla" int2:isIdentical="0">
                  <int2:citationText>(“Ithy - Understanding the Gibbs Model of Reflection”)</int2:citationText>
                </int2:suggestion>
                <int2:suggestion int2:citationStyle="Apa" int2:isIdentical="0">
                  <int2:citationText>(“Ithy - Understanding the Gibbs Model of Reflection”)</int2:citationText>
                </int2:suggestion>
                <int2:suggestion int2:citationStyle="Chicago" int2:isIdentical="0">
                  <int2:citationText>(“Ithy - Understanding the Gibbs Model of Reflection”)</int2:citationText>
                </int2:suggestion>
              </int2:suggestions>
              <int2:suggestions int2:citationType="Full">
                <int2:suggestion int2:citationStyle="Mla" int2:isIdentical="0">
                  <int2:citationText>&lt;i&gt;Ithy - Understanding the Gibbs Model of Reflection&lt;/i&gt;, https://ithy.com/article/gibbs-model-of-reflection-brw6ro4y.</int2:citationText>
                </int2:suggestion>
                <int2:suggestion int2:citationStyle="Apa" int2:isIdentical="0">
                  <int2:citationText>&lt;i&gt;Ithy - Understanding the Gibbs Model of Reflection&lt;/i&gt;. (n.d.). Retrieved from https://ithy.com/article/gibbs-model-of-reflection-brw6ro4y</int2:citationText>
                </int2:suggestion>
                <int2:suggestion int2:citationStyle="Chicago" int2:isIdentical="0">
                  <int2:citationText>“Ithy - Understanding the Gibbs Model of Reflection” n.d., https://ithy.com/article/gibbs-model-of-reflection-brw6ro4y.</int2:citationText>
                </int2:suggestion>
              </int2:suggestions>
            </int2:source>
          </int2:similarityCritique>
        </oel:ext>
      </int2:extLst>
    </int2:bookmark>
    <int2:entireDocument int2:id="rFuNdpY6">
      <int2:extLst>
        <oel:ext uri="E302BA01-7950-474C-9AD3-286E660C40A8">
          <int2:similaritySummary int2:version="1" int2:runId="1772452523597" int2:tilesCheckedInThisRun="73" int2:totalNumOfTiles="73" int2:similarityAnnotationCount="5" int2:numWords="2369" int2:numFlaggedWords="72"/>
        </oel:ext>
      </int2:extLst>
    </int2:entireDocument>
  </int2:observations>
  <int2:intelligenceSettings/>
  <int2:onDemandWorkflows>
    <int2:onDemandWorkflow int2:type="SimilarityCheck" int2:paragraphVersions="0CFDF583-77777777 05C05DF0-77777777 3FE06E45-28954F71 1FF31BBE-6498E39B 4C7C1739-0CFEDB86 4F93BF52-02911EE0 721F8FEB-2AB177D8 3FE11020-1EE649F9 63D0149D-77777777 49163C89-77777777 1AE68C26-77777777 5270E043-544EE601 787C31B6-15470F0E 78255890-2451093F 1D8CEAE1-74D949D9 0A3828BA-2C1D4680 564F8CA5-699828CB 0B11A24D-620606C2 7F0E22D4-5EC3228A 2777A41C-59608729 59855456-6051461F 47B6516A-7957272E 3CB8BD46-58ECFA7E 158727B5-7355CC7E 19633954-45AEB407 4EE1A40F-3DBCA023 097E4C82-6607F14D 11943DD2-164757A8 74E645CB-49331FD7 1768864F-615451A5 3B02B9E9-6E1FDF65 3C049F1E-61CB9350 61304AC9-057C50FA 14B1E128-77777777 071770BC-77777777 7900B2ED-6E842530 2ADD2B4E-77777777 01D316E6-77777777 1A221494-77777777 287C2CE3-77777777 3ED2D702-77777777 398F39B3-77777777 46A556ED-77777777 5004A634-77777777 5D68E624-77777777 1C51D756-77777777 0ABEB312-77777777 50E86F30-77777777 7FFE605F-77777777 5CC417D8-77777777 74AA50A9-4378E230 44E565FF-77777777 2F86B231-77777777 5D6ED160-77777777 7F6325F7-77777777 19B4699F-77777777 3944BA06-77777777 1CA15A0A-77777777 7507EDA6-77777777 4C34E61A-77777777 246C4365-6775A6A3 0202B839-61EF3D10 3D62229F-0C0ECC0F 6BDFB396-7D37C12C 210B65C2-16DCED6B 68624C43-77777777 1E1486A0-77777777 147D6B44-77777777 2A88B997-77777777 5A449DEF-77777777 156BCFFD-77777777 6416E18B-77777777 5CD77A05-50628847 5170FA91-77777777 764963F7-77777777 788CEC05-77777777 51476E3B-77777777 3C5CB55C-77777777 0E5152B3-4BA661CA 3813844B-77777777 067765E1-77777777 2D8C1DA4-77777777 7359D931-77777777 58EE2AFB-77777777 43F3B487-77777777 7761749C-77777777 70C36F24-5991736B 148BBCA1-77777777 4FD02C67-77777777 004442F0-77777777 55C8AAA8-77777777 0E47D517-77777777 74C67DFD-77777777 7DDC3A4F-77777777 04B5DC05-77777777 4FC64DE8-77777777 05A7AFED-77777777 0D14C721-77777777 71280105-77777777 26BC1A53-77777777 194A9F39-77777777 5ECB029B-77777777 2D2FD74A-2D8CC072 1F6309B3-77777777 3577ED5F-77777777 54DA2B14-77777777 50B388BD-77777777 129198C6-77777777 769E9CCC-77777777 3DF23924-77777777 1086FDA9-6F667140 25BDFF3C-77777777 04F5552D-77777777 52D1518C-77777777 43325C86-77777777 7E145366-77777777 6CD05E46-77777777 10BD84C4-77777777 519B04E1-77777777 431715FD-77777777 67B3541D-77777777 65AEC821-77777777 7D4093E5-77777777 3176A656-77777777 2FD80B88-77777777 0E3F3587-77777777 29F53CB5-3B60649D 4026BC3A-77777777 290FDA0F-77777777 602D34E2-77777777 4152AE39-6C7910F8 1BF29EAB-77777777 45BDD76B-77777777 1EFE00C9-77777777 1170DB7D-77777777 31A1144A-29B647C9 0B943879-77777777 50472869-77777777 54E635A9-77777777 1EA5755B-77777777 4C93D92F-77777777 5EFFB198-77777777 124D060A-77777777 72A7D529-77777777 2DA734D1-77777777 02A1F8C4-1499A86C 1AD12B95-77777777 6581A555-77777777 39B0932F-77777777 460B3BBB-53B64558 3B9BAF87-56D35383 37FF3D9D-77777777 55EB9137-77777777 492EDB5F-77777777 25A2B709-77777777 6E54A0D8-77777777 3FAB70BC-77777777 2F10B64A-77777777 2F2DEE21-77777777 10153924-77777777 193DC2B1-77777777 7162C502-77777777 752CCD38-77777777 52C9C1F9-77777777 21234533-77777777 612283E7-77777777 042B0E9C-77777777 02DC3A69-77777777 55B98969-77777777 49D974FC-77777777 3669D159-77777777 14910918-77777777 1B169551-77777777 4C6B15B9-77777777 432D371E-77777777 38A85CBB-77777777 2DFA3BD0-77777777 413D7279-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874E2"/>
    <w:multiLevelType w:val="hybridMultilevel"/>
    <w:tmpl w:val="FFFFFFFF"/>
    <w:lvl w:ilvl="0" w:tplc="383E16D2">
      <w:start w:val="1"/>
      <w:numFmt w:val="bullet"/>
      <w:lvlText w:val=""/>
      <w:lvlJc w:val="left"/>
      <w:pPr>
        <w:ind w:left="720" w:hanging="360"/>
      </w:pPr>
      <w:rPr>
        <w:rFonts w:ascii="Symbol" w:hAnsi="Symbol" w:hint="default"/>
      </w:rPr>
    </w:lvl>
    <w:lvl w:ilvl="1" w:tplc="C984544A">
      <w:start w:val="1"/>
      <w:numFmt w:val="bullet"/>
      <w:lvlText w:val="o"/>
      <w:lvlJc w:val="left"/>
      <w:pPr>
        <w:ind w:left="1440" w:hanging="360"/>
      </w:pPr>
      <w:rPr>
        <w:rFonts w:ascii="Courier New" w:hAnsi="Courier New" w:hint="default"/>
      </w:rPr>
    </w:lvl>
    <w:lvl w:ilvl="2" w:tplc="02D8559E">
      <w:start w:val="1"/>
      <w:numFmt w:val="bullet"/>
      <w:lvlText w:val=""/>
      <w:lvlJc w:val="left"/>
      <w:pPr>
        <w:ind w:left="2160" w:hanging="360"/>
      </w:pPr>
      <w:rPr>
        <w:rFonts w:ascii="Wingdings" w:hAnsi="Wingdings" w:hint="default"/>
      </w:rPr>
    </w:lvl>
    <w:lvl w:ilvl="3" w:tplc="267A8AA2">
      <w:start w:val="1"/>
      <w:numFmt w:val="bullet"/>
      <w:lvlText w:val=""/>
      <w:lvlJc w:val="left"/>
      <w:pPr>
        <w:ind w:left="2880" w:hanging="360"/>
      </w:pPr>
      <w:rPr>
        <w:rFonts w:ascii="Symbol" w:hAnsi="Symbol" w:hint="default"/>
      </w:rPr>
    </w:lvl>
    <w:lvl w:ilvl="4" w:tplc="0C5A2AB2">
      <w:start w:val="1"/>
      <w:numFmt w:val="bullet"/>
      <w:lvlText w:val="o"/>
      <w:lvlJc w:val="left"/>
      <w:pPr>
        <w:ind w:left="3600" w:hanging="360"/>
      </w:pPr>
      <w:rPr>
        <w:rFonts w:ascii="Courier New" w:hAnsi="Courier New" w:hint="default"/>
      </w:rPr>
    </w:lvl>
    <w:lvl w:ilvl="5" w:tplc="4FBC74AC">
      <w:start w:val="1"/>
      <w:numFmt w:val="bullet"/>
      <w:lvlText w:val=""/>
      <w:lvlJc w:val="left"/>
      <w:pPr>
        <w:ind w:left="4320" w:hanging="360"/>
      </w:pPr>
      <w:rPr>
        <w:rFonts w:ascii="Wingdings" w:hAnsi="Wingdings" w:hint="default"/>
      </w:rPr>
    </w:lvl>
    <w:lvl w:ilvl="6" w:tplc="59C41F22">
      <w:start w:val="1"/>
      <w:numFmt w:val="bullet"/>
      <w:lvlText w:val=""/>
      <w:lvlJc w:val="left"/>
      <w:pPr>
        <w:ind w:left="5040" w:hanging="360"/>
      </w:pPr>
      <w:rPr>
        <w:rFonts w:ascii="Symbol" w:hAnsi="Symbol" w:hint="default"/>
      </w:rPr>
    </w:lvl>
    <w:lvl w:ilvl="7" w:tplc="D3C84DD8">
      <w:start w:val="1"/>
      <w:numFmt w:val="bullet"/>
      <w:lvlText w:val="o"/>
      <w:lvlJc w:val="left"/>
      <w:pPr>
        <w:ind w:left="5760" w:hanging="360"/>
      </w:pPr>
      <w:rPr>
        <w:rFonts w:ascii="Courier New" w:hAnsi="Courier New" w:hint="default"/>
      </w:rPr>
    </w:lvl>
    <w:lvl w:ilvl="8" w:tplc="D74E5262">
      <w:start w:val="1"/>
      <w:numFmt w:val="bullet"/>
      <w:lvlText w:val=""/>
      <w:lvlJc w:val="left"/>
      <w:pPr>
        <w:ind w:left="6480" w:hanging="360"/>
      </w:pPr>
      <w:rPr>
        <w:rFonts w:ascii="Wingdings" w:hAnsi="Wingdings" w:hint="default"/>
      </w:rPr>
    </w:lvl>
  </w:abstractNum>
  <w:num w:numId="1" w16cid:durableId="1300960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A39"/>
    <w:rsid w:val="00012F89"/>
    <w:rsid w:val="00026565"/>
    <w:rsid w:val="00050A82"/>
    <w:rsid w:val="000B1C51"/>
    <w:rsid w:val="000B77DC"/>
    <w:rsid w:val="00146EF4"/>
    <w:rsid w:val="0014711B"/>
    <w:rsid w:val="001B7D64"/>
    <w:rsid w:val="001D722E"/>
    <w:rsid w:val="00236AEB"/>
    <w:rsid w:val="002531B8"/>
    <w:rsid w:val="002C1ABF"/>
    <w:rsid w:val="002E2BCD"/>
    <w:rsid w:val="0030440E"/>
    <w:rsid w:val="00304C3C"/>
    <w:rsid w:val="00314F32"/>
    <w:rsid w:val="003A1E84"/>
    <w:rsid w:val="003C50FF"/>
    <w:rsid w:val="004263CD"/>
    <w:rsid w:val="004617DE"/>
    <w:rsid w:val="004E793D"/>
    <w:rsid w:val="00542B1F"/>
    <w:rsid w:val="00547534"/>
    <w:rsid w:val="00574756"/>
    <w:rsid w:val="005810FC"/>
    <w:rsid w:val="005E527C"/>
    <w:rsid w:val="00636391"/>
    <w:rsid w:val="00654BF1"/>
    <w:rsid w:val="006A1B7D"/>
    <w:rsid w:val="006B7BB1"/>
    <w:rsid w:val="006C727C"/>
    <w:rsid w:val="006D58FD"/>
    <w:rsid w:val="007543A0"/>
    <w:rsid w:val="0078025C"/>
    <w:rsid w:val="007A07B6"/>
    <w:rsid w:val="008260B8"/>
    <w:rsid w:val="00831489"/>
    <w:rsid w:val="00843808"/>
    <w:rsid w:val="00883315"/>
    <w:rsid w:val="008C4EA9"/>
    <w:rsid w:val="008D5165"/>
    <w:rsid w:val="008E1358"/>
    <w:rsid w:val="008F1946"/>
    <w:rsid w:val="00914513"/>
    <w:rsid w:val="00962DA6"/>
    <w:rsid w:val="009D2BC9"/>
    <w:rsid w:val="00A3213E"/>
    <w:rsid w:val="00A411FB"/>
    <w:rsid w:val="00AF3F70"/>
    <w:rsid w:val="00B27A0D"/>
    <w:rsid w:val="00B50A64"/>
    <w:rsid w:val="00BD2540"/>
    <w:rsid w:val="00CB2C61"/>
    <w:rsid w:val="00CB66CE"/>
    <w:rsid w:val="00CF03A3"/>
    <w:rsid w:val="00D0063D"/>
    <w:rsid w:val="00D07AD1"/>
    <w:rsid w:val="00D3148C"/>
    <w:rsid w:val="00D32A39"/>
    <w:rsid w:val="00D41990"/>
    <w:rsid w:val="00D435AA"/>
    <w:rsid w:val="00D77DD5"/>
    <w:rsid w:val="00D9174E"/>
    <w:rsid w:val="00DE63E8"/>
    <w:rsid w:val="00E00F6E"/>
    <w:rsid w:val="00E135FF"/>
    <w:rsid w:val="00E17D35"/>
    <w:rsid w:val="00E56675"/>
    <w:rsid w:val="00E71CEE"/>
    <w:rsid w:val="00EA2C03"/>
    <w:rsid w:val="00EE1473"/>
    <w:rsid w:val="00EE27B5"/>
    <w:rsid w:val="00F06657"/>
    <w:rsid w:val="00F61D66"/>
    <w:rsid w:val="00F66680"/>
    <w:rsid w:val="00F82C70"/>
    <w:rsid w:val="017B5FC0"/>
    <w:rsid w:val="01F735AD"/>
    <w:rsid w:val="047204B0"/>
    <w:rsid w:val="089D956C"/>
    <w:rsid w:val="0A2DE319"/>
    <w:rsid w:val="0ACA2BF2"/>
    <w:rsid w:val="0B37C36E"/>
    <w:rsid w:val="0BC59D1C"/>
    <w:rsid w:val="0C03F7A3"/>
    <w:rsid w:val="0C1337B1"/>
    <w:rsid w:val="0E3C7557"/>
    <w:rsid w:val="1036D538"/>
    <w:rsid w:val="1245267B"/>
    <w:rsid w:val="13380E9A"/>
    <w:rsid w:val="13A38AB9"/>
    <w:rsid w:val="16562C12"/>
    <w:rsid w:val="167F7B7E"/>
    <w:rsid w:val="16D81C9D"/>
    <w:rsid w:val="185C8D3D"/>
    <w:rsid w:val="19D444C8"/>
    <w:rsid w:val="1AA0B633"/>
    <w:rsid w:val="1ACBF765"/>
    <w:rsid w:val="1CCF1660"/>
    <w:rsid w:val="1DC81DC1"/>
    <w:rsid w:val="1DCA6DEE"/>
    <w:rsid w:val="1F07A879"/>
    <w:rsid w:val="1F2B6A7F"/>
    <w:rsid w:val="1F47F87C"/>
    <w:rsid w:val="201ECC36"/>
    <w:rsid w:val="20A0865E"/>
    <w:rsid w:val="20DD3649"/>
    <w:rsid w:val="2191F962"/>
    <w:rsid w:val="25658543"/>
    <w:rsid w:val="25716278"/>
    <w:rsid w:val="26AEE7F7"/>
    <w:rsid w:val="27CB960B"/>
    <w:rsid w:val="2A08596C"/>
    <w:rsid w:val="2A7C2ECD"/>
    <w:rsid w:val="2B0DA83F"/>
    <w:rsid w:val="2D882791"/>
    <w:rsid w:val="30DCBAC4"/>
    <w:rsid w:val="310CD9CB"/>
    <w:rsid w:val="311F56FB"/>
    <w:rsid w:val="3157AEE8"/>
    <w:rsid w:val="31DF19F7"/>
    <w:rsid w:val="32F26A48"/>
    <w:rsid w:val="332457C1"/>
    <w:rsid w:val="3404BD70"/>
    <w:rsid w:val="3457385E"/>
    <w:rsid w:val="353B79AE"/>
    <w:rsid w:val="373FAB6A"/>
    <w:rsid w:val="3C9E43DC"/>
    <w:rsid w:val="3E8358B4"/>
    <w:rsid w:val="3F879865"/>
    <w:rsid w:val="439D6FBB"/>
    <w:rsid w:val="43E5D0CB"/>
    <w:rsid w:val="4501E790"/>
    <w:rsid w:val="4578369E"/>
    <w:rsid w:val="478ABABB"/>
    <w:rsid w:val="485F9C3A"/>
    <w:rsid w:val="4A250145"/>
    <w:rsid w:val="4F490F98"/>
    <w:rsid w:val="51692571"/>
    <w:rsid w:val="51CCBF50"/>
    <w:rsid w:val="531756D0"/>
    <w:rsid w:val="543D54A3"/>
    <w:rsid w:val="54458A8A"/>
    <w:rsid w:val="54775257"/>
    <w:rsid w:val="579D88AD"/>
    <w:rsid w:val="5A629FEA"/>
    <w:rsid w:val="5C45050B"/>
    <w:rsid w:val="5FE38F29"/>
    <w:rsid w:val="61D02284"/>
    <w:rsid w:val="62AC0621"/>
    <w:rsid w:val="6652A8D2"/>
    <w:rsid w:val="6687C61E"/>
    <w:rsid w:val="67061AC6"/>
    <w:rsid w:val="675D7376"/>
    <w:rsid w:val="6855CC4B"/>
    <w:rsid w:val="68A830AB"/>
    <w:rsid w:val="6B4DC6B5"/>
    <w:rsid w:val="6BE4A3F9"/>
    <w:rsid w:val="6C30EDA6"/>
    <w:rsid w:val="6D616552"/>
    <w:rsid w:val="6EDD5C15"/>
    <w:rsid w:val="6FF36883"/>
    <w:rsid w:val="73A1A190"/>
    <w:rsid w:val="75F44593"/>
    <w:rsid w:val="77718B96"/>
    <w:rsid w:val="784F51D1"/>
    <w:rsid w:val="79171AAB"/>
    <w:rsid w:val="7D6E0A39"/>
    <w:rsid w:val="7E16571E"/>
    <w:rsid w:val="7F30CD73"/>
    <w:rsid w:val="7FDACFEC"/>
    <w:rsid w:val="7FF3BAA5"/>
    <w:rsid w:val="7FFADD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91B63F2"/>
  <w15:chartTrackingRefBased/>
  <w15:docId w15:val="{54A6575B-C501-46EB-A8F4-C0B7D35CA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2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2A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2A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2A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2A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A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A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A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A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2A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2A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2A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2A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2A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A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A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A39"/>
    <w:rPr>
      <w:rFonts w:eastAsiaTheme="majorEastAsia" w:cstheme="majorBidi"/>
      <w:color w:val="272727" w:themeColor="text1" w:themeTint="D8"/>
    </w:rPr>
  </w:style>
  <w:style w:type="paragraph" w:styleId="Title">
    <w:name w:val="Title"/>
    <w:basedOn w:val="Normal"/>
    <w:next w:val="Normal"/>
    <w:link w:val="TitleChar"/>
    <w:uiPriority w:val="10"/>
    <w:qFormat/>
    <w:rsid w:val="00D32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A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A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A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A39"/>
    <w:pPr>
      <w:spacing w:before="160"/>
      <w:jc w:val="center"/>
    </w:pPr>
    <w:rPr>
      <w:i/>
      <w:iCs/>
      <w:color w:val="404040" w:themeColor="text1" w:themeTint="BF"/>
    </w:rPr>
  </w:style>
  <w:style w:type="character" w:customStyle="1" w:styleId="QuoteChar">
    <w:name w:val="Quote Char"/>
    <w:basedOn w:val="DefaultParagraphFont"/>
    <w:link w:val="Quote"/>
    <w:uiPriority w:val="29"/>
    <w:rsid w:val="00D32A39"/>
    <w:rPr>
      <w:i/>
      <w:iCs/>
      <w:color w:val="404040" w:themeColor="text1" w:themeTint="BF"/>
    </w:rPr>
  </w:style>
  <w:style w:type="paragraph" w:styleId="ListParagraph">
    <w:name w:val="List Paragraph"/>
    <w:basedOn w:val="Normal"/>
    <w:uiPriority w:val="34"/>
    <w:qFormat/>
    <w:rsid w:val="00D32A39"/>
    <w:pPr>
      <w:ind w:left="720"/>
      <w:contextualSpacing/>
    </w:pPr>
  </w:style>
  <w:style w:type="character" w:styleId="IntenseEmphasis">
    <w:name w:val="Intense Emphasis"/>
    <w:basedOn w:val="DefaultParagraphFont"/>
    <w:uiPriority w:val="21"/>
    <w:qFormat/>
    <w:rsid w:val="00D32A39"/>
    <w:rPr>
      <w:i/>
      <w:iCs/>
      <w:color w:val="0F4761" w:themeColor="accent1" w:themeShade="BF"/>
    </w:rPr>
  </w:style>
  <w:style w:type="paragraph" w:styleId="IntenseQuote">
    <w:name w:val="Intense Quote"/>
    <w:basedOn w:val="Normal"/>
    <w:next w:val="Normal"/>
    <w:link w:val="IntenseQuoteChar"/>
    <w:uiPriority w:val="30"/>
    <w:qFormat/>
    <w:rsid w:val="00D32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2A39"/>
    <w:rPr>
      <w:i/>
      <w:iCs/>
      <w:color w:val="0F4761" w:themeColor="accent1" w:themeShade="BF"/>
    </w:rPr>
  </w:style>
  <w:style w:type="character" w:styleId="IntenseReference">
    <w:name w:val="Intense Reference"/>
    <w:basedOn w:val="DefaultParagraphFont"/>
    <w:uiPriority w:val="32"/>
    <w:qFormat/>
    <w:rsid w:val="00D32A39"/>
    <w:rPr>
      <w:b/>
      <w:bCs/>
      <w:smallCaps/>
      <w:color w:val="0F4761" w:themeColor="accent1" w:themeShade="BF"/>
      <w:spacing w:val="5"/>
    </w:rPr>
  </w:style>
  <w:style w:type="paragraph" w:customStyle="1" w:styleId="p1">
    <w:name w:val="p1"/>
    <w:basedOn w:val="Normal"/>
    <w:rsid w:val="00D32A3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32A39"/>
  </w:style>
  <w:style w:type="paragraph" w:customStyle="1" w:styleId="p2">
    <w:name w:val="p2"/>
    <w:basedOn w:val="Normal"/>
    <w:rsid w:val="00D32A3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D32A39"/>
  </w:style>
  <w:style w:type="paragraph" w:customStyle="1" w:styleId="p3">
    <w:name w:val="p3"/>
    <w:basedOn w:val="Normal"/>
    <w:rsid w:val="0014711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654BF1"/>
  </w:style>
  <w:style w:type="character" w:styleId="PlaceholderText">
    <w:name w:val="Placeholder Text"/>
    <w:basedOn w:val="DefaultParagraphFont"/>
    <w:uiPriority w:val="99"/>
    <w:semiHidden/>
    <w:rsid w:val="00636391"/>
    <w:rPr>
      <w:color w:val="808080" w:themeColor="background1" w:themeShade="80"/>
    </w:rPr>
  </w:style>
  <w:style w:type="character" w:styleId="Hyperlink">
    <w:name w:val="Hyperlink"/>
    <w:basedOn w:val="DefaultParagraphFont"/>
    <w:uiPriority w:val="99"/>
    <w:unhideWhenUsed/>
    <w:rsid w:val="00636391"/>
    <w:rPr>
      <w:color w:val="467886"/>
      <w:u w:val="single"/>
    </w:rPr>
  </w:style>
  <w:style w:type="character" w:styleId="FollowedHyperlink">
    <w:name w:val="FollowedHyperlink"/>
    <w:basedOn w:val="DefaultParagraphFont"/>
    <w:uiPriority w:val="99"/>
    <w:semiHidden/>
    <w:unhideWhenUsed/>
    <w:rsid w:val="00914513"/>
    <w:rPr>
      <w:color w:val="96607D" w:themeColor="followedHyperlink"/>
      <w:u w:val="single"/>
    </w:rPr>
  </w:style>
  <w:style w:type="character" w:styleId="UnresolvedMention">
    <w:name w:val="Unresolved Mention"/>
    <w:basedOn w:val="DefaultParagraphFont"/>
    <w:uiPriority w:val="99"/>
    <w:semiHidden/>
    <w:unhideWhenUsed/>
    <w:rsid w:val="00831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globalassets/standards/standard-of-conduct-performance-and-ethics/revised-standards-2023/revised-standards-of-conduct-performance-and-ethics.p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22/31/contents" TargetMode="External"/><Relationship Id="rId12" Type="http://schemas.openxmlformats.org/officeDocument/2006/relationships/hyperlink" Target="https://www.who.int/publications/i/item/innovative-care-for-chronic-conditions-building-blocks-for-actions"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www.cqc.org.uk/about-us/fundamental-standards" TargetMode="External"/><Relationship Id="rId11" Type="http://schemas.openxmlformats.org/officeDocument/2006/relationships/hyperlink" Target="https://www.open.edu/openlearn/" TargetMode="External"/><Relationship Id="rId5" Type="http://schemas.openxmlformats.org/officeDocument/2006/relationships/hyperlink" Target="https://www.scie.org.uk/care-act-2014" TargetMode="External"/><Relationship Id="rId15" Type="http://schemas.openxmlformats.org/officeDocument/2006/relationships/theme" Target="theme/theme1.xml"/><Relationship Id="rId10" Type="http://schemas.openxmlformats.org/officeDocument/2006/relationships/hyperlink" Target="https://www.legislation.gov.uk/ukpga/2005/9/pdfs/ukpga_20050009_en.pdf" TargetMode="External"/><Relationship Id="rId4" Type="http://schemas.openxmlformats.org/officeDocument/2006/relationships/webSettings" Target="webSettings.xml"/><Relationship Id="rId9" Type="http://schemas.openxmlformats.org/officeDocument/2006/relationships/hyperlink" Target="https://ilcuk.org.uk/wp-content/uploads/2018/10/IntegratedCare.pdf"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1B54D8989F944B831FCEBF8DA6E917"/>
        <w:category>
          <w:name w:val="General"/>
          <w:gallery w:val="placeholder"/>
        </w:category>
        <w:types>
          <w:type w:val="bbPlcHdr"/>
        </w:types>
        <w:behaviors>
          <w:behavior w:val="content"/>
        </w:behaviors>
        <w:guid w:val="{B4CAE84D-1096-B346-9C69-8B436ED9B4EC}"/>
      </w:docPartPr>
      <w:docPartBody>
        <w:p w:rsidR="000004A5" w:rsidRDefault="000004A5">
          <w:pPr>
            <w:pStyle w:val="911B54D8989F944B831FCEBF8DA6E917"/>
          </w:pPr>
          <w:r w:rsidRPr="0E3C7557">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6A3"/>
    <w:rsid w:val="000004A5"/>
    <w:rsid w:val="002F1820"/>
    <w:rsid w:val="004E793D"/>
    <w:rsid w:val="00BF3BD4"/>
    <w:rsid w:val="00E56675"/>
    <w:rsid w:val="00EC36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1B54D8989F944B831FCEBF8DA6E917">
    <w:name w:val="911B54D8989F944B831FCEBF8DA6E9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52bb48-3627-4b32-bd67-586a7955e39c">
  <we:reference id="8c1c3d44-57e9-40d7-86e4-4adf88fea1dd" version="3.0.0.0" store="excatalog" storeType="excatalog"/>
  <we:alternateReferences>
    <we:reference id="WA200007520" version="3.0.0.0" store="en-us" storeType="omex"/>
  </we:alternateReferences>
  <we:properties>
    <we:property name="rw.officeVersion" value="&quot;1.3&quot;"/>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formatForFootnotesEnabled" value="&quot;formatForFootnotesDisabled&quot;"/>
    <we:property name="currentFolder" value="{&quot;depth&quot;:0,&quot;id&quot;:&quot;all&quot;,&quot;name&quot;:&quot;All references&quot;,&quot;parentId&quot;:null,&quot;position&quot;:-2,&quot;isShared&quot;:false}"/>
    <we:property name="citations" value="{&quot;2098967681&quot;:{&quot;referencesIds&quot;:[&quot;doc:69a5847753d1710edc199815&quot;,&quot;doc:69a5845e6c23824ee930a581&quot;,&quot;doc:69a5845e0b7c5e250b89afca&quot;],&quot;referencesOptions&quot;:{&quot;doc:69a5847753d1710edc199815&quot;:{&quot;author&quot;:true,&quot;year&quot;:true,&quot;formatAuthorYear&quot;:false,&quot;pageReplace&quot;:&quot;&quot;,&quot;additionalField&quot;:&quot;&quot;,&quot;additionalValue&quot;:&quot;&quot;,&quot;prefix&quot;:&quot;&quot;,&quot;suffix&quot;:&quot;&quot;},&quot;doc:69a5845e6c23824ee930a581&quot;:{&quot;author&quot;:true,&quot;year&quot;:true,&quot;formatAuthorYear&quot;:false,&quot;pageReplace&quot;:&quot;&quot;,&quot;additionalField&quot;:&quot;&quot;,&quot;additionalValue&quot;:&quot;&quot;,&quot;prefix&quot;:&quot;&quot;,&quot;suffix&quot;:&quot;&quot;},&quot;doc:69a5845e0b7c5e250b89af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8967681,&quot;citationText&quot;:&quot;(Innovative Care for Chronic Conditions: Building Blocks for Action2002; Sullivan and Skelcher, 2002; Steel, 20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Pages>
  <Words>2883</Words>
  <Characters>16437</Characters>
  <Application>Microsoft Office Word</Application>
  <DocSecurity>4</DocSecurity>
  <Lines>136</Lines>
  <Paragraphs>38</Paragraphs>
  <ScaleCrop>false</ScaleCrop>
  <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Mukendi Matumba (2426801)</dc:creator>
  <cp:keywords/>
  <dc:description/>
  <cp:lastModifiedBy>Mukendi Matumba (2426801)</cp:lastModifiedBy>
  <cp:revision>51</cp:revision>
  <dcterms:created xsi:type="dcterms:W3CDTF">2026-02-28T22:00:00Z</dcterms:created>
  <dcterms:modified xsi:type="dcterms:W3CDTF">2026-03-02T13:48:00Z</dcterms:modified>
</cp:coreProperties>
</file>