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0D07496" w14:textId="77777777" w:rsidR="00AC3A7E" w:rsidRPr="00AC3A7E" w:rsidRDefault="00AC3A7E" w:rsidP="00AC3A7E">
      <w:pPr>
        <w:spacing w:before="480" w:after="240" w:line="240" w:lineRule="auto"/>
        <w:outlineLvl w:val="2"/>
        <w:rPr>
          <w:rFonts w:ascii="Segoe UI" w:eastAsia="Times New Roman" w:hAnsi="Segoe UI" w:cs="Segoe UI"/>
          <w:b/>
          <w:bCs/>
          <w:color w:val="0F1115"/>
          <w:kern w:val="0"/>
          <w:sz w:val="27"/>
          <w:szCs w:val="27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sz w:val="27"/>
          <w:szCs w:val="27"/>
          <w:lang w:eastAsia="en-GB"/>
          <w14:ligatures w14:val="none"/>
        </w:rPr>
        <w:t>Analysis of Significant Changes</w:t>
      </w:r>
    </w:p>
    <w:p w14:paraId="18157171" w14:textId="77777777" w:rsidR="00AC3A7E" w:rsidRPr="00AC3A7E" w:rsidRDefault="00AC3A7E" w:rsidP="00AC3A7E">
      <w:pPr>
        <w:spacing w:before="240" w:after="24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 xml:space="preserve">The CCC has been consistently negative across all periods, meaning Greene King is able to collect cash from customers and sell inventory long before it needs to pay its suppliers, a very </w:t>
      </w:r>
      <w:proofErr w:type="spellStart"/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favorable</w:t>
      </w:r>
      <w:proofErr w:type="spellEnd"/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 xml:space="preserve"> working capital position. The key driver of this negative cycle is the high number of payable days compared to receivable and inventory days.</w:t>
      </w:r>
    </w:p>
    <w:p w14:paraId="09ADB274" w14:textId="77777777" w:rsidR="00AC3A7E" w:rsidRPr="00AC3A7E" w:rsidRDefault="00AC3A7E" w:rsidP="00AC3A7E">
      <w:pPr>
        <w:numPr>
          <w:ilvl w:val="0"/>
          <w:numId w:val="1"/>
        </w:numPr>
        <w:spacing w:after="12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2020 vs. 2022 (COVID-19 Impact):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The biggest fluctuation occurred between 2020 and 2022. The CCC moved from </w:t>
      </w: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-27.0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to </w:t>
      </w: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-5.4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, an 80% increase in the cycle. This was driven by a dramatic decline in the company's ability to get cash from its core operations during the pandemic.</w:t>
      </w:r>
    </w:p>
    <w:p w14:paraId="67A3BAAB" w14:textId="77777777" w:rsidR="00AC3A7E" w:rsidRPr="00AC3A7E" w:rsidRDefault="00AC3A7E" w:rsidP="00AC3A7E">
      <w:pPr>
        <w:numPr>
          <w:ilvl w:val="1"/>
          <w:numId w:val="1"/>
        </w:numPr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Inventory Days surged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from 21.9 to 42.8 days as pubs were closed and sales collapsed, leaving stock to accumulate.</w:t>
      </w:r>
    </w:p>
    <w:p w14:paraId="0F3D2A9C" w14:textId="77777777" w:rsidR="00AC3A7E" w:rsidRPr="00AC3A7E" w:rsidRDefault="00AC3A7E" w:rsidP="00AC3A7E">
      <w:pPr>
        <w:numPr>
          <w:ilvl w:val="1"/>
          <w:numId w:val="1"/>
        </w:numPr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Receivable Days more than doubled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from 6.5 to 17.2 days, reflecting the severe financial distress of customers (the hospitality sector) and the government furlough subsidy receivable at the year-end.</w:t>
      </w:r>
    </w:p>
    <w:p w14:paraId="38985925" w14:textId="77777777" w:rsidR="00AC3A7E" w:rsidRPr="00AC3A7E" w:rsidRDefault="00AC3A7E" w:rsidP="00AC3A7E">
      <w:pPr>
        <w:numPr>
          <w:ilvl w:val="1"/>
          <w:numId w:val="1"/>
        </w:numPr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Payable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increased to 65.4 days as the company delayed payments to preserve cash, but this was insufficient to offset the operational disruptions.</w:t>
      </w:r>
    </w:p>
    <w:p w14:paraId="47A0BC4E" w14:textId="77777777" w:rsidR="00AC3A7E" w:rsidRPr="00AC3A7E" w:rsidRDefault="00AC3A7E" w:rsidP="00AC3A7E">
      <w:pPr>
        <w:numPr>
          <w:ilvl w:val="0"/>
          <w:numId w:val="1"/>
        </w:numPr>
        <w:spacing w:after="12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2022 vs. 2023 (Recovery):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As the business re-opened post-pandemic, the CCC normalized. It moved from </w:t>
      </w: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-5.4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to </w:t>
      </w: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-3.4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.</w:t>
      </w:r>
    </w:p>
    <w:p w14:paraId="7C64CA55" w14:textId="77777777" w:rsidR="00AC3A7E" w:rsidRPr="00AC3A7E" w:rsidRDefault="00AC3A7E" w:rsidP="00AC3A7E">
      <w:pPr>
        <w:numPr>
          <w:ilvl w:val="1"/>
          <w:numId w:val="1"/>
        </w:numPr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Inventory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dropped significantly from 42.8 to 29.1 days as trade returned and stock was sold.</w:t>
      </w:r>
    </w:p>
    <w:p w14:paraId="41B32274" w14:textId="77777777" w:rsidR="00AC3A7E" w:rsidRPr="00AC3A7E" w:rsidRDefault="00AC3A7E" w:rsidP="00AC3A7E">
      <w:pPr>
        <w:numPr>
          <w:ilvl w:val="1"/>
          <w:numId w:val="1"/>
        </w:numPr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Receivable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fell from 17.2 to 10.4 days as cash collection normalized and the government receivable was collected.</w:t>
      </w:r>
    </w:p>
    <w:p w14:paraId="103D947C" w14:textId="77777777" w:rsidR="00AC3A7E" w:rsidRPr="00AC3A7E" w:rsidRDefault="00AC3A7E" w:rsidP="00AC3A7E">
      <w:pPr>
        <w:numPr>
          <w:ilvl w:val="1"/>
          <w:numId w:val="1"/>
        </w:numPr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Payable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fell more sharply from 65.4 to 42.9 days, as the group likely cleared deferred payables and returned to standard payment terms, reducing its cash advantage.</w:t>
      </w:r>
    </w:p>
    <w:p w14:paraId="25761272" w14:textId="77777777" w:rsidR="00AC3A7E" w:rsidRPr="00AC3A7E" w:rsidRDefault="00AC3A7E" w:rsidP="00AC3A7E">
      <w:pPr>
        <w:numPr>
          <w:ilvl w:val="0"/>
          <w:numId w:val="1"/>
        </w:numPr>
        <w:spacing w:after="12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2023 vs. 2024 (Increased Efficiency):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The cycle improved significantly, dropping from </w:t>
      </w: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-3.4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to </w:t>
      </w: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-29.6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, a dramatic shift back towards pre-pandemic levels. This reflects a strong focus on working capital management.</w:t>
      </w:r>
    </w:p>
    <w:p w14:paraId="3DAE5823" w14:textId="77777777" w:rsidR="00AC3A7E" w:rsidRPr="00AC3A7E" w:rsidRDefault="00AC3A7E" w:rsidP="00AC3A7E">
      <w:pPr>
        <w:numPr>
          <w:ilvl w:val="1"/>
          <w:numId w:val="1"/>
        </w:numPr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Payable Days surged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from 42.9 to </w:t>
      </w: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78.6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. This is the primary driver of the improvement and could indicate a strategic decision to extend payment terms with suppliers, a change in payment practices, or a significant shift in the mix of goods purchased.</w:t>
      </w:r>
    </w:p>
    <w:p w14:paraId="6477FD72" w14:textId="77777777" w:rsidR="00AC3A7E" w:rsidRPr="00AC3A7E" w:rsidRDefault="00AC3A7E" w:rsidP="00AC3A7E">
      <w:pPr>
        <w:numPr>
          <w:ilvl w:val="1"/>
          <w:numId w:val="1"/>
        </w:numPr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Inventory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increased to 39.6 days, a slight uptick due to a rebuilding of stock levels to support higher sales.</w:t>
      </w:r>
    </w:p>
    <w:p w14:paraId="6A42EA3C" w14:textId="77777777" w:rsidR="00AC3A7E" w:rsidRPr="00AC3A7E" w:rsidRDefault="00AC3A7E" w:rsidP="00AC3A7E">
      <w:pPr>
        <w:numPr>
          <w:ilvl w:val="1"/>
          <w:numId w:val="1"/>
        </w:numPr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Receivable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stayed stable at 9.4 days.</w:t>
      </w:r>
    </w:p>
    <w:p w14:paraId="2420E840" w14:textId="77777777" w:rsidR="00AC3A7E" w:rsidRPr="00AC3A7E" w:rsidRDefault="00AC3A7E" w:rsidP="00AC3A7E">
      <w:pPr>
        <w:numPr>
          <w:ilvl w:val="0"/>
          <w:numId w:val="1"/>
        </w:numPr>
        <w:spacing w:after="12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2024 vs. 2025 (Sustained Efficiency):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The company maintained a highly negative CCC of </w:t>
      </w: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-28.7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.</w:t>
      </w:r>
    </w:p>
    <w:p w14:paraId="1D7A9AAC" w14:textId="77777777" w:rsidR="00AC3A7E" w:rsidRPr="00AC3A7E" w:rsidRDefault="00AC3A7E" w:rsidP="00AC3A7E">
      <w:pPr>
        <w:numPr>
          <w:ilvl w:val="1"/>
          <w:numId w:val="1"/>
        </w:numPr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lastRenderedPageBreak/>
        <w:t>Payable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remained very high at 74.8 days, suggesting the extended payment terms were a structural change.</w:t>
      </w:r>
    </w:p>
    <w:p w14:paraId="038C6D8A" w14:textId="77777777" w:rsidR="00AC3A7E" w:rsidRPr="00AC3A7E" w:rsidRDefault="00AC3A7E" w:rsidP="00AC3A7E">
      <w:pPr>
        <w:numPr>
          <w:ilvl w:val="1"/>
          <w:numId w:val="1"/>
        </w:numPr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Inventory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improved from 39.6 to 36.6 days, showing better stock management.</w:t>
      </w:r>
    </w:p>
    <w:p w14:paraId="3D52EB53" w14:textId="77777777" w:rsidR="00AC3A7E" w:rsidRPr="00AC3A7E" w:rsidRDefault="00AC3A7E" w:rsidP="00AC3A7E">
      <w:pPr>
        <w:numPr>
          <w:ilvl w:val="1"/>
          <w:numId w:val="1"/>
        </w:numPr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AC3A7E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Receivable Days</w:t>
      </w:r>
      <w:r w:rsidRPr="00AC3A7E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remained low at 9.5 days.</w:t>
      </w:r>
    </w:p>
    <w:p w14:paraId="3346025E" w14:textId="77777777" w:rsidR="00AC3A7E" w:rsidRDefault="00AC3A7E"/>
    <w:sectPr w:rsidR="00AC3A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6D703DE1"/>
    <w:multiLevelType w:val="multilevel"/>
    <w:tmpl w:val="1E18DE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1260201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3A7E"/>
    <w:rsid w:val="006A09EB"/>
    <w:rsid w:val="00AC3A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CB6961"/>
  <w15:chartTrackingRefBased/>
  <w15:docId w15:val="{3C41B58D-830B-A948-B54A-8A99A815E0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3A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3A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C3A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3A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3A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3A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3A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3A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3A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3A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3A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C3A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3A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3A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3A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3A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3A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3A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3A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3A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3A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3A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3A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3A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3A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3A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3A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3A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3A7E"/>
    <w:rPr>
      <w:b/>
      <w:bCs/>
      <w:smallCaps/>
      <w:color w:val="0F4761" w:themeColor="accent1" w:themeShade="BF"/>
      <w:spacing w:val="5"/>
    </w:rPr>
  </w:style>
  <w:style w:type="paragraph" w:customStyle="1" w:styleId="ds-markdown-paragraph">
    <w:name w:val="ds-markdown-paragraph"/>
    <w:basedOn w:val="Normal"/>
    <w:rsid w:val="00AC3A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AC3A7E"/>
    <w:rPr>
      <w:b/>
      <w:bCs/>
    </w:rPr>
  </w:style>
  <w:style w:type="character" w:customStyle="1" w:styleId="apple-converted-space">
    <w:name w:val="apple-converted-space"/>
    <w:basedOn w:val="DefaultParagraphFont"/>
    <w:rsid w:val="00AC3A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388</Words>
  <Characters>2213</Characters>
  <Application>Microsoft Office Word</Application>
  <DocSecurity>0</DocSecurity>
  <Lines>18</Lines>
  <Paragraphs>5</Paragraphs>
  <ScaleCrop>false</ScaleCrop>
  <Company/>
  <LinksUpToDate>false</LinksUpToDate>
  <CharactersWithSpaces>2596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Karankumar Rameshbhai Chaudhary (2538332)</dc:creator>
  <cp:keywords/>
  <dc:description/>
  <cp:lastModifiedBy>Karankumar Rameshbhai Chaudhary (2538332)</cp:lastModifiedBy>
  <cp:revision>1</cp:revision>
  <dcterms:created xsi:type="dcterms:W3CDTF">2026-07-29T08:58:00Z</dcterms:created>
  <dcterms:modified xsi:type="dcterms:W3CDTF">2026-07-29T08:59:00Z</dcterms:modified>
</cp:coreProperties>
</file>