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spacing w:before="0" w:beforeAutospacing="0" w:after="0" w:afterAutospacing="0" w:line="360" w:lineRule="auto"/>
        <w:jc w:val="center"/>
        <w:textAlignment w:val="baseline"/>
        <w:rPr>
          <w:rStyle w:val="14"/>
          <w:b/>
          <w:color w:val="000000" w:themeColor="text1"/>
          <w:sz w:val="32"/>
          <w:lang w:val="en-GB"/>
        </w:rPr>
      </w:pPr>
      <w:r>
        <w:rPr>
          <w:rStyle w:val="14"/>
          <w:b/>
          <w:color w:val="000000" w:themeColor="text1"/>
          <w:sz w:val="32"/>
          <w:lang w:val="en-GB"/>
        </w:rPr>
        <w:t>B</w:t>
      </w:r>
      <w:r>
        <w:rPr>
          <w:b/>
          <w:color w:val="000000" w:themeColor="text1"/>
          <w:sz w:val="32"/>
        </w:rPr>
        <w:t>A (Hons) Leadership and Management Skills for the Workplace</w:t>
      </w:r>
    </w:p>
    <w:p>
      <w:pPr>
        <w:pStyle w:val="13"/>
        <w:spacing w:before="0" w:beforeAutospacing="0" w:after="0" w:afterAutospacing="0" w:line="360" w:lineRule="auto"/>
        <w:jc w:val="center"/>
        <w:textAlignment w:val="baseline"/>
        <w:rPr>
          <w:b/>
          <w:color w:val="000000" w:themeColor="text1"/>
          <w:sz w:val="32"/>
        </w:rPr>
      </w:pPr>
      <w:r>
        <w:rPr>
          <w:b/>
          <w:color w:val="000000" w:themeColor="text1"/>
          <w:sz w:val="32"/>
        </w:rPr>
        <w:t>Coaching &amp; Mentoring Skills for the Workplace</w:t>
      </w:r>
    </w:p>
    <w:p>
      <w:pPr>
        <w:pStyle w:val="13"/>
        <w:spacing w:before="0" w:beforeAutospacing="0" w:after="0" w:afterAutospacing="0" w:line="360" w:lineRule="auto"/>
        <w:jc w:val="center"/>
        <w:textAlignment w:val="baseline"/>
        <w:rPr>
          <w:b/>
          <w:color w:val="000000" w:themeColor="text1"/>
          <w:sz w:val="32"/>
        </w:rPr>
      </w:pPr>
    </w:p>
    <w:p>
      <w:pPr>
        <w:pStyle w:val="13"/>
        <w:spacing w:before="0" w:beforeAutospacing="0" w:after="0" w:afterAutospacing="0" w:line="360" w:lineRule="auto"/>
        <w:jc w:val="both"/>
        <w:textAlignment w:val="baseline"/>
        <w:rPr>
          <w:rFonts w:hint="default"/>
          <w:b/>
          <w:color w:val="000000" w:themeColor="text1"/>
          <w:sz w:val="32"/>
          <w:lang w:val="en-US"/>
        </w:rPr>
      </w:pPr>
      <w:r>
        <w:rPr>
          <w:rFonts w:hint="default"/>
          <w:b/>
          <w:color w:val="000000" w:themeColor="text1"/>
          <w:sz w:val="32"/>
          <w:lang w:val="en-US"/>
        </w:rPr>
        <w:t xml:space="preserve">   Role play Task 1  and Report  Task 2</w:t>
      </w:r>
    </w:p>
    <w:p>
      <w:pPr>
        <w:pStyle w:val="13"/>
        <w:spacing w:before="0" w:beforeAutospacing="0" w:after="0" w:afterAutospacing="0" w:line="360" w:lineRule="auto"/>
        <w:jc w:val="both"/>
        <w:textAlignment w:val="baseline"/>
        <w:rPr>
          <w:rFonts w:hint="default"/>
          <w:b/>
          <w:color w:val="000000" w:themeColor="text1"/>
          <w:sz w:val="32"/>
          <w:lang w:val="en-US"/>
        </w:rPr>
      </w:pPr>
      <w:r>
        <w:rPr>
          <w:rFonts w:hint="default"/>
          <w:b/>
          <w:color w:val="000000" w:themeColor="text1"/>
          <w:sz w:val="32"/>
          <w:lang w:val="en-US"/>
        </w:rPr>
        <w:t xml:space="preserve">   Module code : BMSW6105 </w:t>
      </w:r>
    </w:p>
    <w:p>
      <w:pPr>
        <w:pStyle w:val="13"/>
        <w:spacing w:before="0" w:beforeAutospacing="0" w:after="0" w:afterAutospacing="0" w:line="360" w:lineRule="auto"/>
        <w:ind w:firstLine="320" w:firstLineChars="100"/>
        <w:jc w:val="both"/>
        <w:textAlignment w:val="baseline"/>
        <w:rPr>
          <w:rFonts w:hint="default"/>
          <w:b/>
          <w:color w:val="000000" w:themeColor="text1"/>
          <w:sz w:val="32"/>
          <w:lang w:val="en-US"/>
        </w:rPr>
      </w:pPr>
      <w:r>
        <w:rPr>
          <w:rFonts w:hint="default"/>
          <w:b/>
          <w:color w:val="000000" w:themeColor="text1"/>
          <w:sz w:val="32"/>
          <w:lang w:val="en-US"/>
        </w:rPr>
        <w:t xml:space="preserve">Lecturer Name : Nishi Ramsurrun </w:t>
      </w:r>
    </w:p>
    <w:p>
      <w:pPr>
        <w:pStyle w:val="13"/>
        <w:spacing w:before="0" w:beforeAutospacing="0" w:after="0" w:afterAutospacing="0" w:line="360" w:lineRule="auto"/>
        <w:ind w:firstLine="320" w:firstLineChars="100"/>
        <w:jc w:val="both"/>
        <w:textAlignment w:val="baseline"/>
        <w:rPr>
          <w:b/>
          <w:color w:val="000000" w:themeColor="text1"/>
          <w:sz w:val="32"/>
        </w:rPr>
      </w:pPr>
      <w:r>
        <w:rPr>
          <w:b/>
          <w:color w:val="000000" w:themeColor="text1"/>
          <w:sz w:val="32"/>
        </w:rPr>
        <w:t>Student Name:</w:t>
      </w:r>
      <w:r>
        <w:rPr>
          <w:rFonts w:hint="default"/>
          <w:b/>
          <w:color w:val="000000" w:themeColor="text1"/>
          <w:sz w:val="32"/>
          <w:lang w:val="en-US"/>
        </w:rPr>
        <w:t xml:space="preserve"> Iosif Tcaciu</w:t>
      </w:r>
    </w:p>
    <w:p>
      <w:pPr>
        <w:pStyle w:val="13"/>
        <w:spacing w:before="0" w:beforeAutospacing="0" w:after="0" w:afterAutospacing="0" w:line="360" w:lineRule="auto"/>
        <w:ind w:firstLine="320" w:firstLineChars="100"/>
        <w:jc w:val="both"/>
        <w:textAlignment w:val="baseline"/>
        <w:rPr>
          <w:rFonts w:hint="default"/>
          <w:b/>
          <w:color w:val="000000" w:themeColor="text1"/>
          <w:sz w:val="32"/>
          <w:lang w:val="en-US"/>
        </w:rPr>
      </w:pPr>
      <w:r>
        <w:rPr>
          <w:b/>
          <w:color w:val="000000" w:themeColor="text1"/>
          <w:sz w:val="32"/>
        </w:rPr>
        <w:t>Student ID:</w:t>
      </w:r>
      <w:r>
        <w:rPr>
          <w:rFonts w:hint="default"/>
          <w:b/>
          <w:color w:val="000000" w:themeColor="text1"/>
          <w:sz w:val="32"/>
          <w:lang w:val="en-US"/>
        </w:rPr>
        <w:t xml:space="preserve"> 2022775 </w:t>
      </w:r>
    </w:p>
    <w:p>
      <w:pPr>
        <w:pStyle w:val="13"/>
        <w:spacing w:before="0" w:beforeAutospacing="0" w:after="0" w:afterAutospacing="0" w:line="360" w:lineRule="auto"/>
        <w:jc w:val="both"/>
        <w:textAlignment w:val="baseline"/>
        <w:rPr>
          <w:color w:val="000000" w:themeColor="text1"/>
        </w:rPr>
      </w:pPr>
    </w:p>
    <w:p>
      <w:pPr>
        <w:spacing w:line="360" w:lineRule="auto"/>
        <w:rPr>
          <w:rFonts w:ascii="Times New Roman" w:hAnsi="Times New Roman" w:eastAsia="Times New Roman" w:cs="Times New Roman"/>
          <w:color w:val="000000" w:themeColor="text1"/>
          <w:sz w:val="24"/>
          <w:szCs w:val="24"/>
        </w:rPr>
      </w:pPr>
      <w:bookmarkStart w:id="9" w:name="_GoBack"/>
      <w:bookmarkEnd w:id="9"/>
      <w:r>
        <w:rPr>
          <w:color w:val="000000" w:themeColor="text1"/>
        </w:rPr>
        <w:br w:type="page"/>
      </w:r>
    </w:p>
    <w:sdt>
      <w:sdtPr>
        <w:rPr>
          <w:rFonts w:ascii="Times New Roman" w:hAnsi="Times New Roman" w:cs="Times New Roman" w:eastAsiaTheme="minorEastAsia"/>
          <w:b w:val="0"/>
          <w:bCs w:val="0"/>
          <w:color w:val="000000" w:themeColor="text1"/>
          <w:sz w:val="24"/>
          <w:szCs w:val="24"/>
        </w:rPr>
        <w:id w:val="83304797"/>
        <w:docPartObj>
          <w:docPartGallery w:val="Table of Contents"/>
          <w:docPartUnique/>
        </w:docPartObj>
      </w:sdtPr>
      <w:sdtEndPr>
        <w:rPr>
          <w:rFonts w:ascii="Times New Roman" w:hAnsi="Times New Roman" w:cs="Times New Roman" w:eastAsiaTheme="minorEastAsia"/>
          <w:b w:val="0"/>
          <w:bCs w:val="0"/>
          <w:color w:val="000000" w:themeColor="text1"/>
          <w:sz w:val="24"/>
          <w:szCs w:val="24"/>
        </w:rPr>
      </w:sdtEndPr>
      <w:sdtContent>
        <w:p>
          <w:pPr>
            <w:pStyle w:val="19"/>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32"/>
              <w:szCs w:val="24"/>
            </w:rPr>
            <w:t>Table of Contents</w:t>
          </w:r>
        </w:p>
        <w:p>
          <w:pPr>
            <w:pStyle w:val="11"/>
            <w:tabs>
              <w:tab w:val="right" w:leader="dot" w:pos="9350"/>
            </w:tabs>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r>
            <w:fldChar w:fldCharType="begin"/>
          </w:r>
          <w:r>
            <w:instrText xml:space="preserve"> HYPERLINK \l "_Toc145629790" </w:instrText>
          </w:r>
          <w:r>
            <w:fldChar w:fldCharType="separate"/>
          </w:r>
          <w:r>
            <w:rPr>
              <w:rStyle w:val="9"/>
              <w:rFonts w:ascii="Times New Roman" w:hAnsi="Times New Roman" w:cs="Times New Roman"/>
              <w:color w:val="000000" w:themeColor="text1"/>
              <w:sz w:val="24"/>
              <w:szCs w:val="24"/>
              <w:lang w:val="en-GB"/>
            </w:rPr>
            <w:t>Part 1: Role Play</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_Toc145629790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1"/>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"_Toc145629791" </w:instrText>
          </w:r>
          <w:r>
            <w:fldChar w:fldCharType="separate"/>
          </w:r>
          <w:r>
            <w:rPr>
              <w:rStyle w:val="9"/>
              <w:rFonts w:ascii="Times New Roman" w:hAnsi="Times New Roman" w:cs="Times New Roman"/>
              <w:color w:val="000000" w:themeColor="text1"/>
              <w:sz w:val="24"/>
              <w:szCs w:val="24"/>
            </w:rPr>
            <w:t>Part 2: Reflective Statement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_Toc145629791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"_Toc145629792" </w:instrText>
          </w:r>
          <w:r>
            <w:fldChar w:fldCharType="separate"/>
          </w:r>
          <w:r>
            <w:rPr>
              <w:rStyle w:val="9"/>
              <w:rFonts w:ascii="Times New Roman" w:hAnsi="Times New Roman" w:cs="Times New Roman"/>
              <w:color w:val="000000" w:themeColor="text1"/>
              <w:sz w:val="24"/>
              <w:szCs w:val="24"/>
            </w:rPr>
            <w:t>Introduction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_Toc145629792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"_Toc145629793" </w:instrText>
          </w:r>
          <w:r>
            <w:fldChar w:fldCharType="separate"/>
          </w:r>
          <w:r>
            <w:rPr>
              <w:rStyle w:val="9"/>
              <w:rFonts w:ascii="Times New Roman" w:hAnsi="Times New Roman" w:cs="Times New Roman"/>
              <w:color w:val="000000" w:themeColor="text1"/>
              <w:sz w:val="24"/>
              <w:szCs w:val="24"/>
            </w:rPr>
            <w:t>What went well and what we should do in the future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_Toc145629793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"_Toc145629794" </w:instrText>
          </w:r>
          <w:r>
            <w:fldChar w:fldCharType="separate"/>
          </w:r>
          <w:r>
            <w:rPr>
              <w:rStyle w:val="9"/>
              <w:rFonts w:ascii="Times New Roman" w:hAnsi="Times New Roman" w:cs="Times New Roman"/>
              <w:color w:val="000000" w:themeColor="text1"/>
              <w:sz w:val="24"/>
              <w:szCs w:val="24"/>
            </w:rPr>
            <w:t>What should be done in the future coaching session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_Toc145629794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"_Toc145629795" </w:instrText>
          </w:r>
          <w:r>
            <w:fldChar w:fldCharType="separate"/>
          </w:r>
          <w:r>
            <w:rPr>
              <w:rStyle w:val="9"/>
              <w:rFonts w:ascii="Times New Roman" w:hAnsi="Times New Roman" w:cs="Times New Roman"/>
              <w:color w:val="000000" w:themeColor="text1"/>
              <w:sz w:val="24"/>
              <w:szCs w:val="24"/>
            </w:rPr>
            <w:t>Critical analysis of how and whether mentoring and coaching in this context will lead to improved morale and performance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_Toc145629795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9</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"_Toc145629796" </w:instrText>
          </w:r>
          <w:r>
            <w:fldChar w:fldCharType="separate"/>
          </w:r>
          <w:r>
            <w:rPr>
              <w:rStyle w:val="9"/>
              <w:rFonts w:ascii="Times New Roman" w:hAnsi="Times New Roman" w:cs="Times New Roman"/>
              <w:color w:val="000000" w:themeColor="text1"/>
              <w:sz w:val="24"/>
              <w:szCs w:val="24"/>
            </w:rPr>
            <w:t>Analysis of the values, beliefs, attitudes, skills and behaviours of effective mentor or coach</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_Toc145629796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2"/>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"_Toc145629797" </w:instrText>
          </w:r>
          <w:r>
            <w:fldChar w:fldCharType="separate"/>
          </w:r>
          <w:r>
            <w:rPr>
              <w:rStyle w:val="9"/>
              <w:rFonts w:ascii="Times New Roman" w:hAnsi="Times New Roman" w:cs="Times New Roman"/>
              <w:color w:val="000000" w:themeColor="text1"/>
              <w:sz w:val="24"/>
              <w:szCs w:val="24"/>
            </w:rPr>
            <w:t>Conclusion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_Toc145629797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11"/>
            <w:tabs>
              <w:tab w:val="right" w:leader="dot" w:pos="9350"/>
            </w:tabs>
            <w:spacing w:line="360" w:lineRule="auto"/>
            <w:rPr>
              <w:rFonts w:ascii="Times New Roman" w:hAnsi="Times New Roman" w:cs="Times New Roman"/>
              <w:color w:val="000000" w:themeColor="text1"/>
              <w:sz w:val="24"/>
              <w:szCs w:val="24"/>
            </w:rPr>
          </w:pPr>
          <w:r>
            <w:fldChar w:fldCharType="begin"/>
          </w:r>
          <w:r>
            <w:instrText xml:space="preserve"> HYPERLINK \l "_Toc145629798" </w:instrText>
          </w:r>
          <w:r>
            <w:fldChar w:fldCharType="separate"/>
          </w:r>
          <w:r>
            <w:rPr>
              <w:rStyle w:val="9"/>
              <w:rFonts w:ascii="Times New Roman" w:hAnsi="Times New Roman" w:cs="Times New Roman"/>
              <w:color w:val="000000" w:themeColor="text1"/>
              <w:sz w:val="24"/>
              <w:szCs w:val="24"/>
            </w:rPr>
            <w:t>References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_Toc145629798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13</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end"/>
          </w:r>
        </w:p>
      </w:sdtContent>
    </w:sdt>
    <w:p>
      <w:pPr>
        <w:pStyle w:val="13"/>
        <w:spacing w:before="0" w:beforeAutospacing="0" w:after="0" w:afterAutospacing="0" w:line="360" w:lineRule="auto"/>
        <w:jc w:val="both"/>
        <w:textAlignment w:val="baseline"/>
        <w:rPr>
          <w:rStyle w:val="14"/>
          <w:color w:val="000000" w:themeColor="text1"/>
          <w:lang w:val="en-GB"/>
        </w:rPr>
      </w:pPr>
    </w:p>
    <w:p>
      <w:pPr>
        <w:pStyle w:val="13"/>
        <w:spacing w:before="0" w:beforeAutospacing="0" w:after="0" w:afterAutospacing="0" w:line="360" w:lineRule="auto"/>
        <w:jc w:val="both"/>
        <w:textAlignment w:val="baseline"/>
        <w:rPr>
          <w:rStyle w:val="14"/>
          <w:color w:val="000000" w:themeColor="text1"/>
          <w:lang w:val="en-GB"/>
        </w:rPr>
      </w:pPr>
    </w:p>
    <w:p>
      <w:pPr>
        <w:pStyle w:val="13"/>
        <w:spacing w:before="0" w:beforeAutospacing="0" w:after="0" w:afterAutospacing="0" w:line="360" w:lineRule="auto"/>
        <w:jc w:val="both"/>
        <w:textAlignment w:val="baseline"/>
        <w:rPr>
          <w:rStyle w:val="14"/>
          <w:color w:val="000000" w:themeColor="text1"/>
          <w:lang w:val="en-GB"/>
        </w:rPr>
      </w:pPr>
    </w:p>
    <w:p>
      <w:pPr>
        <w:spacing w:line="360" w:lineRule="auto"/>
        <w:rPr>
          <w:rStyle w:val="14"/>
          <w:rFonts w:ascii="Times New Roman" w:hAnsi="Times New Roman" w:eastAsia="Times New Roman" w:cs="Times New Roman"/>
          <w:color w:val="000000" w:themeColor="text1"/>
          <w:sz w:val="24"/>
          <w:szCs w:val="24"/>
          <w:lang w:val="en-GB"/>
        </w:rPr>
      </w:pPr>
      <w:r>
        <w:rPr>
          <w:rStyle w:val="14"/>
          <w:rFonts w:ascii="Times New Roman" w:hAnsi="Times New Roman" w:cs="Times New Roman"/>
          <w:color w:val="000000" w:themeColor="text1"/>
          <w:sz w:val="24"/>
          <w:szCs w:val="24"/>
          <w:lang w:val="en-GB"/>
        </w:rPr>
        <w:br w:type="page"/>
      </w:r>
    </w:p>
    <w:p>
      <w:pPr>
        <w:pStyle w:val="2"/>
        <w:spacing w:line="360" w:lineRule="auto"/>
        <w:rPr>
          <w:rFonts w:ascii="Times New Roman" w:hAnsi="Times New Roman" w:cs="Times New Roman"/>
          <w:color w:val="000000" w:themeColor="text1"/>
          <w:sz w:val="24"/>
          <w:szCs w:val="24"/>
        </w:rPr>
      </w:pPr>
      <w:bookmarkStart w:id="0" w:name="_Toc145629790"/>
      <w:r>
        <w:rPr>
          <w:rStyle w:val="14"/>
          <w:rFonts w:ascii="Times New Roman" w:hAnsi="Times New Roman" w:cs="Times New Roman"/>
          <w:color w:val="000000" w:themeColor="text1"/>
          <w:sz w:val="24"/>
          <w:szCs w:val="24"/>
          <w:lang w:val="en-GB"/>
        </w:rPr>
        <w:t>Part 1: Role Play</w:t>
      </w:r>
      <w:bookmarkEnd w:id="0"/>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 </w:t>
      </w: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Good afternoon, Janice,</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I am hoping everything is going well for you today. I am grateful that you are willing to talk to me about this. The objective of our discussion today is to talk about your goals and the difficulties you have working within our department, as well as the ways in which we may collaborate to help assist your professional growth and development. I am here to assist you in achieving your objectives and overcoming any challenges that you may have along the way.</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Let us take a moment to establish the nature of our chat and the method that we will be taking before we get into the meat of our talk. This will assist us in setting appropriate expectations and establishing an atmosphere that is favourable to our conversation.</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To begin, I would want to stress the significance of the fact that this session will provide us with a chance to have a coaching dialogue with one another. Coaching is a collaborative and forward-looking approach that aims to assist you in identifying and achieving your objectives, enhancing your abilities, and overcoming any challenges that you may encounter along the way. This provides an opportunity for introspection, self-discovery, and overall personal development.</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Now that we have established what your present requirements are, let us talk about which strategy would be best for you: mentoring or coaching. From the capabilities you have shown, it seems like you have a prominent level of ambition and are keen to further your career in the subject that you have chosen. You want to find methods to increase your abilities, credentials, and experience, and you are seeking for such ways. The process of coaching, which places an emphasis on goal-setting and individual growth, can prove to be an effective instrument in assisting you to realise your objectives. It gives you the ability to develop your own answers and establish a direct course for future progress.</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The GROW model is a versatile and effective instrument, and we will be using it as the basis for our coaching framework (Bertiaux et al., 2018). It will assist you in organising your ideas and exploring the many facets of your objectives and obstacles in a methodical manner. You will have a better understanding of your goals by the time you have finished going through this process, you will have produced some innovative ideas, and you will have committed yourself to acting.</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numPr>
          <w:ilvl w:val="0"/>
          <w:numId w:val="1"/>
        </w:numPr>
        <w:spacing w:before="0" w:beforeAutospacing="0" w:after="0" w:afterAutospacing="0" w:line="360" w:lineRule="auto"/>
        <w:jc w:val="both"/>
        <w:textAlignment w:val="baseline"/>
        <w:rPr>
          <w:color w:val="000000" w:themeColor="text1"/>
        </w:rPr>
      </w:pPr>
      <w:r>
        <w:rPr>
          <w:rStyle w:val="14"/>
          <w:b/>
          <w:color w:val="000000" w:themeColor="text1"/>
          <w:lang w:val="en-GB"/>
        </w:rPr>
        <w:t>Goal:</w:t>
      </w:r>
      <w:r>
        <w:rPr>
          <w:rStyle w:val="14"/>
          <w:color w:val="000000" w:themeColor="text1"/>
          <w:lang w:val="en-GB"/>
        </w:rPr>
        <w:t xml:space="preserve"> During this stage of the process, we will collaborate to determine your aims and objectives. What are the things you wish to accomplish in your personal and professional life? What steps do you see yourself taking in your professional life and which achievements do you value the most? We will make it our mission to paint a vivid and motivating image of your future.</w:t>
      </w:r>
      <w:r>
        <w:rPr>
          <w:rStyle w:val="15"/>
          <w:color w:val="000000" w:themeColor="text1"/>
        </w:rPr>
        <w:t> </w:t>
      </w:r>
    </w:p>
    <w:p>
      <w:pPr>
        <w:pStyle w:val="13"/>
        <w:numPr>
          <w:ilvl w:val="0"/>
          <w:numId w:val="1"/>
        </w:numPr>
        <w:spacing w:before="0" w:beforeAutospacing="0" w:after="0" w:afterAutospacing="0" w:line="360" w:lineRule="auto"/>
        <w:jc w:val="both"/>
        <w:textAlignment w:val="baseline"/>
        <w:rPr>
          <w:color w:val="000000" w:themeColor="text1"/>
        </w:rPr>
      </w:pPr>
      <w:r>
        <w:rPr>
          <w:rStyle w:val="14"/>
          <w:b/>
          <w:color w:val="000000" w:themeColor="text1"/>
          <w:lang w:val="en-GB"/>
        </w:rPr>
        <w:t>Reality:</w:t>
      </w:r>
      <w:r>
        <w:rPr>
          <w:rStyle w:val="14"/>
          <w:color w:val="000000" w:themeColor="text1"/>
          <w:lang w:val="en-GB"/>
        </w:rPr>
        <w:t xml:space="preserve"> During this stage, you will be required to take a more in-depth look at your existing circumstances. What are the obstacles you up against right now in terms of your position and your career? What are the resources and strengths you have at your disposal? We are going to investigate your existing skill set as well as your responsibilities.</w:t>
      </w:r>
      <w:r>
        <w:rPr>
          <w:rStyle w:val="15"/>
          <w:color w:val="000000" w:themeColor="text1"/>
        </w:rPr>
        <w:t> </w:t>
      </w:r>
    </w:p>
    <w:p>
      <w:pPr>
        <w:pStyle w:val="13"/>
        <w:numPr>
          <w:ilvl w:val="0"/>
          <w:numId w:val="1"/>
        </w:numPr>
        <w:spacing w:before="0" w:beforeAutospacing="0" w:after="0" w:afterAutospacing="0" w:line="360" w:lineRule="auto"/>
        <w:jc w:val="both"/>
        <w:textAlignment w:val="baseline"/>
        <w:rPr>
          <w:color w:val="000000" w:themeColor="text1"/>
        </w:rPr>
      </w:pPr>
      <w:r>
        <w:rPr>
          <w:rStyle w:val="14"/>
          <w:b/>
          <w:color w:val="000000" w:themeColor="text1"/>
          <w:lang w:val="en-GB"/>
        </w:rPr>
        <w:t>Options:</w:t>
      </w:r>
      <w:r>
        <w:rPr>
          <w:rStyle w:val="14"/>
          <w:color w:val="000000" w:themeColor="text1"/>
          <w:lang w:val="en-GB"/>
        </w:rPr>
        <w:t xml:space="preserve"> After we have a strong knowledge of both your aspirations and the reality you are facing right now, we will explore viable strategies and activities to bridge the gap between the two. This is a creative phase in which we will explore a variety of alternatives and potential solutions to assist you in getting closer to achieving your goals.</w:t>
      </w:r>
      <w:r>
        <w:rPr>
          <w:rStyle w:val="15"/>
          <w:color w:val="000000" w:themeColor="text1"/>
        </w:rPr>
        <w:t> </w:t>
      </w:r>
    </w:p>
    <w:p>
      <w:pPr>
        <w:pStyle w:val="13"/>
        <w:numPr>
          <w:ilvl w:val="0"/>
          <w:numId w:val="1"/>
        </w:numPr>
        <w:spacing w:before="0" w:beforeAutospacing="0" w:after="0" w:afterAutospacing="0" w:line="360" w:lineRule="auto"/>
        <w:jc w:val="both"/>
        <w:textAlignment w:val="baseline"/>
        <w:rPr>
          <w:color w:val="000000" w:themeColor="text1"/>
        </w:rPr>
      </w:pPr>
      <w:r>
        <w:rPr>
          <w:rStyle w:val="14"/>
          <w:b/>
          <w:color w:val="000000" w:themeColor="text1"/>
          <w:lang w:val="en-GB"/>
        </w:rPr>
        <w:t>Will:</w:t>
      </w:r>
      <w:r>
        <w:rPr>
          <w:rStyle w:val="14"/>
          <w:color w:val="000000" w:themeColor="text1"/>
          <w:lang w:val="en-GB"/>
        </w:rPr>
        <w:t xml:space="preserve"> In the end, we are going to concentrate on commitment and responsibility. Which steps are you prepared to take to move forward in the direction of achieving your objectives? How can this session help you keep motivated and on track so that you can achieve your goals? During this stage, you will be putting your discoveries and ideas into practical plans.</w:t>
      </w:r>
      <w:r>
        <w:rPr>
          <w:rStyle w:val="15"/>
          <w:color w:val="000000" w:themeColor="text1"/>
        </w:rPr>
        <w:t> </w:t>
      </w:r>
    </w:p>
    <w:p>
      <w:pPr>
        <w:pStyle w:val="13"/>
        <w:spacing w:before="0" w:beforeAutospacing="0" w:after="0" w:afterAutospacing="0" w:line="360" w:lineRule="auto"/>
        <w:jc w:val="both"/>
        <w:textAlignment w:val="baseline"/>
        <w:rPr>
          <w:rStyle w:val="14"/>
          <w:color w:val="000000" w:themeColor="text1"/>
          <w:lang w:val="en-GB"/>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Before we continue our journey together as a coaching team, I want to make it clear that I am fully committed to your progress as a person. As your coach, it is not my job to provide you all the answers; rather, it is my job to assist you and give you the ability to figure out the solutions on your own. By following our sessions properly, you will be successful in accomplishing your objectives, and you can count on my assistance at every stage of the process.</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As we go ahead, it is crucial to keep in mind that coaching is a collaborative effort between two people. It is founded on trust, transparency, and cooperation amongst all parties involved. You may anticipate that our meetings will be centred on you and the requirements that you have. Your ideas, emotions, and goals will have undivided attention and judgement will not be passed on anything you share with me as your coach. Your experiences and observations are particularly important, and our conversations will be shaped by them.</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rStyle w:val="14"/>
          <w:color w:val="000000" w:themeColor="text1"/>
          <w:lang w:val="en-GB"/>
        </w:rPr>
        <w:t>In addition, I want to urge you to engage in our coaching sessions with an open and honest attitude. You are free to discuss not just your victories, but also your struggles and uncertainties, here in this protected environment. If you are honest about your past experiences, you will be able to figure out things on your own through our collaboration to devise methods and activities that are congruent with the objectives you want to achieve.</w:t>
      </w:r>
      <w:r>
        <w:rPr>
          <w:rStyle w:val="15"/>
          <w:color w:val="000000" w:themeColor="text1"/>
        </w:rPr>
        <w:t> </w:t>
      </w:r>
    </w:p>
    <w:p>
      <w:pPr>
        <w:pStyle w:val="13"/>
        <w:spacing w:before="0" w:beforeAutospacing="0" w:after="0" w:afterAutospacing="0" w:line="360" w:lineRule="auto"/>
        <w:jc w:val="both"/>
        <w:textAlignment w:val="baseline"/>
        <w:rPr>
          <w:color w:val="000000" w:themeColor="text1"/>
        </w:rPr>
      </w:pPr>
    </w:p>
    <w:p>
      <w:pPr>
        <w:pStyle w:val="13"/>
        <w:spacing w:before="0" w:beforeAutospacing="0" w:after="0" w:afterAutospacing="0" w:line="360" w:lineRule="auto"/>
        <w:jc w:val="both"/>
        <w:textAlignment w:val="baseline"/>
        <w:rPr>
          <w:rStyle w:val="15"/>
          <w:color w:val="000000" w:themeColor="text1"/>
        </w:rPr>
      </w:pPr>
      <w:r>
        <w:rPr>
          <w:color w:val="000000" w:themeColor="text1"/>
        </w:rPr>
        <w:t xml:space="preserve">We will have our next session on the exact same day and time next week. I hope to see you again. Also maintain a journal and update it with your daily achievements and struggles. We will have a look at it during our next session. Now, </w:t>
      </w:r>
      <w:r>
        <w:rPr>
          <w:rStyle w:val="14"/>
          <w:color w:val="000000" w:themeColor="text1"/>
          <w:lang w:val="en-GB"/>
        </w:rPr>
        <w:t>do you have any questions or concerns regarding how this coaching method will be implemented before we go forward? Are there anything you would want to talk about, or any early ideas you would like to give regarding the difficulties and opportunities you face, respectively?</w:t>
      </w:r>
      <w:r>
        <w:rPr>
          <w:rStyle w:val="15"/>
          <w:color w:val="000000" w:themeColor="text1"/>
        </w:rPr>
        <w:t> </w:t>
      </w:r>
    </w:p>
    <w:p>
      <w:pPr>
        <w:spacing w:line="360" w:lineRule="auto"/>
        <w:jc w:val="both"/>
        <w:rPr>
          <w:rStyle w:val="15"/>
          <w:rFonts w:ascii="Times New Roman" w:hAnsi="Times New Roman" w:eastAsia="Times New Roman" w:cs="Times New Roman"/>
          <w:color w:val="000000" w:themeColor="text1"/>
          <w:sz w:val="24"/>
          <w:szCs w:val="24"/>
        </w:rPr>
      </w:pPr>
      <w:r>
        <w:rPr>
          <w:rStyle w:val="15"/>
          <w:rFonts w:ascii="Times New Roman" w:hAnsi="Times New Roman" w:cs="Times New Roman"/>
          <w:color w:val="000000" w:themeColor="text1"/>
          <w:sz w:val="24"/>
          <w:szCs w:val="24"/>
        </w:rPr>
        <w:br w:type="page"/>
      </w:r>
    </w:p>
    <w:p>
      <w:pPr>
        <w:pStyle w:val="2"/>
        <w:spacing w:line="360" w:lineRule="auto"/>
        <w:rPr>
          <w:rStyle w:val="14"/>
          <w:rFonts w:ascii="Times New Roman" w:hAnsi="Times New Roman" w:cs="Times New Roman"/>
          <w:color w:val="000000" w:themeColor="text1"/>
          <w:sz w:val="32"/>
          <w:szCs w:val="24"/>
        </w:rPr>
      </w:pPr>
      <w:bookmarkStart w:id="1" w:name="_Toc145629791"/>
      <w:r>
        <w:rPr>
          <w:rStyle w:val="14"/>
          <w:rFonts w:ascii="Times New Roman" w:hAnsi="Times New Roman" w:cs="Times New Roman"/>
          <w:color w:val="000000" w:themeColor="text1"/>
          <w:sz w:val="32"/>
          <w:szCs w:val="24"/>
        </w:rPr>
        <w:t>Part 2: Reflective Statement</w:t>
      </w:r>
      <w:bookmarkEnd w:id="1"/>
    </w:p>
    <w:p>
      <w:pPr>
        <w:pStyle w:val="3"/>
        <w:spacing w:line="360" w:lineRule="auto"/>
        <w:rPr>
          <w:rFonts w:ascii="Times New Roman" w:hAnsi="Times New Roman" w:cs="Times New Roman"/>
          <w:color w:val="000000" w:themeColor="text1"/>
          <w:sz w:val="28"/>
          <w:szCs w:val="24"/>
        </w:rPr>
      </w:pPr>
      <w:bookmarkStart w:id="2" w:name="_Toc145629792"/>
      <w:r>
        <w:rPr>
          <w:rStyle w:val="14"/>
          <w:rFonts w:ascii="Times New Roman" w:hAnsi="Times New Roman" w:cs="Times New Roman"/>
          <w:color w:val="000000" w:themeColor="text1"/>
          <w:sz w:val="28"/>
          <w:szCs w:val="24"/>
        </w:rPr>
        <w:t>Introduction</w:t>
      </w:r>
      <w:bookmarkEnd w:id="2"/>
      <w:r>
        <w:rPr>
          <w:rStyle w:val="15"/>
          <w:rFonts w:ascii="Times New Roman" w:hAnsi="Times New Roman" w:cs="Times New Roman"/>
          <w:color w:val="000000" w:themeColor="text1"/>
          <w:sz w:val="28"/>
          <w:szCs w:val="24"/>
        </w:rPr>
        <w:t>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Throughout the whole coaching session, Maria did well. Giving each employee greater say over their work was one way that this coaching aimed to boost morale and output. As a coach, I have learnt the value of asking plenty of open-ended questions during sessions so that coached workers may provide their own ideas for improving workplace efficiency.  Therefore, I have learned that it is essential to provide a nurturing environment for my coaching clients. This will guide them towards the best approach for training the company's staff. Healthcare International, on the other hand, may decide that it has to provide its staff with regular coaching sessions and a mentoring programme in order to maintain the high profit margins it has seen in recent years. In this reflective statement, healthcare International's coaching sessions and mentoring role programme for staff are discussed, as are the actions made by national health agencies to decrease costs by adopting generic instead of branded drugs.</w:t>
      </w:r>
    </w:p>
    <w:p>
      <w:pPr>
        <w:pStyle w:val="13"/>
        <w:spacing w:before="0" w:beforeAutospacing="0" w:after="0" w:afterAutospacing="0" w:line="360" w:lineRule="auto"/>
        <w:ind w:firstLine="589"/>
        <w:jc w:val="both"/>
        <w:textAlignment w:val="baseline"/>
        <w:rPr>
          <w:color w:val="000000" w:themeColor="text1"/>
        </w:rPr>
      </w:pPr>
    </w:p>
    <w:p>
      <w:pPr>
        <w:pStyle w:val="3"/>
        <w:spacing w:line="360" w:lineRule="auto"/>
        <w:rPr>
          <w:rFonts w:ascii="Times New Roman" w:hAnsi="Times New Roman" w:cs="Times New Roman"/>
          <w:color w:val="000000" w:themeColor="text1"/>
          <w:sz w:val="28"/>
          <w:szCs w:val="24"/>
        </w:rPr>
      </w:pPr>
      <w:bookmarkStart w:id="3" w:name="_Toc145629793"/>
      <w:r>
        <w:rPr>
          <w:rStyle w:val="14"/>
          <w:rFonts w:ascii="Times New Roman" w:hAnsi="Times New Roman" w:cs="Times New Roman"/>
          <w:color w:val="000000" w:themeColor="text1"/>
          <w:sz w:val="28"/>
          <w:szCs w:val="24"/>
        </w:rPr>
        <w:t>What went well and what we should do in the future</w:t>
      </w:r>
      <w:bookmarkEnd w:id="3"/>
      <w:r>
        <w:rPr>
          <w:rStyle w:val="15"/>
          <w:rFonts w:ascii="Times New Roman" w:hAnsi="Times New Roman" w:cs="Times New Roman"/>
          <w:color w:val="000000" w:themeColor="text1"/>
          <w:sz w:val="28"/>
          <w:szCs w:val="24"/>
        </w:rPr>
        <w:t>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 xml:space="preserve">The coaching session was useful since it increased workers' awareness of how they may better steer their teams to maintain the company's high productivity expectations. I will be honest and state that I hit some snags as a coach, but I now feel much more prepared to steer my squad through difficult situations. Implementing the new NHS standards in a way that causes little disruption to everyday operations has been found to be best accomplished using the G.R.O.W. technique. This has opened my eyes to the need for the firm to invest in good coaching and mentoring for all employees.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The one thing I would do about my coaching approach is to introduce myself to the team members sooner and explain the importance of the new strategy before the pandemic struck. So that they could psychologically prepare for the upcoming changes, I was supposed to inform them on the existing situation and the challenges the firm is facing due to the pandemic (Vinson et al., 2016). In addition, it was my responsibility to let them know that revenue was falling throughout the product launch. In light of the company's present crisis, I decided to host a mentorship and coaching session with my team members to better prepare them for the company's new regulations, which include social isolation and decreased hours. If a thorough introduction had been made, maybe the employees might have felt more comfortable asking questions. To provide just one example, Maria does not seem to have mentally prepared herself to ask about the company's new practises in light of the tight standards set in place to avoid the spread of COVID-19 among personnel and customers.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During the training, my co-workers and I discussed strategies for maintaining the hospital's operations despite the curfew and lockout. The training offered helped employees understand why the new method for stopping the spread of the deadly corona virus was so crucial. I made an effort to be patient as a coach, but I had to be flexible when necessary. Because I was patient with her, Maria was able to describe some solutions for dealing with the current global difficulties in health during the pandemic. On the other hand, I learned via the conversation that the staff was suffering from PTSD after being exposed to the deadly corona virus. I saw several workers who were on the verge of quitting because of fear that they might get the coronal virus.  </w:t>
      </w:r>
    </w:p>
    <w:p>
      <w:pPr>
        <w:pStyle w:val="13"/>
        <w:spacing w:before="0" w:beforeAutospacing="0" w:after="0" w:afterAutospacing="0" w:line="360" w:lineRule="auto"/>
        <w:jc w:val="both"/>
        <w:textAlignment w:val="baseline"/>
        <w:rPr>
          <w:color w:val="000000" w:themeColor="text1"/>
        </w:rPr>
      </w:pPr>
    </w:p>
    <w:p>
      <w:pPr>
        <w:pStyle w:val="3"/>
        <w:spacing w:line="360" w:lineRule="auto"/>
        <w:rPr>
          <w:rFonts w:ascii="Times New Roman" w:hAnsi="Times New Roman" w:cs="Times New Roman"/>
          <w:color w:val="000000" w:themeColor="text1"/>
          <w:sz w:val="28"/>
          <w:szCs w:val="15"/>
        </w:rPr>
      </w:pPr>
      <w:bookmarkStart w:id="4" w:name="_Toc145629794"/>
      <w:r>
        <w:rPr>
          <w:rStyle w:val="14"/>
          <w:rFonts w:ascii="Times New Roman" w:hAnsi="Times New Roman" w:cs="Times New Roman"/>
          <w:color w:val="000000" w:themeColor="text1"/>
          <w:sz w:val="28"/>
          <w:szCs w:val="22"/>
        </w:rPr>
        <w:t>What should be done in the future coaching session</w:t>
      </w:r>
      <w:bookmarkEnd w:id="4"/>
    </w:p>
    <w:p>
      <w:pPr>
        <w:pStyle w:val="13"/>
        <w:spacing w:before="0" w:beforeAutospacing="0" w:after="0" w:afterAutospacing="0" w:line="360" w:lineRule="auto"/>
        <w:jc w:val="both"/>
        <w:textAlignment w:val="baseline"/>
        <w:rPr>
          <w:color w:val="000000" w:themeColor="text1"/>
        </w:rPr>
      </w:pPr>
      <w:r>
        <w:rPr>
          <w:rStyle w:val="14"/>
          <w:color w:val="000000" w:themeColor="text1"/>
          <w:lang w:val="en-GB"/>
        </w:rPr>
        <w:t>Success from the first mentoring and coaching session will inform the structure of subsequent ones. In the future, I want to establish firm goals for our company that will assist us in fulfilling the COVID-19 healthcare needs of people all around the globe. Due to the company's emphasis on over-the-counter healthcare product sales and prescriptions, setting firm deadlines to help with corona virus control is essential. That's why it is important for me to be well-versed in time management so I can assist with it while mentoring and coaching in the future (Kiewiet, 2019). It is vital to maintain coaching sessions on time so that all employees have an opportunity to talk about how the epidemic has affected them. To deal with all the issues that have arisen as a result of the pandemic's effect on the workplace, efficient use of time is crucial.</w:t>
      </w:r>
      <w:r>
        <w:rPr>
          <w:rStyle w:val="16"/>
          <w:color w:val="000000" w:themeColor="text1"/>
        </w:rPr>
        <w:t>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In addition, I would want to provide a summary of the feedback that's both helpful and honest, so that everyone's concerns may be heard. Now that we have this data, we can see how the coaching sessions might have been more effective had they focused on the topic of how to stop the spread of COVID-19 among healthcare staff and patients. It may be easy to evaluate the real problem which the health worker's confront after a clear framework is formed in a positive approach for all participants throughout the coaching session (Pappa et al., 2020). Another tactic is doing everything suggested by the instructor. Since the first coaching session will be the primary focus of the team's agenda, the feedback gathered there will be utilised to shape the subsequent session. The results of this session will inform future coaching sessions provided by the organisation.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However, it is also important to recognise and appreciate the unique contributions of each staff member. It is standard procedure to value each employee for his or her own contributions. As a result, the next coaching session with workers must cater to each employee according to their abilities, while also considering the measures indicated by the healthcare organisation about the pandemic (Armstrong and Landers, 2018). Since certain workers may be expected to work remotely, even from home, while still providing the same high-quality healthcare services to customers as before the pandemic, the company's declining profit margin will be mitigated.  On the other side, I will definitely throw a celebration for the team's accomplishments. Recognising the healthcare team's achievements inside the organisation will inspire them to provide feedback on how to improve service for existing clients (Manolopoulos, 2017). To give a more open platform for employee input, I will need to learn to listen more and speak less.</w:t>
      </w:r>
    </w:p>
    <w:p>
      <w:pPr>
        <w:pStyle w:val="13"/>
        <w:spacing w:before="0" w:beforeAutospacing="0" w:after="0" w:afterAutospacing="0" w:line="360" w:lineRule="auto"/>
        <w:jc w:val="both"/>
        <w:textAlignment w:val="baseline"/>
        <w:rPr>
          <w:color w:val="000000" w:themeColor="text1"/>
        </w:rPr>
      </w:pPr>
      <w:r>
        <w:rPr>
          <w:rStyle w:val="15"/>
          <w:color w:val="000000" w:themeColor="text1"/>
        </w:rPr>
        <w:t> </w:t>
      </w:r>
    </w:p>
    <w:p>
      <w:pPr>
        <w:spacing w:line="360" w:lineRule="auto"/>
        <w:rPr>
          <w:rStyle w:val="14"/>
          <w:rFonts w:ascii="Times New Roman" w:hAnsi="Times New Roman" w:eastAsia="Times New Roman" w:cs="Times New Roman"/>
          <w:b/>
          <w:bCs/>
          <w:color w:val="000000" w:themeColor="text1"/>
          <w:sz w:val="24"/>
          <w:szCs w:val="24"/>
          <w:lang w:val="en-GB"/>
        </w:rPr>
      </w:pPr>
      <w:r>
        <w:rPr>
          <w:rStyle w:val="14"/>
          <w:rFonts w:ascii="Times New Roman" w:hAnsi="Times New Roman" w:cs="Times New Roman"/>
          <w:b/>
          <w:bCs/>
          <w:color w:val="000000" w:themeColor="text1"/>
          <w:lang w:val="en-GB"/>
        </w:rPr>
        <w:br w:type="page"/>
      </w:r>
    </w:p>
    <w:p>
      <w:pPr>
        <w:pStyle w:val="3"/>
        <w:spacing w:line="360" w:lineRule="auto"/>
        <w:jc w:val="both"/>
        <w:rPr>
          <w:rStyle w:val="14"/>
          <w:rFonts w:ascii="Times New Roman" w:hAnsi="Times New Roman" w:cs="Times New Roman"/>
          <w:color w:val="000000" w:themeColor="text1"/>
          <w:sz w:val="28"/>
          <w:szCs w:val="22"/>
        </w:rPr>
      </w:pPr>
      <w:bookmarkStart w:id="5" w:name="_Toc145629795"/>
      <w:r>
        <w:rPr>
          <w:rStyle w:val="14"/>
          <w:rFonts w:ascii="Times New Roman" w:hAnsi="Times New Roman" w:cs="Times New Roman"/>
          <w:color w:val="000000" w:themeColor="text1"/>
          <w:sz w:val="28"/>
          <w:szCs w:val="22"/>
        </w:rPr>
        <w:t>Critical analysis of how and whether mentoring and coaching in this context will lead to improved morale and performance</w:t>
      </w:r>
      <w:bookmarkEnd w:id="5"/>
      <w:r>
        <w:rPr>
          <w:rStyle w:val="14"/>
          <w:rFonts w:ascii="Times New Roman" w:hAnsi="Times New Roman" w:cs="Times New Roman"/>
          <w:color w:val="000000" w:themeColor="text1"/>
          <w:sz w:val="28"/>
          <w:szCs w:val="22"/>
        </w:rPr>
        <w:t xml:space="preserve"> </w:t>
      </w:r>
      <w:r>
        <w:rPr>
          <w:rStyle w:val="15"/>
          <w:rFonts w:ascii="Times New Roman" w:hAnsi="Times New Roman" w:cs="Times New Roman"/>
          <w:color w:val="000000" w:themeColor="text1"/>
          <w:sz w:val="28"/>
          <w:szCs w:val="22"/>
        </w:rPr>
        <w:t> </w:t>
      </w:r>
    </w:p>
    <w:p>
      <w:pPr>
        <w:pStyle w:val="13"/>
        <w:spacing w:before="0" w:beforeAutospacing="0" w:after="0" w:afterAutospacing="0" w:line="360" w:lineRule="auto"/>
        <w:jc w:val="both"/>
        <w:textAlignment w:val="baseline"/>
        <w:rPr>
          <w:color w:val="000000" w:themeColor="text1"/>
        </w:rPr>
      </w:pPr>
      <w:r>
        <w:rPr>
          <w:rStyle w:val="14"/>
          <w:color w:val="000000" w:themeColor="text1"/>
          <w:lang w:val="en-GB"/>
        </w:rPr>
        <w:t xml:space="preserve">The best managers often have access to mentorship and coaching connections that allowed them to hone their skills and knowledge (El-Sabaa, 2021). The ability to speak well and comprehend what makes a good response is both fundamental abilities. Mentoring and coaching relationships may be strengthened via proper matching. Professionals at the top of their game whose staff can easily integrate into the company's culture and methods of operation (Mitchell et al., 2017). One way to ensure that new hires have a successful first few months on the job is to pair them with a seasoned mentor or coach. Employees, both new and old, may benefit from individualised training as they readjust their work habits in light of the current pandemic. Using these individuals as examples, businesses may prepare more workers for roles like management using the COVID-19 model.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Mentoring and coaching may also help employees stay put in their positions. From an organisational perspective, there are a number of possible benefits to include coaching in the workplace. Mentoring and coaching initiatives may help boost employee loyalty. When experienced experts help define the industry and provide opportunities to mentees, morale and loyalty among employees rise (Bureau and Lawhead, 2018). Coaching helps employees feel more comfortable talking openly with management, which in turn improves productivity. Potential savings in the continuing expense of training and employing replacement staff may result from this.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On the other side, employees will gain from the available mentoring and coaching programmes. During the pandemic, it will be crucial for the organisation to draw upon the expertise and wisdom of its more senior employees and specialists to train its younger and less seasoned staff (Hastings and Kane, 2018). As a result, the organisation is better able to hire new employees and respond to the COVID-19 problem in the healthcare industry. On the other hand, having a mentor or coach may assist employees learn more about the company's services and advance in their careers. Because of its one-on-one character, coaching is a great way to address delicate personal issues in a secure and encouraging environment. As a consequence, the company will reap the benefits of happier workers and fewer prescription and discharge backlogs.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 xml:space="preserve">The goal of mentoring and coaching throughout the COVID-19 period is to improve team performance. Having a mentor in place during a pandemic may assist a corporation better manage its departments and teams during the outbreak of the deadly corona virus and guarantee that medicine delivery and sales continue unabated (Sarnat-Ciastko, 2015). This is particularly relevant in light of the healthcare internal's COVID-19 regulations. Executives may learn more about their staff's unique strengths and areas of development in relation to the pandemic via mentoring and coaching. The corporation may be able to get its work done with the support of internal resources even if some of its personnel are absent due to illness, quarantine, or vacation. The training will teach workers how to isolate themselves in the event that a colleague develops the corona virus.  </w:t>
      </w:r>
    </w:p>
    <w:p>
      <w:pPr>
        <w:pStyle w:val="13"/>
        <w:spacing w:before="0" w:beforeAutospacing="0" w:after="0" w:afterAutospacing="0" w:line="360" w:lineRule="auto"/>
        <w:jc w:val="both"/>
        <w:textAlignment w:val="baseline"/>
        <w:rPr>
          <w:color w:val="000000" w:themeColor="text1"/>
          <w:lang w:val="en-GB"/>
        </w:rPr>
      </w:pPr>
      <w:r>
        <w:rPr>
          <w:rStyle w:val="14"/>
          <w:color w:val="000000" w:themeColor="text1"/>
          <w:lang w:val="en-GB"/>
        </w:rPr>
        <w:t xml:space="preserve">The reason why coaching works so well is because it focuses the learner. The trainer uses the team's prior knowledge and experience as a starting point for the conversation (Irby, 2015). The majority of solutions to the present pandemic issue should come from inside the workforce, since they are among the worst afflicted by the corona virus outbreak. Training may help healthcare professionals achieve the self-assurance and transferrable skills necessary to meet the COVID-19 standards. Coaching not only boosts individuals' confidence but also helps companies find hidden potential and maximise expansion prospects (Ambrosetti, Dekkers and Knight, 2017). This exemplifies the firm's dedication to professional development in the face of epidemic-related challenges. In other words, employees will pitch in to solve the issue that the spread of the pandemic has created in the healthcare sector. Employees, in turn, will gain self-reliance skills, boost job satisfaction, make meaningful contributions to the organisation, and improve their interpersonal communication skills as they go about their healthcare duties during the pandemic.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 xml:space="preserve">Staff performance may improve if mentors provide feedback on their mentees' work, and mentors will feel true pride in their work if their mentees continue to be productive despite the pandemic (Abshariena and Fitria, 2019). With restrictions like lockdowns and quarantines in place, mentorship sessions are a great way to prepare the healthcare industry for the eventual success it will need to face the pandemic. By providing new hires with the knowledge they'll need to do their jobs well, companies can make sure that their legacy lives on even when important people leave or retire.  </w:t>
      </w:r>
    </w:p>
    <w:p>
      <w:pPr>
        <w:pStyle w:val="13"/>
        <w:spacing w:before="0" w:beforeAutospacing="0" w:after="0" w:afterAutospacing="0" w:line="360" w:lineRule="auto"/>
        <w:jc w:val="both"/>
        <w:textAlignment w:val="baseline"/>
        <w:rPr>
          <w:color w:val="000000" w:themeColor="text1"/>
        </w:rPr>
      </w:pPr>
    </w:p>
    <w:p>
      <w:pPr>
        <w:pStyle w:val="3"/>
        <w:spacing w:line="360" w:lineRule="auto"/>
        <w:jc w:val="both"/>
        <w:rPr>
          <w:rFonts w:ascii="Times New Roman" w:hAnsi="Times New Roman" w:cs="Times New Roman"/>
          <w:color w:val="000000" w:themeColor="text1"/>
          <w:sz w:val="28"/>
          <w:szCs w:val="15"/>
        </w:rPr>
      </w:pPr>
      <w:bookmarkStart w:id="6" w:name="_Toc145629796"/>
      <w:r>
        <w:rPr>
          <w:rStyle w:val="14"/>
          <w:rFonts w:ascii="Times New Roman" w:hAnsi="Times New Roman" w:cs="Times New Roman"/>
          <w:color w:val="000000" w:themeColor="text1"/>
          <w:sz w:val="28"/>
          <w:szCs w:val="22"/>
        </w:rPr>
        <w:t>Analysis of the values, beliefs, attitudes, skills and behaviours of effective mentor or coach</w:t>
      </w:r>
      <w:bookmarkEnd w:id="6"/>
      <w:r>
        <w:rPr>
          <w:rStyle w:val="15"/>
          <w:rFonts w:ascii="Times New Roman" w:hAnsi="Times New Roman" w:cs="Times New Roman"/>
          <w:color w:val="000000" w:themeColor="text1"/>
          <w:sz w:val="28"/>
          <w:szCs w:val="22"/>
        </w:rPr>
        <w:t> </w:t>
      </w:r>
    </w:p>
    <w:p>
      <w:pPr>
        <w:pStyle w:val="13"/>
        <w:spacing w:after="0" w:line="360" w:lineRule="auto"/>
        <w:jc w:val="both"/>
        <w:textAlignment w:val="baseline"/>
        <w:rPr>
          <w:rStyle w:val="14"/>
          <w:color w:val="000000" w:themeColor="text1"/>
          <w:lang w:val="en-GB"/>
        </w:rPr>
      </w:pPr>
      <w:r>
        <w:rPr>
          <w:rStyle w:val="14"/>
          <w:color w:val="000000" w:themeColor="text1"/>
          <w:lang w:val="en-GB"/>
        </w:rPr>
        <w:t xml:space="preserve">A good coach or mentor, I've found, has to be patient and understanding.  He has to be receptive to alternative explanations for the issues confronting the business. The training gave me the background, skills, and perspective I needed to be a successful mentor in a healthcare services firm. Strategic inquiry is the first step. In this context, inquiry methods should seek out and act on feedback from the right people as quickly as possible. Open and honest dialogue is crucial to the success of the coaching session. Keeping lines of communication open between management and workers is crucial to solving issues and maintaining profitability throughout the pandemic (Allen and Turner, 2020). The coach's job, despite the challenges of working during the epidemic, is to have a good outlook and motivate the squad with games and other fun activities. For the coach to effectively present new challenges to the team, full engagement is required throughout the coaching session. Participation from staff members will spur creative solutions to the pandemic's containment and the provision of necessary healthcare to stem its spread.  </w:t>
      </w:r>
    </w:p>
    <w:p>
      <w:pPr>
        <w:pStyle w:val="13"/>
        <w:spacing w:after="0" w:line="360" w:lineRule="auto"/>
        <w:jc w:val="both"/>
        <w:textAlignment w:val="baseline"/>
        <w:rPr>
          <w:color w:val="000000" w:themeColor="text1"/>
          <w:lang w:val="en-GB"/>
        </w:rPr>
      </w:pPr>
      <w:r>
        <w:rPr>
          <w:rStyle w:val="14"/>
          <w:color w:val="000000" w:themeColor="text1"/>
          <w:lang w:val="en-GB"/>
        </w:rPr>
        <w:t xml:space="preserve">As a coach or mentor, a person should always try to lead by example. If the mentor serves as a role model for the mentees, the mentees will be more receptive to the changes that threaten the operations of the works and the firm's profitability (Browne‐Ferrigno and Muth, 2016). Coaching your team will go much more smoothly if you know how to behave like a role model would. This will set a standard of conduct that exemplifies the healthcare provider's commitment to its internal policy against the spread of the corona virus among its employees. </w:t>
      </w:r>
      <w:r>
        <w:rPr>
          <w:rStyle w:val="15"/>
          <w:color w:val="000000" w:themeColor="text1"/>
        </w:rPr>
        <w:t> </w:t>
      </w:r>
    </w:p>
    <w:p>
      <w:pPr>
        <w:spacing w:line="360" w:lineRule="auto"/>
        <w:rPr>
          <w:rStyle w:val="14"/>
          <w:rFonts w:ascii="Times New Roman" w:hAnsi="Times New Roman" w:eastAsia="Times New Roman" w:cs="Times New Roman"/>
          <w:b/>
          <w:bCs/>
          <w:color w:val="000000" w:themeColor="text1"/>
          <w:sz w:val="24"/>
          <w:szCs w:val="24"/>
          <w:lang w:val="en-GB"/>
        </w:rPr>
      </w:pPr>
      <w:r>
        <w:rPr>
          <w:rStyle w:val="14"/>
          <w:rFonts w:ascii="Times New Roman" w:hAnsi="Times New Roman" w:cs="Times New Roman"/>
          <w:b/>
          <w:bCs/>
          <w:color w:val="000000" w:themeColor="text1"/>
          <w:lang w:val="en-GB"/>
        </w:rPr>
        <w:br w:type="page"/>
      </w:r>
    </w:p>
    <w:p>
      <w:pPr>
        <w:pStyle w:val="3"/>
        <w:spacing w:line="360" w:lineRule="auto"/>
        <w:rPr>
          <w:rFonts w:ascii="Times New Roman" w:hAnsi="Times New Roman" w:cs="Times New Roman"/>
          <w:color w:val="000000" w:themeColor="text1"/>
          <w:sz w:val="28"/>
          <w:szCs w:val="15"/>
        </w:rPr>
      </w:pPr>
      <w:bookmarkStart w:id="7" w:name="_Toc145629797"/>
      <w:r>
        <w:rPr>
          <w:rStyle w:val="14"/>
          <w:rFonts w:ascii="Times New Roman" w:hAnsi="Times New Roman" w:cs="Times New Roman"/>
          <w:color w:val="000000" w:themeColor="text1"/>
          <w:sz w:val="28"/>
          <w:szCs w:val="22"/>
        </w:rPr>
        <w:t>Conclusion</w:t>
      </w:r>
      <w:bookmarkEnd w:id="7"/>
      <w:r>
        <w:rPr>
          <w:rStyle w:val="15"/>
          <w:rFonts w:ascii="Times New Roman" w:hAnsi="Times New Roman" w:cs="Times New Roman"/>
          <w:color w:val="000000" w:themeColor="text1"/>
          <w:sz w:val="28"/>
          <w:szCs w:val="22"/>
        </w:rPr>
        <w:t> </w:t>
      </w:r>
    </w:p>
    <w:p>
      <w:pPr>
        <w:pStyle w:val="13"/>
        <w:spacing w:before="0" w:beforeAutospacing="0" w:after="0" w:afterAutospacing="0" w:line="360" w:lineRule="auto"/>
        <w:jc w:val="both"/>
        <w:textAlignment w:val="baseline"/>
        <w:rPr>
          <w:rStyle w:val="14"/>
          <w:color w:val="000000" w:themeColor="text1"/>
          <w:lang w:val="en-GB"/>
        </w:rPr>
      </w:pPr>
      <w:r>
        <w:rPr>
          <w:rStyle w:val="14"/>
          <w:color w:val="000000" w:themeColor="text1"/>
          <w:lang w:val="en-GB"/>
        </w:rPr>
        <w:t xml:space="preserve">As a coach and mentor, I can state that the coaching session taught me new tools that made it easier to deal with the pandemic. I've realised the importance of being patient and that the session is really a showcase for the coaches. The coach acts as a go-between, but the onus is on the staff to provide answers. In order to effectively handle the current pandemic situation, all parties concerned must work together with workers and management to offer accurate feedback, keep lines of communication open, and encourage recommendations. Access to mentorship via the pandemic will help the global healthcare sector contain the spread of COVID-19 among personnel and customers. Mentoring and coaching sessions succeed when the coach is passionate, involves the employees, and sets a good example.  </w:t>
      </w:r>
    </w:p>
    <w:p>
      <w:pPr>
        <w:spacing w:line="360" w:lineRule="auto"/>
        <w:rPr>
          <w:rStyle w:val="14"/>
          <w:rFonts w:ascii="Times New Roman" w:hAnsi="Times New Roman" w:eastAsia="Times New Roman" w:cs="Times New Roman"/>
          <w:color w:val="000000" w:themeColor="text1"/>
          <w:sz w:val="24"/>
          <w:szCs w:val="24"/>
          <w:lang w:val="en-GB"/>
        </w:rPr>
      </w:pPr>
      <w:r>
        <w:rPr>
          <w:rStyle w:val="14"/>
          <w:rFonts w:ascii="Times New Roman" w:hAnsi="Times New Roman" w:cs="Times New Roman"/>
          <w:color w:val="000000" w:themeColor="text1"/>
          <w:lang w:val="en-GB"/>
        </w:rPr>
        <w:br w:type="page"/>
      </w:r>
    </w:p>
    <w:p>
      <w:pPr>
        <w:pStyle w:val="2"/>
        <w:spacing w:line="360" w:lineRule="auto"/>
        <w:rPr>
          <w:rFonts w:ascii="Times New Roman" w:hAnsi="Times New Roman" w:cs="Times New Roman"/>
          <w:color w:val="000000" w:themeColor="text1"/>
          <w:sz w:val="32"/>
        </w:rPr>
      </w:pPr>
      <w:bookmarkStart w:id="8" w:name="_Toc145629798"/>
      <w:r>
        <w:rPr>
          <w:rFonts w:ascii="Times New Roman" w:hAnsi="Times New Roman" w:cs="Times New Roman"/>
          <w:color w:val="000000" w:themeColor="text1"/>
          <w:sz w:val="32"/>
        </w:rPr>
        <w:t>References</w:t>
      </w:r>
      <w:bookmarkEnd w:id="8"/>
    </w:p>
    <w:p>
      <w:pPr>
        <w:pStyle w:val="10"/>
        <w:spacing w:before="0" w:beforeAutospacing="0" w:after="240" w:afterAutospacing="0" w:line="360" w:lineRule="auto"/>
        <w:jc w:val="both"/>
        <w:rPr>
          <w:color w:val="000000" w:themeColor="text1"/>
        </w:rPr>
      </w:pPr>
      <w:r>
        <w:rPr>
          <w:color w:val="000000" w:themeColor="text1"/>
        </w:rPr>
        <w:t xml:space="preserve">Abshariena, T.K. and Fitria, S.E. (2019). The Impact of Entrepreneurial Marketing toward Work Perfromance at the Centre of Garut Specialty Food. </w:t>
      </w:r>
      <w:r>
        <w:rPr>
          <w:i/>
          <w:iCs/>
          <w:color w:val="000000" w:themeColor="text1"/>
        </w:rPr>
        <w:t>Jurnal Ilmu Sosial Politik dan Humaniora</w:t>
      </w:r>
      <w:r>
        <w:rPr>
          <w:color w:val="000000" w:themeColor="text1"/>
        </w:rPr>
        <w:t xml:space="preserve">, 2(1), pp.42–50. </w:t>
      </w:r>
    </w:p>
    <w:p>
      <w:pPr>
        <w:pStyle w:val="10"/>
        <w:spacing w:before="0" w:beforeAutospacing="0" w:after="240" w:afterAutospacing="0" w:line="360" w:lineRule="auto"/>
        <w:jc w:val="both"/>
        <w:rPr>
          <w:color w:val="000000" w:themeColor="text1"/>
        </w:rPr>
      </w:pPr>
      <w:r>
        <w:rPr>
          <w:color w:val="000000" w:themeColor="text1"/>
        </w:rPr>
        <w:t xml:space="preserve">Allen, J. and Turner, A. (2020). Employee Performance and Engagement for Performance Improvement. </w:t>
      </w:r>
      <w:r>
        <w:rPr>
          <w:i/>
          <w:iCs/>
          <w:color w:val="000000" w:themeColor="text1"/>
        </w:rPr>
        <w:t>Performance Improvement Quarterly</w:t>
      </w:r>
      <w:r>
        <w:rPr>
          <w:color w:val="000000" w:themeColor="text1"/>
        </w:rPr>
        <w:t>, 30(4), pp.225–230.</w:t>
      </w:r>
    </w:p>
    <w:p>
      <w:pPr>
        <w:pStyle w:val="10"/>
        <w:spacing w:before="0" w:beforeAutospacing="0" w:after="240" w:afterAutospacing="0" w:line="360" w:lineRule="auto"/>
        <w:jc w:val="both"/>
        <w:rPr>
          <w:color w:val="000000" w:themeColor="text1"/>
        </w:rPr>
      </w:pPr>
      <w:r>
        <w:rPr>
          <w:color w:val="000000" w:themeColor="text1"/>
        </w:rPr>
        <w:t xml:space="preserve">Ambrosetti, A., Dekkers, J. and Knight, B.A. (2017). Mentoring triad: an alternative mentoring model for preservice teacher education? </w:t>
      </w:r>
      <w:r>
        <w:rPr>
          <w:i/>
          <w:iCs/>
          <w:color w:val="000000" w:themeColor="text1"/>
        </w:rPr>
        <w:t>Mentoring &amp; Tutoring: Partnership in Learning</w:t>
      </w:r>
      <w:r>
        <w:rPr>
          <w:color w:val="000000" w:themeColor="text1"/>
        </w:rPr>
        <w:t xml:space="preserve">, 25(1), pp.42–60. </w:t>
      </w:r>
    </w:p>
    <w:p>
      <w:pPr>
        <w:pStyle w:val="10"/>
        <w:spacing w:before="0" w:beforeAutospacing="0" w:after="240" w:afterAutospacing="0" w:line="360" w:lineRule="auto"/>
        <w:jc w:val="both"/>
        <w:rPr>
          <w:color w:val="000000" w:themeColor="text1"/>
        </w:rPr>
      </w:pPr>
      <w:r>
        <w:rPr>
          <w:color w:val="000000" w:themeColor="text1"/>
        </w:rPr>
        <w:t xml:space="preserve">Armstrong, M.B. and Landers, R.N. (2018). Gamification of employee training and development. </w:t>
      </w:r>
      <w:r>
        <w:rPr>
          <w:i/>
          <w:iCs/>
          <w:color w:val="000000" w:themeColor="text1"/>
        </w:rPr>
        <w:t>International Journal of Training and Development</w:t>
      </w:r>
      <w:r>
        <w:rPr>
          <w:color w:val="000000" w:themeColor="text1"/>
        </w:rPr>
        <w:t>, 22(2), pp.162–169.</w:t>
      </w:r>
    </w:p>
    <w:p>
      <w:pPr>
        <w:pStyle w:val="10"/>
        <w:spacing w:before="0" w:beforeAutospacing="0" w:after="240" w:afterAutospacing="0" w:line="360" w:lineRule="auto"/>
        <w:jc w:val="both"/>
        <w:rPr>
          <w:color w:val="000000" w:themeColor="text1"/>
        </w:rPr>
      </w:pPr>
      <w:r>
        <w:rPr>
          <w:color w:val="000000" w:themeColor="text1"/>
        </w:rPr>
        <w:t xml:space="preserve">Bertiaux, E., Morga, B., Blisnick, T., Rotureau, B. and Bastin, P. (2018). Control of Flagellum Length by a Grow-and-Lock Model. </w:t>
      </w:r>
      <w:r>
        <w:rPr>
          <w:i/>
          <w:iCs/>
          <w:color w:val="000000" w:themeColor="text1"/>
        </w:rPr>
        <w:t>SSRN Electronic Journal</w:t>
      </w:r>
      <w:r>
        <w:rPr>
          <w:color w:val="000000" w:themeColor="text1"/>
        </w:rPr>
        <w:t xml:space="preserve">, 8(3). </w:t>
      </w:r>
    </w:p>
    <w:p>
      <w:pPr>
        <w:pStyle w:val="10"/>
        <w:spacing w:before="0" w:beforeAutospacing="0" w:after="240" w:afterAutospacing="0" w:line="360" w:lineRule="auto"/>
        <w:jc w:val="both"/>
        <w:rPr>
          <w:color w:val="000000" w:themeColor="text1"/>
        </w:rPr>
      </w:pPr>
      <w:r>
        <w:rPr>
          <w:color w:val="000000" w:themeColor="text1"/>
        </w:rPr>
        <w:t xml:space="preserve">Browne‐Ferrigno, T. and Muth, R. (2016). Leadership mentoring and situated learning: catalysts for principalship readiness and lifelong mentoring. </w:t>
      </w:r>
      <w:r>
        <w:rPr>
          <w:i/>
          <w:iCs/>
          <w:color w:val="000000" w:themeColor="text1"/>
        </w:rPr>
        <w:t>Mentoring &amp; Tutoring: Partnership in Learning</w:t>
      </w:r>
      <w:r>
        <w:rPr>
          <w:color w:val="000000" w:themeColor="text1"/>
        </w:rPr>
        <w:t xml:space="preserve">, 14(3), pp.275–295. </w:t>
      </w:r>
    </w:p>
    <w:p>
      <w:pPr>
        <w:pStyle w:val="10"/>
        <w:spacing w:before="0" w:beforeAutospacing="0" w:after="240" w:afterAutospacing="0" w:line="360" w:lineRule="auto"/>
        <w:jc w:val="both"/>
        <w:rPr>
          <w:color w:val="000000" w:themeColor="text1"/>
        </w:rPr>
      </w:pPr>
      <w:r>
        <w:rPr>
          <w:color w:val="000000" w:themeColor="text1"/>
        </w:rPr>
        <w:t xml:space="preserve">Bureau, D.A. and Lawhead, J. (2018). Assessing Student Leadership Development From Mentoring, Coaching, and Advising. </w:t>
      </w:r>
      <w:r>
        <w:rPr>
          <w:i/>
          <w:iCs/>
          <w:color w:val="000000" w:themeColor="text1"/>
        </w:rPr>
        <w:t>New Directions for Student Leadership</w:t>
      </w:r>
      <w:r>
        <w:rPr>
          <w:color w:val="000000" w:themeColor="text1"/>
        </w:rPr>
        <w:t xml:space="preserve">, 2018(158), pp.73–85. </w:t>
      </w:r>
    </w:p>
    <w:p>
      <w:pPr>
        <w:pStyle w:val="10"/>
        <w:spacing w:before="0" w:beforeAutospacing="0" w:after="240" w:afterAutospacing="0" w:line="360" w:lineRule="auto"/>
        <w:jc w:val="both"/>
        <w:rPr>
          <w:color w:val="000000" w:themeColor="text1"/>
        </w:rPr>
      </w:pPr>
      <w:r>
        <w:rPr>
          <w:color w:val="000000" w:themeColor="text1"/>
        </w:rPr>
        <w:t xml:space="preserve">El-Sabaa, S. (2021). The Skills and Career Path of an Effective Project Manager. </w:t>
      </w:r>
      <w:r>
        <w:rPr>
          <w:i/>
          <w:iCs/>
          <w:color w:val="000000" w:themeColor="text1"/>
        </w:rPr>
        <w:t>International Journal of Project Management</w:t>
      </w:r>
      <w:r>
        <w:rPr>
          <w:color w:val="000000" w:themeColor="text1"/>
        </w:rPr>
        <w:t xml:space="preserve">, [online] 19(1), pp.1–7. </w:t>
      </w:r>
    </w:p>
    <w:p>
      <w:pPr>
        <w:pStyle w:val="10"/>
        <w:spacing w:before="0" w:beforeAutospacing="0" w:after="240" w:afterAutospacing="0" w:line="360" w:lineRule="auto"/>
        <w:jc w:val="both"/>
        <w:rPr>
          <w:color w:val="000000" w:themeColor="text1"/>
        </w:rPr>
      </w:pPr>
      <w:r>
        <w:rPr>
          <w:color w:val="000000" w:themeColor="text1"/>
        </w:rPr>
        <w:t xml:space="preserve">Hastings, L.J. and Kane, C. (2018). Distinguishing Mentoring, Coaching, and Advising for Leadership Development. </w:t>
      </w:r>
      <w:r>
        <w:rPr>
          <w:i/>
          <w:iCs/>
          <w:color w:val="000000" w:themeColor="text1"/>
        </w:rPr>
        <w:t>New Directions for Student Leadership</w:t>
      </w:r>
      <w:r>
        <w:rPr>
          <w:color w:val="000000" w:themeColor="text1"/>
        </w:rPr>
        <w:t xml:space="preserve">, 2018(158), pp.9–22. </w:t>
      </w:r>
    </w:p>
    <w:p>
      <w:pPr>
        <w:pStyle w:val="10"/>
        <w:spacing w:before="0" w:beforeAutospacing="0" w:after="240" w:afterAutospacing="0" w:line="360" w:lineRule="auto"/>
        <w:jc w:val="both"/>
        <w:rPr>
          <w:color w:val="000000" w:themeColor="text1"/>
        </w:rPr>
      </w:pPr>
      <w:r>
        <w:rPr>
          <w:color w:val="000000" w:themeColor="text1"/>
        </w:rPr>
        <w:t xml:space="preserve">Irby, B.J. (2015). Editor’s Overview: Virtual Mentoring and Coaching (VMC). </w:t>
      </w:r>
      <w:r>
        <w:rPr>
          <w:i/>
          <w:iCs/>
          <w:color w:val="000000" w:themeColor="text1"/>
        </w:rPr>
        <w:t>Mentoring &amp; Tutoring: Partnership in Learning</w:t>
      </w:r>
      <w:r>
        <w:rPr>
          <w:color w:val="000000" w:themeColor="text1"/>
        </w:rPr>
        <w:t xml:space="preserve">, 23(3), pp.183–186. </w:t>
      </w:r>
    </w:p>
    <w:p>
      <w:pPr>
        <w:pStyle w:val="10"/>
        <w:spacing w:before="0" w:beforeAutospacing="0" w:after="240" w:afterAutospacing="0" w:line="360" w:lineRule="auto"/>
        <w:jc w:val="both"/>
        <w:rPr>
          <w:color w:val="000000" w:themeColor="text1"/>
        </w:rPr>
      </w:pPr>
      <w:r>
        <w:rPr>
          <w:color w:val="000000" w:themeColor="text1"/>
        </w:rPr>
        <w:t xml:space="preserve">Kiewiet, M.E. (2019). Six Workable Tips Toward Effective Communication Care + Action = Effective Communication. </w:t>
      </w:r>
      <w:r>
        <w:rPr>
          <w:i/>
          <w:iCs/>
          <w:color w:val="000000" w:themeColor="text1"/>
        </w:rPr>
        <w:t>ABCA Bulletin</w:t>
      </w:r>
      <w:r>
        <w:rPr>
          <w:color w:val="000000" w:themeColor="text1"/>
        </w:rPr>
        <w:t>, 36(1), pp.19–21.</w:t>
      </w:r>
    </w:p>
    <w:p>
      <w:pPr>
        <w:pStyle w:val="10"/>
        <w:spacing w:before="0" w:beforeAutospacing="0" w:after="240" w:afterAutospacing="0" w:line="360" w:lineRule="auto"/>
        <w:jc w:val="both"/>
        <w:rPr>
          <w:color w:val="000000" w:themeColor="text1"/>
        </w:rPr>
      </w:pPr>
      <w:r>
        <w:rPr>
          <w:color w:val="000000" w:themeColor="text1"/>
        </w:rPr>
        <w:t xml:space="preserve">Manolopoulos, D. (2017). An evaluation of employee motivation in the extended public sector in Greece. </w:t>
      </w:r>
      <w:r>
        <w:rPr>
          <w:i/>
          <w:iCs/>
          <w:color w:val="000000" w:themeColor="text1"/>
        </w:rPr>
        <w:t>Employee Relations</w:t>
      </w:r>
      <w:r>
        <w:rPr>
          <w:color w:val="000000" w:themeColor="text1"/>
        </w:rPr>
        <w:t xml:space="preserve">, 30(1), pp.63–85. </w:t>
      </w:r>
    </w:p>
    <w:p>
      <w:pPr>
        <w:pStyle w:val="10"/>
        <w:spacing w:before="0" w:beforeAutospacing="0" w:after="240" w:afterAutospacing="0" w:line="360" w:lineRule="auto"/>
        <w:jc w:val="both"/>
        <w:rPr>
          <w:color w:val="000000" w:themeColor="text1"/>
        </w:rPr>
      </w:pPr>
      <w:r>
        <w:rPr>
          <w:color w:val="000000" w:themeColor="text1"/>
        </w:rPr>
        <w:t xml:space="preserve">Mitchell, J.C., Ku, C.M., Ann, C., DiLorenzo, A.N., Lee, D.J., Karan, S., Wong, S., Schell, R.M., Brzezinski, M. and Jones, S.M. (2017). Enhancing Feedback on Professionalism and Communication Skills in Anesthesia Residency Programs. </w:t>
      </w:r>
      <w:r>
        <w:rPr>
          <w:i/>
          <w:iCs/>
          <w:color w:val="000000" w:themeColor="text1"/>
        </w:rPr>
        <w:t>5</w:t>
      </w:r>
      <w:r>
        <w:rPr>
          <w:color w:val="000000" w:themeColor="text1"/>
        </w:rPr>
        <w:t xml:space="preserve">, 125(2), pp.620–631. </w:t>
      </w:r>
    </w:p>
    <w:p>
      <w:pPr>
        <w:pStyle w:val="10"/>
        <w:spacing w:before="0" w:beforeAutospacing="0" w:after="240" w:afterAutospacing="0" w:line="360" w:lineRule="auto"/>
        <w:jc w:val="both"/>
        <w:rPr>
          <w:color w:val="000000" w:themeColor="text1"/>
        </w:rPr>
      </w:pPr>
      <w:r>
        <w:rPr>
          <w:color w:val="000000" w:themeColor="text1"/>
        </w:rPr>
        <w:t xml:space="preserve">Pappa, S., Ntella, V., Giannakas, T., Giannakoulis, V.G., Papoutsi, E. and Katsaounou, P. (2020). Prevalence of depression, anxiety, and insomnia among healthcare workers during the COVID-19 pandemic: A systematic review and meta-analysis. </w:t>
      </w:r>
      <w:r>
        <w:rPr>
          <w:i/>
          <w:iCs/>
          <w:color w:val="000000" w:themeColor="text1"/>
        </w:rPr>
        <w:t>Brain, Behavior, and Immunity</w:t>
      </w:r>
      <w:r>
        <w:rPr>
          <w:color w:val="000000" w:themeColor="text1"/>
        </w:rPr>
        <w:t xml:space="preserve">, 88(5), pp.901–907. </w:t>
      </w:r>
    </w:p>
    <w:p>
      <w:pPr>
        <w:pStyle w:val="10"/>
        <w:spacing w:before="0" w:beforeAutospacing="0" w:after="240" w:afterAutospacing="0" w:line="360" w:lineRule="auto"/>
        <w:jc w:val="both"/>
        <w:rPr>
          <w:color w:val="000000" w:themeColor="text1"/>
        </w:rPr>
      </w:pPr>
      <w:r>
        <w:rPr>
          <w:color w:val="000000" w:themeColor="text1"/>
        </w:rPr>
        <w:t xml:space="preserve">Sarnat-Ciastko, A. (2015). The tutoring, coaching and mentoring in polish school? Between a chaos and authentic need. </w:t>
      </w:r>
      <w:r>
        <w:rPr>
          <w:i/>
          <w:iCs/>
          <w:color w:val="000000" w:themeColor="text1"/>
        </w:rPr>
        <w:t>Podstawy Edukacji</w:t>
      </w:r>
      <w:r>
        <w:rPr>
          <w:color w:val="000000" w:themeColor="text1"/>
        </w:rPr>
        <w:t xml:space="preserve">, 8(2), pp.141–152. </w:t>
      </w:r>
    </w:p>
    <w:p>
      <w:pPr>
        <w:pStyle w:val="10"/>
        <w:spacing w:before="0" w:beforeAutospacing="0" w:after="240" w:afterAutospacing="0" w:line="360" w:lineRule="auto"/>
        <w:jc w:val="both"/>
        <w:rPr>
          <w:color w:val="000000" w:themeColor="text1"/>
        </w:rPr>
      </w:pPr>
      <w:r>
        <w:rPr>
          <w:color w:val="000000" w:themeColor="text1"/>
        </w:rPr>
        <w:t xml:space="preserve">Vinson, D., Brady, A., Moreland, B. and Judge, N. (2016). Exploring coach behaviours, session contexts and key stakeholder perceptions of non-linear coaching approaches in youth sport. </w:t>
      </w:r>
      <w:r>
        <w:rPr>
          <w:i/>
          <w:iCs/>
          <w:color w:val="000000" w:themeColor="text1"/>
        </w:rPr>
        <w:t>International Journal of Sports Science &amp; Coaching</w:t>
      </w:r>
      <w:r>
        <w:rPr>
          <w:color w:val="000000" w:themeColor="text1"/>
        </w:rPr>
        <w:t xml:space="preserve">, [online] 11(1), pp.54–68. </w:t>
      </w:r>
      <w:r>
        <w:rPr>
          <w:color w:val="000000" w:themeColor="text1"/>
        </w:rPr>
        <w:br w:type="textWrapping"/>
      </w:r>
      <w:r>
        <w:rPr>
          <w:rStyle w:val="15"/>
          <w:color w:val="000000" w:themeColor="text1"/>
        </w:rPr>
        <w:t> </w:t>
      </w:r>
    </w:p>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mbria">
    <w:altName w:val="苹方-简"/>
    <w:panose1 w:val="02040503050406030204"/>
    <w:charset w:val="00"/>
    <w:family w:val="roman"/>
    <w:pitch w:val="default"/>
    <w:sig w:usb0="00000000" w:usb1="00000000" w:usb2="02000000" w:usb3="00000000" w:csb0="0000019F" w:csb1="00000000"/>
  </w:font>
  <w:font w:name="苹方-简">
    <w:panose1 w:val="020B0400000000000000"/>
    <w:charset w:val="86"/>
    <w:family w:val="auto"/>
    <w:pitch w:val="default"/>
    <w:sig w:usb0="00000000" w:usb1="00000000" w:usb2="00000000" w:usb3="00000000" w:csb0="00160000" w:csb1="00000000"/>
  </w:font>
  <w:font w:name="Tahoma">
    <w:panose1 w:val="020B0604030504040204"/>
    <w:charset w:val="00"/>
    <w:family w:val="swiss"/>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304804"/>
      <w:docPartObj>
        <w:docPartGallery w:val="AutoText"/>
      </w:docPartObj>
    </w:sdtPr>
    <w:sdtContent>
      <w:p>
        <w:pPr>
          <w:pStyle w:val="7"/>
          <w:jc w:val="right"/>
        </w:pPr>
        <w:r>
          <w:fldChar w:fldCharType="begin"/>
        </w:r>
        <w:r>
          <w:instrText xml:space="preserve"> PAGE   \* MERGEFORMAT </w:instrText>
        </w:r>
        <w:r>
          <w:fldChar w:fldCharType="separate"/>
        </w:r>
        <w:r>
          <w:t>5</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C14B8"/>
    <w:multiLevelType w:val="multilevel"/>
    <w:tmpl w:val="070C14B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8D7"/>
    <w:rsid w:val="000278E9"/>
    <w:rsid w:val="0003148D"/>
    <w:rsid w:val="000576B5"/>
    <w:rsid w:val="000A246A"/>
    <w:rsid w:val="000C1D5D"/>
    <w:rsid w:val="000D7DF8"/>
    <w:rsid w:val="00120649"/>
    <w:rsid w:val="001369CC"/>
    <w:rsid w:val="001C4E76"/>
    <w:rsid w:val="00260FA9"/>
    <w:rsid w:val="002B0F60"/>
    <w:rsid w:val="002E7F9D"/>
    <w:rsid w:val="00337CD9"/>
    <w:rsid w:val="0034176C"/>
    <w:rsid w:val="00346215"/>
    <w:rsid w:val="003601C4"/>
    <w:rsid w:val="00370681"/>
    <w:rsid w:val="00391054"/>
    <w:rsid w:val="003A25AE"/>
    <w:rsid w:val="003E69C6"/>
    <w:rsid w:val="00484D93"/>
    <w:rsid w:val="00511CF1"/>
    <w:rsid w:val="005365F7"/>
    <w:rsid w:val="005478E2"/>
    <w:rsid w:val="005D5FF1"/>
    <w:rsid w:val="005F1DFA"/>
    <w:rsid w:val="00660EA7"/>
    <w:rsid w:val="00665F04"/>
    <w:rsid w:val="0067519F"/>
    <w:rsid w:val="006834AB"/>
    <w:rsid w:val="006A3336"/>
    <w:rsid w:val="006C3BED"/>
    <w:rsid w:val="006C6BE9"/>
    <w:rsid w:val="006C76A8"/>
    <w:rsid w:val="00706DE7"/>
    <w:rsid w:val="0072517E"/>
    <w:rsid w:val="0072706C"/>
    <w:rsid w:val="007767DA"/>
    <w:rsid w:val="007D7D12"/>
    <w:rsid w:val="007E2AC5"/>
    <w:rsid w:val="007E3ED0"/>
    <w:rsid w:val="009B68D7"/>
    <w:rsid w:val="00A51FE7"/>
    <w:rsid w:val="00A93382"/>
    <w:rsid w:val="00AA79C6"/>
    <w:rsid w:val="00AD08D5"/>
    <w:rsid w:val="00AD45FF"/>
    <w:rsid w:val="00AD497A"/>
    <w:rsid w:val="00AF73F8"/>
    <w:rsid w:val="00B863C9"/>
    <w:rsid w:val="00BB6685"/>
    <w:rsid w:val="00C25D08"/>
    <w:rsid w:val="00C267E0"/>
    <w:rsid w:val="00C35BBC"/>
    <w:rsid w:val="00C37E55"/>
    <w:rsid w:val="00CB2B4B"/>
    <w:rsid w:val="00D3538F"/>
    <w:rsid w:val="00D52272"/>
    <w:rsid w:val="00D974F4"/>
    <w:rsid w:val="00DA78C9"/>
    <w:rsid w:val="00E965E1"/>
    <w:rsid w:val="00E96886"/>
    <w:rsid w:val="00EF3986"/>
    <w:rsid w:val="00F01466"/>
    <w:rsid w:val="00F53236"/>
    <w:rsid w:val="00F54C51"/>
    <w:rsid w:val="00F85505"/>
    <w:rsid w:val="00F92B10"/>
    <w:rsid w:val="00F937B8"/>
    <w:rsid w:val="00F94288"/>
    <w:rsid w:val="00FA4754"/>
    <w:rsid w:val="00FD07FD"/>
    <w:rsid w:val="00FF756D"/>
    <w:rsid w:val="E2FCAB27"/>
    <w:rsid w:val="FA7EC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7"/>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8"/>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20"/>
    <w:semiHidden/>
    <w:unhideWhenUsed/>
    <w:uiPriority w:val="99"/>
    <w:pPr>
      <w:spacing w:after="0" w:line="240" w:lineRule="auto"/>
    </w:pPr>
    <w:rPr>
      <w:rFonts w:ascii="Tahoma" w:hAnsi="Tahoma" w:cs="Tahoma"/>
      <w:sz w:val="16"/>
      <w:szCs w:val="16"/>
    </w:rPr>
  </w:style>
  <w:style w:type="paragraph" w:styleId="7">
    <w:name w:val="footer"/>
    <w:basedOn w:val="1"/>
    <w:link w:val="22"/>
    <w:unhideWhenUsed/>
    <w:uiPriority w:val="99"/>
    <w:pPr>
      <w:tabs>
        <w:tab w:val="center" w:pos="4680"/>
        <w:tab w:val="right" w:pos="9360"/>
      </w:tabs>
      <w:spacing w:after="0" w:line="240" w:lineRule="auto"/>
    </w:pPr>
  </w:style>
  <w:style w:type="paragraph" w:styleId="8">
    <w:name w:val="header"/>
    <w:basedOn w:val="1"/>
    <w:link w:val="21"/>
    <w:semiHidden/>
    <w:unhideWhenUsed/>
    <w:uiPriority w:val="99"/>
    <w:pPr>
      <w:tabs>
        <w:tab w:val="center" w:pos="4680"/>
        <w:tab w:val="right" w:pos="9360"/>
      </w:tabs>
      <w:spacing w:after="0" w:line="240" w:lineRule="auto"/>
    </w:pPr>
  </w:style>
  <w:style w:type="character" w:styleId="9">
    <w:name w:val="Hyperlink"/>
    <w:basedOn w:val="4"/>
    <w:unhideWhenUsed/>
    <w:uiPriority w:val="99"/>
    <w:rPr>
      <w:color w:val="0000FF" w:themeColor="hyperlink"/>
      <w:u w:val="single"/>
    </w:rPr>
  </w:style>
  <w:style w:type="paragraph" w:styleId="10">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20"/>
    </w:pPr>
  </w:style>
  <w:style w:type="paragraph" w:customStyle="1" w:styleId="13">
    <w:name w:val="paragraph"/>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4">
    <w:name w:val="normaltextrun"/>
    <w:basedOn w:val="4"/>
    <w:uiPriority w:val="0"/>
  </w:style>
  <w:style w:type="character" w:customStyle="1" w:styleId="15">
    <w:name w:val="eop"/>
    <w:basedOn w:val="4"/>
    <w:uiPriority w:val="0"/>
  </w:style>
  <w:style w:type="character" w:customStyle="1" w:styleId="16">
    <w:name w:val="scxw163379771"/>
    <w:basedOn w:val="4"/>
    <w:uiPriority w:val="0"/>
  </w:style>
  <w:style w:type="character" w:customStyle="1" w:styleId="17">
    <w:name w:val="Heading 1 Char"/>
    <w:basedOn w:val="4"/>
    <w:link w:val="2"/>
    <w:uiPriority w:val="9"/>
    <w:rPr>
      <w:rFonts w:asciiTheme="majorHAnsi" w:hAnsiTheme="majorHAnsi" w:eastAsiaTheme="majorEastAsia" w:cstheme="majorBidi"/>
      <w:b/>
      <w:bCs/>
      <w:color w:val="366091" w:themeColor="accent1" w:themeShade="BF"/>
      <w:sz w:val="28"/>
      <w:szCs w:val="28"/>
    </w:rPr>
  </w:style>
  <w:style w:type="character" w:customStyle="1" w:styleId="18">
    <w:name w:val="Heading 2 Char"/>
    <w:basedOn w:val="4"/>
    <w:link w:val="3"/>
    <w:uiPriority w:val="9"/>
    <w:rPr>
      <w:rFonts w:asciiTheme="majorHAnsi" w:hAnsiTheme="majorHAnsi" w:eastAsiaTheme="majorEastAsia" w:cstheme="majorBidi"/>
      <w:b/>
      <w:bCs/>
      <w:color w:val="4F81BD" w:themeColor="accent1"/>
      <w:sz w:val="26"/>
      <w:szCs w:val="26"/>
    </w:rPr>
  </w:style>
  <w:style w:type="paragraph" w:customStyle="1" w:styleId="19">
    <w:name w:val="TOC Heading"/>
    <w:basedOn w:val="2"/>
    <w:next w:val="1"/>
    <w:semiHidden/>
    <w:unhideWhenUsed/>
    <w:qFormat/>
    <w:uiPriority w:val="39"/>
    <w:pPr>
      <w:outlineLvl w:val="9"/>
    </w:pPr>
  </w:style>
  <w:style w:type="character" w:customStyle="1" w:styleId="20">
    <w:name w:val="Balloon Text Char"/>
    <w:basedOn w:val="4"/>
    <w:link w:val="6"/>
    <w:semiHidden/>
    <w:uiPriority w:val="99"/>
    <w:rPr>
      <w:rFonts w:ascii="Tahoma" w:hAnsi="Tahoma" w:cs="Tahoma"/>
      <w:sz w:val="16"/>
      <w:szCs w:val="16"/>
    </w:rPr>
  </w:style>
  <w:style w:type="character" w:customStyle="1" w:styleId="21">
    <w:name w:val="Header Char"/>
    <w:basedOn w:val="4"/>
    <w:link w:val="8"/>
    <w:semiHidden/>
    <w:uiPriority w:val="99"/>
  </w:style>
  <w:style w:type="character" w:customStyle="1" w:styleId="22">
    <w:name w:val="Footer Char"/>
    <w:basedOn w:val="4"/>
    <w:link w:val="7"/>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3580</Words>
  <Characters>20411</Characters>
  <Lines>170</Lines>
  <Paragraphs>47</Paragraphs>
  <TotalTime>5</TotalTime>
  <ScaleCrop>false</ScaleCrop>
  <LinksUpToDate>false</LinksUpToDate>
  <CharactersWithSpaces>23944</CharactersWithSpaces>
  <Application>WPS Office_5.5.1.8075_F1E327BC-269C-435d-A152-05C5408002CA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2023-09-14T19:23:00Z</dcterms:created>
  <dcterms:modified xsi:type="dcterms:W3CDTF">2023-11-04T14:05:00Z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1033-5.5.1.8075</vt:lpwstr>
  </property>
</Properties>
</file>