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54F489" w14:textId="77777777" w:rsidR="00862FE1" w:rsidRDefault="003E2F4A">
      <w:pPr>
        <w:spacing w:line="360" w:lineRule="auto"/>
        <w:jc w:val="center"/>
        <w:rPr>
          <w:b/>
          <w:bCs/>
          <w:sz w:val="32"/>
          <w:szCs w:val="32"/>
        </w:rPr>
      </w:pPr>
      <w:r>
        <w:rPr>
          <w:b/>
          <w:bCs/>
          <w:noProof/>
          <w:sz w:val="32"/>
          <w:szCs w:val="32"/>
          <w:lang w:eastAsia="en-IN"/>
        </w:rPr>
        <w:drawing>
          <wp:inline distT="114300" distB="114300" distL="114300" distR="114300" wp14:anchorId="27F8AF33" wp14:editId="0A660648">
            <wp:extent cx="2162175" cy="7334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tretch>
                      <a:fillRect/>
                    </a:stretch>
                  </pic:blipFill>
                  <pic:spPr>
                    <a:xfrm>
                      <a:off x="0" y="0"/>
                      <a:ext cx="2162175" cy="733425"/>
                    </a:xfrm>
                    <a:prstGeom prst="rect">
                      <a:avLst/>
                    </a:prstGeom>
                  </pic:spPr>
                </pic:pic>
              </a:graphicData>
            </a:graphic>
          </wp:inline>
        </w:drawing>
      </w:r>
    </w:p>
    <w:p w14:paraId="2635DE0C" w14:textId="77777777" w:rsidR="00862FE1" w:rsidRDefault="00862FE1">
      <w:pPr>
        <w:spacing w:line="360" w:lineRule="auto"/>
        <w:jc w:val="center"/>
        <w:rPr>
          <w:b/>
          <w:bCs/>
          <w:sz w:val="32"/>
          <w:szCs w:val="32"/>
        </w:rPr>
      </w:pPr>
    </w:p>
    <w:p w14:paraId="7B9447A0" w14:textId="24F4F490" w:rsidR="00862FE1" w:rsidRDefault="003E2F4A">
      <w:pPr>
        <w:spacing w:line="360" w:lineRule="auto"/>
        <w:jc w:val="center"/>
        <w:rPr>
          <w:b/>
          <w:bCs/>
          <w:sz w:val="32"/>
          <w:szCs w:val="32"/>
        </w:rPr>
      </w:pPr>
      <w:r>
        <w:rPr>
          <w:b/>
          <w:bCs/>
          <w:sz w:val="32"/>
          <w:szCs w:val="32"/>
        </w:rPr>
        <w:t>Student Name:</w:t>
      </w:r>
      <w:r w:rsidR="000D6B78">
        <w:rPr>
          <w:b/>
          <w:bCs/>
          <w:sz w:val="32"/>
          <w:szCs w:val="32"/>
        </w:rPr>
        <w:t xml:space="preserve"> </w:t>
      </w:r>
      <w:r w:rsidR="000D6B78" w:rsidRPr="00315A65">
        <w:rPr>
          <w:sz w:val="32"/>
          <w:szCs w:val="32"/>
        </w:rPr>
        <w:t>Ionela Velichi</w:t>
      </w:r>
    </w:p>
    <w:p w14:paraId="028CBA18" w14:textId="77777777" w:rsidR="00862FE1" w:rsidRDefault="00862FE1">
      <w:pPr>
        <w:spacing w:line="360" w:lineRule="auto"/>
        <w:jc w:val="center"/>
        <w:rPr>
          <w:b/>
          <w:bCs/>
          <w:sz w:val="32"/>
          <w:szCs w:val="32"/>
        </w:rPr>
      </w:pPr>
    </w:p>
    <w:p w14:paraId="6BCBCCA9" w14:textId="1444CDA1" w:rsidR="00862FE1" w:rsidRDefault="003E2F4A">
      <w:pPr>
        <w:spacing w:line="360" w:lineRule="auto"/>
        <w:jc w:val="center"/>
        <w:rPr>
          <w:b/>
          <w:bCs/>
          <w:sz w:val="32"/>
          <w:szCs w:val="32"/>
        </w:rPr>
      </w:pPr>
      <w:r>
        <w:rPr>
          <w:b/>
          <w:bCs/>
          <w:sz w:val="32"/>
          <w:szCs w:val="32"/>
        </w:rPr>
        <w:t>Student number:</w:t>
      </w:r>
      <w:r w:rsidR="000D6B78">
        <w:rPr>
          <w:b/>
          <w:bCs/>
          <w:sz w:val="32"/>
          <w:szCs w:val="32"/>
        </w:rPr>
        <w:t xml:space="preserve"> </w:t>
      </w:r>
      <w:r w:rsidR="000D6B78" w:rsidRPr="00315A65">
        <w:rPr>
          <w:sz w:val="32"/>
          <w:szCs w:val="32"/>
        </w:rPr>
        <w:t>2438802</w:t>
      </w:r>
    </w:p>
    <w:p w14:paraId="0477541B" w14:textId="77777777" w:rsidR="00862FE1" w:rsidRDefault="00862FE1">
      <w:pPr>
        <w:spacing w:line="360" w:lineRule="auto"/>
        <w:jc w:val="center"/>
        <w:rPr>
          <w:b/>
          <w:bCs/>
          <w:sz w:val="32"/>
          <w:szCs w:val="32"/>
        </w:rPr>
      </w:pPr>
    </w:p>
    <w:p w14:paraId="70E238CB" w14:textId="77777777" w:rsidR="00862FE1" w:rsidRDefault="003E2F4A">
      <w:pPr>
        <w:spacing w:line="360" w:lineRule="auto"/>
        <w:jc w:val="center"/>
        <w:rPr>
          <w:sz w:val="32"/>
          <w:szCs w:val="32"/>
        </w:rPr>
      </w:pPr>
      <w:r>
        <w:rPr>
          <w:b/>
          <w:bCs/>
          <w:sz w:val="32"/>
          <w:szCs w:val="32"/>
        </w:rPr>
        <w:t xml:space="preserve">Module code and title: </w:t>
      </w:r>
      <w:r>
        <w:rPr>
          <w:sz w:val="32"/>
          <w:szCs w:val="32"/>
        </w:rPr>
        <w:t>LCHS4010 Psychology in Health and Social Care</w:t>
      </w:r>
    </w:p>
    <w:p w14:paraId="31A9AB4C" w14:textId="77777777" w:rsidR="00862FE1" w:rsidRDefault="00862FE1">
      <w:pPr>
        <w:spacing w:line="360" w:lineRule="auto"/>
        <w:jc w:val="center"/>
        <w:rPr>
          <w:b/>
          <w:bCs/>
          <w:sz w:val="32"/>
          <w:szCs w:val="32"/>
        </w:rPr>
      </w:pPr>
    </w:p>
    <w:p w14:paraId="551D5DA5" w14:textId="4EF8C23C" w:rsidR="00862FE1" w:rsidRDefault="003E2F4A">
      <w:pPr>
        <w:spacing w:line="360" w:lineRule="auto"/>
        <w:jc w:val="center"/>
        <w:rPr>
          <w:sz w:val="32"/>
          <w:szCs w:val="32"/>
        </w:rPr>
      </w:pPr>
      <w:r>
        <w:rPr>
          <w:b/>
          <w:bCs/>
          <w:sz w:val="32"/>
          <w:szCs w:val="32"/>
        </w:rPr>
        <w:t>Lecturer name</w:t>
      </w:r>
      <w:r w:rsidR="000D6B78">
        <w:rPr>
          <w:b/>
          <w:bCs/>
          <w:sz w:val="32"/>
          <w:szCs w:val="32"/>
        </w:rPr>
        <w:t xml:space="preserve">: </w:t>
      </w:r>
      <w:r w:rsidR="000D6B78" w:rsidRPr="00762E3D">
        <w:rPr>
          <w:sz w:val="32"/>
          <w:szCs w:val="32"/>
        </w:rPr>
        <w:t>Peace Ukachukwu</w:t>
      </w:r>
    </w:p>
    <w:p w14:paraId="629E7761" w14:textId="77777777" w:rsidR="00862FE1" w:rsidRDefault="00862FE1">
      <w:pPr>
        <w:spacing w:line="360" w:lineRule="auto"/>
        <w:jc w:val="center"/>
        <w:rPr>
          <w:b/>
          <w:bCs/>
          <w:sz w:val="32"/>
          <w:szCs w:val="32"/>
        </w:rPr>
      </w:pPr>
    </w:p>
    <w:p w14:paraId="7456A86A" w14:textId="375AD23A" w:rsidR="00862FE1" w:rsidRDefault="003E2F4A">
      <w:pPr>
        <w:spacing w:line="360" w:lineRule="auto"/>
        <w:jc w:val="center"/>
        <w:rPr>
          <w:sz w:val="32"/>
          <w:szCs w:val="32"/>
        </w:rPr>
      </w:pPr>
      <w:r>
        <w:rPr>
          <w:b/>
          <w:bCs/>
          <w:sz w:val="32"/>
          <w:szCs w:val="32"/>
        </w:rPr>
        <w:t>Assignment title:</w:t>
      </w:r>
      <w:r>
        <w:rPr>
          <w:sz w:val="32"/>
          <w:szCs w:val="32"/>
        </w:rPr>
        <w:t xml:space="preserve"> Bibliography &amp; report</w:t>
      </w:r>
    </w:p>
    <w:p w14:paraId="3B87E517" w14:textId="77777777" w:rsidR="00862FE1" w:rsidRDefault="00862FE1">
      <w:pPr>
        <w:spacing w:line="360" w:lineRule="auto"/>
        <w:jc w:val="center"/>
        <w:rPr>
          <w:sz w:val="32"/>
          <w:szCs w:val="32"/>
        </w:rPr>
      </w:pPr>
    </w:p>
    <w:p w14:paraId="676C837D" w14:textId="6F74B20A" w:rsidR="00862FE1" w:rsidRDefault="00862FE1">
      <w:pPr>
        <w:spacing w:line="360" w:lineRule="auto"/>
        <w:jc w:val="center"/>
        <w:rPr>
          <w:b/>
          <w:bCs/>
          <w:sz w:val="32"/>
          <w:szCs w:val="32"/>
        </w:rPr>
      </w:pPr>
      <w:bookmarkStart w:id="0" w:name="_heading=h.q8u91yu7ozyo" w:colFirst="0" w:colLast="0"/>
      <w:bookmarkEnd w:id="0"/>
    </w:p>
    <w:p w14:paraId="48FD2DF9" w14:textId="77777777" w:rsidR="00862FE1" w:rsidRDefault="003E2F4A">
      <w:pPr>
        <w:spacing w:line="360" w:lineRule="auto"/>
        <w:rPr>
          <w:b/>
          <w:bCs/>
          <w:sz w:val="32"/>
          <w:szCs w:val="32"/>
        </w:rPr>
      </w:pPr>
      <w:r>
        <w:br w:type="page"/>
      </w:r>
    </w:p>
    <w:p w14:paraId="33D981F3" w14:textId="77777777" w:rsidR="00862FE1" w:rsidRPr="00315A65" w:rsidRDefault="003E2F4A">
      <w:pPr>
        <w:spacing w:line="360" w:lineRule="auto"/>
        <w:jc w:val="center"/>
      </w:pPr>
      <w:r w:rsidRPr="00315A65">
        <w:rPr>
          <w:b/>
          <w:bCs/>
        </w:rPr>
        <w:lastRenderedPageBreak/>
        <w:t>Table of Contents</w:t>
      </w:r>
    </w:p>
    <w:sdt>
      <w:sdtPr>
        <w:id w:val="1210357980"/>
        <w:docPartObj>
          <w:docPartGallery w:val="Table of Contents"/>
          <w:docPartUnique/>
        </w:docPartObj>
      </w:sdtPr>
      <w:sdtContent>
        <w:p w14:paraId="6127B90C" w14:textId="26DBC94A" w:rsidR="008C2513" w:rsidRPr="00315A65" w:rsidRDefault="003E2F4A" w:rsidP="008C2513">
          <w:pPr>
            <w:pStyle w:val="TOC1"/>
            <w:tabs>
              <w:tab w:val="right" w:pos="9019"/>
            </w:tabs>
            <w:spacing w:line="360" w:lineRule="auto"/>
            <w:jc w:val="both"/>
            <w:rPr>
              <w:rFonts w:asciiTheme="minorHAnsi" w:eastAsiaTheme="minorEastAsia" w:hAnsiTheme="minorHAnsi" w:cstheme="minorBidi"/>
              <w:noProof/>
              <w:kern w:val="2"/>
              <w:lang w:eastAsia="en-IN"/>
              <w14:ligatures w14:val="standardContextual"/>
            </w:rPr>
          </w:pPr>
          <w:r w:rsidRPr="00315A65">
            <w:fldChar w:fldCharType="begin"/>
          </w:r>
          <w:r w:rsidRPr="00315A65">
            <w:instrText xml:space="preserve"> TOC \h \u \z \t "Heading 1,1,Heading 2,2,Heading 3,3,Heading 4,4,Heading 5,5,Heading 6,6,"</w:instrText>
          </w:r>
          <w:r w:rsidRPr="00315A65">
            <w:fldChar w:fldCharType="separate"/>
          </w:r>
          <w:hyperlink w:anchor="_Toc227686579" w:history="1">
            <w:r w:rsidR="008C2513" w:rsidRPr="00315A65">
              <w:rPr>
                <w:rStyle w:val="Hyperlink"/>
                <w:noProof/>
              </w:rPr>
              <w:t>1. Part A: Annotated Bibliography</w:t>
            </w:r>
            <w:r w:rsidR="008C2513" w:rsidRPr="00315A65">
              <w:rPr>
                <w:noProof/>
                <w:webHidden/>
              </w:rPr>
              <w:tab/>
            </w:r>
            <w:r w:rsidR="008C2513" w:rsidRPr="00315A65">
              <w:rPr>
                <w:noProof/>
                <w:webHidden/>
              </w:rPr>
              <w:fldChar w:fldCharType="begin"/>
            </w:r>
            <w:r w:rsidR="008C2513" w:rsidRPr="00315A65">
              <w:rPr>
                <w:noProof/>
                <w:webHidden/>
              </w:rPr>
              <w:instrText xml:space="preserve"> PAGEREF _Toc227686579 \h </w:instrText>
            </w:r>
            <w:r w:rsidR="008C2513" w:rsidRPr="00315A65">
              <w:rPr>
                <w:noProof/>
                <w:webHidden/>
              </w:rPr>
            </w:r>
            <w:r w:rsidR="008C2513" w:rsidRPr="00315A65">
              <w:rPr>
                <w:noProof/>
                <w:webHidden/>
              </w:rPr>
              <w:fldChar w:fldCharType="separate"/>
            </w:r>
            <w:r w:rsidR="008C2513" w:rsidRPr="00315A65">
              <w:rPr>
                <w:noProof/>
                <w:webHidden/>
              </w:rPr>
              <w:t>2</w:t>
            </w:r>
            <w:r w:rsidR="008C2513" w:rsidRPr="00315A65">
              <w:rPr>
                <w:noProof/>
                <w:webHidden/>
              </w:rPr>
              <w:fldChar w:fldCharType="end"/>
            </w:r>
          </w:hyperlink>
        </w:p>
        <w:p w14:paraId="4BF2F7D2" w14:textId="3AD2CA03" w:rsidR="008C2513" w:rsidRPr="00315A65" w:rsidRDefault="008C2513" w:rsidP="008C2513">
          <w:pPr>
            <w:pStyle w:val="TOC2"/>
            <w:tabs>
              <w:tab w:val="right" w:pos="9019"/>
            </w:tabs>
            <w:spacing w:line="360" w:lineRule="auto"/>
            <w:jc w:val="both"/>
            <w:rPr>
              <w:rFonts w:asciiTheme="minorHAnsi" w:eastAsiaTheme="minorEastAsia" w:hAnsiTheme="minorHAnsi" w:cstheme="minorBidi"/>
              <w:noProof/>
              <w:kern w:val="2"/>
              <w:lang w:eastAsia="en-IN"/>
              <w14:ligatures w14:val="standardContextual"/>
            </w:rPr>
          </w:pPr>
          <w:hyperlink w:anchor="_Toc227686580" w:history="1">
            <w:r w:rsidRPr="00315A65">
              <w:rPr>
                <w:rStyle w:val="Hyperlink"/>
                <w:noProof/>
              </w:rPr>
              <w:t>1.1 Bowlby’s Attachment Theory</w:t>
            </w:r>
            <w:r w:rsidRPr="00315A65">
              <w:rPr>
                <w:noProof/>
                <w:webHidden/>
              </w:rPr>
              <w:tab/>
            </w:r>
            <w:r w:rsidRPr="00315A65">
              <w:rPr>
                <w:noProof/>
                <w:webHidden/>
              </w:rPr>
              <w:fldChar w:fldCharType="begin"/>
            </w:r>
            <w:r w:rsidRPr="00315A65">
              <w:rPr>
                <w:noProof/>
                <w:webHidden/>
              </w:rPr>
              <w:instrText xml:space="preserve"> PAGEREF _Toc227686580 \h </w:instrText>
            </w:r>
            <w:r w:rsidRPr="00315A65">
              <w:rPr>
                <w:noProof/>
                <w:webHidden/>
              </w:rPr>
            </w:r>
            <w:r w:rsidRPr="00315A65">
              <w:rPr>
                <w:noProof/>
                <w:webHidden/>
              </w:rPr>
              <w:fldChar w:fldCharType="separate"/>
            </w:r>
            <w:r w:rsidRPr="00315A65">
              <w:rPr>
                <w:noProof/>
                <w:webHidden/>
              </w:rPr>
              <w:t>2</w:t>
            </w:r>
            <w:r w:rsidRPr="00315A65">
              <w:rPr>
                <w:noProof/>
                <w:webHidden/>
              </w:rPr>
              <w:fldChar w:fldCharType="end"/>
            </w:r>
          </w:hyperlink>
        </w:p>
        <w:p w14:paraId="431A13CC" w14:textId="6D0990F7" w:rsidR="008C2513" w:rsidRPr="00315A65" w:rsidRDefault="008C2513" w:rsidP="008C2513">
          <w:pPr>
            <w:pStyle w:val="TOC2"/>
            <w:tabs>
              <w:tab w:val="right" w:pos="9019"/>
            </w:tabs>
            <w:spacing w:line="360" w:lineRule="auto"/>
            <w:jc w:val="both"/>
            <w:rPr>
              <w:rFonts w:asciiTheme="minorHAnsi" w:eastAsiaTheme="minorEastAsia" w:hAnsiTheme="minorHAnsi" w:cstheme="minorBidi"/>
              <w:noProof/>
              <w:kern w:val="2"/>
              <w:lang w:eastAsia="en-IN"/>
              <w14:ligatures w14:val="standardContextual"/>
            </w:rPr>
          </w:pPr>
          <w:hyperlink w:anchor="_Toc227686581" w:history="1">
            <w:r w:rsidRPr="00315A65">
              <w:rPr>
                <w:rStyle w:val="Hyperlink"/>
                <w:noProof/>
              </w:rPr>
              <w:t>1.2 Positive Psychology Approaches to Ageing</w:t>
            </w:r>
            <w:r w:rsidRPr="00315A65">
              <w:rPr>
                <w:noProof/>
                <w:webHidden/>
              </w:rPr>
              <w:tab/>
            </w:r>
            <w:r w:rsidRPr="00315A65">
              <w:rPr>
                <w:noProof/>
                <w:webHidden/>
              </w:rPr>
              <w:fldChar w:fldCharType="begin"/>
            </w:r>
            <w:r w:rsidRPr="00315A65">
              <w:rPr>
                <w:noProof/>
                <w:webHidden/>
              </w:rPr>
              <w:instrText xml:space="preserve"> PAGEREF _Toc227686581 \h </w:instrText>
            </w:r>
            <w:r w:rsidRPr="00315A65">
              <w:rPr>
                <w:noProof/>
                <w:webHidden/>
              </w:rPr>
            </w:r>
            <w:r w:rsidRPr="00315A65">
              <w:rPr>
                <w:noProof/>
                <w:webHidden/>
              </w:rPr>
              <w:fldChar w:fldCharType="separate"/>
            </w:r>
            <w:r w:rsidRPr="00315A65">
              <w:rPr>
                <w:noProof/>
                <w:webHidden/>
              </w:rPr>
              <w:t>3</w:t>
            </w:r>
            <w:r w:rsidRPr="00315A65">
              <w:rPr>
                <w:noProof/>
                <w:webHidden/>
              </w:rPr>
              <w:fldChar w:fldCharType="end"/>
            </w:r>
          </w:hyperlink>
        </w:p>
        <w:p w14:paraId="5A765126" w14:textId="04BF683A" w:rsidR="008C2513" w:rsidRPr="00315A65" w:rsidRDefault="008C2513" w:rsidP="008C2513">
          <w:pPr>
            <w:pStyle w:val="TOC1"/>
            <w:tabs>
              <w:tab w:val="right" w:pos="9019"/>
            </w:tabs>
            <w:spacing w:line="360" w:lineRule="auto"/>
            <w:jc w:val="both"/>
            <w:rPr>
              <w:rFonts w:asciiTheme="minorHAnsi" w:eastAsiaTheme="minorEastAsia" w:hAnsiTheme="minorHAnsi" w:cstheme="minorBidi"/>
              <w:noProof/>
              <w:kern w:val="2"/>
              <w:lang w:eastAsia="en-IN"/>
              <w14:ligatures w14:val="standardContextual"/>
            </w:rPr>
          </w:pPr>
          <w:hyperlink w:anchor="_Toc227686582" w:history="1">
            <w:r w:rsidRPr="00315A65">
              <w:rPr>
                <w:rStyle w:val="Hyperlink"/>
                <w:noProof/>
              </w:rPr>
              <w:t>2. Part B: Short Report</w:t>
            </w:r>
            <w:r w:rsidRPr="00315A65">
              <w:rPr>
                <w:noProof/>
                <w:webHidden/>
              </w:rPr>
              <w:tab/>
            </w:r>
            <w:r w:rsidRPr="00315A65">
              <w:rPr>
                <w:noProof/>
                <w:webHidden/>
              </w:rPr>
              <w:fldChar w:fldCharType="begin"/>
            </w:r>
            <w:r w:rsidRPr="00315A65">
              <w:rPr>
                <w:noProof/>
                <w:webHidden/>
              </w:rPr>
              <w:instrText xml:space="preserve"> PAGEREF _Toc227686582 \h </w:instrText>
            </w:r>
            <w:r w:rsidRPr="00315A65">
              <w:rPr>
                <w:noProof/>
                <w:webHidden/>
              </w:rPr>
            </w:r>
            <w:r w:rsidRPr="00315A65">
              <w:rPr>
                <w:noProof/>
                <w:webHidden/>
              </w:rPr>
              <w:fldChar w:fldCharType="separate"/>
            </w:r>
            <w:r w:rsidRPr="00315A65">
              <w:rPr>
                <w:noProof/>
                <w:webHidden/>
              </w:rPr>
              <w:t>5</w:t>
            </w:r>
            <w:r w:rsidRPr="00315A65">
              <w:rPr>
                <w:noProof/>
                <w:webHidden/>
              </w:rPr>
              <w:fldChar w:fldCharType="end"/>
            </w:r>
          </w:hyperlink>
        </w:p>
        <w:p w14:paraId="0814090F" w14:textId="41C9DD48" w:rsidR="008C2513" w:rsidRPr="00315A65" w:rsidRDefault="008C2513" w:rsidP="008C2513">
          <w:pPr>
            <w:pStyle w:val="TOC2"/>
            <w:tabs>
              <w:tab w:val="right" w:pos="9019"/>
            </w:tabs>
            <w:spacing w:line="360" w:lineRule="auto"/>
            <w:jc w:val="both"/>
            <w:rPr>
              <w:rFonts w:asciiTheme="minorHAnsi" w:eastAsiaTheme="minorEastAsia" w:hAnsiTheme="minorHAnsi" w:cstheme="minorBidi"/>
              <w:noProof/>
              <w:kern w:val="2"/>
              <w:lang w:eastAsia="en-IN"/>
              <w14:ligatures w14:val="standardContextual"/>
            </w:rPr>
          </w:pPr>
          <w:hyperlink w:anchor="_Toc227686583" w:history="1">
            <w:r w:rsidRPr="00315A65">
              <w:rPr>
                <w:rStyle w:val="Hyperlink"/>
                <w:noProof/>
              </w:rPr>
              <w:t>2.1 Introduction</w:t>
            </w:r>
            <w:r w:rsidRPr="00315A65">
              <w:rPr>
                <w:noProof/>
                <w:webHidden/>
              </w:rPr>
              <w:tab/>
            </w:r>
            <w:r w:rsidRPr="00315A65">
              <w:rPr>
                <w:noProof/>
                <w:webHidden/>
              </w:rPr>
              <w:fldChar w:fldCharType="begin"/>
            </w:r>
            <w:r w:rsidRPr="00315A65">
              <w:rPr>
                <w:noProof/>
                <w:webHidden/>
              </w:rPr>
              <w:instrText xml:space="preserve"> PAGEREF _Toc227686583 \h </w:instrText>
            </w:r>
            <w:r w:rsidRPr="00315A65">
              <w:rPr>
                <w:noProof/>
                <w:webHidden/>
              </w:rPr>
            </w:r>
            <w:r w:rsidRPr="00315A65">
              <w:rPr>
                <w:noProof/>
                <w:webHidden/>
              </w:rPr>
              <w:fldChar w:fldCharType="separate"/>
            </w:r>
            <w:r w:rsidRPr="00315A65">
              <w:rPr>
                <w:noProof/>
                <w:webHidden/>
              </w:rPr>
              <w:t>5</w:t>
            </w:r>
            <w:r w:rsidRPr="00315A65">
              <w:rPr>
                <w:noProof/>
                <w:webHidden/>
              </w:rPr>
              <w:fldChar w:fldCharType="end"/>
            </w:r>
          </w:hyperlink>
        </w:p>
        <w:p w14:paraId="03AC274B" w14:textId="0594BBFB" w:rsidR="008C2513" w:rsidRPr="00315A65" w:rsidRDefault="008C2513" w:rsidP="008C2513">
          <w:pPr>
            <w:pStyle w:val="TOC2"/>
            <w:tabs>
              <w:tab w:val="right" w:pos="9019"/>
            </w:tabs>
            <w:spacing w:line="360" w:lineRule="auto"/>
            <w:jc w:val="both"/>
            <w:rPr>
              <w:rFonts w:asciiTheme="minorHAnsi" w:eastAsiaTheme="minorEastAsia" w:hAnsiTheme="minorHAnsi" w:cstheme="minorBidi"/>
              <w:noProof/>
              <w:kern w:val="2"/>
              <w:lang w:eastAsia="en-IN"/>
              <w14:ligatures w14:val="standardContextual"/>
            </w:rPr>
          </w:pPr>
          <w:hyperlink w:anchor="_Toc227686584" w:history="1">
            <w:r w:rsidRPr="00315A65">
              <w:rPr>
                <w:rStyle w:val="Hyperlink"/>
                <w:noProof/>
              </w:rPr>
              <w:t>2.2 Explaining Freud – Psychodynamic Theory to improve psychological well-being in older adults living in residential care</w:t>
            </w:r>
            <w:r w:rsidRPr="00315A65">
              <w:rPr>
                <w:noProof/>
                <w:webHidden/>
              </w:rPr>
              <w:tab/>
            </w:r>
            <w:r w:rsidRPr="00315A65">
              <w:rPr>
                <w:noProof/>
                <w:webHidden/>
              </w:rPr>
              <w:fldChar w:fldCharType="begin"/>
            </w:r>
            <w:r w:rsidRPr="00315A65">
              <w:rPr>
                <w:noProof/>
                <w:webHidden/>
              </w:rPr>
              <w:instrText xml:space="preserve"> PAGEREF _Toc227686584 \h </w:instrText>
            </w:r>
            <w:r w:rsidRPr="00315A65">
              <w:rPr>
                <w:noProof/>
                <w:webHidden/>
              </w:rPr>
            </w:r>
            <w:r w:rsidRPr="00315A65">
              <w:rPr>
                <w:noProof/>
                <w:webHidden/>
              </w:rPr>
              <w:fldChar w:fldCharType="separate"/>
            </w:r>
            <w:r w:rsidRPr="00315A65">
              <w:rPr>
                <w:noProof/>
                <w:webHidden/>
              </w:rPr>
              <w:t>5</w:t>
            </w:r>
            <w:r w:rsidRPr="00315A65">
              <w:rPr>
                <w:noProof/>
                <w:webHidden/>
              </w:rPr>
              <w:fldChar w:fldCharType="end"/>
            </w:r>
          </w:hyperlink>
        </w:p>
        <w:p w14:paraId="7E6C2D7A" w14:textId="271D9F59" w:rsidR="008C2513" w:rsidRPr="00315A65" w:rsidRDefault="008C2513" w:rsidP="008C2513">
          <w:pPr>
            <w:pStyle w:val="TOC2"/>
            <w:tabs>
              <w:tab w:val="right" w:pos="9019"/>
            </w:tabs>
            <w:spacing w:line="360" w:lineRule="auto"/>
            <w:jc w:val="both"/>
            <w:rPr>
              <w:rFonts w:asciiTheme="minorHAnsi" w:eastAsiaTheme="minorEastAsia" w:hAnsiTheme="minorHAnsi" w:cstheme="minorBidi"/>
              <w:noProof/>
              <w:kern w:val="2"/>
              <w:lang w:eastAsia="en-IN"/>
              <w14:ligatures w14:val="standardContextual"/>
            </w:rPr>
          </w:pPr>
          <w:hyperlink w:anchor="_Toc227686585" w:history="1">
            <w:r w:rsidRPr="00315A65">
              <w:rPr>
                <w:rStyle w:val="Hyperlink"/>
                <w:noProof/>
              </w:rPr>
              <w:t>2.3 Real-world example or case scenario for application</w:t>
            </w:r>
            <w:r w:rsidRPr="00315A65">
              <w:rPr>
                <w:noProof/>
                <w:webHidden/>
              </w:rPr>
              <w:tab/>
            </w:r>
            <w:r w:rsidRPr="00315A65">
              <w:rPr>
                <w:noProof/>
                <w:webHidden/>
              </w:rPr>
              <w:fldChar w:fldCharType="begin"/>
            </w:r>
            <w:r w:rsidRPr="00315A65">
              <w:rPr>
                <w:noProof/>
                <w:webHidden/>
              </w:rPr>
              <w:instrText xml:space="preserve"> PAGEREF _Toc227686585 \h </w:instrText>
            </w:r>
            <w:r w:rsidRPr="00315A65">
              <w:rPr>
                <w:noProof/>
                <w:webHidden/>
              </w:rPr>
            </w:r>
            <w:r w:rsidRPr="00315A65">
              <w:rPr>
                <w:noProof/>
                <w:webHidden/>
              </w:rPr>
              <w:fldChar w:fldCharType="separate"/>
            </w:r>
            <w:r w:rsidRPr="00315A65">
              <w:rPr>
                <w:noProof/>
                <w:webHidden/>
              </w:rPr>
              <w:t>7</w:t>
            </w:r>
            <w:r w:rsidRPr="00315A65">
              <w:rPr>
                <w:noProof/>
                <w:webHidden/>
              </w:rPr>
              <w:fldChar w:fldCharType="end"/>
            </w:r>
          </w:hyperlink>
        </w:p>
        <w:p w14:paraId="17199B3B" w14:textId="08791D68" w:rsidR="008C2513" w:rsidRPr="00315A65" w:rsidRDefault="008C2513" w:rsidP="008C2513">
          <w:pPr>
            <w:pStyle w:val="TOC2"/>
            <w:tabs>
              <w:tab w:val="right" w:pos="9019"/>
            </w:tabs>
            <w:spacing w:line="360" w:lineRule="auto"/>
            <w:jc w:val="both"/>
            <w:rPr>
              <w:rFonts w:asciiTheme="minorHAnsi" w:eastAsiaTheme="minorEastAsia" w:hAnsiTheme="minorHAnsi" w:cstheme="minorBidi"/>
              <w:noProof/>
              <w:kern w:val="2"/>
              <w:lang w:eastAsia="en-IN"/>
              <w14:ligatures w14:val="standardContextual"/>
            </w:rPr>
          </w:pPr>
          <w:hyperlink w:anchor="_Toc227686586" w:history="1">
            <w:r w:rsidRPr="00315A65">
              <w:rPr>
                <w:rStyle w:val="Hyperlink"/>
                <w:noProof/>
              </w:rPr>
              <w:t>2.4 One possible challenge for professionals in applying the theory and overcoming the strategy</w:t>
            </w:r>
            <w:r w:rsidRPr="00315A65">
              <w:rPr>
                <w:noProof/>
                <w:webHidden/>
              </w:rPr>
              <w:tab/>
            </w:r>
            <w:r w:rsidRPr="00315A65">
              <w:rPr>
                <w:noProof/>
                <w:webHidden/>
              </w:rPr>
              <w:fldChar w:fldCharType="begin"/>
            </w:r>
            <w:r w:rsidRPr="00315A65">
              <w:rPr>
                <w:noProof/>
                <w:webHidden/>
              </w:rPr>
              <w:instrText xml:space="preserve"> PAGEREF _Toc227686586 \h </w:instrText>
            </w:r>
            <w:r w:rsidRPr="00315A65">
              <w:rPr>
                <w:noProof/>
                <w:webHidden/>
              </w:rPr>
            </w:r>
            <w:r w:rsidRPr="00315A65">
              <w:rPr>
                <w:noProof/>
                <w:webHidden/>
              </w:rPr>
              <w:fldChar w:fldCharType="separate"/>
            </w:r>
            <w:r w:rsidRPr="00315A65">
              <w:rPr>
                <w:noProof/>
                <w:webHidden/>
              </w:rPr>
              <w:t>7</w:t>
            </w:r>
            <w:r w:rsidRPr="00315A65">
              <w:rPr>
                <w:noProof/>
                <w:webHidden/>
              </w:rPr>
              <w:fldChar w:fldCharType="end"/>
            </w:r>
          </w:hyperlink>
        </w:p>
        <w:p w14:paraId="4C64EE4A" w14:textId="5C99F54D" w:rsidR="008C2513" w:rsidRPr="00315A65" w:rsidRDefault="008C2513" w:rsidP="008C2513">
          <w:pPr>
            <w:pStyle w:val="TOC2"/>
            <w:tabs>
              <w:tab w:val="right" w:pos="9019"/>
            </w:tabs>
            <w:spacing w:line="360" w:lineRule="auto"/>
            <w:jc w:val="both"/>
            <w:rPr>
              <w:rFonts w:asciiTheme="minorHAnsi" w:eastAsiaTheme="minorEastAsia" w:hAnsiTheme="minorHAnsi" w:cstheme="minorBidi"/>
              <w:noProof/>
              <w:kern w:val="2"/>
              <w:lang w:eastAsia="en-IN"/>
              <w14:ligatures w14:val="standardContextual"/>
            </w:rPr>
          </w:pPr>
          <w:hyperlink w:anchor="_Toc227686587" w:history="1">
            <w:r w:rsidRPr="00315A65">
              <w:rPr>
                <w:rStyle w:val="Hyperlink"/>
                <w:noProof/>
              </w:rPr>
              <w:t>2.5 Conclusion</w:t>
            </w:r>
            <w:r w:rsidRPr="00315A65">
              <w:rPr>
                <w:noProof/>
                <w:webHidden/>
              </w:rPr>
              <w:tab/>
            </w:r>
            <w:r w:rsidRPr="00315A65">
              <w:rPr>
                <w:noProof/>
                <w:webHidden/>
              </w:rPr>
              <w:fldChar w:fldCharType="begin"/>
            </w:r>
            <w:r w:rsidRPr="00315A65">
              <w:rPr>
                <w:noProof/>
                <w:webHidden/>
              </w:rPr>
              <w:instrText xml:space="preserve"> PAGEREF _Toc227686587 \h </w:instrText>
            </w:r>
            <w:r w:rsidRPr="00315A65">
              <w:rPr>
                <w:noProof/>
                <w:webHidden/>
              </w:rPr>
            </w:r>
            <w:r w:rsidRPr="00315A65">
              <w:rPr>
                <w:noProof/>
                <w:webHidden/>
              </w:rPr>
              <w:fldChar w:fldCharType="separate"/>
            </w:r>
            <w:r w:rsidRPr="00315A65">
              <w:rPr>
                <w:noProof/>
                <w:webHidden/>
              </w:rPr>
              <w:t>8</w:t>
            </w:r>
            <w:r w:rsidRPr="00315A65">
              <w:rPr>
                <w:noProof/>
                <w:webHidden/>
              </w:rPr>
              <w:fldChar w:fldCharType="end"/>
            </w:r>
          </w:hyperlink>
        </w:p>
        <w:p w14:paraId="57166E23" w14:textId="3DC0F71C" w:rsidR="008C2513" w:rsidRPr="00315A65" w:rsidRDefault="008C2513" w:rsidP="008C2513">
          <w:pPr>
            <w:pStyle w:val="TOC1"/>
            <w:tabs>
              <w:tab w:val="right" w:pos="9019"/>
            </w:tabs>
            <w:spacing w:line="360" w:lineRule="auto"/>
            <w:jc w:val="both"/>
            <w:rPr>
              <w:rFonts w:asciiTheme="minorHAnsi" w:eastAsiaTheme="minorEastAsia" w:hAnsiTheme="minorHAnsi" w:cstheme="minorBidi"/>
              <w:noProof/>
              <w:kern w:val="2"/>
              <w:lang w:eastAsia="en-IN"/>
              <w14:ligatures w14:val="standardContextual"/>
            </w:rPr>
          </w:pPr>
          <w:hyperlink w:anchor="_Toc227686588" w:history="1">
            <w:r w:rsidRPr="00315A65">
              <w:rPr>
                <w:rStyle w:val="Hyperlink"/>
                <w:noProof/>
              </w:rPr>
              <w:t>References</w:t>
            </w:r>
            <w:r w:rsidRPr="00315A65">
              <w:rPr>
                <w:noProof/>
                <w:webHidden/>
              </w:rPr>
              <w:tab/>
            </w:r>
            <w:r w:rsidRPr="00315A65">
              <w:rPr>
                <w:noProof/>
                <w:webHidden/>
              </w:rPr>
              <w:fldChar w:fldCharType="begin"/>
            </w:r>
            <w:r w:rsidRPr="00315A65">
              <w:rPr>
                <w:noProof/>
                <w:webHidden/>
              </w:rPr>
              <w:instrText xml:space="preserve"> PAGEREF _Toc227686588 \h </w:instrText>
            </w:r>
            <w:r w:rsidRPr="00315A65">
              <w:rPr>
                <w:noProof/>
                <w:webHidden/>
              </w:rPr>
            </w:r>
            <w:r w:rsidRPr="00315A65">
              <w:rPr>
                <w:noProof/>
                <w:webHidden/>
              </w:rPr>
              <w:fldChar w:fldCharType="separate"/>
            </w:r>
            <w:r w:rsidRPr="00315A65">
              <w:rPr>
                <w:noProof/>
                <w:webHidden/>
              </w:rPr>
              <w:t>9</w:t>
            </w:r>
            <w:r w:rsidRPr="00315A65">
              <w:rPr>
                <w:noProof/>
                <w:webHidden/>
              </w:rPr>
              <w:fldChar w:fldCharType="end"/>
            </w:r>
          </w:hyperlink>
        </w:p>
        <w:p w14:paraId="15B879A1" w14:textId="128C2C14" w:rsidR="00862FE1" w:rsidRPr="004E0810" w:rsidRDefault="003E2F4A" w:rsidP="008C2513">
          <w:pPr>
            <w:widowControl w:val="0"/>
            <w:tabs>
              <w:tab w:val="right" w:pos="9025"/>
            </w:tabs>
            <w:spacing w:before="60" w:line="360" w:lineRule="auto"/>
            <w:jc w:val="both"/>
            <w:rPr>
              <w:color w:val="000000"/>
              <w:sz w:val="32"/>
              <w:szCs w:val="28"/>
              <w:highlight w:val="yellow"/>
            </w:rPr>
          </w:pPr>
          <w:r w:rsidRPr="00315A65">
            <w:fldChar w:fldCharType="end"/>
          </w:r>
        </w:p>
      </w:sdtContent>
    </w:sdt>
    <w:p w14:paraId="611EC152" w14:textId="77777777" w:rsidR="00862FE1" w:rsidRDefault="003E2F4A">
      <w:pPr>
        <w:spacing w:line="360" w:lineRule="auto"/>
        <w:jc w:val="both"/>
        <w:rPr>
          <w:sz w:val="24"/>
          <w:szCs w:val="24"/>
        </w:rPr>
      </w:pPr>
      <w:r>
        <w:br w:type="page"/>
      </w:r>
    </w:p>
    <w:p w14:paraId="73EB4A97" w14:textId="77777777" w:rsidR="00862FE1" w:rsidRPr="00922334" w:rsidRDefault="003E2F4A" w:rsidP="00922334">
      <w:pPr>
        <w:pStyle w:val="Heading1"/>
      </w:pPr>
      <w:bookmarkStart w:id="1" w:name="_Toc227686579"/>
      <w:r w:rsidRPr="00922334">
        <w:lastRenderedPageBreak/>
        <w:t>1. Part A: Annotated Bibliography</w:t>
      </w:r>
      <w:bookmarkEnd w:id="1"/>
      <w:r w:rsidRPr="00922334">
        <w:t xml:space="preserve"> </w:t>
      </w:r>
    </w:p>
    <w:p w14:paraId="249980F6" w14:textId="2A2B323B" w:rsidR="00862FE1" w:rsidRPr="00C40C97" w:rsidRDefault="003E2F4A" w:rsidP="00922334">
      <w:pPr>
        <w:pStyle w:val="Heading2"/>
        <w:rPr>
          <w:color w:val="000000" w:themeColor="text1"/>
          <w:sz w:val="22"/>
          <w:szCs w:val="22"/>
        </w:rPr>
      </w:pPr>
      <w:bookmarkStart w:id="2" w:name="_heading=h.xztu6gb2r0xr" w:colFirst="0" w:colLast="0"/>
      <w:bookmarkStart w:id="3" w:name="_Toc227686580"/>
      <w:bookmarkEnd w:id="2"/>
      <w:r w:rsidRPr="00C40C97">
        <w:rPr>
          <w:color w:val="000000" w:themeColor="text1"/>
          <w:sz w:val="22"/>
          <w:szCs w:val="22"/>
        </w:rPr>
        <w:t xml:space="preserve">1.1 Bowlby’s </w:t>
      </w:r>
      <w:r w:rsidR="00624774" w:rsidRPr="00C40C97">
        <w:rPr>
          <w:color w:val="000000" w:themeColor="text1"/>
          <w:sz w:val="22"/>
          <w:szCs w:val="22"/>
        </w:rPr>
        <w:t>Attachment Theory</w:t>
      </w:r>
      <w:bookmarkEnd w:id="3"/>
    </w:p>
    <w:p w14:paraId="2FF52BD2" w14:textId="195C0496" w:rsidR="00862FE1" w:rsidRPr="00C40C97" w:rsidRDefault="003E2F4A">
      <w:pPr>
        <w:spacing w:before="240" w:after="240" w:line="360" w:lineRule="auto"/>
        <w:jc w:val="both"/>
        <w:rPr>
          <w:color w:val="000000" w:themeColor="text1"/>
        </w:rPr>
      </w:pPr>
      <w:r w:rsidRPr="00C40C97">
        <w:rPr>
          <w:color w:val="000000" w:themeColor="text1"/>
        </w:rPr>
        <w:t>1. Bowlby, J.</w:t>
      </w:r>
      <w:r w:rsidR="00510D90" w:rsidRPr="00C40C97">
        <w:rPr>
          <w:color w:val="000000" w:themeColor="text1"/>
        </w:rPr>
        <w:t xml:space="preserve"> (</w:t>
      </w:r>
      <w:r w:rsidRPr="00C40C97">
        <w:rPr>
          <w:color w:val="000000" w:themeColor="text1"/>
        </w:rPr>
        <w:t>1969</w:t>
      </w:r>
      <w:r w:rsidR="00510D90" w:rsidRPr="00C40C97">
        <w:rPr>
          <w:color w:val="000000" w:themeColor="text1"/>
        </w:rPr>
        <w:t>) ‘</w:t>
      </w:r>
      <w:r w:rsidRPr="00C40C97">
        <w:rPr>
          <w:color w:val="000000" w:themeColor="text1"/>
        </w:rPr>
        <w:t>Bowlby’s attachment theory</w:t>
      </w:r>
      <w:r w:rsidR="00510D90" w:rsidRPr="00C40C97">
        <w:rPr>
          <w:color w:val="000000" w:themeColor="text1"/>
        </w:rPr>
        <w:t xml:space="preserve">’, </w:t>
      </w:r>
      <w:r w:rsidRPr="00C40C97">
        <w:rPr>
          <w:i/>
          <w:iCs/>
          <w:color w:val="000000" w:themeColor="text1"/>
        </w:rPr>
        <w:t>Tavistock Institute of Human Relations</w:t>
      </w:r>
      <w:r w:rsidRPr="00C40C97">
        <w:rPr>
          <w:color w:val="000000" w:themeColor="text1"/>
        </w:rPr>
        <w:t>.</w:t>
      </w:r>
    </w:p>
    <w:p w14:paraId="6B9ED195" w14:textId="3F02EA6D" w:rsidR="00862FE1" w:rsidRPr="00C40C97" w:rsidRDefault="004E0810">
      <w:pPr>
        <w:spacing w:line="360" w:lineRule="auto"/>
        <w:rPr>
          <w:b/>
          <w:bCs/>
          <w:i/>
          <w:iCs/>
          <w:color w:val="000000" w:themeColor="text1"/>
        </w:rPr>
      </w:pPr>
      <w:r w:rsidRPr="00C40C97">
        <w:rPr>
          <w:b/>
          <w:bCs/>
          <w:i/>
          <w:iCs/>
          <w:color w:val="000000" w:themeColor="text1"/>
        </w:rPr>
        <w:t>Key</w:t>
      </w:r>
      <w:r w:rsidR="003E2F4A" w:rsidRPr="00C40C97">
        <w:rPr>
          <w:b/>
          <w:bCs/>
          <w:i/>
          <w:iCs/>
          <w:color w:val="000000" w:themeColor="text1"/>
        </w:rPr>
        <w:t xml:space="preserve"> </w:t>
      </w:r>
      <w:r w:rsidR="00922334" w:rsidRPr="00C40C97">
        <w:rPr>
          <w:b/>
          <w:bCs/>
          <w:i/>
          <w:iCs/>
          <w:color w:val="000000" w:themeColor="text1"/>
        </w:rPr>
        <w:t xml:space="preserve">Arguments </w:t>
      </w:r>
      <w:r w:rsidR="003E2F4A" w:rsidRPr="00C40C97">
        <w:rPr>
          <w:b/>
          <w:bCs/>
          <w:i/>
          <w:iCs/>
          <w:color w:val="000000" w:themeColor="text1"/>
        </w:rPr>
        <w:t xml:space="preserve">or </w:t>
      </w:r>
      <w:r w:rsidR="00922334" w:rsidRPr="00C40C97">
        <w:rPr>
          <w:b/>
          <w:bCs/>
          <w:i/>
          <w:iCs/>
          <w:color w:val="000000" w:themeColor="text1"/>
        </w:rPr>
        <w:t>Findings</w:t>
      </w:r>
    </w:p>
    <w:p w14:paraId="46DB271B" w14:textId="0ECADA4A" w:rsidR="00862FE1" w:rsidRPr="00C40C97" w:rsidRDefault="003E2F4A">
      <w:pPr>
        <w:spacing w:before="240" w:after="240" w:line="360" w:lineRule="auto"/>
        <w:jc w:val="both"/>
        <w:rPr>
          <w:color w:val="000000" w:themeColor="text1"/>
        </w:rPr>
      </w:pPr>
      <w:r w:rsidRPr="00C40C97">
        <w:rPr>
          <w:color w:val="000000" w:themeColor="text1"/>
        </w:rPr>
        <w:t xml:space="preserve">The attachment theory, introduced by Bowlby, helps in reflecting the way early relationships among infants and caregivers help develop emotional stability. The theory seems relevant in securing confidence and attaining a healthy social development. </w:t>
      </w:r>
      <w:r w:rsidR="004E0810" w:rsidRPr="00C40C97">
        <w:rPr>
          <w:color w:val="000000" w:themeColor="text1"/>
        </w:rPr>
        <w:t>L</w:t>
      </w:r>
      <w:r w:rsidRPr="00C40C97">
        <w:rPr>
          <w:color w:val="000000" w:themeColor="text1"/>
        </w:rPr>
        <w:t xml:space="preserve">ack of a relationship </w:t>
      </w:r>
      <w:r w:rsidR="00624774" w:rsidRPr="00C40C97">
        <w:rPr>
          <w:color w:val="000000" w:themeColor="text1"/>
        </w:rPr>
        <w:t>between</w:t>
      </w:r>
      <w:r w:rsidRPr="00C40C97">
        <w:rPr>
          <w:color w:val="000000" w:themeColor="text1"/>
        </w:rPr>
        <w:t xml:space="preserve"> caregiver and infant </w:t>
      </w:r>
      <w:r w:rsidR="004E0810" w:rsidRPr="00C40C97">
        <w:rPr>
          <w:color w:val="000000" w:themeColor="text1"/>
        </w:rPr>
        <w:t xml:space="preserve">can </w:t>
      </w:r>
      <w:r w:rsidR="00624774" w:rsidRPr="00C40C97">
        <w:rPr>
          <w:color w:val="000000" w:themeColor="text1"/>
        </w:rPr>
        <w:t>result</w:t>
      </w:r>
      <w:r w:rsidRPr="00C40C97">
        <w:rPr>
          <w:color w:val="000000" w:themeColor="text1"/>
        </w:rPr>
        <w:t xml:space="preserve"> in anxiety. The key findings or argument of the article are that attachment is basically a representation of emotional or biological need that influences behaviour and survival of a person (Bowlby, 1969). The attachment theory contributes towards highlighting that individuals' shape perception is based on early attachment, which is a deciding factor for future relationships.</w:t>
      </w:r>
    </w:p>
    <w:p w14:paraId="607818E3" w14:textId="731EF4F9" w:rsidR="00862FE1" w:rsidRPr="00C40C97" w:rsidRDefault="003E2F4A">
      <w:pPr>
        <w:spacing w:line="360" w:lineRule="auto"/>
        <w:rPr>
          <w:b/>
          <w:bCs/>
          <w:i/>
          <w:iCs/>
          <w:color w:val="000000" w:themeColor="text1"/>
        </w:rPr>
      </w:pPr>
      <w:r w:rsidRPr="00C40C97">
        <w:rPr>
          <w:b/>
          <w:bCs/>
          <w:i/>
          <w:iCs/>
          <w:color w:val="000000" w:themeColor="text1"/>
        </w:rPr>
        <w:t xml:space="preserve">Commenting on </w:t>
      </w:r>
      <w:r w:rsidR="00393111" w:rsidRPr="00C40C97">
        <w:rPr>
          <w:b/>
          <w:bCs/>
          <w:i/>
          <w:iCs/>
          <w:color w:val="000000" w:themeColor="text1"/>
        </w:rPr>
        <w:t>Relevance to Support Older Adults in Health and Social Care Settings</w:t>
      </w:r>
    </w:p>
    <w:p w14:paraId="7A5FB3BF" w14:textId="39900EAB" w:rsidR="00862FE1" w:rsidRPr="00C40C97" w:rsidRDefault="003E2F4A">
      <w:pPr>
        <w:spacing w:before="240" w:after="240" w:line="360" w:lineRule="auto"/>
        <w:jc w:val="both"/>
        <w:rPr>
          <w:color w:val="000000" w:themeColor="text1"/>
        </w:rPr>
      </w:pPr>
      <w:r w:rsidRPr="00C40C97">
        <w:rPr>
          <w:color w:val="000000" w:themeColor="text1"/>
        </w:rPr>
        <w:t xml:space="preserve">The theory holds relevance in terms of supporting older adults and developing the social care outcome within a residential care setting. People experiencing separation from a familiar environment or family generally suffer emotional breakdown. The dependence upon attachment theory helps professionals in building trusting relationships with older adults and offering them a sense of emotional security. For instance, an individual suffering from insecure attachment needs consistent support from a professional and reassurance. The article seems limited in focusing on early childhood </w:t>
      </w:r>
      <w:r w:rsidR="00F431BA" w:rsidRPr="00C40C97">
        <w:rPr>
          <w:color w:val="000000" w:themeColor="text1"/>
        </w:rPr>
        <w:t>parameters but</w:t>
      </w:r>
      <w:r w:rsidRPr="00C40C97">
        <w:rPr>
          <w:color w:val="000000" w:themeColor="text1"/>
        </w:rPr>
        <w:t xml:space="preserve"> lacks in discussing the developmental stages of life. </w:t>
      </w:r>
      <w:r w:rsidR="00933061" w:rsidRPr="00C40C97">
        <w:rPr>
          <w:color w:val="000000" w:themeColor="text1"/>
        </w:rPr>
        <w:t>Despite</w:t>
      </w:r>
      <w:r w:rsidRPr="00C40C97">
        <w:rPr>
          <w:color w:val="000000" w:themeColor="text1"/>
        </w:rPr>
        <w:t xml:space="preserve"> the associated limitation, the attachment theory proves relevant in supporting professionals to develop emotional well-being and offering person-centred care to older adults. </w:t>
      </w:r>
    </w:p>
    <w:p w14:paraId="447FAD2F" w14:textId="71B2F722" w:rsidR="00862FE1" w:rsidRPr="00C40C97" w:rsidRDefault="003E2F4A">
      <w:pPr>
        <w:spacing w:before="240" w:after="240" w:line="360" w:lineRule="auto"/>
        <w:jc w:val="both"/>
        <w:rPr>
          <w:color w:val="000000" w:themeColor="text1"/>
          <w:highlight w:val="white"/>
        </w:rPr>
      </w:pPr>
      <w:r w:rsidRPr="00C40C97">
        <w:rPr>
          <w:color w:val="000000" w:themeColor="text1"/>
        </w:rPr>
        <w:t xml:space="preserve">2. </w:t>
      </w:r>
      <w:r w:rsidRPr="00C40C97">
        <w:rPr>
          <w:color w:val="000000" w:themeColor="text1"/>
          <w:highlight w:val="white"/>
        </w:rPr>
        <w:t>Bowlby, J.</w:t>
      </w:r>
      <w:r w:rsidR="00510D90" w:rsidRPr="00C40C97">
        <w:rPr>
          <w:color w:val="000000" w:themeColor="text1"/>
          <w:highlight w:val="white"/>
        </w:rPr>
        <w:t xml:space="preserve"> (</w:t>
      </w:r>
      <w:r w:rsidRPr="00C40C97">
        <w:rPr>
          <w:color w:val="000000" w:themeColor="text1"/>
          <w:highlight w:val="white"/>
        </w:rPr>
        <w:t>1979</w:t>
      </w:r>
      <w:r w:rsidR="00510D90" w:rsidRPr="00C40C97">
        <w:rPr>
          <w:color w:val="000000" w:themeColor="text1"/>
          <w:highlight w:val="white"/>
        </w:rPr>
        <w:t>) ‘</w:t>
      </w:r>
      <w:r w:rsidRPr="00C40C97">
        <w:rPr>
          <w:color w:val="000000" w:themeColor="text1"/>
          <w:highlight w:val="white"/>
        </w:rPr>
        <w:t xml:space="preserve">The </w:t>
      </w:r>
      <w:r w:rsidR="00624774" w:rsidRPr="00C40C97">
        <w:rPr>
          <w:color w:val="000000" w:themeColor="text1"/>
          <w:highlight w:val="white"/>
        </w:rPr>
        <w:t>Bowlby-Ainsworth</w:t>
      </w:r>
      <w:r w:rsidRPr="00C40C97">
        <w:rPr>
          <w:color w:val="000000" w:themeColor="text1"/>
          <w:highlight w:val="white"/>
        </w:rPr>
        <w:t xml:space="preserve"> attachment theory</w:t>
      </w:r>
      <w:r w:rsidR="00510D90" w:rsidRPr="00C40C97">
        <w:rPr>
          <w:color w:val="000000" w:themeColor="text1"/>
          <w:highlight w:val="white"/>
        </w:rPr>
        <w:t xml:space="preserve">’, </w:t>
      </w:r>
      <w:r w:rsidR="00624774" w:rsidRPr="00C40C97">
        <w:rPr>
          <w:i/>
          <w:iCs/>
          <w:color w:val="000000" w:themeColor="text1"/>
          <w:highlight w:val="white"/>
        </w:rPr>
        <w:t>Behavioural</w:t>
      </w:r>
      <w:r w:rsidRPr="00C40C97">
        <w:rPr>
          <w:i/>
          <w:iCs/>
          <w:color w:val="000000" w:themeColor="text1"/>
          <w:highlight w:val="white"/>
        </w:rPr>
        <w:t xml:space="preserve"> and </w:t>
      </w:r>
      <w:r w:rsidR="00510D90" w:rsidRPr="00C40C97">
        <w:rPr>
          <w:i/>
          <w:iCs/>
          <w:color w:val="000000" w:themeColor="text1"/>
          <w:highlight w:val="white"/>
        </w:rPr>
        <w:t>Brain Sciences</w:t>
      </w:r>
      <w:r w:rsidRPr="00C40C97">
        <w:rPr>
          <w:color w:val="000000" w:themeColor="text1"/>
          <w:highlight w:val="white"/>
        </w:rPr>
        <w:t>, 2(4), pp.637-638.</w:t>
      </w:r>
    </w:p>
    <w:p w14:paraId="7123B538" w14:textId="228B36F8" w:rsidR="00862FE1" w:rsidRPr="00C40C97" w:rsidRDefault="004E0810">
      <w:pPr>
        <w:spacing w:line="360" w:lineRule="auto"/>
        <w:rPr>
          <w:b/>
          <w:bCs/>
          <w:i/>
          <w:iCs/>
          <w:color w:val="000000" w:themeColor="text1"/>
        </w:rPr>
      </w:pPr>
      <w:r w:rsidRPr="00C40C97">
        <w:rPr>
          <w:b/>
          <w:bCs/>
          <w:i/>
          <w:iCs/>
          <w:color w:val="000000" w:themeColor="text1"/>
        </w:rPr>
        <w:t>Key</w:t>
      </w:r>
      <w:r w:rsidR="003E2F4A" w:rsidRPr="00C40C97">
        <w:rPr>
          <w:b/>
          <w:bCs/>
          <w:i/>
          <w:iCs/>
          <w:color w:val="000000" w:themeColor="text1"/>
        </w:rPr>
        <w:t xml:space="preserve"> </w:t>
      </w:r>
      <w:r w:rsidR="00624774" w:rsidRPr="00C40C97">
        <w:rPr>
          <w:b/>
          <w:bCs/>
          <w:i/>
          <w:iCs/>
          <w:color w:val="000000" w:themeColor="text1"/>
        </w:rPr>
        <w:t xml:space="preserve">Arguments </w:t>
      </w:r>
      <w:r w:rsidR="003E2F4A" w:rsidRPr="00C40C97">
        <w:rPr>
          <w:b/>
          <w:bCs/>
          <w:i/>
          <w:iCs/>
          <w:color w:val="000000" w:themeColor="text1"/>
        </w:rPr>
        <w:t xml:space="preserve">or </w:t>
      </w:r>
      <w:r w:rsidR="00624774" w:rsidRPr="00C40C97">
        <w:rPr>
          <w:b/>
          <w:bCs/>
          <w:i/>
          <w:iCs/>
          <w:color w:val="000000" w:themeColor="text1"/>
        </w:rPr>
        <w:t>Findings</w:t>
      </w:r>
    </w:p>
    <w:p w14:paraId="01EC1AB0" w14:textId="2ACC7679" w:rsidR="00862FE1" w:rsidRPr="00C40C97" w:rsidRDefault="003E2F4A">
      <w:pPr>
        <w:spacing w:before="240" w:after="240" w:line="360" w:lineRule="auto"/>
        <w:jc w:val="both"/>
        <w:rPr>
          <w:color w:val="000000" w:themeColor="text1"/>
        </w:rPr>
      </w:pPr>
      <w:r w:rsidRPr="00C40C97">
        <w:rPr>
          <w:color w:val="000000" w:themeColor="text1"/>
        </w:rPr>
        <w:t>It is argued by Bowlby that attachment patterns contribute to influencing an individual's emotional regulation. The attachment theory was developed by Bowlby in association with the work of Mary Ainsworth in relation to the evaluation of attachment styles like anxious, secure, or avoidant attachment (</w:t>
      </w:r>
      <w:r w:rsidRPr="00C40C97">
        <w:rPr>
          <w:color w:val="000000" w:themeColor="text1"/>
          <w:highlight w:val="white"/>
        </w:rPr>
        <w:t>Bowlby, 1979</w:t>
      </w:r>
      <w:r w:rsidRPr="00C40C97">
        <w:rPr>
          <w:color w:val="000000" w:themeColor="text1"/>
        </w:rPr>
        <w:t xml:space="preserve">). The pattern of early attachment associated with an individual has a prominent implication on coping mechanisms or interpersonal </w:t>
      </w:r>
      <w:r w:rsidRPr="00C40C97">
        <w:rPr>
          <w:color w:val="000000" w:themeColor="text1"/>
        </w:rPr>
        <w:lastRenderedPageBreak/>
        <w:t xml:space="preserve">relationships. Disruption of an individual at the early attachment stage, such as neglect or separation, can boost the chances of long-term psychological disorder. The argument associated with the article emphasises the concept of attachment that is not limited to childhood </w:t>
      </w:r>
      <w:r w:rsidR="00F431BA" w:rsidRPr="00C40C97">
        <w:rPr>
          <w:color w:val="000000" w:themeColor="text1"/>
        </w:rPr>
        <w:t>experiences but</w:t>
      </w:r>
      <w:r w:rsidRPr="00C40C97">
        <w:rPr>
          <w:color w:val="000000" w:themeColor="text1"/>
        </w:rPr>
        <w:t xml:space="preserve"> also depends on lifespan behaviour.</w:t>
      </w:r>
    </w:p>
    <w:p w14:paraId="59C8706F" w14:textId="635653EF" w:rsidR="00862FE1" w:rsidRPr="00C40C97" w:rsidRDefault="003E2F4A">
      <w:pPr>
        <w:spacing w:line="360" w:lineRule="auto"/>
        <w:rPr>
          <w:b/>
          <w:bCs/>
          <w:i/>
          <w:iCs/>
          <w:color w:val="000000" w:themeColor="text1"/>
        </w:rPr>
      </w:pPr>
      <w:r w:rsidRPr="00C40C97">
        <w:rPr>
          <w:b/>
          <w:bCs/>
          <w:i/>
          <w:iCs/>
          <w:color w:val="000000" w:themeColor="text1"/>
        </w:rPr>
        <w:t xml:space="preserve">Commenting on </w:t>
      </w:r>
      <w:r w:rsidR="00624774" w:rsidRPr="00C40C97">
        <w:rPr>
          <w:b/>
          <w:bCs/>
          <w:i/>
          <w:iCs/>
          <w:color w:val="000000" w:themeColor="text1"/>
        </w:rPr>
        <w:t>Relevance to Support Older Adults in Health and Social Care Settings</w:t>
      </w:r>
    </w:p>
    <w:p w14:paraId="798E2964" w14:textId="5895E753" w:rsidR="00862FE1" w:rsidRPr="00C40C97" w:rsidRDefault="003E2F4A">
      <w:pPr>
        <w:spacing w:before="240" w:after="240" w:line="360" w:lineRule="auto"/>
        <w:jc w:val="both"/>
        <w:rPr>
          <w:color w:val="000000" w:themeColor="text1"/>
        </w:rPr>
      </w:pPr>
      <w:r w:rsidRPr="00C40C97">
        <w:rPr>
          <w:color w:val="000000" w:themeColor="text1"/>
        </w:rPr>
        <w:t>The attachment theory seems relevant for the support of health and social care for older adults, as it contributes towards understanding the emotional needs. In a residential care setting, generally, the individual suffers from loneliness or seeks dependence, resulting in activation of attachment behaviour. The health and social care professionals can use the concept of attachment theory in terms of offering consistent support to people and developing relationships to generate a sense of trust and safety. On the other hand,</w:t>
      </w:r>
      <w:r w:rsidR="00F431BA">
        <w:rPr>
          <w:color w:val="000000" w:themeColor="text1"/>
        </w:rPr>
        <w:t xml:space="preserve"> it</w:t>
      </w:r>
      <w:r w:rsidR="003616F1">
        <w:rPr>
          <w:color w:val="000000" w:themeColor="text1"/>
        </w:rPr>
        <w:t xml:space="preserve"> </w:t>
      </w:r>
      <w:r w:rsidR="00F431BA">
        <w:rPr>
          <w:color w:val="000000" w:themeColor="text1"/>
        </w:rPr>
        <w:t xml:space="preserve"> is</w:t>
      </w:r>
      <w:r w:rsidRPr="00C40C97">
        <w:rPr>
          <w:color w:val="000000" w:themeColor="text1"/>
        </w:rPr>
        <w:t xml:space="preserve"> the limitation associated with the theory. It fails to evaluate individual or cultural differences influencing the attachment experiences. Despite the theoretical limitation, it seems relevant for guiding support to older adults within the social and healthcare environment and improving well-being.</w:t>
      </w:r>
    </w:p>
    <w:p w14:paraId="5DD6D4B7" w14:textId="0CCD2127" w:rsidR="00862FE1" w:rsidRPr="00C40C97" w:rsidRDefault="003E2F4A" w:rsidP="00922334">
      <w:pPr>
        <w:pStyle w:val="Heading2"/>
        <w:rPr>
          <w:color w:val="000000" w:themeColor="text1"/>
          <w:sz w:val="22"/>
          <w:szCs w:val="22"/>
        </w:rPr>
      </w:pPr>
      <w:bookmarkStart w:id="4" w:name="_heading=h.imy45pvg3zf6" w:colFirst="0" w:colLast="0"/>
      <w:bookmarkStart w:id="5" w:name="_Toc227686581"/>
      <w:bookmarkEnd w:id="4"/>
      <w:r w:rsidRPr="00C40C97">
        <w:rPr>
          <w:color w:val="000000" w:themeColor="text1"/>
          <w:sz w:val="22"/>
          <w:szCs w:val="22"/>
        </w:rPr>
        <w:t xml:space="preserve">1.2 Positive </w:t>
      </w:r>
      <w:r w:rsidR="008349B2" w:rsidRPr="00C40C97">
        <w:rPr>
          <w:color w:val="000000" w:themeColor="text1"/>
          <w:sz w:val="22"/>
          <w:szCs w:val="22"/>
        </w:rPr>
        <w:t>Psychology Approaches to Ageing</w:t>
      </w:r>
      <w:bookmarkEnd w:id="5"/>
    </w:p>
    <w:p w14:paraId="15AB6632" w14:textId="0B4409C3" w:rsidR="00862FE1" w:rsidRPr="00C40C97" w:rsidRDefault="003E2F4A">
      <w:pPr>
        <w:spacing w:before="240" w:after="240" w:line="360" w:lineRule="auto"/>
        <w:jc w:val="both"/>
        <w:rPr>
          <w:color w:val="000000" w:themeColor="text1"/>
        </w:rPr>
      </w:pPr>
      <w:r w:rsidRPr="00C40C97">
        <w:rPr>
          <w:color w:val="000000" w:themeColor="text1"/>
        </w:rPr>
        <w:t>1. Stirling, E. and Cry, H.</w:t>
      </w:r>
      <w:r w:rsidR="006909C0" w:rsidRPr="00C40C97">
        <w:rPr>
          <w:color w:val="000000" w:themeColor="text1"/>
        </w:rPr>
        <w:t xml:space="preserve"> (</w:t>
      </w:r>
      <w:r w:rsidRPr="00C40C97">
        <w:rPr>
          <w:color w:val="000000" w:themeColor="text1"/>
        </w:rPr>
        <w:t>2016</w:t>
      </w:r>
      <w:r w:rsidR="006909C0" w:rsidRPr="00C40C97">
        <w:rPr>
          <w:color w:val="000000" w:themeColor="text1"/>
        </w:rPr>
        <w:t>) ‘</w:t>
      </w:r>
      <w:r w:rsidRPr="00C40C97">
        <w:rPr>
          <w:color w:val="000000" w:themeColor="text1"/>
        </w:rPr>
        <w:t>Ageing, health and positive psychology</w:t>
      </w:r>
      <w:r w:rsidR="006909C0" w:rsidRPr="00C40C97">
        <w:rPr>
          <w:color w:val="000000" w:themeColor="text1"/>
        </w:rPr>
        <w:t xml:space="preserve">’, </w:t>
      </w:r>
      <w:r w:rsidRPr="00C40C97">
        <w:rPr>
          <w:i/>
          <w:iCs/>
          <w:color w:val="000000" w:themeColor="text1"/>
        </w:rPr>
        <w:t>Positive Psychology Approaches to Dementia.</w:t>
      </w:r>
      <w:r w:rsidRPr="00C40C97">
        <w:rPr>
          <w:color w:val="000000" w:themeColor="text1"/>
        </w:rPr>
        <w:t xml:space="preserve"> </w:t>
      </w:r>
      <w:r w:rsidRPr="00C40C97">
        <w:rPr>
          <w:i/>
          <w:iCs/>
          <w:color w:val="000000" w:themeColor="text1"/>
        </w:rPr>
        <w:t>London, Jessica Kingsley Publishers</w:t>
      </w:r>
      <w:r w:rsidRPr="00C40C97">
        <w:rPr>
          <w:color w:val="000000" w:themeColor="text1"/>
        </w:rPr>
        <w:t>, pp.16-40.</w:t>
      </w:r>
    </w:p>
    <w:p w14:paraId="6B7C4D59" w14:textId="779F5252" w:rsidR="00862FE1" w:rsidRPr="00C40C97" w:rsidRDefault="004E0810">
      <w:pPr>
        <w:spacing w:line="360" w:lineRule="auto"/>
        <w:rPr>
          <w:b/>
          <w:bCs/>
          <w:i/>
          <w:iCs/>
          <w:color w:val="000000" w:themeColor="text1"/>
        </w:rPr>
      </w:pPr>
      <w:r w:rsidRPr="00C40C97">
        <w:rPr>
          <w:b/>
          <w:bCs/>
          <w:i/>
          <w:iCs/>
          <w:color w:val="000000" w:themeColor="text1"/>
        </w:rPr>
        <w:t>Key</w:t>
      </w:r>
      <w:r w:rsidR="003E2F4A" w:rsidRPr="00C40C97">
        <w:rPr>
          <w:b/>
          <w:bCs/>
          <w:i/>
          <w:iCs/>
          <w:color w:val="000000" w:themeColor="text1"/>
        </w:rPr>
        <w:t xml:space="preserve"> </w:t>
      </w:r>
      <w:r w:rsidR="006909C0" w:rsidRPr="00C40C97">
        <w:rPr>
          <w:b/>
          <w:bCs/>
          <w:i/>
          <w:iCs/>
          <w:color w:val="000000" w:themeColor="text1"/>
        </w:rPr>
        <w:t xml:space="preserve">Arguments </w:t>
      </w:r>
      <w:r w:rsidR="003E2F4A" w:rsidRPr="00C40C97">
        <w:rPr>
          <w:b/>
          <w:bCs/>
          <w:i/>
          <w:iCs/>
          <w:color w:val="000000" w:themeColor="text1"/>
        </w:rPr>
        <w:t xml:space="preserve">or </w:t>
      </w:r>
      <w:r w:rsidR="006909C0" w:rsidRPr="00C40C97">
        <w:rPr>
          <w:b/>
          <w:bCs/>
          <w:i/>
          <w:iCs/>
          <w:color w:val="000000" w:themeColor="text1"/>
        </w:rPr>
        <w:t>Findings</w:t>
      </w:r>
    </w:p>
    <w:p w14:paraId="1AB05096" w14:textId="2ED64BD8" w:rsidR="00862FE1" w:rsidRPr="00C40C97" w:rsidRDefault="003E2F4A">
      <w:pPr>
        <w:spacing w:before="240" w:after="240" w:line="360" w:lineRule="auto"/>
        <w:jc w:val="both"/>
        <w:rPr>
          <w:color w:val="000000" w:themeColor="text1"/>
        </w:rPr>
      </w:pPr>
      <w:r w:rsidRPr="00C40C97">
        <w:rPr>
          <w:color w:val="000000" w:themeColor="text1"/>
        </w:rPr>
        <w:t xml:space="preserve">Positive psychology is considered to play a crucial role in developing health outcomes among older adults. The dependence upon parameters of positive psychology seems to support health outcomes for older people suffering from dementia. The article basically focuses on a strength-based approach where an individual's resilience, abilities, or positive experiences are prioritised by ignoring the limitations. It is argued by the author that maintaining a positive outlook on life helps in developing purposeful living and understanding the necessity for healthy </w:t>
      </w:r>
      <w:r w:rsidR="00933061" w:rsidRPr="00C40C97">
        <w:rPr>
          <w:color w:val="000000" w:themeColor="text1"/>
        </w:rPr>
        <w:t>ageing</w:t>
      </w:r>
      <w:r w:rsidRPr="00C40C97">
        <w:rPr>
          <w:color w:val="000000" w:themeColor="text1"/>
        </w:rPr>
        <w:t xml:space="preserve"> (Stirling and Cry, 2016). The dependence upon factors like social engagement, emotional support, or meaningful activity is known to enhance the quality of living parameters for an individual. </w:t>
      </w:r>
    </w:p>
    <w:p w14:paraId="79104AB4" w14:textId="00B67DAE" w:rsidR="00862FE1" w:rsidRPr="00C40C97" w:rsidRDefault="003E2F4A">
      <w:pPr>
        <w:spacing w:line="360" w:lineRule="auto"/>
        <w:rPr>
          <w:b/>
          <w:bCs/>
          <w:i/>
          <w:iCs/>
          <w:color w:val="000000" w:themeColor="text1"/>
        </w:rPr>
      </w:pPr>
      <w:r w:rsidRPr="00C40C97">
        <w:rPr>
          <w:b/>
          <w:bCs/>
          <w:i/>
          <w:iCs/>
          <w:color w:val="000000" w:themeColor="text1"/>
        </w:rPr>
        <w:t xml:space="preserve">Commenting on </w:t>
      </w:r>
      <w:r w:rsidR="006909C0" w:rsidRPr="00C40C97">
        <w:rPr>
          <w:b/>
          <w:bCs/>
          <w:i/>
          <w:iCs/>
          <w:color w:val="000000" w:themeColor="text1"/>
        </w:rPr>
        <w:t xml:space="preserve">Relevance </w:t>
      </w:r>
      <w:r w:rsidRPr="00C40C97">
        <w:rPr>
          <w:b/>
          <w:bCs/>
          <w:i/>
          <w:iCs/>
          <w:color w:val="000000" w:themeColor="text1"/>
        </w:rPr>
        <w:t xml:space="preserve">to </w:t>
      </w:r>
      <w:r w:rsidR="006909C0" w:rsidRPr="00C40C97">
        <w:rPr>
          <w:b/>
          <w:bCs/>
          <w:i/>
          <w:iCs/>
          <w:color w:val="000000" w:themeColor="text1"/>
        </w:rPr>
        <w:t xml:space="preserve">Support Older Adults </w:t>
      </w:r>
      <w:r w:rsidRPr="00C40C97">
        <w:rPr>
          <w:b/>
          <w:bCs/>
          <w:i/>
          <w:iCs/>
          <w:color w:val="000000" w:themeColor="text1"/>
        </w:rPr>
        <w:t xml:space="preserve">in </w:t>
      </w:r>
      <w:r w:rsidR="006909C0" w:rsidRPr="00C40C97">
        <w:rPr>
          <w:b/>
          <w:bCs/>
          <w:i/>
          <w:iCs/>
          <w:color w:val="000000" w:themeColor="text1"/>
        </w:rPr>
        <w:t xml:space="preserve">Health </w:t>
      </w:r>
      <w:r w:rsidRPr="00C40C97">
        <w:rPr>
          <w:b/>
          <w:bCs/>
          <w:i/>
          <w:iCs/>
          <w:color w:val="000000" w:themeColor="text1"/>
        </w:rPr>
        <w:t xml:space="preserve">and </w:t>
      </w:r>
      <w:r w:rsidR="006909C0" w:rsidRPr="00C40C97">
        <w:rPr>
          <w:b/>
          <w:bCs/>
          <w:i/>
          <w:iCs/>
          <w:color w:val="000000" w:themeColor="text1"/>
        </w:rPr>
        <w:t>Social Care Settings</w:t>
      </w:r>
    </w:p>
    <w:p w14:paraId="010ECEC9" w14:textId="77777777" w:rsidR="00862FE1" w:rsidRPr="00C40C97" w:rsidRDefault="003E2F4A">
      <w:pPr>
        <w:spacing w:before="240" w:after="240" w:line="360" w:lineRule="auto"/>
        <w:jc w:val="both"/>
        <w:rPr>
          <w:color w:val="000000" w:themeColor="text1"/>
        </w:rPr>
      </w:pPr>
      <w:r w:rsidRPr="00C40C97">
        <w:rPr>
          <w:color w:val="000000" w:themeColor="text1"/>
        </w:rPr>
        <w:t xml:space="preserve">The approach of prioritising positive psychology seems relevant in social and healthcare settings as it encourages professionals to focus on strengths rather than looking at limitations. It seems relevant in promoting engagement of individuals in meaningful activities. </w:t>
      </w:r>
      <w:r w:rsidRPr="00C40C97">
        <w:rPr>
          <w:color w:val="000000" w:themeColor="text1"/>
        </w:rPr>
        <w:lastRenderedPageBreak/>
        <w:t xml:space="preserve">It is also appreciated for supporting individuals in participation in meaningful activities as well as generating emotional well-being with the support of care providers, which </w:t>
      </w:r>
      <w:proofErr w:type="gramStart"/>
      <w:r w:rsidRPr="00C40C97">
        <w:rPr>
          <w:color w:val="000000" w:themeColor="text1"/>
        </w:rPr>
        <w:t>actually enhances</w:t>
      </w:r>
      <w:proofErr w:type="gramEnd"/>
      <w:r w:rsidRPr="00C40C97">
        <w:rPr>
          <w:color w:val="000000" w:themeColor="text1"/>
        </w:rPr>
        <w:t xml:space="preserve"> quality of living. It seems important for individuals suffering dementia to gain support of a positive environment to overlook the mental hazard and prioritise the positive aspect of life, along with clinical interventions that are limitedly discussed in the article. Thus, keeping aside the limitation, the articles and the concept of positive psychology seem relevant in promoting holistic healthcare outcomes for people suffering from dementia as they go through the phase of ageing.</w:t>
      </w:r>
    </w:p>
    <w:p w14:paraId="301F9E02" w14:textId="5973C451" w:rsidR="00862FE1" w:rsidRPr="00C40C97" w:rsidRDefault="003E2F4A">
      <w:pPr>
        <w:spacing w:before="240" w:after="240" w:line="360" w:lineRule="auto"/>
        <w:jc w:val="both"/>
        <w:rPr>
          <w:color w:val="000000" w:themeColor="text1"/>
        </w:rPr>
      </w:pPr>
      <w:r w:rsidRPr="00C40C97">
        <w:rPr>
          <w:color w:val="000000" w:themeColor="text1"/>
        </w:rPr>
        <w:t>2. Ranzijn, R.</w:t>
      </w:r>
      <w:r w:rsidR="00F776B6" w:rsidRPr="00C40C97">
        <w:rPr>
          <w:color w:val="000000" w:themeColor="text1"/>
        </w:rPr>
        <w:t xml:space="preserve"> (</w:t>
      </w:r>
      <w:r w:rsidRPr="00C40C97">
        <w:rPr>
          <w:color w:val="000000" w:themeColor="text1"/>
        </w:rPr>
        <w:t>2002</w:t>
      </w:r>
      <w:r w:rsidR="00F776B6" w:rsidRPr="00C40C97">
        <w:rPr>
          <w:color w:val="000000" w:themeColor="text1"/>
        </w:rPr>
        <w:t>) ‘</w:t>
      </w:r>
      <w:r w:rsidRPr="00C40C97">
        <w:rPr>
          <w:color w:val="000000" w:themeColor="text1"/>
        </w:rPr>
        <w:t xml:space="preserve">Towards a positive psychology of </w:t>
      </w:r>
      <w:r w:rsidR="00933061" w:rsidRPr="00C40C97">
        <w:rPr>
          <w:color w:val="000000" w:themeColor="text1"/>
        </w:rPr>
        <w:t>ageing</w:t>
      </w:r>
      <w:r w:rsidRPr="00C40C97">
        <w:rPr>
          <w:color w:val="000000" w:themeColor="text1"/>
        </w:rPr>
        <w:t xml:space="preserve">: Potentials and </w:t>
      </w:r>
      <w:r w:rsidR="00D15F84" w:rsidRPr="00C40C97">
        <w:rPr>
          <w:color w:val="000000" w:themeColor="text1"/>
        </w:rPr>
        <w:t>barriers</w:t>
      </w:r>
      <w:r w:rsidR="00F776B6" w:rsidRPr="00C40C97">
        <w:rPr>
          <w:color w:val="000000" w:themeColor="text1"/>
        </w:rPr>
        <w:t xml:space="preserve">’, </w:t>
      </w:r>
      <w:r w:rsidRPr="00C40C97">
        <w:rPr>
          <w:i/>
          <w:iCs/>
          <w:color w:val="000000" w:themeColor="text1"/>
        </w:rPr>
        <w:t>Australian Psychologist</w:t>
      </w:r>
      <w:r w:rsidRPr="00C40C97">
        <w:rPr>
          <w:color w:val="000000" w:themeColor="text1"/>
        </w:rPr>
        <w:t>, 37(2), pp.79-85.</w:t>
      </w:r>
    </w:p>
    <w:p w14:paraId="47FD73EA" w14:textId="075BC340" w:rsidR="00862FE1" w:rsidRPr="00C40C97" w:rsidRDefault="004E0810">
      <w:pPr>
        <w:spacing w:line="360" w:lineRule="auto"/>
        <w:rPr>
          <w:b/>
          <w:bCs/>
          <w:i/>
          <w:iCs/>
          <w:color w:val="000000" w:themeColor="text1"/>
        </w:rPr>
      </w:pPr>
      <w:r w:rsidRPr="00C40C97">
        <w:rPr>
          <w:b/>
          <w:bCs/>
          <w:i/>
          <w:iCs/>
          <w:color w:val="000000" w:themeColor="text1"/>
        </w:rPr>
        <w:t>Key</w:t>
      </w:r>
      <w:r w:rsidR="003E2F4A" w:rsidRPr="00C40C97">
        <w:rPr>
          <w:b/>
          <w:bCs/>
          <w:i/>
          <w:iCs/>
          <w:color w:val="000000" w:themeColor="text1"/>
        </w:rPr>
        <w:t xml:space="preserve"> </w:t>
      </w:r>
      <w:r w:rsidR="00D15F84" w:rsidRPr="00C40C97">
        <w:rPr>
          <w:b/>
          <w:bCs/>
          <w:i/>
          <w:iCs/>
          <w:color w:val="000000" w:themeColor="text1"/>
        </w:rPr>
        <w:t xml:space="preserve">Arguments </w:t>
      </w:r>
      <w:r w:rsidR="003E2F4A" w:rsidRPr="00C40C97">
        <w:rPr>
          <w:b/>
          <w:bCs/>
          <w:i/>
          <w:iCs/>
          <w:color w:val="000000" w:themeColor="text1"/>
        </w:rPr>
        <w:t xml:space="preserve">or </w:t>
      </w:r>
      <w:r w:rsidR="00D15F84" w:rsidRPr="00C40C97">
        <w:rPr>
          <w:b/>
          <w:bCs/>
          <w:i/>
          <w:iCs/>
          <w:color w:val="000000" w:themeColor="text1"/>
        </w:rPr>
        <w:t>Findings</w:t>
      </w:r>
    </w:p>
    <w:p w14:paraId="6154BE65" w14:textId="24C93832" w:rsidR="00862FE1" w:rsidRPr="00C40C97" w:rsidRDefault="003E2F4A">
      <w:pPr>
        <w:spacing w:before="240" w:after="240" w:line="360" w:lineRule="auto"/>
        <w:jc w:val="both"/>
        <w:rPr>
          <w:color w:val="000000" w:themeColor="text1"/>
        </w:rPr>
      </w:pPr>
      <w:r w:rsidRPr="00C40C97">
        <w:rPr>
          <w:color w:val="000000" w:themeColor="text1"/>
        </w:rPr>
        <w:t xml:space="preserve">The key argument of the article is that positive psychology helps in examining the process of </w:t>
      </w:r>
      <w:r w:rsidR="00933061" w:rsidRPr="00C40C97">
        <w:rPr>
          <w:color w:val="000000" w:themeColor="text1"/>
        </w:rPr>
        <w:t>ageing</w:t>
      </w:r>
      <w:r w:rsidRPr="00C40C97">
        <w:rPr>
          <w:color w:val="000000" w:themeColor="text1"/>
        </w:rPr>
        <w:t xml:space="preserve">. As per the findings, age must not be looked at as a declining </w:t>
      </w:r>
      <w:r w:rsidR="004E0810" w:rsidRPr="00C40C97">
        <w:rPr>
          <w:color w:val="000000" w:themeColor="text1"/>
        </w:rPr>
        <w:t>period;</w:t>
      </w:r>
      <w:r w:rsidRPr="00C40C97">
        <w:rPr>
          <w:color w:val="000000" w:themeColor="text1"/>
        </w:rPr>
        <w:t xml:space="preserve"> it must be looked at as a stage of growth, opportunity, and well-being. However, the negative attitude towards </w:t>
      </w:r>
      <w:r w:rsidR="00933061" w:rsidRPr="00C40C97">
        <w:rPr>
          <w:color w:val="000000" w:themeColor="text1"/>
        </w:rPr>
        <w:t>ageing</w:t>
      </w:r>
      <w:r w:rsidRPr="00C40C97">
        <w:rPr>
          <w:color w:val="000000" w:themeColor="text1"/>
        </w:rPr>
        <w:t xml:space="preserve"> limits satisfaction for older adults. The parameters like resilience and personal </w:t>
      </w:r>
      <w:r w:rsidR="004E0810" w:rsidRPr="00C40C97">
        <w:rPr>
          <w:color w:val="000000" w:themeColor="text1"/>
        </w:rPr>
        <w:t>fulfilment</w:t>
      </w:r>
      <w:r w:rsidRPr="00C40C97">
        <w:rPr>
          <w:color w:val="000000" w:themeColor="text1"/>
        </w:rPr>
        <w:t xml:space="preserve"> are the deciding factors for successful </w:t>
      </w:r>
      <w:r w:rsidR="00933061" w:rsidRPr="00C40C97">
        <w:rPr>
          <w:color w:val="000000" w:themeColor="text1"/>
        </w:rPr>
        <w:t>ageing</w:t>
      </w:r>
      <w:r w:rsidRPr="00C40C97">
        <w:rPr>
          <w:color w:val="000000" w:themeColor="text1"/>
        </w:rPr>
        <w:t xml:space="preserve">. </w:t>
      </w:r>
    </w:p>
    <w:p w14:paraId="0B191DE2" w14:textId="5E93BDE3" w:rsidR="00862FE1" w:rsidRPr="00C40C97" w:rsidRDefault="003E2F4A">
      <w:pPr>
        <w:spacing w:line="360" w:lineRule="auto"/>
        <w:rPr>
          <w:b/>
          <w:bCs/>
          <w:i/>
          <w:iCs/>
          <w:color w:val="000000" w:themeColor="text1"/>
        </w:rPr>
      </w:pPr>
      <w:r w:rsidRPr="00C40C97">
        <w:rPr>
          <w:b/>
          <w:bCs/>
          <w:i/>
          <w:iCs/>
          <w:color w:val="000000" w:themeColor="text1"/>
        </w:rPr>
        <w:t xml:space="preserve">Commenting on </w:t>
      </w:r>
      <w:r w:rsidR="00D15F84" w:rsidRPr="00C40C97">
        <w:rPr>
          <w:b/>
          <w:bCs/>
          <w:i/>
          <w:iCs/>
          <w:color w:val="000000" w:themeColor="text1"/>
        </w:rPr>
        <w:t xml:space="preserve">Relevance </w:t>
      </w:r>
      <w:r w:rsidRPr="00C40C97">
        <w:rPr>
          <w:b/>
          <w:bCs/>
          <w:i/>
          <w:iCs/>
          <w:color w:val="000000" w:themeColor="text1"/>
        </w:rPr>
        <w:t xml:space="preserve">to </w:t>
      </w:r>
      <w:r w:rsidR="00D15F84" w:rsidRPr="00C40C97">
        <w:rPr>
          <w:b/>
          <w:bCs/>
          <w:i/>
          <w:iCs/>
          <w:color w:val="000000" w:themeColor="text1"/>
        </w:rPr>
        <w:t xml:space="preserve">Support Older Adults </w:t>
      </w:r>
      <w:r w:rsidRPr="00C40C97">
        <w:rPr>
          <w:b/>
          <w:bCs/>
          <w:i/>
          <w:iCs/>
          <w:color w:val="000000" w:themeColor="text1"/>
        </w:rPr>
        <w:t xml:space="preserve">in </w:t>
      </w:r>
      <w:r w:rsidR="00D15F84" w:rsidRPr="00C40C97">
        <w:rPr>
          <w:b/>
          <w:bCs/>
          <w:i/>
          <w:iCs/>
          <w:color w:val="000000" w:themeColor="text1"/>
        </w:rPr>
        <w:t xml:space="preserve">Health </w:t>
      </w:r>
      <w:r w:rsidRPr="00C40C97">
        <w:rPr>
          <w:b/>
          <w:bCs/>
          <w:i/>
          <w:iCs/>
          <w:color w:val="000000" w:themeColor="text1"/>
        </w:rPr>
        <w:t xml:space="preserve">and </w:t>
      </w:r>
      <w:r w:rsidR="00D15F84" w:rsidRPr="00C40C97">
        <w:rPr>
          <w:b/>
          <w:bCs/>
          <w:i/>
          <w:iCs/>
          <w:color w:val="000000" w:themeColor="text1"/>
        </w:rPr>
        <w:t>Social Care Settings</w:t>
      </w:r>
    </w:p>
    <w:p w14:paraId="5D9C1DDF" w14:textId="68B107F2" w:rsidR="00862FE1" w:rsidRPr="00C40C97" w:rsidRDefault="003E2F4A">
      <w:pPr>
        <w:spacing w:before="240" w:after="240" w:line="360" w:lineRule="auto"/>
        <w:jc w:val="both"/>
        <w:rPr>
          <w:color w:val="000000" w:themeColor="text1"/>
        </w:rPr>
      </w:pPr>
      <w:r w:rsidRPr="00C40C97">
        <w:rPr>
          <w:color w:val="000000" w:themeColor="text1"/>
        </w:rPr>
        <w:t xml:space="preserve">The ageing theory or the positive psychology of ageing seems relevant in terms of applicability within the social or healthcare practices. It focuses on empowering individuals to have a positive outlook on the unavoidable stage. Care professionals are known to support older adults in maintaining a sense of purpose with </w:t>
      </w:r>
      <w:r w:rsidR="00933061" w:rsidRPr="00C40C97">
        <w:rPr>
          <w:color w:val="000000" w:themeColor="text1"/>
        </w:rPr>
        <w:t>ageing</w:t>
      </w:r>
      <w:r w:rsidRPr="00C40C97">
        <w:rPr>
          <w:color w:val="000000" w:themeColor="text1"/>
        </w:rPr>
        <w:t xml:space="preserve">. The article is limited in examining the theoretical parameters associated with cognitive decline in health in relation to </w:t>
      </w:r>
      <w:r w:rsidR="00933061" w:rsidRPr="00C40C97">
        <w:rPr>
          <w:color w:val="000000" w:themeColor="text1"/>
        </w:rPr>
        <w:t>ageing</w:t>
      </w:r>
      <w:r w:rsidRPr="00C40C97">
        <w:rPr>
          <w:color w:val="000000" w:themeColor="text1"/>
        </w:rPr>
        <w:t xml:space="preserve"> and how it can be dealt with. Despite the limitations of the article, it offers a valuable framework for promoting a positive ageing perspective among older adults in a healthcare setting.</w:t>
      </w:r>
    </w:p>
    <w:p w14:paraId="4932EBBF" w14:textId="77777777" w:rsidR="00862FE1" w:rsidRPr="00C40C97" w:rsidRDefault="003E2F4A" w:rsidP="00922334">
      <w:pPr>
        <w:pStyle w:val="Heading1"/>
        <w:rPr>
          <w:sz w:val="22"/>
          <w:szCs w:val="22"/>
        </w:rPr>
      </w:pPr>
      <w:bookmarkStart w:id="6" w:name="_Toc227686582"/>
      <w:r w:rsidRPr="00C40C97">
        <w:rPr>
          <w:sz w:val="22"/>
          <w:szCs w:val="22"/>
        </w:rPr>
        <w:t>2. Part B: Short Report</w:t>
      </w:r>
      <w:bookmarkEnd w:id="6"/>
      <w:r w:rsidRPr="00C40C97">
        <w:rPr>
          <w:sz w:val="22"/>
          <w:szCs w:val="22"/>
        </w:rPr>
        <w:t xml:space="preserve"> </w:t>
      </w:r>
    </w:p>
    <w:p w14:paraId="418AE244" w14:textId="77777777" w:rsidR="00862FE1" w:rsidRPr="00C40C97" w:rsidRDefault="003E2F4A" w:rsidP="00922334">
      <w:pPr>
        <w:pStyle w:val="Heading2"/>
        <w:rPr>
          <w:color w:val="000000" w:themeColor="text1"/>
          <w:sz w:val="22"/>
          <w:szCs w:val="22"/>
        </w:rPr>
      </w:pPr>
      <w:bookmarkStart w:id="7" w:name="_Toc227686583"/>
      <w:r w:rsidRPr="00C40C97">
        <w:rPr>
          <w:color w:val="000000" w:themeColor="text1"/>
          <w:sz w:val="22"/>
          <w:szCs w:val="22"/>
        </w:rPr>
        <w:t>2.1 Introduction</w:t>
      </w:r>
      <w:bookmarkEnd w:id="7"/>
    </w:p>
    <w:p w14:paraId="0817296B" w14:textId="77777777" w:rsidR="00862FE1" w:rsidRPr="00C40C97" w:rsidRDefault="003E2F4A">
      <w:pPr>
        <w:spacing w:after="360" w:line="360" w:lineRule="auto"/>
        <w:jc w:val="both"/>
      </w:pPr>
      <w:r w:rsidRPr="00C40C97">
        <w:t xml:space="preserve">The psychodynamic theory helps in explaining the role of early experiences of an individual in childhood, as well as the unconscious mind in future behaviour. The report focuses on explaining the relevance of the psychodynamic theory by Sigmund Freud, developing psychological well-being in residential home care, particularly for older adults. </w:t>
      </w:r>
    </w:p>
    <w:p w14:paraId="7B9C91C2" w14:textId="77777777" w:rsidR="00862FE1" w:rsidRPr="00C40C97" w:rsidRDefault="003E2F4A" w:rsidP="00922334">
      <w:pPr>
        <w:pStyle w:val="Heading2"/>
        <w:rPr>
          <w:color w:val="000000" w:themeColor="text1"/>
          <w:sz w:val="22"/>
          <w:szCs w:val="22"/>
        </w:rPr>
      </w:pPr>
      <w:bookmarkStart w:id="8" w:name="_Toc227686584"/>
      <w:r w:rsidRPr="00C40C97">
        <w:rPr>
          <w:color w:val="000000" w:themeColor="text1"/>
          <w:sz w:val="22"/>
          <w:szCs w:val="22"/>
        </w:rPr>
        <w:lastRenderedPageBreak/>
        <w:t>2.2 Explaining Freud – Psychodynamic Theory to improve psychological well-being in older adults living in residential care</w:t>
      </w:r>
      <w:bookmarkEnd w:id="8"/>
    </w:p>
    <w:p w14:paraId="4090BFE7" w14:textId="77777777" w:rsidR="00862FE1" w:rsidRPr="00C40C97" w:rsidRDefault="003E2F4A">
      <w:pPr>
        <w:spacing w:after="360" w:line="360" w:lineRule="auto"/>
        <w:jc w:val="both"/>
      </w:pPr>
      <w:r w:rsidRPr="00C40C97">
        <w:t xml:space="preserve">The psychological theory helps in defining that the past experiences, thoughts, or feelings of an individual play a crucial role in developing future behaviour. </w:t>
      </w:r>
    </w:p>
    <w:p w14:paraId="0C1EE7A6" w14:textId="77777777" w:rsidR="00862FE1" w:rsidRPr="00C40C97" w:rsidRDefault="003E2F4A">
      <w:pPr>
        <w:spacing w:after="360" w:line="360" w:lineRule="auto"/>
        <w:jc w:val="center"/>
        <w:rPr>
          <w:b/>
          <w:bCs/>
        </w:rPr>
      </w:pPr>
      <w:r w:rsidRPr="00C40C97">
        <w:rPr>
          <w:b/>
          <w:bCs/>
          <w:noProof/>
          <w:lang w:eastAsia="en-IN"/>
        </w:rPr>
        <w:drawing>
          <wp:inline distT="114300" distB="114300" distL="114300" distR="114300" wp14:anchorId="070BA7F7" wp14:editId="65375DDC">
            <wp:extent cx="4414838" cy="2031412"/>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4414838" cy="2031412"/>
                    </a:xfrm>
                    <a:prstGeom prst="rect">
                      <a:avLst/>
                    </a:prstGeom>
                  </pic:spPr>
                </pic:pic>
              </a:graphicData>
            </a:graphic>
          </wp:inline>
        </w:drawing>
      </w:r>
    </w:p>
    <w:p w14:paraId="18A97FE8" w14:textId="77777777" w:rsidR="00862FE1" w:rsidRPr="00C40C97" w:rsidRDefault="003E2F4A">
      <w:pPr>
        <w:spacing w:after="360" w:line="360" w:lineRule="auto"/>
        <w:jc w:val="center"/>
        <w:rPr>
          <w:b/>
          <w:bCs/>
        </w:rPr>
      </w:pPr>
      <w:r w:rsidRPr="00C40C97">
        <w:rPr>
          <w:b/>
          <w:bCs/>
        </w:rPr>
        <w:t>Figure 1: Personality traits</w:t>
      </w:r>
    </w:p>
    <w:p w14:paraId="4ADAF444" w14:textId="77777777" w:rsidR="00862FE1" w:rsidRPr="00C40C97" w:rsidRDefault="003E2F4A">
      <w:pPr>
        <w:spacing w:after="360" w:line="360" w:lineRule="auto"/>
        <w:jc w:val="both"/>
      </w:pPr>
      <w:r w:rsidRPr="00C40C97">
        <w:t>As mentioned in the above Figure 1, the three components of personality are the id, ego, and superego. The id defines instinctual desires, followed by the ego, contributing to rational decision making, and the superego, which mentions the moral values based on social learning. The adult personality of an individual is highly dependent upon childhood experiences (</w:t>
      </w:r>
      <w:proofErr w:type="spellStart"/>
      <w:r w:rsidRPr="00C40C97">
        <w:rPr>
          <w:highlight w:val="white"/>
        </w:rPr>
        <w:t>Migalova</w:t>
      </w:r>
      <w:proofErr w:type="spellEnd"/>
      <w:r w:rsidRPr="00C40C97">
        <w:rPr>
          <w:highlight w:val="white"/>
        </w:rPr>
        <w:t xml:space="preserve"> </w:t>
      </w:r>
      <w:r w:rsidRPr="00C40C97">
        <w:rPr>
          <w:i/>
          <w:iCs/>
          <w:highlight w:val="white"/>
        </w:rPr>
        <w:t xml:space="preserve">et al., </w:t>
      </w:r>
      <w:r w:rsidRPr="00C40C97">
        <w:rPr>
          <w:highlight w:val="white"/>
        </w:rPr>
        <w:t>2025</w:t>
      </w:r>
      <w:r w:rsidRPr="00C40C97">
        <w:t xml:space="preserve">). For instance, unsolved conflicts in childhood impact the mental health and emotions of an individual. Thus, the understanding of internal processes or addressing the unconscious conflict is relevant for offering effective support to older adults. </w:t>
      </w:r>
    </w:p>
    <w:p w14:paraId="4CD9A88C" w14:textId="77777777" w:rsidR="00862FE1" w:rsidRPr="00C40C97" w:rsidRDefault="003E2F4A">
      <w:pPr>
        <w:spacing w:after="360" w:line="360" w:lineRule="auto"/>
        <w:jc w:val="both"/>
      </w:pPr>
      <w:r w:rsidRPr="00C40C97">
        <w:t>The application of Freud's theory seems relevant in terms of application for developing health and social care outcomes within the residential care setting by understanding the behavioural and emotional needs of older adults. Residents can show anxiety or aggression due to unresolved experiences in the past. In this context, the implementation of psychodynamic principles seems relevant in encouraging residents to share personal history to depend on psychiatric training for attaining wellbeing (</w:t>
      </w:r>
      <w:proofErr w:type="spellStart"/>
      <w:r w:rsidRPr="00C40C97">
        <w:rPr>
          <w:highlight w:val="white"/>
        </w:rPr>
        <w:t>Holoshitz</w:t>
      </w:r>
      <w:proofErr w:type="spellEnd"/>
      <w:r w:rsidRPr="00C40C97">
        <w:rPr>
          <w:highlight w:val="white"/>
        </w:rPr>
        <w:t xml:space="preserve"> </w:t>
      </w:r>
      <w:r w:rsidRPr="00C40C97">
        <w:rPr>
          <w:i/>
          <w:iCs/>
          <w:highlight w:val="white"/>
        </w:rPr>
        <w:t>et al.,</w:t>
      </w:r>
      <w:r w:rsidRPr="00C40C97">
        <w:rPr>
          <w:highlight w:val="white"/>
        </w:rPr>
        <w:t xml:space="preserve"> 2024</w:t>
      </w:r>
      <w:r w:rsidRPr="00C40C97">
        <w:t xml:space="preserve">). It also seems relevant in developing trusting relationships and developing a sense of emotional safety. It further contributes to observing the behavioural pattern among individuals. The dependence upon the theory proves to be significant in developing empathy and prioritising active listening for supporting emotional expression. The dependence upon therapy, as per </w:t>
      </w:r>
      <w:r w:rsidRPr="00C40C97">
        <w:lastRenderedPageBreak/>
        <w:t xml:space="preserve">the psychodynamic approach, supports the individual in developing conscious awareness and minimising psychological distress. </w:t>
      </w:r>
    </w:p>
    <w:p w14:paraId="5523E683" w14:textId="77777777" w:rsidR="00862FE1" w:rsidRPr="00C40C97" w:rsidRDefault="003E2F4A" w:rsidP="00922334">
      <w:pPr>
        <w:pStyle w:val="Heading2"/>
        <w:rPr>
          <w:color w:val="000000" w:themeColor="text1"/>
          <w:sz w:val="22"/>
          <w:szCs w:val="22"/>
        </w:rPr>
      </w:pPr>
      <w:bookmarkStart w:id="9" w:name="_Toc227686585"/>
      <w:r w:rsidRPr="00C40C97">
        <w:rPr>
          <w:color w:val="000000" w:themeColor="text1"/>
          <w:sz w:val="22"/>
          <w:szCs w:val="22"/>
        </w:rPr>
        <w:t>2.3 Real-world example or case scenario for application</w:t>
      </w:r>
      <w:bookmarkEnd w:id="9"/>
    </w:p>
    <w:p w14:paraId="5D4F1FC2" w14:textId="77777777" w:rsidR="00862FE1" w:rsidRPr="00C40C97" w:rsidRDefault="003E2F4A">
      <w:pPr>
        <w:spacing w:after="240" w:line="360" w:lineRule="auto"/>
        <w:jc w:val="both"/>
        <w:rPr>
          <w:b/>
          <w:bCs/>
        </w:rPr>
      </w:pPr>
      <w:r w:rsidRPr="00C40C97">
        <w:rPr>
          <w:highlight w:val="white"/>
        </w:rPr>
        <w:t>A real-world application of psychodynamic theory within residential care is witnessed in terms of dependence upon reminiscence therapy to address emotional distress faced by older adults. For example, an old resident in a care environment suffering from mood swings can be supported in attaining well-being by dependence upon the psychodynamic theory that involves conversation regarding life story and unresolved groups. The dependence upon reminiscence-based psychotherapy interventions contributes towards minimising depressive symptoms and ensuring psychological well-being for older pupils (</w:t>
      </w:r>
      <w:proofErr w:type="spellStart"/>
      <w:r w:rsidRPr="00C40C97">
        <w:rPr>
          <w:highlight w:val="white"/>
        </w:rPr>
        <w:t>Zeleníková</w:t>
      </w:r>
      <w:proofErr w:type="spellEnd"/>
      <w:r w:rsidRPr="00C40C97">
        <w:rPr>
          <w:highlight w:val="white"/>
        </w:rPr>
        <w:t xml:space="preserve"> </w:t>
      </w:r>
      <w:r w:rsidRPr="00C40C97">
        <w:rPr>
          <w:i/>
          <w:iCs/>
          <w:highlight w:val="white"/>
        </w:rPr>
        <w:t xml:space="preserve">et al., </w:t>
      </w:r>
      <w:r w:rsidRPr="00C40C97">
        <w:rPr>
          <w:highlight w:val="white"/>
        </w:rPr>
        <w:t xml:space="preserve">2025). The exploration of past experiences helps individuals in the healthcare setting to regulate emotions. A real-life case example involves older residents aged between 55 and 75 years, who commonly suffer from dependency and loneliness, resulting in depressive and anxiety symptoms (Seiler </w:t>
      </w:r>
      <w:r w:rsidRPr="00C40C97">
        <w:rPr>
          <w:i/>
          <w:iCs/>
          <w:highlight w:val="white"/>
        </w:rPr>
        <w:t>et al.,</w:t>
      </w:r>
      <w:r w:rsidRPr="00C40C97">
        <w:rPr>
          <w:highlight w:val="white"/>
        </w:rPr>
        <w:t xml:space="preserve"> 2025). The implementation of psychodynamic group therapy in this context seems relevant in offering beneficial treatment to older adults in terms of dealing with mental health issues. </w:t>
      </w:r>
    </w:p>
    <w:p w14:paraId="3F822C18" w14:textId="77777777" w:rsidR="00862FE1" w:rsidRPr="00C40C97" w:rsidRDefault="003E2F4A" w:rsidP="00922334">
      <w:pPr>
        <w:pStyle w:val="Heading2"/>
        <w:rPr>
          <w:color w:val="000000" w:themeColor="text1"/>
          <w:sz w:val="22"/>
          <w:szCs w:val="22"/>
        </w:rPr>
      </w:pPr>
      <w:bookmarkStart w:id="10" w:name="_Toc227686586"/>
      <w:r w:rsidRPr="00C40C97">
        <w:rPr>
          <w:color w:val="000000" w:themeColor="text1"/>
          <w:sz w:val="22"/>
          <w:szCs w:val="22"/>
        </w:rPr>
        <w:t>2.4 One possible challenge for professionals in applying the theory and overcoming the strategy</w:t>
      </w:r>
      <w:bookmarkEnd w:id="10"/>
    </w:p>
    <w:p w14:paraId="7FE26DA8" w14:textId="77777777" w:rsidR="00862FE1" w:rsidRPr="00C40C97" w:rsidRDefault="003E2F4A">
      <w:pPr>
        <w:spacing w:after="240" w:line="360" w:lineRule="auto"/>
        <w:jc w:val="both"/>
      </w:pPr>
      <w:r w:rsidRPr="00C40C97">
        <w:rPr>
          <w:highlight w:val="white"/>
        </w:rPr>
        <w:t xml:space="preserve">A possible challenge for health and social care professionals in terms of applying the psychodynamic theory is limited resources, such as scope for training, time, or expertise. The absence of standardised training is the prime challenge for professionals in applying psychodynamic theory (Lafont </w:t>
      </w:r>
      <w:r w:rsidRPr="00C40C97">
        <w:rPr>
          <w:i/>
          <w:iCs/>
          <w:highlight w:val="white"/>
        </w:rPr>
        <w:t>et al.,</w:t>
      </w:r>
      <w:r w:rsidRPr="00C40C97">
        <w:rPr>
          <w:highlight w:val="white"/>
        </w:rPr>
        <w:t xml:space="preserve"> 2025). As the procedure involves an in-depth exploration of past experiences, proper communication helps in dealing with emotional health conflicts. The residential care staff need to prioritise the requirement for psychological support that needs specialised training to promote therapy to deal with emotional issues. The strategy for dealing with the approach is to focus on integrated psychodynamic principles. As a result, the strategy is to focus on staff training as well as active listening and communication to ensure emotional support from the end of caregivers to older adults upon training contributes towards developing quality of health care professionals, such as psychologists, practising the psychodynamic informed treatment for older adults. It helps in validating emotions as well as developing a trustworthy relationship for sustainable outcomes. </w:t>
      </w:r>
      <w:r w:rsidRPr="00C40C97">
        <w:t xml:space="preserve">Therefore, it is evident that the challenges related to the application of psychodynamic theory can be managed by prioritising training programs within residential care to support older adults. </w:t>
      </w:r>
    </w:p>
    <w:p w14:paraId="2C95B72D" w14:textId="77777777" w:rsidR="00862FE1" w:rsidRPr="00C40C97" w:rsidRDefault="003E2F4A" w:rsidP="00922334">
      <w:pPr>
        <w:pStyle w:val="Heading2"/>
        <w:rPr>
          <w:color w:val="000000" w:themeColor="text1"/>
          <w:sz w:val="22"/>
          <w:szCs w:val="22"/>
        </w:rPr>
      </w:pPr>
      <w:bookmarkStart w:id="11" w:name="_Toc227686587"/>
      <w:r w:rsidRPr="00C40C97">
        <w:rPr>
          <w:color w:val="000000" w:themeColor="text1"/>
          <w:sz w:val="22"/>
          <w:szCs w:val="22"/>
        </w:rPr>
        <w:lastRenderedPageBreak/>
        <w:t>2.5 Conclusion</w:t>
      </w:r>
      <w:bookmarkEnd w:id="11"/>
    </w:p>
    <w:p w14:paraId="06A0F79E" w14:textId="77777777" w:rsidR="00862FE1" w:rsidRPr="00C40C97" w:rsidRDefault="003E2F4A">
      <w:pPr>
        <w:spacing w:after="360" w:line="360" w:lineRule="auto"/>
        <w:jc w:val="both"/>
        <w:rPr>
          <w:b/>
          <w:bCs/>
        </w:rPr>
      </w:pPr>
      <w:r w:rsidRPr="00C40C97">
        <w:t xml:space="preserve">The report concludes that supporting older adults within the residential area is important for healthcare staff. However, limitations in training and time for implementation of psychodynamic theory act as a limitation for driving positive health outcomes. In this context, the dependence upon training programmes for professionals helps in dealing with the challenges relating to the application of the theory to improve health and social outcomes for older adults. </w:t>
      </w:r>
    </w:p>
    <w:p w14:paraId="684819B3" w14:textId="77777777" w:rsidR="00862FE1" w:rsidRPr="00C40C97" w:rsidRDefault="003E2F4A" w:rsidP="00922334">
      <w:pPr>
        <w:pStyle w:val="Heading1"/>
        <w:rPr>
          <w:sz w:val="22"/>
          <w:szCs w:val="22"/>
        </w:rPr>
      </w:pPr>
      <w:bookmarkStart w:id="12" w:name="_heading=h.9d1glc95lg3k" w:colFirst="0" w:colLast="0"/>
      <w:bookmarkEnd w:id="12"/>
      <w:r w:rsidRPr="00C40C97">
        <w:rPr>
          <w:sz w:val="22"/>
          <w:szCs w:val="22"/>
        </w:rPr>
        <w:br w:type="page"/>
      </w:r>
    </w:p>
    <w:p w14:paraId="310ED5CC" w14:textId="77777777" w:rsidR="00862FE1" w:rsidRPr="00315A65" w:rsidRDefault="003E2F4A" w:rsidP="00922334">
      <w:pPr>
        <w:pStyle w:val="Heading1"/>
        <w:rPr>
          <w:color w:val="000000" w:themeColor="text1"/>
          <w:sz w:val="22"/>
          <w:szCs w:val="22"/>
        </w:rPr>
      </w:pPr>
      <w:bookmarkStart w:id="13" w:name="_Toc227686588"/>
      <w:r w:rsidRPr="00315A65">
        <w:rPr>
          <w:color w:val="000000" w:themeColor="text1"/>
          <w:sz w:val="22"/>
          <w:szCs w:val="22"/>
        </w:rPr>
        <w:lastRenderedPageBreak/>
        <w:t>References</w:t>
      </w:r>
      <w:bookmarkEnd w:id="13"/>
    </w:p>
    <w:p w14:paraId="212CD0EC" w14:textId="77777777" w:rsidR="00862FE1" w:rsidRPr="00315A65" w:rsidRDefault="003E2F4A">
      <w:pPr>
        <w:spacing w:line="360" w:lineRule="auto"/>
        <w:rPr>
          <w:b/>
          <w:bCs/>
          <w:i/>
          <w:iCs/>
          <w:color w:val="000000" w:themeColor="text1"/>
        </w:rPr>
      </w:pPr>
      <w:r w:rsidRPr="00315A65">
        <w:rPr>
          <w:b/>
          <w:bCs/>
          <w:i/>
          <w:iCs/>
          <w:color w:val="000000" w:themeColor="text1"/>
        </w:rPr>
        <w:t>Part A</w:t>
      </w:r>
    </w:p>
    <w:p w14:paraId="4F57B118" w14:textId="77777777" w:rsidR="00862FE1" w:rsidRPr="00315A65" w:rsidRDefault="003E2F4A">
      <w:pPr>
        <w:spacing w:before="240" w:after="240" w:line="360" w:lineRule="auto"/>
        <w:jc w:val="both"/>
        <w:rPr>
          <w:color w:val="000000" w:themeColor="text1"/>
        </w:rPr>
      </w:pPr>
      <w:r w:rsidRPr="00315A65">
        <w:rPr>
          <w:color w:val="000000" w:themeColor="text1"/>
        </w:rPr>
        <w:t xml:space="preserve">Bowlby, J. (1969) ‘Bowlby’s attachment theory’, </w:t>
      </w:r>
      <w:r w:rsidRPr="00315A65">
        <w:rPr>
          <w:i/>
          <w:iCs/>
          <w:color w:val="000000" w:themeColor="text1"/>
        </w:rPr>
        <w:t>Tavistock Institute of Human Relations</w:t>
      </w:r>
      <w:r w:rsidRPr="00315A65">
        <w:rPr>
          <w:color w:val="000000" w:themeColor="text1"/>
        </w:rPr>
        <w:t>.</w:t>
      </w:r>
    </w:p>
    <w:p w14:paraId="7231CADF" w14:textId="1DC8728F" w:rsidR="00862FE1" w:rsidRPr="00315A65" w:rsidRDefault="003E2F4A">
      <w:pPr>
        <w:spacing w:before="240" w:after="240" w:line="360" w:lineRule="auto"/>
        <w:jc w:val="both"/>
        <w:rPr>
          <w:color w:val="000000" w:themeColor="text1"/>
          <w:highlight w:val="white"/>
        </w:rPr>
      </w:pPr>
      <w:r w:rsidRPr="00315A65">
        <w:rPr>
          <w:color w:val="000000" w:themeColor="text1"/>
          <w:highlight w:val="white"/>
        </w:rPr>
        <w:t xml:space="preserve">Bowlby, J. (1979) ‘The </w:t>
      </w:r>
      <w:r w:rsidR="00933061" w:rsidRPr="00315A65">
        <w:rPr>
          <w:color w:val="000000" w:themeColor="text1"/>
          <w:highlight w:val="white"/>
        </w:rPr>
        <w:t>Bowlby-Ainsworth</w:t>
      </w:r>
      <w:r w:rsidRPr="00315A65">
        <w:rPr>
          <w:color w:val="000000" w:themeColor="text1"/>
          <w:highlight w:val="white"/>
        </w:rPr>
        <w:t xml:space="preserve"> attachment theory’, </w:t>
      </w:r>
      <w:r w:rsidR="00933061" w:rsidRPr="00315A65">
        <w:rPr>
          <w:i/>
          <w:iCs/>
          <w:color w:val="000000" w:themeColor="text1"/>
          <w:highlight w:val="white"/>
        </w:rPr>
        <w:t>Behavioural</w:t>
      </w:r>
      <w:r w:rsidRPr="00315A65">
        <w:rPr>
          <w:i/>
          <w:iCs/>
          <w:color w:val="000000" w:themeColor="text1"/>
          <w:highlight w:val="white"/>
        </w:rPr>
        <w:t xml:space="preserve"> and brain sciences</w:t>
      </w:r>
      <w:r w:rsidRPr="00315A65">
        <w:rPr>
          <w:color w:val="000000" w:themeColor="text1"/>
          <w:highlight w:val="white"/>
        </w:rPr>
        <w:t>, 2(4), pp.637-638.</w:t>
      </w:r>
    </w:p>
    <w:p w14:paraId="7B40AF17" w14:textId="5077A0C0" w:rsidR="00862FE1" w:rsidRPr="00315A65" w:rsidRDefault="003E2F4A">
      <w:pPr>
        <w:spacing w:before="240" w:after="240" w:line="360" w:lineRule="auto"/>
        <w:jc w:val="both"/>
        <w:rPr>
          <w:color w:val="000000" w:themeColor="text1"/>
          <w:highlight w:val="white"/>
        </w:rPr>
      </w:pPr>
      <w:r w:rsidRPr="00315A65">
        <w:rPr>
          <w:color w:val="000000" w:themeColor="text1"/>
        </w:rPr>
        <w:t xml:space="preserve">Ranzijn, R. (2002) ‘Towards a positive psychology of </w:t>
      </w:r>
      <w:r w:rsidR="00933061" w:rsidRPr="00315A65">
        <w:rPr>
          <w:color w:val="000000" w:themeColor="text1"/>
        </w:rPr>
        <w:t>ageing</w:t>
      </w:r>
      <w:r w:rsidRPr="00315A65">
        <w:rPr>
          <w:color w:val="000000" w:themeColor="text1"/>
        </w:rPr>
        <w:t xml:space="preserve">: Potentials and barriers’, </w:t>
      </w:r>
      <w:r w:rsidRPr="00315A65">
        <w:rPr>
          <w:i/>
          <w:iCs/>
          <w:color w:val="000000" w:themeColor="text1"/>
        </w:rPr>
        <w:t>Australian Psychologist</w:t>
      </w:r>
      <w:r w:rsidRPr="00315A65">
        <w:rPr>
          <w:color w:val="000000" w:themeColor="text1"/>
        </w:rPr>
        <w:t>, 37(2), pp.79-85.</w:t>
      </w:r>
    </w:p>
    <w:p w14:paraId="7B89FCB7" w14:textId="77777777" w:rsidR="00862FE1" w:rsidRPr="00315A65" w:rsidRDefault="003E2F4A">
      <w:pPr>
        <w:spacing w:before="240" w:after="240" w:line="360" w:lineRule="auto"/>
        <w:jc w:val="both"/>
        <w:rPr>
          <w:color w:val="000000" w:themeColor="text1"/>
        </w:rPr>
      </w:pPr>
      <w:r w:rsidRPr="00315A65">
        <w:rPr>
          <w:color w:val="000000" w:themeColor="text1"/>
        </w:rPr>
        <w:t xml:space="preserve">Stirling, E. and Cry, H. (2016) ‘Ageing, health and positive psychology’, </w:t>
      </w:r>
      <w:r w:rsidRPr="00315A65">
        <w:rPr>
          <w:i/>
          <w:iCs/>
          <w:color w:val="000000" w:themeColor="text1"/>
        </w:rPr>
        <w:t>Positive Psychology Approaches to Dementia.</w:t>
      </w:r>
      <w:r w:rsidRPr="00315A65">
        <w:rPr>
          <w:color w:val="000000" w:themeColor="text1"/>
        </w:rPr>
        <w:t xml:space="preserve"> London, J</w:t>
      </w:r>
      <w:r w:rsidRPr="00315A65">
        <w:rPr>
          <w:i/>
          <w:iCs/>
          <w:color w:val="000000" w:themeColor="text1"/>
        </w:rPr>
        <w:t>essica Kingsley Publishers</w:t>
      </w:r>
      <w:r w:rsidRPr="00315A65">
        <w:rPr>
          <w:color w:val="000000" w:themeColor="text1"/>
        </w:rPr>
        <w:t>, pp.16-40.</w:t>
      </w:r>
    </w:p>
    <w:p w14:paraId="77B0DFF4" w14:textId="77777777" w:rsidR="00862FE1" w:rsidRDefault="00862FE1">
      <w:pPr>
        <w:spacing w:line="360" w:lineRule="auto"/>
      </w:pPr>
    </w:p>
    <w:p w14:paraId="578C8DFF" w14:textId="77777777" w:rsidR="00862FE1" w:rsidRPr="00315A65" w:rsidRDefault="003E2F4A">
      <w:pPr>
        <w:spacing w:line="360" w:lineRule="auto"/>
        <w:rPr>
          <w:b/>
          <w:bCs/>
          <w:i/>
          <w:iCs/>
        </w:rPr>
      </w:pPr>
      <w:r w:rsidRPr="00315A65">
        <w:rPr>
          <w:b/>
          <w:bCs/>
          <w:i/>
          <w:iCs/>
        </w:rPr>
        <w:t>Part B</w:t>
      </w:r>
    </w:p>
    <w:p w14:paraId="4630614E" w14:textId="42A0A642" w:rsidR="00862FE1" w:rsidRPr="00315A65" w:rsidRDefault="003E2F4A">
      <w:pPr>
        <w:spacing w:before="240" w:line="360" w:lineRule="auto"/>
        <w:jc w:val="both"/>
        <w:rPr>
          <w:b/>
          <w:bCs/>
          <w:i/>
          <w:iCs/>
        </w:rPr>
      </w:pPr>
      <w:r w:rsidRPr="00315A65">
        <w:rPr>
          <w:highlight w:val="white"/>
        </w:rPr>
        <w:t>Holoshitz, Y., Lindy, D.C. and Albright, K. (2024) ‘</w:t>
      </w:r>
      <w:r w:rsidR="00933061" w:rsidRPr="00315A65">
        <w:rPr>
          <w:highlight w:val="white"/>
        </w:rPr>
        <w:t>Revitalising</w:t>
      </w:r>
      <w:r w:rsidRPr="00315A65">
        <w:rPr>
          <w:highlight w:val="white"/>
        </w:rPr>
        <w:t xml:space="preserve"> psychodynamics in psychiatric training: an intergenerational perspective’, </w:t>
      </w:r>
      <w:r w:rsidRPr="00315A65">
        <w:rPr>
          <w:i/>
          <w:iCs/>
          <w:highlight w:val="white"/>
        </w:rPr>
        <w:t>Academic Psychiatry</w:t>
      </w:r>
      <w:r w:rsidRPr="00315A65">
        <w:rPr>
          <w:highlight w:val="white"/>
        </w:rPr>
        <w:t>, 48(5), pp.496-500.</w:t>
      </w:r>
      <w:r w:rsidRPr="00315A65">
        <w:rPr>
          <w:b/>
          <w:bCs/>
          <w:i/>
          <w:iCs/>
        </w:rPr>
        <w:t xml:space="preserve"> </w:t>
      </w:r>
    </w:p>
    <w:p w14:paraId="4911B5DE" w14:textId="77777777" w:rsidR="00862FE1" w:rsidRPr="00315A65" w:rsidRDefault="003E2F4A">
      <w:pPr>
        <w:spacing w:before="240" w:line="360" w:lineRule="auto"/>
        <w:jc w:val="both"/>
        <w:rPr>
          <w:b/>
          <w:bCs/>
          <w:i/>
          <w:iCs/>
        </w:rPr>
      </w:pPr>
      <w:proofErr w:type="spellStart"/>
      <w:r w:rsidRPr="00315A65">
        <w:rPr>
          <w:highlight w:val="white"/>
        </w:rPr>
        <w:t>Migalova</w:t>
      </w:r>
      <w:proofErr w:type="spellEnd"/>
      <w:r w:rsidRPr="00315A65">
        <w:rPr>
          <w:highlight w:val="white"/>
        </w:rPr>
        <w:t xml:space="preserve">, E., </w:t>
      </w:r>
      <w:proofErr w:type="spellStart"/>
      <w:r w:rsidRPr="00315A65">
        <w:rPr>
          <w:highlight w:val="white"/>
        </w:rPr>
        <w:t>Furstova</w:t>
      </w:r>
      <w:proofErr w:type="spellEnd"/>
      <w:r w:rsidRPr="00315A65">
        <w:rPr>
          <w:highlight w:val="white"/>
        </w:rPr>
        <w:t xml:space="preserve">, J., </w:t>
      </w:r>
      <w:proofErr w:type="spellStart"/>
      <w:r w:rsidRPr="00315A65">
        <w:rPr>
          <w:highlight w:val="white"/>
        </w:rPr>
        <w:t>Hasto</w:t>
      </w:r>
      <w:proofErr w:type="spellEnd"/>
      <w:r w:rsidRPr="00315A65">
        <w:rPr>
          <w:highlight w:val="white"/>
        </w:rPr>
        <w:t xml:space="preserve">, J., Tavel, P. and </w:t>
      </w:r>
      <w:proofErr w:type="spellStart"/>
      <w:r w:rsidRPr="00315A65">
        <w:rPr>
          <w:highlight w:val="white"/>
        </w:rPr>
        <w:t>Kascakova</w:t>
      </w:r>
      <w:proofErr w:type="spellEnd"/>
      <w:r w:rsidRPr="00315A65">
        <w:rPr>
          <w:highlight w:val="white"/>
        </w:rPr>
        <w:t xml:space="preserve">, N. (2025) ‘The link of adverse childhood experiences and attachment to maladaptive personality traits in adults diagnosed with substance use disorder’, </w:t>
      </w:r>
      <w:r w:rsidRPr="00315A65">
        <w:rPr>
          <w:i/>
          <w:iCs/>
          <w:highlight w:val="white"/>
        </w:rPr>
        <w:t>BMC psychology</w:t>
      </w:r>
      <w:r w:rsidRPr="00315A65">
        <w:rPr>
          <w:highlight w:val="white"/>
        </w:rPr>
        <w:t>, 13(1), pp.1-10.</w:t>
      </w:r>
      <w:r w:rsidRPr="00315A65">
        <w:rPr>
          <w:b/>
          <w:bCs/>
          <w:i/>
          <w:iCs/>
        </w:rPr>
        <w:t xml:space="preserve"> </w:t>
      </w:r>
    </w:p>
    <w:p w14:paraId="477AD8E5" w14:textId="77777777" w:rsidR="00862FE1" w:rsidRPr="00315A65" w:rsidRDefault="003E2F4A">
      <w:pPr>
        <w:spacing w:before="240" w:line="360" w:lineRule="auto"/>
        <w:jc w:val="both"/>
        <w:rPr>
          <w:b/>
          <w:bCs/>
          <w:i/>
          <w:iCs/>
        </w:rPr>
      </w:pPr>
      <w:r w:rsidRPr="00315A65">
        <w:rPr>
          <w:highlight w:val="white"/>
        </w:rPr>
        <w:t xml:space="preserve">Seiler, N., Rosella, S., </w:t>
      </w:r>
      <w:proofErr w:type="spellStart"/>
      <w:r w:rsidRPr="00315A65">
        <w:rPr>
          <w:highlight w:val="white"/>
        </w:rPr>
        <w:t>Ziegeler</w:t>
      </w:r>
      <w:proofErr w:type="spellEnd"/>
      <w:r w:rsidRPr="00315A65">
        <w:rPr>
          <w:highlight w:val="white"/>
        </w:rPr>
        <w:t xml:space="preserve">, B. and Newham, B. (2025) ‘Psychodynamic and psychoanalytic psychotherapy in the older population: a systematic review’, </w:t>
      </w:r>
      <w:r w:rsidRPr="00315A65">
        <w:rPr>
          <w:i/>
          <w:iCs/>
          <w:highlight w:val="white"/>
        </w:rPr>
        <w:t>Journal of Contemporary Psychotherapy</w:t>
      </w:r>
      <w:r w:rsidRPr="00315A65">
        <w:rPr>
          <w:highlight w:val="white"/>
        </w:rPr>
        <w:t>, 55(3), pp.229-237.</w:t>
      </w:r>
      <w:r w:rsidRPr="00315A65">
        <w:rPr>
          <w:b/>
          <w:bCs/>
          <w:i/>
          <w:iCs/>
        </w:rPr>
        <w:t xml:space="preserve"> </w:t>
      </w:r>
    </w:p>
    <w:p w14:paraId="4EDF9B76" w14:textId="77777777" w:rsidR="00862FE1" w:rsidRPr="00315A65" w:rsidRDefault="003E2F4A">
      <w:pPr>
        <w:spacing w:before="240" w:line="360" w:lineRule="auto"/>
        <w:jc w:val="both"/>
        <w:rPr>
          <w:b/>
          <w:bCs/>
          <w:i/>
          <w:iCs/>
        </w:rPr>
      </w:pPr>
      <w:r w:rsidRPr="00315A65">
        <w:rPr>
          <w:highlight w:val="white"/>
        </w:rPr>
        <w:t xml:space="preserve">Zeleníková, R., </w:t>
      </w:r>
      <w:proofErr w:type="spellStart"/>
      <w:r w:rsidRPr="00315A65">
        <w:rPr>
          <w:highlight w:val="white"/>
        </w:rPr>
        <w:t>Hosáková</w:t>
      </w:r>
      <w:proofErr w:type="spellEnd"/>
      <w:r w:rsidRPr="00315A65">
        <w:rPr>
          <w:highlight w:val="white"/>
        </w:rPr>
        <w:t xml:space="preserve">, J., Kozáková, R., Bobčíková, K. and </w:t>
      </w:r>
      <w:proofErr w:type="spellStart"/>
      <w:r w:rsidRPr="00315A65">
        <w:rPr>
          <w:highlight w:val="white"/>
        </w:rPr>
        <w:t>Bužgová</w:t>
      </w:r>
      <w:proofErr w:type="spellEnd"/>
      <w:r w:rsidRPr="00315A65">
        <w:rPr>
          <w:highlight w:val="white"/>
        </w:rPr>
        <w:t xml:space="preserve">, R. (2025) ‘The Effect of Reminiscence Therapy on the Assessment of Depression, Anxiety and Self‐Esteem in Community‐Dwelling Older Adults: An Intervention Study’, </w:t>
      </w:r>
      <w:r w:rsidRPr="00315A65">
        <w:rPr>
          <w:i/>
          <w:iCs/>
          <w:highlight w:val="white"/>
        </w:rPr>
        <w:t>International Journal of Older People Nursing</w:t>
      </w:r>
      <w:r w:rsidRPr="00315A65">
        <w:rPr>
          <w:highlight w:val="white"/>
        </w:rPr>
        <w:t>, 20(1), pp.1-10.</w:t>
      </w:r>
      <w:r w:rsidRPr="00315A65">
        <w:rPr>
          <w:b/>
          <w:bCs/>
          <w:i/>
          <w:iCs/>
        </w:rPr>
        <w:t xml:space="preserve"> </w:t>
      </w:r>
    </w:p>
    <w:p w14:paraId="735BE8A3" w14:textId="77777777" w:rsidR="00862FE1" w:rsidRPr="00315A65" w:rsidRDefault="00862FE1">
      <w:pPr>
        <w:spacing w:line="360" w:lineRule="auto"/>
        <w:jc w:val="both"/>
        <w:rPr>
          <w:b/>
          <w:bCs/>
          <w:i/>
          <w:iCs/>
        </w:rPr>
      </w:pPr>
    </w:p>
    <w:sectPr w:rsidR="00862FE1" w:rsidRPr="00315A65">
      <w:footerReference w:type="default" r:id="rId9"/>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998436" w14:textId="77777777" w:rsidR="005A3DB8" w:rsidRDefault="005A3DB8">
      <w:pPr>
        <w:spacing w:line="240" w:lineRule="auto"/>
      </w:pPr>
      <w:r>
        <w:separator/>
      </w:r>
    </w:p>
  </w:endnote>
  <w:endnote w:type="continuationSeparator" w:id="0">
    <w:p w14:paraId="4062D7DA" w14:textId="77777777" w:rsidR="005A3DB8" w:rsidRDefault="005A3D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1CC25E16-9AC1-475C-8C3E-0438DA2A3072}"/>
  </w:font>
  <w:font w:name="Cambria">
    <w:panose1 w:val="02040503050406030204"/>
    <w:charset w:val="00"/>
    <w:family w:val="roman"/>
    <w:pitch w:val="variable"/>
    <w:sig w:usb0="E00006FF" w:usb1="420024FF" w:usb2="02000000" w:usb3="00000000" w:csb0="0000019F" w:csb1="00000000"/>
    <w:embedRegular r:id="rId2" w:fontKey="{09232EE5-4F69-4201-946D-A89A1A438EFD}"/>
  </w:font>
  <w:font w:name="Calibri">
    <w:panose1 w:val="020F0502020204030204"/>
    <w:charset w:val="00"/>
    <w:family w:val="swiss"/>
    <w:pitch w:val="variable"/>
    <w:sig w:usb0="E4002EFF" w:usb1="C200247B" w:usb2="00000009" w:usb3="00000000" w:csb0="000001FF" w:csb1="00000000"/>
    <w:embedRegular r:id="rId3" w:fontKey="{63B684FA-6191-436B-A2C4-0931B9F6A6A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F58B01" w14:textId="77777777" w:rsidR="00862FE1" w:rsidRDefault="003E2F4A">
    <w:pPr>
      <w:jc w:val="right"/>
      <w:rPr>
        <w:sz w:val="20"/>
        <w:szCs w:val="20"/>
      </w:rPr>
    </w:pPr>
    <w:r>
      <w:rPr>
        <w:sz w:val="20"/>
        <w:szCs w:val="20"/>
      </w:rPr>
      <w:fldChar w:fldCharType="begin"/>
    </w:r>
    <w:r>
      <w:rPr>
        <w:sz w:val="20"/>
        <w:szCs w:val="20"/>
      </w:rPr>
      <w:instrText>PAGE</w:instrText>
    </w:r>
    <w:r>
      <w:rPr>
        <w:sz w:val="20"/>
        <w:szCs w:val="20"/>
      </w:rPr>
      <w:fldChar w:fldCharType="separate"/>
    </w:r>
    <w:r w:rsidR="004E0810">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D542F9" w14:textId="77777777" w:rsidR="005A3DB8" w:rsidRDefault="005A3DB8">
      <w:pPr>
        <w:spacing w:line="240" w:lineRule="auto"/>
      </w:pPr>
      <w:r>
        <w:separator/>
      </w:r>
    </w:p>
  </w:footnote>
  <w:footnote w:type="continuationSeparator" w:id="0">
    <w:p w14:paraId="4B02AEF9" w14:textId="77777777" w:rsidR="005A3DB8" w:rsidRDefault="005A3DB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FE1"/>
    <w:rsid w:val="000D6B78"/>
    <w:rsid w:val="00315A65"/>
    <w:rsid w:val="003616F1"/>
    <w:rsid w:val="00393111"/>
    <w:rsid w:val="003E2F4A"/>
    <w:rsid w:val="00444518"/>
    <w:rsid w:val="004E0810"/>
    <w:rsid w:val="00510D90"/>
    <w:rsid w:val="005A3DB8"/>
    <w:rsid w:val="00624774"/>
    <w:rsid w:val="006909C0"/>
    <w:rsid w:val="00762E3D"/>
    <w:rsid w:val="008349B2"/>
    <w:rsid w:val="00862FE1"/>
    <w:rsid w:val="008B270D"/>
    <w:rsid w:val="008C2513"/>
    <w:rsid w:val="00922334"/>
    <w:rsid w:val="00933061"/>
    <w:rsid w:val="00986F93"/>
    <w:rsid w:val="009975DB"/>
    <w:rsid w:val="00BA5F6C"/>
    <w:rsid w:val="00C40C97"/>
    <w:rsid w:val="00CE5194"/>
    <w:rsid w:val="00D15F84"/>
    <w:rsid w:val="00DA4281"/>
    <w:rsid w:val="00F431BA"/>
    <w:rsid w:val="00F776B6"/>
    <w:rsid w:val="00FC1F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EE7DB8"/>
  <w15:docId w15:val="{297FBC3F-44F3-4228-AEA7-2697846EE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922334"/>
    <w:pPr>
      <w:keepNext/>
      <w:keepLines/>
      <w:spacing w:after="120" w:line="360" w:lineRule="auto"/>
      <w:jc w:val="both"/>
      <w:outlineLvl w:val="0"/>
    </w:pPr>
    <w:rPr>
      <w:b/>
      <w:bCs/>
      <w:sz w:val="24"/>
      <w:szCs w:val="24"/>
    </w:rPr>
  </w:style>
  <w:style w:type="paragraph" w:styleId="Heading2">
    <w:name w:val="heading 2"/>
    <w:basedOn w:val="Normal"/>
    <w:next w:val="Normal"/>
    <w:rsid w:val="00922334"/>
    <w:pPr>
      <w:keepNext/>
      <w:keepLines/>
      <w:spacing w:after="240" w:line="360" w:lineRule="auto"/>
      <w:jc w:val="both"/>
      <w:outlineLvl w:val="1"/>
    </w:pPr>
    <w:rPr>
      <w:b/>
      <w:bCs/>
      <w:color w:val="FF0000"/>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4E081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0810"/>
    <w:rPr>
      <w:rFonts w:ascii="Tahoma" w:hAnsi="Tahoma" w:cs="Tahoma"/>
      <w:sz w:val="16"/>
      <w:szCs w:val="16"/>
    </w:rPr>
  </w:style>
  <w:style w:type="paragraph" w:styleId="TOC1">
    <w:name w:val="toc 1"/>
    <w:basedOn w:val="Normal"/>
    <w:next w:val="Normal"/>
    <w:autoRedefine/>
    <w:uiPriority w:val="39"/>
    <w:unhideWhenUsed/>
    <w:rsid w:val="004E0810"/>
    <w:pPr>
      <w:spacing w:after="100"/>
    </w:pPr>
  </w:style>
  <w:style w:type="paragraph" w:styleId="TOC2">
    <w:name w:val="toc 2"/>
    <w:basedOn w:val="Normal"/>
    <w:next w:val="Normal"/>
    <w:autoRedefine/>
    <w:uiPriority w:val="39"/>
    <w:unhideWhenUsed/>
    <w:rsid w:val="004E0810"/>
    <w:pPr>
      <w:spacing w:after="100"/>
      <w:ind w:left="220"/>
    </w:pPr>
  </w:style>
  <w:style w:type="character" w:styleId="Hyperlink">
    <w:name w:val="Hyperlink"/>
    <w:basedOn w:val="DefaultParagraphFont"/>
    <w:uiPriority w:val="99"/>
    <w:unhideWhenUsed/>
    <w:rsid w:val="004E0810"/>
    <w:rPr>
      <w:color w:val="0000FF" w:themeColor="hyperlink"/>
      <w:u w:val="single"/>
    </w:rPr>
  </w:style>
  <w:style w:type="paragraph" w:styleId="Header">
    <w:name w:val="header"/>
    <w:basedOn w:val="Normal"/>
    <w:link w:val="HeaderChar"/>
    <w:uiPriority w:val="99"/>
    <w:unhideWhenUsed/>
    <w:rsid w:val="00DA4281"/>
    <w:pPr>
      <w:tabs>
        <w:tab w:val="center" w:pos="4513"/>
        <w:tab w:val="right" w:pos="9026"/>
      </w:tabs>
      <w:spacing w:line="240" w:lineRule="auto"/>
    </w:pPr>
  </w:style>
  <w:style w:type="character" w:customStyle="1" w:styleId="HeaderChar">
    <w:name w:val="Header Char"/>
    <w:basedOn w:val="DefaultParagraphFont"/>
    <w:link w:val="Header"/>
    <w:uiPriority w:val="99"/>
    <w:rsid w:val="00DA4281"/>
  </w:style>
  <w:style w:type="paragraph" w:styleId="Footer">
    <w:name w:val="footer"/>
    <w:basedOn w:val="Normal"/>
    <w:link w:val="FooterChar"/>
    <w:uiPriority w:val="99"/>
    <w:unhideWhenUsed/>
    <w:rsid w:val="00DA4281"/>
    <w:pPr>
      <w:tabs>
        <w:tab w:val="center" w:pos="4513"/>
        <w:tab w:val="right" w:pos="9026"/>
      </w:tabs>
      <w:spacing w:line="240" w:lineRule="auto"/>
    </w:pPr>
  </w:style>
  <w:style w:type="character" w:customStyle="1" w:styleId="FooterChar">
    <w:name w:val="Footer Char"/>
    <w:basedOn w:val="DefaultParagraphFont"/>
    <w:link w:val="Footer"/>
    <w:uiPriority w:val="99"/>
    <w:rsid w:val="00DA42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qF9U/hECNkLli7oDgLd8QE1YahA==">CgMxLjAyDmgucTh1OTF5dTdvenlvMg1oLmN5OG03ZmJmZWNyMg5oLnh6dHU2Z2IycjB4cjIOaC5pbXk0NXB2ZzN6ZjYyDmguaW1jMHlkcWdjZ3JuMg5oLnIwNGNlNHl5bXpocjIOaC5rajU1NXd1MWQ2d3QyDmgudXJ5MnAxb3YwMDJ1Mg5oLnFucDJwY3MzdzRqZTIOaC5qeGs0dXBmbGhmNGgyDmguOWQxZ2xjOTVsZzNrMg5oLnVhcWRzaHhkbG82YTgAciExc0cxQWtzVXkya3hUMzZqdlVaeVpSTXNmMjlMam1rb2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2286</Words>
  <Characters>13033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Andrei Gabriel</dc:creator>
  <cp:lastModifiedBy>Ionela Velichi (2438802)</cp:lastModifiedBy>
  <cp:revision>2</cp:revision>
  <dcterms:created xsi:type="dcterms:W3CDTF">2026-04-21T14:44:00Z</dcterms:created>
  <dcterms:modified xsi:type="dcterms:W3CDTF">2026-04-21T14:44:00Z</dcterms:modified>
</cp:coreProperties>
</file>