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374B44" w14:textId="77777777" w:rsidR="00E1724F" w:rsidRDefault="00000000">
      <w:pPr>
        <w:pStyle w:val="Body"/>
        <w:spacing w:line="360" w:lineRule="auto"/>
        <w:rPr>
          <w:rFonts w:ascii="Times New Roman" w:eastAsia="Times New Roman" w:hAnsi="Times New Roman" w:cs="Times New Roman"/>
          <w:sz w:val="24"/>
          <w:szCs w:val="24"/>
        </w:rPr>
      </w:pPr>
      <w:r>
        <w:rPr>
          <w:rFonts w:ascii="Times New Roman" w:hAnsi="Times New Roman"/>
          <w:sz w:val="24"/>
          <w:szCs w:val="24"/>
        </w:rPr>
        <w:t xml:space="preserve">BMOE6003; Landscape and Sustainable Recreation; Anthony Burns </w:t>
      </w:r>
    </w:p>
    <w:p w14:paraId="794F1E9B" w14:textId="77777777" w:rsidR="00E1724F" w:rsidRDefault="00E1724F">
      <w:pPr>
        <w:pStyle w:val="Body"/>
        <w:spacing w:line="360" w:lineRule="auto"/>
        <w:rPr>
          <w:rFonts w:ascii="Times New Roman" w:eastAsia="Times New Roman" w:hAnsi="Times New Roman" w:cs="Times New Roman"/>
          <w:sz w:val="24"/>
          <w:szCs w:val="24"/>
        </w:rPr>
      </w:pPr>
    </w:p>
    <w:p w14:paraId="607AE6BC" w14:textId="77777777" w:rsidR="00E1724F" w:rsidRDefault="00E1724F">
      <w:pPr>
        <w:pStyle w:val="Body"/>
        <w:spacing w:line="360" w:lineRule="auto"/>
        <w:rPr>
          <w:rFonts w:ascii="Times New Roman" w:eastAsia="Times New Roman" w:hAnsi="Times New Roman" w:cs="Times New Roman"/>
          <w:sz w:val="24"/>
          <w:szCs w:val="24"/>
        </w:rPr>
      </w:pPr>
    </w:p>
    <w:p w14:paraId="65F29F13" w14:textId="77777777" w:rsidR="00E1724F" w:rsidRDefault="00000000">
      <w:pPr>
        <w:pStyle w:val="Default"/>
        <w:spacing w:before="0" w:line="360" w:lineRule="auto"/>
        <w:rPr>
          <w:rFonts w:ascii="Times New Roman" w:eastAsia="Times New Roman" w:hAnsi="Times New Roman" w:cs="Times New Roman"/>
          <w:u w:val="single"/>
        </w:rPr>
      </w:pPr>
      <w:r>
        <w:rPr>
          <w:rFonts w:ascii="Times New Roman" w:hAnsi="Times New Roman"/>
          <w:b/>
          <w:bCs/>
          <w:u w:val="single"/>
        </w:rPr>
        <w:t>Reflective fieldwork management plan for chosen recreational area</w:t>
      </w:r>
    </w:p>
    <w:p w14:paraId="27CD8182" w14:textId="77777777" w:rsidR="00E1724F" w:rsidRDefault="00E1724F">
      <w:pPr>
        <w:pStyle w:val="Default"/>
        <w:spacing w:before="0" w:line="360" w:lineRule="auto"/>
        <w:rPr>
          <w:rFonts w:ascii="Times New Roman" w:eastAsia="Times New Roman" w:hAnsi="Times New Roman" w:cs="Times New Roman"/>
          <w:u w:val="single"/>
        </w:rPr>
      </w:pPr>
    </w:p>
    <w:p w14:paraId="11EE1765" w14:textId="77777777" w:rsidR="00E1724F" w:rsidRDefault="00000000">
      <w:pPr>
        <w:pStyle w:val="Default"/>
        <w:spacing w:before="0" w:line="360" w:lineRule="auto"/>
        <w:rPr>
          <w:rFonts w:ascii="Times New Roman" w:eastAsia="Times New Roman" w:hAnsi="Times New Roman" w:cs="Times New Roman"/>
          <w:u w:val="single"/>
        </w:rPr>
      </w:pPr>
      <w:r>
        <w:rPr>
          <w:rFonts w:ascii="Times New Roman" w:hAnsi="Times New Roman"/>
          <w:u w:val="single"/>
        </w:rPr>
        <w:t xml:space="preserve">A management plan for Dinefwr Park </w:t>
      </w:r>
    </w:p>
    <w:p w14:paraId="760435E2" w14:textId="77777777" w:rsidR="00E1724F" w:rsidRDefault="00E1724F">
      <w:pPr>
        <w:pStyle w:val="Default"/>
        <w:spacing w:before="0" w:line="360" w:lineRule="auto"/>
        <w:rPr>
          <w:rFonts w:ascii="Times New Roman" w:eastAsia="Times New Roman" w:hAnsi="Times New Roman" w:cs="Times New Roman"/>
        </w:rPr>
      </w:pPr>
    </w:p>
    <w:p w14:paraId="1A942826" w14:textId="77777777" w:rsidR="00E1724F" w:rsidRDefault="00000000">
      <w:pPr>
        <w:pStyle w:val="Default"/>
        <w:spacing w:before="0" w:line="360" w:lineRule="auto"/>
        <w:rPr>
          <w:rFonts w:ascii="Times New Roman" w:eastAsia="Times New Roman" w:hAnsi="Times New Roman" w:cs="Times New Roman"/>
          <w:b/>
          <w:bCs/>
        </w:rPr>
      </w:pPr>
      <w:r>
        <w:rPr>
          <w:rFonts w:ascii="Times New Roman" w:hAnsi="Times New Roman"/>
          <w:b/>
          <w:bCs/>
        </w:rPr>
        <w:t xml:space="preserve">Table of contents </w:t>
      </w:r>
    </w:p>
    <w:p w14:paraId="40D4F5D3" w14:textId="77777777" w:rsidR="00E1724F" w:rsidRDefault="00E1724F">
      <w:pPr>
        <w:pStyle w:val="Default"/>
        <w:spacing w:before="0" w:line="360" w:lineRule="auto"/>
        <w:rPr>
          <w:rFonts w:ascii="Times New Roman" w:eastAsia="Times New Roman" w:hAnsi="Times New Roman" w:cs="Times New Roman"/>
        </w:rPr>
      </w:pPr>
    </w:p>
    <w:p w14:paraId="44E76616" w14:textId="6833F6A9"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Executive Summary………………………………………………………….</w:t>
      </w:r>
      <w:r w:rsidR="00A02E51">
        <w:rPr>
          <w:rFonts w:ascii="Times New Roman" w:hAnsi="Times New Roman"/>
        </w:rPr>
        <w:t>1</w:t>
      </w:r>
    </w:p>
    <w:p w14:paraId="7C4429F0" w14:textId="77777777" w:rsidR="00E1724F" w:rsidRDefault="00E1724F">
      <w:pPr>
        <w:pStyle w:val="Default"/>
        <w:spacing w:before="0" w:line="360" w:lineRule="auto"/>
        <w:rPr>
          <w:rFonts w:ascii="Times New Roman" w:eastAsia="Times New Roman" w:hAnsi="Times New Roman" w:cs="Times New Roman"/>
        </w:rPr>
      </w:pPr>
    </w:p>
    <w:p w14:paraId="5E09D51F" w14:textId="2C8AB1C0"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Introduction ………………………………………………………………….</w:t>
      </w:r>
      <w:r w:rsidR="00A02E51">
        <w:rPr>
          <w:rFonts w:ascii="Times New Roman" w:hAnsi="Times New Roman"/>
        </w:rPr>
        <w:t>2</w:t>
      </w:r>
    </w:p>
    <w:p w14:paraId="3A41E6B2" w14:textId="77777777" w:rsidR="00E1724F" w:rsidRDefault="00E1724F">
      <w:pPr>
        <w:pStyle w:val="Default"/>
        <w:spacing w:before="0" w:line="360" w:lineRule="auto"/>
        <w:rPr>
          <w:rFonts w:ascii="Times New Roman" w:eastAsia="Times New Roman" w:hAnsi="Times New Roman" w:cs="Times New Roman"/>
        </w:rPr>
      </w:pPr>
    </w:p>
    <w:p w14:paraId="0D3C0BBD" w14:textId="2FE58A59"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Management plan …………………………………………………………</w:t>
      </w:r>
      <w:r w:rsidR="00A02E51">
        <w:rPr>
          <w:rFonts w:ascii="Times New Roman" w:hAnsi="Times New Roman"/>
        </w:rPr>
        <w:t>…3</w:t>
      </w:r>
    </w:p>
    <w:p w14:paraId="539B19AA" w14:textId="77777777" w:rsidR="00E1724F" w:rsidRDefault="00E1724F">
      <w:pPr>
        <w:pStyle w:val="Default"/>
        <w:spacing w:before="0" w:line="360" w:lineRule="auto"/>
        <w:rPr>
          <w:rFonts w:ascii="Times New Roman" w:eastAsia="Times New Roman" w:hAnsi="Times New Roman" w:cs="Times New Roman"/>
        </w:rPr>
      </w:pPr>
    </w:p>
    <w:p w14:paraId="00347DF5" w14:textId="31BE4FCE" w:rsidR="00E1724F" w:rsidRDefault="00000000">
      <w:pPr>
        <w:pStyle w:val="Default"/>
        <w:numPr>
          <w:ilvl w:val="0"/>
          <w:numId w:val="2"/>
        </w:numPr>
        <w:spacing w:before="0" w:line="360" w:lineRule="auto"/>
        <w:rPr>
          <w:rFonts w:ascii="Times New Roman" w:hAnsi="Times New Roman"/>
        </w:rPr>
      </w:pPr>
      <w:r>
        <w:rPr>
          <w:rFonts w:ascii="Times New Roman" w:hAnsi="Times New Roman"/>
        </w:rPr>
        <w:t>Conceptual Frameworks…………………………………………………</w:t>
      </w:r>
      <w:r w:rsidR="00A02E51">
        <w:rPr>
          <w:rFonts w:ascii="Times New Roman" w:hAnsi="Times New Roman"/>
        </w:rPr>
        <w:t>..3</w:t>
      </w:r>
    </w:p>
    <w:p w14:paraId="78D0C265" w14:textId="4CBCD135" w:rsidR="00E1724F" w:rsidRDefault="00000000">
      <w:pPr>
        <w:pStyle w:val="Default"/>
        <w:numPr>
          <w:ilvl w:val="0"/>
          <w:numId w:val="2"/>
        </w:numPr>
        <w:spacing w:before="0" w:line="360" w:lineRule="auto"/>
        <w:rPr>
          <w:rFonts w:ascii="Times New Roman" w:hAnsi="Times New Roman"/>
        </w:rPr>
      </w:pPr>
      <w:r>
        <w:rPr>
          <w:rFonts w:ascii="Times New Roman" w:hAnsi="Times New Roman"/>
        </w:rPr>
        <w:t>Problems and Impacts  …………………………………………………</w:t>
      </w:r>
      <w:r w:rsidR="00A02E51">
        <w:rPr>
          <w:rFonts w:ascii="Times New Roman" w:hAnsi="Times New Roman"/>
        </w:rPr>
        <w:t>…4</w:t>
      </w:r>
    </w:p>
    <w:p w14:paraId="7BBE84D7" w14:textId="52D92EA0" w:rsidR="00E1724F" w:rsidRDefault="00000000">
      <w:pPr>
        <w:pStyle w:val="Default"/>
        <w:numPr>
          <w:ilvl w:val="0"/>
          <w:numId w:val="2"/>
        </w:numPr>
        <w:spacing w:before="0" w:line="360" w:lineRule="auto"/>
        <w:rPr>
          <w:rFonts w:ascii="Times New Roman" w:hAnsi="Times New Roman"/>
        </w:rPr>
      </w:pPr>
      <w:r>
        <w:rPr>
          <w:rFonts w:ascii="Times New Roman" w:hAnsi="Times New Roman"/>
        </w:rPr>
        <w:t>Solutions and Management ……………………………………………</w:t>
      </w:r>
      <w:r w:rsidR="00A02E51">
        <w:rPr>
          <w:rFonts w:ascii="Times New Roman" w:hAnsi="Times New Roman"/>
        </w:rPr>
        <w:t>….5</w:t>
      </w:r>
    </w:p>
    <w:p w14:paraId="56FB26C3" w14:textId="77777777" w:rsidR="00E1724F" w:rsidRDefault="00E1724F">
      <w:pPr>
        <w:pStyle w:val="Default"/>
        <w:spacing w:before="0" w:line="360" w:lineRule="auto"/>
        <w:rPr>
          <w:rFonts w:ascii="Times New Roman" w:eastAsia="Times New Roman" w:hAnsi="Times New Roman" w:cs="Times New Roman"/>
        </w:rPr>
      </w:pPr>
    </w:p>
    <w:p w14:paraId="7C0AEE03" w14:textId="70DE981F"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Conclusion…………………………………………………………………….</w:t>
      </w:r>
      <w:r w:rsidR="00A02E51">
        <w:rPr>
          <w:rFonts w:ascii="Times New Roman" w:hAnsi="Times New Roman"/>
        </w:rPr>
        <w:t>7</w:t>
      </w:r>
    </w:p>
    <w:p w14:paraId="4A59EDDD" w14:textId="77777777" w:rsidR="00E1724F" w:rsidRDefault="00E1724F">
      <w:pPr>
        <w:pStyle w:val="Default"/>
        <w:spacing w:before="0" w:line="360" w:lineRule="auto"/>
        <w:rPr>
          <w:rFonts w:ascii="Times New Roman" w:eastAsia="Times New Roman" w:hAnsi="Times New Roman" w:cs="Times New Roman"/>
        </w:rPr>
      </w:pPr>
    </w:p>
    <w:p w14:paraId="77070C07" w14:textId="267EE1F6"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Reference list …………………………………………………………………</w:t>
      </w:r>
      <w:r w:rsidR="00A02E51">
        <w:rPr>
          <w:rFonts w:ascii="Times New Roman" w:hAnsi="Times New Roman"/>
        </w:rPr>
        <w:t>8</w:t>
      </w:r>
    </w:p>
    <w:p w14:paraId="64655317" w14:textId="77777777" w:rsidR="00E1724F" w:rsidRDefault="00E1724F">
      <w:pPr>
        <w:pStyle w:val="Default"/>
        <w:spacing w:before="0" w:line="360" w:lineRule="auto"/>
        <w:rPr>
          <w:rFonts w:ascii="Times New Roman" w:eastAsia="Times New Roman" w:hAnsi="Times New Roman" w:cs="Times New Roman"/>
        </w:rPr>
      </w:pPr>
    </w:p>
    <w:p w14:paraId="1E317E96" w14:textId="77777777" w:rsidR="00E1724F" w:rsidRDefault="00E1724F">
      <w:pPr>
        <w:pStyle w:val="Default"/>
        <w:spacing w:before="0" w:line="360" w:lineRule="auto"/>
        <w:rPr>
          <w:rFonts w:ascii="Times New Roman" w:eastAsia="Times New Roman" w:hAnsi="Times New Roman" w:cs="Times New Roman"/>
          <w:b/>
          <w:bCs/>
        </w:rPr>
      </w:pPr>
    </w:p>
    <w:p w14:paraId="6BD2032D" w14:textId="77777777" w:rsidR="00E1724F" w:rsidRDefault="00000000">
      <w:pPr>
        <w:pStyle w:val="Default"/>
        <w:spacing w:before="0" w:line="360" w:lineRule="auto"/>
        <w:rPr>
          <w:rFonts w:ascii="Times New Roman" w:eastAsia="Times New Roman" w:hAnsi="Times New Roman" w:cs="Times New Roman"/>
          <w:b/>
          <w:bCs/>
        </w:rPr>
      </w:pPr>
      <w:r>
        <w:rPr>
          <w:rFonts w:ascii="Times New Roman" w:hAnsi="Times New Roman"/>
          <w:b/>
          <w:bCs/>
        </w:rPr>
        <w:t>Executive Summary</w:t>
      </w:r>
    </w:p>
    <w:p w14:paraId="72D0C882" w14:textId="77777777" w:rsidR="00E1724F" w:rsidRDefault="00E1724F">
      <w:pPr>
        <w:pStyle w:val="Default"/>
        <w:spacing w:before="0" w:line="360" w:lineRule="auto"/>
        <w:rPr>
          <w:rFonts w:ascii="Times New Roman" w:eastAsia="Times New Roman" w:hAnsi="Times New Roman" w:cs="Times New Roman"/>
          <w:b/>
          <w:bCs/>
        </w:rPr>
      </w:pPr>
    </w:p>
    <w:p w14:paraId="4EA92A79"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Participation in outdoor recreation has an impact on the environments in which it takes place. As a result, such environments need to be managed to reduce the impact on the natural resources while also allowing for satisfying recreational experiences. Dinefwr Park in Llandeilo, Carmarthenshire is a site for people to enjoy the rich cultural history and nature of Wales. A few issues are present at this site regarding recreational impact on nature, depreciative behaviour and sick animals that the visitors can no longer interact with. With consideration of various conceptual frameworks such as Indicators of Quality Standards, Limits of Acceptable Change, Carrying Capacity and the Recreation Opportunity Spectrum, management suggestions and strategies have been made in an </w:t>
      </w:r>
      <w:r>
        <w:rPr>
          <w:rFonts w:ascii="Times New Roman" w:hAnsi="Times New Roman"/>
        </w:rPr>
        <w:lastRenderedPageBreak/>
        <w:t>attempt to manage these problems for the benefit of visitors and nature. Such strategies include information and education, zoning, entry fees, fines and improving attractions in alternative areas.</w:t>
      </w:r>
    </w:p>
    <w:p w14:paraId="4ACF388D" w14:textId="77777777" w:rsidR="00E1724F" w:rsidRDefault="00E1724F">
      <w:pPr>
        <w:pStyle w:val="Default"/>
        <w:spacing w:before="0" w:line="360" w:lineRule="auto"/>
        <w:rPr>
          <w:rFonts w:ascii="Times New Roman" w:eastAsia="Times New Roman" w:hAnsi="Times New Roman" w:cs="Times New Roman"/>
          <w:b/>
          <w:bCs/>
        </w:rPr>
      </w:pPr>
    </w:p>
    <w:p w14:paraId="0AB955D6" w14:textId="77777777" w:rsidR="00E1724F" w:rsidRDefault="00000000">
      <w:pPr>
        <w:pStyle w:val="Default"/>
        <w:spacing w:before="0" w:line="360" w:lineRule="auto"/>
        <w:rPr>
          <w:rFonts w:ascii="Times New Roman" w:eastAsia="Times New Roman" w:hAnsi="Times New Roman" w:cs="Times New Roman"/>
          <w:b/>
          <w:bCs/>
        </w:rPr>
      </w:pPr>
      <w:r>
        <w:rPr>
          <w:rFonts w:ascii="Times New Roman" w:hAnsi="Times New Roman"/>
          <w:b/>
          <w:bCs/>
        </w:rPr>
        <w:t xml:space="preserve">Introduction </w:t>
      </w:r>
    </w:p>
    <w:p w14:paraId="031EB9B4" w14:textId="77777777" w:rsidR="00E1724F" w:rsidRDefault="00E1724F">
      <w:pPr>
        <w:pStyle w:val="Default"/>
        <w:spacing w:before="0" w:line="360" w:lineRule="auto"/>
        <w:rPr>
          <w:rFonts w:ascii="Times New Roman" w:eastAsia="Times New Roman" w:hAnsi="Times New Roman" w:cs="Times New Roman"/>
          <w:u w:val="single"/>
        </w:rPr>
      </w:pPr>
    </w:p>
    <w:p w14:paraId="4CC6E264"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Participation in outdoor recreation in the UK is popular through activities such as walking or hiking, mountain biking, horse riding, fishing and various water-sports, with numbers set to increase if past trends continue (Fresque &amp; Plumber, 2009; Office for National Statistics, 2021). With increasing numbers of visitors to national parks, nature reserves and heritage sites, this will have an impact on the natural resources, ecology and wildlife present in these areas. The purpose of outdoor recreation management is to ensure that visitors can enjoy a satisfying, high quality recreation experience whilst also ensuring the conservation and protection of the environment and wildlife (Manning, Anderson &amp; Pettengill, 2017; Pigram &amp; Jenkins, 2006). </w:t>
      </w:r>
    </w:p>
    <w:p w14:paraId="04E7F26C" w14:textId="77777777" w:rsidR="00E1724F" w:rsidRDefault="00E1724F">
      <w:pPr>
        <w:pStyle w:val="Default"/>
        <w:spacing w:before="0" w:line="360" w:lineRule="auto"/>
        <w:rPr>
          <w:rFonts w:ascii="Times New Roman" w:eastAsia="Times New Roman" w:hAnsi="Times New Roman" w:cs="Times New Roman"/>
          <w:u w:val="single"/>
        </w:rPr>
      </w:pPr>
    </w:p>
    <w:p w14:paraId="514BC66A"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Dinefwr park in Llandeilo, Carmarthenshire is one such Nature Reserve that requires management practices and strategies for the benefit of visitor experience and environmental conservation. This site has 800 acres of parkland with Site of Special Scientific Interest (SSSI) status and National Nature Reserve. There is a 17th century manor house as a site of historical and cultural significance as well as a 12th century castle, White Park Cattle, some of the oldest trees in Britain and a 100 acre medieval deer park with over 100 fallow deer (National Trust, n.d). </w:t>
      </w:r>
    </w:p>
    <w:p w14:paraId="6307BEA7" w14:textId="77777777" w:rsidR="00E1724F" w:rsidRDefault="00E1724F">
      <w:pPr>
        <w:pStyle w:val="Default"/>
        <w:spacing w:before="0" w:line="360" w:lineRule="auto"/>
        <w:rPr>
          <w:rFonts w:ascii="Times New Roman" w:eastAsia="Times New Roman" w:hAnsi="Times New Roman" w:cs="Times New Roman"/>
        </w:rPr>
      </w:pPr>
    </w:p>
    <w:p w14:paraId="3B29E6F5"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The park faces a few problems regarding its wildlife and environment, and visitor behaviour and experience. Dwyer (2023) spoke of how since the COVID-19 pandemic, there have been an increased number of visitors who do not stick to the paths and ignore fencing. Given the SSSI status of the site due to scarce species of lichen, people straying from paths could endanger these species and/or drastically alter their habitat. The SSSI status is also given due to a community of dead wood invertebrates that rely on habitats with decaying timber (Natural Resources Wales, 1999). Dwyer (2023) further mentioned examples of depreciative behaviour from visitors like stealing logs for firewood (presumably as a result of the current cost of living crisis). Stealing such logs will have a negative impact on the invertebrate species that depend on decaying timber. Other depreciative behaviour such as graffiti, throwing rocks off of the castle and stealing silverware from the manor house were also highlighted. Furthermore, Dwyer (2023) spoke of how the White Park Cattle and fallow deer, beloved to many visitors are currently suffering with Bovine Tuberculosis (TB). She spoke of the issue of trying to be transparent with visitors about the situation given how popular the </w:t>
      </w:r>
      <w:r>
        <w:rPr>
          <w:rFonts w:ascii="Times New Roman" w:hAnsi="Times New Roman"/>
        </w:rPr>
        <w:lastRenderedPageBreak/>
        <w:t xml:space="preserve">animals are and restricting interaction with them given the disease, but this of course affects many people’s visitor experience as they come often to see these animals. </w:t>
      </w:r>
    </w:p>
    <w:p w14:paraId="518E1A1F" w14:textId="77777777" w:rsidR="00E1724F" w:rsidRDefault="00E1724F">
      <w:pPr>
        <w:pStyle w:val="Default"/>
        <w:spacing w:before="0" w:line="360" w:lineRule="auto"/>
        <w:rPr>
          <w:rFonts w:ascii="Times New Roman" w:eastAsia="Times New Roman" w:hAnsi="Times New Roman" w:cs="Times New Roman"/>
        </w:rPr>
      </w:pPr>
    </w:p>
    <w:p w14:paraId="538CFE4A"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This report will examine each of these problems and suggest solutions or approaches to management through various practices, strategies and frameworks. Such conceptual frameworks will be introduced, followed by a further look into the problems and impacts faced at the park and finally exploring suitable management solutions with consideration to the conceptual frameworks.</w:t>
      </w:r>
    </w:p>
    <w:p w14:paraId="63042D5B" w14:textId="77777777" w:rsidR="00E1724F" w:rsidRDefault="00E1724F">
      <w:pPr>
        <w:pStyle w:val="Default"/>
        <w:spacing w:before="0" w:line="360" w:lineRule="auto"/>
        <w:rPr>
          <w:rFonts w:ascii="Times New Roman" w:eastAsia="Times New Roman" w:hAnsi="Times New Roman" w:cs="Times New Roman"/>
          <w:b/>
          <w:bCs/>
        </w:rPr>
      </w:pPr>
    </w:p>
    <w:p w14:paraId="324CD90C" w14:textId="77777777" w:rsidR="00E1724F" w:rsidRDefault="00000000">
      <w:pPr>
        <w:pStyle w:val="Default"/>
        <w:spacing w:before="0" w:line="360" w:lineRule="auto"/>
        <w:rPr>
          <w:rFonts w:ascii="Times New Roman" w:eastAsia="Times New Roman" w:hAnsi="Times New Roman" w:cs="Times New Roman"/>
          <w:b/>
          <w:bCs/>
        </w:rPr>
      </w:pPr>
      <w:r>
        <w:rPr>
          <w:rFonts w:ascii="Times New Roman" w:hAnsi="Times New Roman"/>
          <w:b/>
          <w:bCs/>
        </w:rPr>
        <w:t>Conceptual frameworks</w:t>
      </w:r>
    </w:p>
    <w:p w14:paraId="492F64CB" w14:textId="77777777" w:rsidR="00E1724F" w:rsidRDefault="00E1724F">
      <w:pPr>
        <w:pStyle w:val="Default"/>
        <w:spacing w:before="0" w:line="360" w:lineRule="auto"/>
        <w:rPr>
          <w:rFonts w:ascii="Times New Roman" w:eastAsia="Times New Roman" w:hAnsi="Times New Roman" w:cs="Times New Roman"/>
        </w:rPr>
      </w:pPr>
    </w:p>
    <w:p w14:paraId="3A3AABDE" w14:textId="77777777" w:rsidR="00E1724F" w:rsidRDefault="00000000">
      <w:pPr>
        <w:pStyle w:val="Default"/>
        <w:spacing w:before="0" w:line="360" w:lineRule="auto"/>
        <w:rPr>
          <w:rFonts w:ascii="Times New Roman" w:eastAsia="Times New Roman" w:hAnsi="Times New Roman" w:cs="Times New Roman"/>
          <w:u w:val="single"/>
        </w:rPr>
      </w:pPr>
      <w:r>
        <w:rPr>
          <w:rFonts w:ascii="Times New Roman" w:hAnsi="Times New Roman"/>
          <w:u w:val="single"/>
        </w:rPr>
        <w:t xml:space="preserve">Indicators of quality standards </w:t>
      </w:r>
    </w:p>
    <w:p w14:paraId="77E0419B" w14:textId="77777777" w:rsidR="00E1724F" w:rsidRDefault="00E1724F">
      <w:pPr>
        <w:pStyle w:val="Default"/>
        <w:spacing w:before="0" w:line="360" w:lineRule="auto"/>
        <w:rPr>
          <w:rFonts w:ascii="Times New Roman" w:eastAsia="Times New Roman" w:hAnsi="Times New Roman" w:cs="Times New Roman"/>
        </w:rPr>
      </w:pPr>
    </w:p>
    <w:p w14:paraId="7141CEF7"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An indicator of quality standards refers to something that can be measured to see if the level of impact on the environment is becoming too much. Pigram and Jenkins (2006) give examples of indicators of quality such as; water quality, soil erosion, number of trees damaged or vegetation trampled. The criteria for selecting indicators needs to consider the time period in which the impact will be a problem, for example; long term significance (be able to identify consistent trend over five years), short-term significance (identify occurrences within a year) or responsive (be able to detect change early so that management can begin). Furthermore, an indicator should be measurable and reliably measurable using simple techniques so that all who manage the site can be involved with this process and implement the necessary management strategies when they are needed (Pigram and Jenkins, 2006).</w:t>
      </w:r>
    </w:p>
    <w:p w14:paraId="04ADDD15" w14:textId="77777777" w:rsidR="00E1724F" w:rsidRDefault="00E1724F">
      <w:pPr>
        <w:pStyle w:val="Default"/>
        <w:spacing w:before="0" w:line="360" w:lineRule="auto"/>
        <w:rPr>
          <w:rFonts w:ascii="Times New Roman" w:eastAsia="Times New Roman" w:hAnsi="Times New Roman" w:cs="Times New Roman"/>
        </w:rPr>
      </w:pPr>
    </w:p>
    <w:p w14:paraId="1D073224" w14:textId="77777777" w:rsidR="00E1724F" w:rsidRDefault="00000000">
      <w:pPr>
        <w:pStyle w:val="Default"/>
        <w:spacing w:before="0" w:line="360" w:lineRule="auto"/>
        <w:rPr>
          <w:rFonts w:ascii="Times New Roman" w:eastAsia="Times New Roman" w:hAnsi="Times New Roman" w:cs="Times New Roman"/>
          <w:u w:val="single"/>
        </w:rPr>
      </w:pPr>
      <w:r>
        <w:rPr>
          <w:rFonts w:ascii="Times New Roman" w:hAnsi="Times New Roman"/>
          <w:u w:val="single"/>
        </w:rPr>
        <w:t xml:space="preserve">Limits of acceptable change </w:t>
      </w:r>
    </w:p>
    <w:p w14:paraId="381B5BCE"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The next concept is Limits of Acceptable Change. Change in nature is seen as normal and variation is to be expected but when human influence causes these changes to accelerate beyond what is acceptable or tolerable in the environment, then the implementation of management practices may be necessary (Pigram &amp; Jenkins, 2006). Typically as the rate of recreation and use increases, so does the impact. This framework uses indicators of quality standards to help with recognising when the impacts are becoming too strenuous on the environment and its resources. This framework is however, limited by the subjectivity involved with assessing indicators. This is why they should be easily measurable as mentioned above and should usually be judged by those with experience (Pigram &amp; Jenkins, 2006). </w:t>
      </w:r>
    </w:p>
    <w:p w14:paraId="0C9DC7AE" w14:textId="77777777" w:rsidR="00E1724F" w:rsidRDefault="00E1724F">
      <w:pPr>
        <w:pStyle w:val="Default"/>
        <w:spacing w:before="0" w:line="360" w:lineRule="auto"/>
        <w:rPr>
          <w:rFonts w:ascii="Times New Roman" w:eastAsia="Times New Roman" w:hAnsi="Times New Roman" w:cs="Times New Roman"/>
        </w:rPr>
      </w:pPr>
    </w:p>
    <w:p w14:paraId="1C020986" w14:textId="77777777" w:rsidR="00E1724F" w:rsidRDefault="00000000">
      <w:pPr>
        <w:pStyle w:val="Default"/>
        <w:spacing w:before="0" w:line="360" w:lineRule="auto"/>
        <w:rPr>
          <w:rFonts w:ascii="Times New Roman" w:eastAsia="Times New Roman" w:hAnsi="Times New Roman" w:cs="Times New Roman"/>
          <w:u w:val="single"/>
        </w:rPr>
      </w:pPr>
      <w:r>
        <w:rPr>
          <w:rFonts w:ascii="Times New Roman" w:hAnsi="Times New Roman"/>
          <w:u w:val="single"/>
        </w:rPr>
        <w:t xml:space="preserve">Carrying capacity </w:t>
      </w:r>
    </w:p>
    <w:p w14:paraId="15340CB5"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lastRenderedPageBreak/>
        <w:t>The carrying capacity of a site is the maximum number of people allowed in the site at one time (Prato, 2001). This management strategy is useful for reducing the impact that visitors can have on the site by ensuring that only a certain amount of people can cause these impacts at a time to not overwhelm the environment. The impacts of recreation can include</w:t>
      </w:r>
      <w:r>
        <w:rPr>
          <w:rFonts w:ascii="Times New Roman" w:hAnsi="Times New Roman"/>
          <w:lang w:val="fr-FR"/>
        </w:rPr>
        <w:t xml:space="preserve"> noise, trampling</w:t>
      </w:r>
      <w:r>
        <w:rPr>
          <w:rFonts w:ascii="Times New Roman" w:hAnsi="Times New Roman"/>
        </w:rPr>
        <w:t xml:space="preserve"> and pollution which can contribute to the degradation of an area</w:t>
      </w:r>
      <w:r>
        <w:rPr>
          <w:rFonts w:ascii="Times New Roman" w:hAnsi="Times New Roman"/>
          <w:rtl/>
        </w:rPr>
        <w:t>’</w:t>
      </w:r>
      <w:r>
        <w:rPr>
          <w:rFonts w:ascii="Times New Roman" w:hAnsi="Times New Roman"/>
        </w:rPr>
        <w:t>s environment and natural resources (Manning, Anderson &amp; Pettengill, 2017) which is why its important to monitor the amount of people at the site to reduce such impacts. This strategy also has to consider not just how many people the resources can handle, but how many people is okay to have at a site before the experience is impacted negatively for the visitors (Manning, Anderson &amp; Pettengill, 2017)? This leads on to the next concept which considers the spectrum of different experiences visitors may want from a recreational site.</w:t>
      </w:r>
    </w:p>
    <w:p w14:paraId="08D849FC" w14:textId="77777777" w:rsidR="00E1724F" w:rsidRDefault="00E1724F">
      <w:pPr>
        <w:pStyle w:val="Default"/>
        <w:spacing w:before="0" w:line="360" w:lineRule="auto"/>
        <w:rPr>
          <w:rFonts w:ascii="Times New Roman" w:eastAsia="Times New Roman" w:hAnsi="Times New Roman" w:cs="Times New Roman"/>
        </w:rPr>
      </w:pPr>
    </w:p>
    <w:p w14:paraId="6C9AEDEF" w14:textId="77777777" w:rsidR="00E1724F" w:rsidRDefault="00000000">
      <w:pPr>
        <w:pStyle w:val="Default"/>
        <w:spacing w:before="0" w:line="360" w:lineRule="auto"/>
        <w:rPr>
          <w:rFonts w:ascii="Times New Roman" w:eastAsia="Times New Roman" w:hAnsi="Times New Roman" w:cs="Times New Roman"/>
          <w:u w:val="single"/>
        </w:rPr>
      </w:pPr>
      <w:r>
        <w:rPr>
          <w:rFonts w:ascii="Times New Roman" w:hAnsi="Times New Roman"/>
          <w:u w:val="single"/>
        </w:rPr>
        <w:t xml:space="preserve">Recreation Opportunity Spectrum </w:t>
      </w:r>
    </w:p>
    <w:p w14:paraId="0EA6DC2B"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The Recreation Opportunity Spectrum (ROS) is a framework that considers certain conditions at a recreational site on a spectrum (Hammitt, Cole &amp; Monz, 2015). For example, what level of solitude might visitors want to experience? Some may go to remote, wild spaces for high levels of solitude, others may visit a nature reserve where they may encounter a number of other visitors, and some may go urban where there are many other people around. This same principle applies to other aspects such as resource conditions (presence of wildlife) and facility and managerial development (Manning, Anderson &amp; Pettengill, 2017) and needs to be considered when designing and managing the site as it will affect visitor experiences. </w:t>
      </w:r>
    </w:p>
    <w:p w14:paraId="3259184B" w14:textId="77777777" w:rsidR="00E1724F" w:rsidRDefault="00E1724F">
      <w:pPr>
        <w:pStyle w:val="Default"/>
        <w:spacing w:before="0" w:line="360" w:lineRule="auto"/>
        <w:rPr>
          <w:rFonts w:ascii="Times New Roman" w:eastAsia="Times New Roman" w:hAnsi="Times New Roman" w:cs="Times New Roman"/>
          <w:b/>
          <w:bCs/>
        </w:rPr>
      </w:pPr>
    </w:p>
    <w:p w14:paraId="1F05B157" w14:textId="77777777" w:rsidR="00E1724F" w:rsidRDefault="00000000">
      <w:pPr>
        <w:pStyle w:val="Default"/>
        <w:spacing w:before="0" w:line="360" w:lineRule="auto"/>
        <w:rPr>
          <w:rFonts w:ascii="Times New Roman" w:eastAsia="Times New Roman" w:hAnsi="Times New Roman" w:cs="Times New Roman"/>
          <w:b/>
          <w:bCs/>
        </w:rPr>
      </w:pPr>
      <w:r>
        <w:rPr>
          <w:rFonts w:ascii="Times New Roman" w:hAnsi="Times New Roman"/>
          <w:b/>
          <w:bCs/>
        </w:rPr>
        <w:t>Problems and Impacts</w:t>
      </w:r>
    </w:p>
    <w:p w14:paraId="38712402" w14:textId="77777777" w:rsidR="00E1724F" w:rsidRDefault="00E1724F">
      <w:pPr>
        <w:pStyle w:val="Default"/>
        <w:spacing w:before="0" w:line="360" w:lineRule="auto"/>
        <w:rPr>
          <w:rFonts w:ascii="Times New Roman" w:eastAsia="Times New Roman" w:hAnsi="Times New Roman" w:cs="Times New Roman"/>
          <w:b/>
          <w:bCs/>
          <w:u w:val="single"/>
        </w:rPr>
      </w:pPr>
    </w:p>
    <w:p w14:paraId="677F2C8D" w14:textId="77777777" w:rsidR="00E1724F" w:rsidRDefault="00000000">
      <w:pPr>
        <w:pStyle w:val="Default"/>
        <w:spacing w:before="0" w:line="360" w:lineRule="auto"/>
        <w:rPr>
          <w:rFonts w:ascii="Times New Roman" w:eastAsia="Times New Roman" w:hAnsi="Times New Roman" w:cs="Times New Roman"/>
          <w:u w:val="single"/>
        </w:rPr>
      </w:pPr>
      <w:r>
        <w:rPr>
          <w:rFonts w:ascii="Times New Roman" w:hAnsi="Times New Roman"/>
          <w:u w:val="single"/>
        </w:rPr>
        <w:t xml:space="preserve">Areas resources </w:t>
      </w:r>
    </w:p>
    <w:p w14:paraId="14DD1689"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The SSSI status of part of the site at Dinefwr Estate is due to certain species of lichen and also dead wood invertebrates (Natural Resources Wales, 1999)</w:t>
      </w:r>
      <w:r>
        <w:rPr>
          <w:rFonts w:ascii="Times New Roman" w:hAnsi="Times New Roman"/>
          <w:i/>
          <w:iCs/>
        </w:rPr>
        <w:t xml:space="preserve">. </w:t>
      </w:r>
      <w:r>
        <w:rPr>
          <w:rFonts w:ascii="Times New Roman" w:hAnsi="Times New Roman"/>
        </w:rPr>
        <w:t>The problems mentioned by Dwyer (2023) such as people straying from paths and stealing logs can pose a threat to these species. Some lichens can have very specific habitat requirements (Coppins, 2009) and can suffer if such habitats are altered in any way. Straying from paths can result in trampled vegetation and soil compaction even from low levels of recreation (Manning, Anderson &amp; Pettengill, 2017)</w:t>
      </w:r>
      <w:r>
        <w:rPr>
          <w:rFonts w:ascii="Times New Roman" w:hAnsi="Times New Roman"/>
          <w:i/>
          <w:iCs/>
        </w:rPr>
        <w:t xml:space="preserve"> </w:t>
      </w:r>
      <w:r>
        <w:rPr>
          <w:rFonts w:ascii="Times New Roman" w:hAnsi="Times New Roman"/>
        </w:rPr>
        <w:t>and so alter the surrounding environment to a point at which the lichens may not be able to be supported. The removal of logs by the public also poses a threat to the dead wood invertebrates. Not only is decaying timber a habitat for the invertebrates but also for fungi that support other plants in the area and contribute to the breaking down of dead organic matter (Manning, Anderson &amp; Pettengill, 2017)</w:t>
      </w:r>
      <w:r>
        <w:rPr>
          <w:rFonts w:ascii="Times New Roman" w:hAnsi="Times New Roman"/>
          <w:i/>
          <w:iCs/>
        </w:rPr>
        <w:t xml:space="preserve">. </w:t>
      </w:r>
      <w:r>
        <w:rPr>
          <w:rFonts w:ascii="Times New Roman" w:hAnsi="Times New Roman"/>
        </w:rPr>
        <w:t xml:space="preserve">Removing such </w:t>
      </w:r>
      <w:r>
        <w:rPr>
          <w:rFonts w:ascii="Times New Roman" w:hAnsi="Times New Roman"/>
        </w:rPr>
        <w:lastRenderedPageBreak/>
        <w:t>habitats from the environment would put the invertebrates and the lichen at risk given by taking away such an important feature for the entire ecosystem. It is important that such ecosystems are kept in balance because national parks and reserves are important for gathering data about foundational ecology of an area which can later be compared to other areas which is beneficial to the surrounding community and the nation as a whole (Fancy, Gross and Carter, 2009).</w:t>
      </w:r>
    </w:p>
    <w:p w14:paraId="00B63C2C" w14:textId="77777777" w:rsidR="00E1724F" w:rsidRDefault="00E1724F">
      <w:pPr>
        <w:pStyle w:val="Default"/>
        <w:spacing w:before="0" w:line="360" w:lineRule="auto"/>
        <w:rPr>
          <w:rFonts w:ascii="Times New Roman" w:eastAsia="Times New Roman" w:hAnsi="Times New Roman" w:cs="Times New Roman"/>
        </w:rPr>
      </w:pPr>
    </w:p>
    <w:p w14:paraId="6A2F1283" w14:textId="77777777" w:rsidR="00E1724F" w:rsidRDefault="00000000">
      <w:pPr>
        <w:pStyle w:val="Default"/>
        <w:spacing w:before="0" w:line="360" w:lineRule="auto"/>
        <w:rPr>
          <w:rFonts w:ascii="Times New Roman" w:eastAsia="Times New Roman" w:hAnsi="Times New Roman" w:cs="Times New Roman"/>
          <w:u w:val="single"/>
        </w:rPr>
      </w:pPr>
      <w:r>
        <w:rPr>
          <w:rFonts w:ascii="Times New Roman" w:hAnsi="Times New Roman"/>
          <w:u w:val="single"/>
        </w:rPr>
        <w:t>Visitor experience</w:t>
      </w:r>
    </w:p>
    <w:p w14:paraId="2AE62414"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Another problem mentioned by Dwyer (2023) was examples of depreciative behaviour; graffiti, throwing rocks off the castle and stealing silverware from the manor house. This kind of behaviour will affect other visitor’s experiences at the site and contribute to a less satisfying recreational experience. As one of the two reasons for outdoor recreation management, issues regarding visitor experience must be addressed as well as environmental conservation and protection (Pigram &amp; Jenkins, 2006). Such behaviour could alter the way people may engage with the historical and cultural features of Dinefwr Park which in turn may have an impact on their sense of place. Being able to connect with the human history of a place can enhance a person’s experience of it and help to create moments of emotion and memory within these settings (Williams, 2019). Addressing depreciative behaviour at Dinefwr could help with people engaging more with it’s rich history and culture.</w:t>
      </w:r>
    </w:p>
    <w:p w14:paraId="5A02D534" w14:textId="77777777" w:rsidR="00E1724F" w:rsidRDefault="00E1724F">
      <w:pPr>
        <w:pStyle w:val="Default"/>
        <w:spacing w:before="0" w:line="360" w:lineRule="auto"/>
        <w:rPr>
          <w:rFonts w:ascii="Times New Roman" w:eastAsia="Times New Roman" w:hAnsi="Times New Roman" w:cs="Times New Roman"/>
        </w:rPr>
      </w:pPr>
    </w:p>
    <w:p w14:paraId="39B9FFBC" w14:textId="77777777" w:rsidR="00E1724F" w:rsidRDefault="00000000">
      <w:pPr>
        <w:pStyle w:val="Default"/>
        <w:spacing w:before="0" w:line="360" w:lineRule="auto"/>
        <w:rPr>
          <w:rFonts w:ascii="Times New Roman" w:eastAsia="Times New Roman" w:hAnsi="Times New Roman" w:cs="Times New Roman"/>
          <w:u w:val="single"/>
        </w:rPr>
      </w:pPr>
      <w:r>
        <w:rPr>
          <w:rFonts w:ascii="Times New Roman" w:hAnsi="Times New Roman"/>
          <w:u w:val="single"/>
        </w:rPr>
        <w:t>Areas facilities/services</w:t>
      </w:r>
    </w:p>
    <w:p w14:paraId="2F94B2F4"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Another issue is with popular attraction sites like the White Park Cattle and Deer Park. Dwyer (2023) explained how they are currently suffering with Bovine Tuberculosis and as a result they are being kept away from the public. This issue, while not caused by any impact that the visitors have had, has an impact on the visitor experience. Dwyer (2023) spoke of how these animals are particularly loved by many visitors and are often the reason why many visit in the first place. The disappointment and upset that visitors may feel knowing that their beloved animals are sick and they are not able to see them is likely to have a negative impact on their recreational experience. </w:t>
      </w:r>
    </w:p>
    <w:p w14:paraId="76A20471" w14:textId="77777777" w:rsidR="00E1724F" w:rsidRDefault="00E1724F">
      <w:pPr>
        <w:pStyle w:val="Default"/>
        <w:spacing w:before="0" w:line="360" w:lineRule="auto"/>
        <w:rPr>
          <w:rFonts w:ascii="Times New Roman" w:eastAsia="Times New Roman" w:hAnsi="Times New Roman" w:cs="Times New Roman"/>
          <w:i/>
          <w:iCs/>
        </w:rPr>
      </w:pPr>
    </w:p>
    <w:p w14:paraId="40916008" w14:textId="77777777" w:rsidR="00E1724F" w:rsidRDefault="00000000">
      <w:pPr>
        <w:pStyle w:val="Default"/>
        <w:spacing w:before="0" w:line="360" w:lineRule="auto"/>
        <w:rPr>
          <w:rFonts w:ascii="Times New Roman" w:eastAsia="Times New Roman" w:hAnsi="Times New Roman" w:cs="Times New Roman"/>
          <w:b/>
          <w:bCs/>
        </w:rPr>
      </w:pPr>
      <w:r>
        <w:rPr>
          <w:rFonts w:ascii="Times New Roman" w:hAnsi="Times New Roman"/>
          <w:b/>
          <w:bCs/>
        </w:rPr>
        <w:t>Solutions and Management</w:t>
      </w:r>
    </w:p>
    <w:p w14:paraId="241DEBD9" w14:textId="77777777" w:rsidR="00E1724F" w:rsidRDefault="00E1724F">
      <w:pPr>
        <w:pStyle w:val="Default"/>
        <w:spacing w:before="0" w:line="360" w:lineRule="auto"/>
        <w:rPr>
          <w:rFonts w:ascii="Times New Roman" w:eastAsia="Times New Roman" w:hAnsi="Times New Roman" w:cs="Times New Roman"/>
        </w:rPr>
      </w:pPr>
    </w:p>
    <w:p w14:paraId="2AEDAE9D" w14:textId="77777777" w:rsidR="00E1724F" w:rsidRDefault="00000000">
      <w:pPr>
        <w:pStyle w:val="Default"/>
        <w:spacing w:before="0" w:line="360" w:lineRule="auto"/>
        <w:rPr>
          <w:rFonts w:ascii="Times New Roman" w:eastAsia="Times New Roman" w:hAnsi="Times New Roman" w:cs="Times New Roman"/>
          <w:u w:val="single"/>
        </w:rPr>
      </w:pPr>
      <w:r>
        <w:rPr>
          <w:rFonts w:ascii="Times New Roman" w:hAnsi="Times New Roman"/>
          <w:u w:val="single"/>
        </w:rPr>
        <w:t>Areas resources</w:t>
      </w:r>
    </w:p>
    <w:p w14:paraId="7B507B26"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Managing the impacts of people straying from paths and removing logs in order to protect and conserve the lichen and invertebrate species in the SSSI areas of the park can be done in a couple of ways. First of all, Hammitt, Cole and Monz (2015) talk of how low impact education can be effective in changing peoples behaviour. For example using a concept called Central Route to </w:t>
      </w:r>
      <w:r>
        <w:rPr>
          <w:rFonts w:ascii="Times New Roman" w:hAnsi="Times New Roman"/>
        </w:rPr>
        <w:lastRenderedPageBreak/>
        <w:t>Persuasion involves communicating messages to visitors that make good sense and will lead to changes in behaviour from their own accord as opposed to providing rewards and punishments for appropriate/inappropriate behaviour respectively.</w:t>
      </w:r>
    </w:p>
    <w:p w14:paraId="599150E5" w14:textId="77777777" w:rsidR="00E1724F" w:rsidRDefault="00E1724F">
      <w:pPr>
        <w:pStyle w:val="Default"/>
        <w:spacing w:before="0" w:line="360" w:lineRule="auto"/>
        <w:rPr>
          <w:rFonts w:ascii="Times New Roman" w:eastAsia="Times New Roman" w:hAnsi="Times New Roman" w:cs="Times New Roman"/>
        </w:rPr>
      </w:pPr>
    </w:p>
    <w:p w14:paraId="36D95734"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The indicator of quality standards like trampled vegetation leading away from paths in areas that have the lichen can be used to indicate that some managerial strategies need to be implemented. This indicator can be considered a responsive indicator as it detects a change relatively recently that will require quick action due to the fragility of the habitat (Pigram &amp; Jenkins, 2006). The Limit of Acceptable Change for the areas of SSSI is low considering the fragility of the lichen’s tolerance of changing habitat conditions. Informing visitors of the damage their impacts (Information and Education 7c., Manning, Anderson &amp; Pettengill, 2017)</w:t>
      </w:r>
      <w:r>
        <w:rPr>
          <w:rFonts w:ascii="Times New Roman" w:hAnsi="Times New Roman"/>
          <w:i/>
          <w:iCs/>
        </w:rPr>
        <w:t xml:space="preserve"> </w:t>
      </w:r>
      <w:r>
        <w:rPr>
          <w:rFonts w:ascii="Times New Roman" w:hAnsi="Times New Roman"/>
        </w:rPr>
        <w:t xml:space="preserve">could have on these species and their role and importance in the ecosystem could help with changing visitors behaviour and reduce the impact they may have on these ecosystems. </w:t>
      </w:r>
    </w:p>
    <w:p w14:paraId="4AF342F4" w14:textId="77777777" w:rsidR="00E1724F" w:rsidRDefault="00E1724F">
      <w:pPr>
        <w:pStyle w:val="Default"/>
        <w:spacing w:before="0" w:line="360" w:lineRule="auto"/>
        <w:rPr>
          <w:rFonts w:ascii="Times New Roman" w:eastAsia="Times New Roman" w:hAnsi="Times New Roman" w:cs="Times New Roman"/>
        </w:rPr>
      </w:pPr>
    </w:p>
    <w:p w14:paraId="715C550B"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Not only can it reduce impact but education has been shown to have an important role within parks, ecosystem services and landscapes (Mocior &amp; Kruse, 2016) by also effecting visitors sense of connection to nature (Fratz &amp; Mayer, 2014). To help reduce impact further and not rely so heavily on the visitors changing their own behaviour, zoning will be implemented (Manning, Anderson &amp; Pettengill, 2017)</w:t>
      </w:r>
      <w:r>
        <w:rPr>
          <w:rFonts w:ascii="Times New Roman" w:hAnsi="Times New Roman"/>
          <w:i/>
          <w:iCs/>
        </w:rPr>
        <w:t>.</w:t>
      </w:r>
      <w:r>
        <w:rPr>
          <w:rFonts w:ascii="Times New Roman" w:hAnsi="Times New Roman"/>
        </w:rPr>
        <w:t xml:space="preserve"> This will include a zone site for lower use in the areas where the lichens and dead wood invertebrates are present to reduce the amount of visitors there in the first place. </w:t>
      </w:r>
    </w:p>
    <w:p w14:paraId="7E376EFE" w14:textId="77777777" w:rsidR="00E1724F" w:rsidRDefault="00E1724F">
      <w:pPr>
        <w:pStyle w:val="Default"/>
        <w:spacing w:before="0" w:line="360" w:lineRule="auto"/>
        <w:rPr>
          <w:rFonts w:ascii="Times New Roman" w:eastAsia="Times New Roman" w:hAnsi="Times New Roman" w:cs="Times New Roman"/>
        </w:rPr>
      </w:pPr>
    </w:p>
    <w:p w14:paraId="2FAA0AF9" w14:textId="77777777" w:rsidR="00E1724F" w:rsidRDefault="00000000">
      <w:pPr>
        <w:pStyle w:val="Default"/>
        <w:spacing w:before="0" w:line="360" w:lineRule="auto"/>
        <w:rPr>
          <w:rFonts w:ascii="Times New Roman" w:eastAsia="Times New Roman" w:hAnsi="Times New Roman" w:cs="Times New Roman"/>
          <w:u w:val="single"/>
        </w:rPr>
      </w:pPr>
      <w:r>
        <w:rPr>
          <w:rFonts w:ascii="Times New Roman" w:hAnsi="Times New Roman"/>
          <w:u w:val="single"/>
        </w:rPr>
        <w:t>Visitor experience</w:t>
      </w:r>
    </w:p>
    <w:p w14:paraId="2973C04F"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The depreciative behaviour (graffiti, throwing rocks off the castle, stealing silverware from the manor house) will be dealt with in two ways. The first is to add an entry fee in order to put the money towards repairing damage done to the site through depreciative behaviour. Pascoe, </w:t>
      </w:r>
      <w:r>
        <w:rPr>
          <w:rFonts w:ascii="Times New Roman" w:hAnsi="Times New Roman"/>
          <w:i/>
          <w:iCs/>
        </w:rPr>
        <w:t>et al</w:t>
      </w:r>
      <w:r>
        <w:rPr>
          <w:rFonts w:ascii="Times New Roman" w:hAnsi="Times New Roman"/>
        </w:rPr>
        <w:t xml:space="preserve"> (2014) found that increasing entry fees enabled reserve managers to conserve the environment which is further backed by Wilson and Tisdell (2004). The second is to make it known that there are sanctions or fines for unauthorised use within the site (Manning, Anderson &amp; Pettengill, 2017)</w:t>
      </w:r>
      <w:r>
        <w:rPr>
          <w:rFonts w:ascii="Times New Roman" w:hAnsi="Times New Roman"/>
          <w:i/>
          <w:iCs/>
        </w:rPr>
        <w:t xml:space="preserve">. </w:t>
      </w:r>
      <w:r>
        <w:rPr>
          <w:rFonts w:ascii="Times New Roman" w:hAnsi="Times New Roman"/>
        </w:rPr>
        <w:t xml:space="preserve">These more directive approaches will be implemented to deter people from behaving in inappropriate ways. This first strategy will also help to maintain the carrying capacity of the site in order to reduce the impact that lots of people may have on other visitor’s experiences according to the Recreation Opportunity Spectrum. </w:t>
      </w:r>
    </w:p>
    <w:p w14:paraId="58A565F9" w14:textId="77777777" w:rsidR="00E1724F" w:rsidRDefault="00E1724F">
      <w:pPr>
        <w:pStyle w:val="Default"/>
        <w:spacing w:before="0" w:line="360" w:lineRule="auto"/>
        <w:rPr>
          <w:rFonts w:ascii="Times New Roman" w:eastAsia="Times New Roman" w:hAnsi="Times New Roman" w:cs="Times New Roman"/>
        </w:rPr>
      </w:pPr>
    </w:p>
    <w:p w14:paraId="5C45E20A" w14:textId="77777777" w:rsidR="00E1724F" w:rsidRDefault="00000000">
      <w:pPr>
        <w:pStyle w:val="Default"/>
        <w:spacing w:before="0" w:line="360" w:lineRule="auto"/>
        <w:rPr>
          <w:rFonts w:ascii="Times New Roman" w:eastAsia="Times New Roman" w:hAnsi="Times New Roman" w:cs="Times New Roman"/>
          <w:u w:val="single"/>
        </w:rPr>
      </w:pPr>
      <w:r>
        <w:rPr>
          <w:rFonts w:ascii="Times New Roman" w:hAnsi="Times New Roman"/>
          <w:u w:val="single"/>
        </w:rPr>
        <w:t>Areas facilities/services</w:t>
      </w:r>
    </w:p>
    <w:p w14:paraId="7FFD78A3"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lastRenderedPageBreak/>
        <w:t>The issue of the White Park Cattle and fallow deer being sick with TB having an impact on visitor experience will be addressed in two ways. First of all a more concrete strategy to curb the spread of the disease from badgers to the herd is to install fencing to ensure that badgers cannot get to the cattle (DAERA, n.d; Dwyer, 2023). DAERA (n.d)</w:t>
      </w:r>
      <w:r>
        <w:rPr>
          <w:rFonts w:ascii="Times New Roman" w:hAnsi="Times New Roman"/>
          <w:i/>
          <w:iCs/>
        </w:rPr>
        <w:t xml:space="preserve"> </w:t>
      </w:r>
      <w:r>
        <w:rPr>
          <w:rFonts w:ascii="Times New Roman" w:hAnsi="Times New Roman"/>
        </w:rPr>
        <w:t xml:space="preserve">recommends that to prevent further transmission, contact between cattle, badgers and deer should be minimised as well as minimising contact with visitors. </w:t>
      </w:r>
    </w:p>
    <w:p w14:paraId="3A0A11B5" w14:textId="77777777" w:rsidR="00E1724F" w:rsidRDefault="00E1724F">
      <w:pPr>
        <w:pStyle w:val="Default"/>
        <w:spacing w:before="0" w:line="360" w:lineRule="auto"/>
        <w:rPr>
          <w:rFonts w:ascii="Times New Roman" w:eastAsia="Times New Roman" w:hAnsi="Times New Roman" w:cs="Times New Roman"/>
        </w:rPr>
      </w:pPr>
    </w:p>
    <w:p w14:paraId="2F561669" w14:textId="77777777" w:rsidR="00E1724F" w:rsidRDefault="00000000">
      <w:pPr>
        <w:pStyle w:val="Default"/>
        <w:spacing w:before="0" w:line="360" w:lineRule="auto"/>
        <w:rPr>
          <w:rFonts w:ascii="Times New Roman" w:eastAsia="Times New Roman" w:hAnsi="Times New Roman" w:cs="Times New Roman"/>
          <w:i/>
          <w:iCs/>
        </w:rPr>
      </w:pPr>
      <w:r>
        <w:rPr>
          <w:rFonts w:ascii="Times New Roman" w:hAnsi="Times New Roman"/>
        </w:rPr>
        <w:t>The second strategy to address the visitor experience issue given that many come to see these animals, is to create attractions elsewhere in the park (Improve attractions in alternative areas, 72a, Manning, Anderson &amp; Pettengill, 2017)</w:t>
      </w:r>
      <w:r>
        <w:rPr>
          <w:rFonts w:ascii="Times New Roman" w:hAnsi="Times New Roman"/>
          <w:i/>
          <w:iCs/>
        </w:rPr>
        <w:t xml:space="preserve">. </w:t>
      </w:r>
      <w:r>
        <w:rPr>
          <w:rFonts w:ascii="Times New Roman" w:hAnsi="Times New Roman"/>
        </w:rPr>
        <w:t>This will be an excellent opportunity to make better use of the cultural and historical features of the estate like the castle and manor house such as including a cultural tour in the entry fee which Reynisdottir, Song and Agrusa (2008) note that such programmes can help with continuing high quality recreation experiences. These can be used to help develop a sense of place with the area, while visitors are not able to interact with the animals. The implementation of these strategies will be based on the Recreation Opportunity Spectrum with particular consideration to the resource conditions (presence of wildlife) and the facility developments. Given that the presence of wildlife will be lower, in order to compensate for this for the benefit of visitor experience, improvements can be made such as turning the manor house into more of a place of instruction and education (Bonn et al, 2007) which can further emphasise the culture of the local area (Richards, 2010)</w:t>
      </w:r>
      <w:r>
        <w:rPr>
          <w:rFonts w:ascii="Times New Roman" w:hAnsi="Times New Roman"/>
          <w:i/>
          <w:iCs/>
        </w:rPr>
        <w:t>.</w:t>
      </w:r>
    </w:p>
    <w:p w14:paraId="14A682D4" w14:textId="77777777" w:rsidR="00E1724F" w:rsidRDefault="00E1724F">
      <w:pPr>
        <w:pStyle w:val="Default"/>
        <w:spacing w:before="0" w:line="360" w:lineRule="auto"/>
        <w:rPr>
          <w:rFonts w:ascii="Times New Roman" w:eastAsia="Times New Roman" w:hAnsi="Times New Roman" w:cs="Times New Roman"/>
          <w:b/>
          <w:bCs/>
        </w:rPr>
      </w:pPr>
    </w:p>
    <w:p w14:paraId="52F5B9D5" w14:textId="77777777" w:rsidR="00E1724F" w:rsidRDefault="00000000">
      <w:pPr>
        <w:pStyle w:val="Default"/>
        <w:spacing w:before="0" w:line="360" w:lineRule="auto"/>
        <w:rPr>
          <w:rFonts w:ascii="Times New Roman" w:eastAsia="Times New Roman" w:hAnsi="Times New Roman" w:cs="Times New Roman"/>
          <w:b/>
          <w:bCs/>
        </w:rPr>
      </w:pPr>
      <w:r>
        <w:rPr>
          <w:rFonts w:ascii="Times New Roman" w:hAnsi="Times New Roman"/>
          <w:b/>
          <w:bCs/>
        </w:rPr>
        <w:t>Conclusion</w:t>
      </w:r>
    </w:p>
    <w:p w14:paraId="37E710C6"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In summary, Dinefwr Park faces a few challenges to both its protected habitats and visitor experience. The SSSI nature of the area requires strategies to be put in place so that the lichen and other species are not damaged by visitors strain from marked paths and taking dead wood from the ecosystem. Information and education and zoning will be used to reduce this impact. Addressing the depreciative behaviour of some visitors through entry fees and fines could improve the visitor experience of other people at the site by deterring those from treating the area’s cultural and historical features poorly and reducing further impact. Lastly, the animals sick with TB mean that visitors can no longer interact with them which can often be disappointing for people who come to see them specifically. By improving the attraction in other areas of the park, visitors may continue to feel connected to the area while the animal attractions are kept separate to recover. Overall, with consideration to visitor experience and environmental conservation through the lens of the conceptual frameworks, strategies can be implemented to reduce impact on the site and improve experience and connection with this site of Welsh heritage and nature for all visitors. </w:t>
      </w:r>
    </w:p>
    <w:p w14:paraId="367B4117" w14:textId="77777777" w:rsidR="00E1724F" w:rsidRDefault="00E1724F">
      <w:pPr>
        <w:pStyle w:val="Default"/>
        <w:spacing w:before="0" w:line="360" w:lineRule="auto"/>
        <w:rPr>
          <w:rFonts w:ascii="Times New Roman" w:eastAsia="Times New Roman" w:hAnsi="Times New Roman" w:cs="Times New Roman"/>
        </w:rPr>
      </w:pPr>
    </w:p>
    <w:p w14:paraId="317CDBEF"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Word count: 2669</w:t>
      </w:r>
    </w:p>
    <w:p w14:paraId="1E0E2BBB" w14:textId="77777777" w:rsidR="00E1724F" w:rsidRDefault="00E1724F">
      <w:pPr>
        <w:pStyle w:val="Default"/>
        <w:spacing w:before="0" w:line="360" w:lineRule="auto"/>
        <w:rPr>
          <w:rFonts w:ascii="Times New Roman" w:eastAsia="Times New Roman" w:hAnsi="Times New Roman" w:cs="Times New Roman"/>
          <w:i/>
          <w:iCs/>
        </w:rPr>
      </w:pPr>
    </w:p>
    <w:p w14:paraId="20B0587D" w14:textId="77777777" w:rsidR="00E1724F" w:rsidRDefault="00000000">
      <w:pPr>
        <w:pStyle w:val="Default"/>
        <w:spacing w:before="0" w:line="360" w:lineRule="auto"/>
        <w:rPr>
          <w:rFonts w:ascii="Times New Roman" w:eastAsia="Times New Roman" w:hAnsi="Times New Roman" w:cs="Times New Roman"/>
          <w:b/>
          <w:bCs/>
          <w:u w:val="single"/>
        </w:rPr>
      </w:pPr>
      <w:r>
        <w:rPr>
          <w:rFonts w:ascii="Times New Roman" w:hAnsi="Times New Roman"/>
          <w:b/>
          <w:bCs/>
          <w:u w:val="single"/>
        </w:rPr>
        <w:t xml:space="preserve">References </w:t>
      </w:r>
    </w:p>
    <w:p w14:paraId="283F65B0" w14:textId="77777777" w:rsidR="00E1724F" w:rsidRDefault="00E1724F">
      <w:pPr>
        <w:pStyle w:val="Default"/>
        <w:spacing w:before="0" w:line="360" w:lineRule="auto"/>
        <w:rPr>
          <w:rFonts w:ascii="Times New Roman" w:eastAsia="Times New Roman" w:hAnsi="Times New Roman" w:cs="Times New Roman"/>
          <w:u w:val="single"/>
        </w:rPr>
      </w:pPr>
    </w:p>
    <w:p w14:paraId="232CE635"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Bonn, M.A. et al. (2007) </w:t>
      </w:r>
      <w:r>
        <w:rPr>
          <w:rFonts w:ascii="Times New Roman" w:hAnsi="Times New Roman"/>
          <w:rtl/>
        </w:rPr>
        <w:t>‘</w:t>
      </w:r>
      <w:r>
        <w:rPr>
          <w:rFonts w:ascii="Times New Roman" w:hAnsi="Times New Roman"/>
        </w:rPr>
        <w:t>Heritage/Cultural Attraction Atmospheics: Creating the Right Environment for the Heritage/Cultural Visitor</w:t>
      </w:r>
      <w:r>
        <w:rPr>
          <w:rFonts w:ascii="Times New Roman" w:hAnsi="Times New Roman"/>
          <w:rtl/>
        </w:rPr>
        <w:t>’</w:t>
      </w:r>
      <w:r>
        <w:rPr>
          <w:rFonts w:ascii="Times New Roman" w:hAnsi="Times New Roman"/>
        </w:rPr>
        <w:t xml:space="preserve">, Journal of Travel Research. 45(3), pp. 346-354. </w:t>
      </w:r>
    </w:p>
    <w:p w14:paraId="0C884DDB" w14:textId="77777777" w:rsidR="00E1724F" w:rsidRDefault="00E1724F">
      <w:pPr>
        <w:pStyle w:val="Default"/>
        <w:spacing w:before="0" w:line="360" w:lineRule="auto"/>
        <w:rPr>
          <w:rFonts w:ascii="Times New Roman" w:eastAsia="Times New Roman" w:hAnsi="Times New Roman" w:cs="Times New Roman"/>
        </w:rPr>
      </w:pPr>
    </w:p>
    <w:p w14:paraId="641F92CA"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Coppins, B.J. (2009) Lichen conservation in Scotland. Botanical Journal of Scotland Vol 55(1), 27-38</w:t>
      </w:r>
    </w:p>
    <w:p w14:paraId="2A4F2D1F" w14:textId="77777777" w:rsidR="00E1724F" w:rsidRDefault="00E1724F">
      <w:pPr>
        <w:pStyle w:val="Default"/>
        <w:spacing w:before="0" w:line="360" w:lineRule="auto"/>
        <w:rPr>
          <w:rFonts w:ascii="Times New Roman" w:eastAsia="Times New Roman" w:hAnsi="Times New Roman" w:cs="Times New Roman"/>
        </w:rPr>
      </w:pPr>
    </w:p>
    <w:p w14:paraId="3A82BAA8"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Department of Agriculture, Environment and Rural Affairs (n.d) What is bovine Tuberculosis (TB)? Available at: </w:t>
      </w:r>
      <w:hyperlink r:id="rId7" w:history="1">
        <w:r>
          <w:rPr>
            <w:rStyle w:val="Hyperlink0"/>
            <w:rFonts w:ascii="Times New Roman" w:hAnsi="Times New Roman"/>
          </w:rPr>
          <w:t>https://www.daera-ni.gov.uk/articles/what-bovine-tuberculosis-tb</w:t>
        </w:r>
      </w:hyperlink>
      <w:r>
        <w:rPr>
          <w:rFonts w:ascii="Times New Roman" w:hAnsi="Times New Roman"/>
        </w:rPr>
        <w:t xml:space="preserve"> Accessed on: 8th May 2023</w:t>
      </w:r>
    </w:p>
    <w:p w14:paraId="443F81F1" w14:textId="77777777" w:rsidR="00E1724F" w:rsidRDefault="00E1724F">
      <w:pPr>
        <w:pStyle w:val="Default"/>
        <w:spacing w:before="0" w:line="360" w:lineRule="auto"/>
        <w:rPr>
          <w:rFonts w:ascii="Times New Roman" w:eastAsia="Times New Roman" w:hAnsi="Times New Roman" w:cs="Times New Roman"/>
        </w:rPr>
      </w:pPr>
    </w:p>
    <w:p w14:paraId="5368DC42"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Dwyer, H. (2023) Talk with OAE students at Dinefwr Park, 13 March. </w:t>
      </w:r>
    </w:p>
    <w:p w14:paraId="78D6A46B" w14:textId="77777777" w:rsidR="00E1724F" w:rsidRDefault="00E1724F">
      <w:pPr>
        <w:pStyle w:val="Default"/>
        <w:spacing w:before="0" w:line="360" w:lineRule="auto"/>
        <w:rPr>
          <w:rFonts w:ascii="Times New Roman" w:eastAsia="Times New Roman" w:hAnsi="Times New Roman" w:cs="Times New Roman"/>
        </w:rPr>
      </w:pPr>
    </w:p>
    <w:p w14:paraId="5D6E91E8"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Fancy, S.G., Gross, J.E. and Carter, S.L. (2009) </w:t>
      </w:r>
      <w:r>
        <w:rPr>
          <w:rFonts w:ascii="Times New Roman" w:hAnsi="Times New Roman"/>
          <w:rtl/>
        </w:rPr>
        <w:t>‘</w:t>
      </w:r>
      <w:r>
        <w:rPr>
          <w:rFonts w:ascii="Times New Roman" w:hAnsi="Times New Roman"/>
        </w:rPr>
        <w:t>Monitoring the condition of natural resources in US national parks</w:t>
      </w:r>
      <w:r>
        <w:rPr>
          <w:rFonts w:ascii="Times New Roman" w:hAnsi="Times New Roman"/>
          <w:rtl/>
        </w:rPr>
        <w:t>’</w:t>
      </w:r>
      <w:r>
        <w:rPr>
          <w:rFonts w:ascii="Times New Roman" w:hAnsi="Times New Roman"/>
        </w:rPr>
        <w:t>, Environmental Monitoring and Assessment. 151, pp. 161-174.</w:t>
      </w:r>
    </w:p>
    <w:p w14:paraId="75E066FE" w14:textId="77777777" w:rsidR="00E1724F" w:rsidRDefault="00E1724F">
      <w:pPr>
        <w:pStyle w:val="Default"/>
        <w:spacing w:before="0" w:line="360" w:lineRule="auto"/>
        <w:rPr>
          <w:rFonts w:ascii="Times New Roman" w:eastAsia="Times New Roman" w:hAnsi="Times New Roman" w:cs="Times New Roman"/>
        </w:rPr>
      </w:pPr>
    </w:p>
    <w:p w14:paraId="3CDC05D3"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Fratz, C.M. and Mayer, F.S. (2014) </w:t>
      </w:r>
      <w:r>
        <w:rPr>
          <w:rFonts w:ascii="Times New Roman" w:hAnsi="Times New Roman"/>
          <w:rtl/>
        </w:rPr>
        <w:t xml:space="preserve">‘ </w:t>
      </w:r>
      <w:r>
        <w:rPr>
          <w:rFonts w:ascii="Times New Roman" w:hAnsi="Times New Roman"/>
        </w:rPr>
        <w:t>The importance of connection to nature in assessing environmental education programs</w:t>
      </w:r>
      <w:r>
        <w:rPr>
          <w:rFonts w:ascii="Times New Roman" w:hAnsi="Times New Roman"/>
          <w:rtl/>
        </w:rPr>
        <w:t>’</w:t>
      </w:r>
      <w:r>
        <w:rPr>
          <w:rFonts w:ascii="Times New Roman" w:hAnsi="Times New Roman"/>
        </w:rPr>
        <w:t>, Studies in Educational Evaluation. 41, pp. 85-89.</w:t>
      </w:r>
    </w:p>
    <w:p w14:paraId="5FD84AB0" w14:textId="77777777" w:rsidR="00E1724F" w:rsidRDefault="00E1724F">
      <w:pPr>
        <w:pStyle w:val="Default"/>
        <w:spacing w:before="0" w:line="360" w:lineRule="auto"/>
        <w:rPr>
          <w:rFonts w:ascii="Times New Roman" w:eastAsia="Times New Roman" w:hAnsi="Times New Roman" w:cs="Times New Roman"/>
        </w:rPr>
      </w:pPr>
    </w:p>
    <w:p w14:paraId="07B63661" w14:textId="77777777" w:rsidR="00E1724F" w:rsidRDefault="00000000">
      <w:pPr>
        <w:pStyle w:val="Default"/>
        <w:spacing w:before="0" w:after="320" w:line="360" w:lineRule="auto"/>
        <w:rPr>
          <w:rFonts w:ascii="Times New Roman" w:eastAsia="Times New Roman" w:hAnsi="Times New Roman" w:cs="Times New Roman"/>
        </w:rPr>
      </w:pPr>
      <w:r>
        <w:rPr>
          <w:rFonts w:ascii="Times New Roman" w:hAnsi="Times New Roman"/>
        </w:rPr>
        <w:t xml:space="preserve">Fresque, J. and Plummer, R. (2009) </w:t>
      </w:r>
      <w:r>
        <w:rPr>
          <w:rFonts w:ascii="Times New Roman" w:hAnsi="Times New Roman"/>
          <w:rtl/>
        </w:rPr>
        <w:t>‘</w:t>
      </w:r>
      <w:r>
        <w:rPr>
          <w:rFonts w:ascii="Times New Roman" w:hAnsi="Times New Roman"/>
        </w:rPr>
        <w:t>Accounting for consumption related to outdoor recreation: An application of ecological footprint analysis</w:t>
      </w:r>
      <w:r>
        <w:rPr>
          <w:rFonts w:ascii="Times New Roman" w:hAnsi="Times New Roman"/>
          <w:rtl/>
        </w:rPr>
        <w:t>’</w:t>
      </w:r>
      <w:r>
        <w:rPr>
          <w:rFonts w:ascii="Times New Roman" w:hAnsi="Times New Roman"/>
          <w:lang w:val="it-IT"/>
        </w:rPr>
        <w:t xml:space="preserve">, Leisure/Loisir. 33(2), pp. 589-614. DOI: </w:t>
      </w:r>
      <w:hyperlink r:id="rId8" w:history="1">
        <w:r>
          <w:rPr>
            <w:rStyle w:val="Hyperlink1"/>
            <w:rFonts w:ascii="Times New Roman" w:hAnsi="Times New Roman"/>
          </w:rPr>
          <w:t>https://doi.org/10.1080/14927713.2009.9651454</w:t>
        </w:r>
      </w:hyperlink>
    </w:p>
    <w:p w14:paraId="7450E50D"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Hammitt, W.E., Cole, D.N. and Monz, C.A. (2015) Wildland recreation</w:t>
      </w:r>
      <w:r>
        <w:rPr>
          <w:rFonts w:ascii="Times New Roman" w:hAnsi="Times New Roman"/>
          <w:lang w:val="fr-FR"/>
        </w:rPr>
        <w:t> </w:t>
      </w:r>
      <w:r>
        <w:rPr>
          <w:rFonts w:ascii="Times New Roman" w:hAnsi="Times New Roman"/>
        </w:rPr>
        <w:t>: ecology and management. Third edition. Chichester: Wiley-Blackwell.</w:t>
      </w:r>
    </w:p>
    <w:p w14:paraId="5E701E4E" w14:textId="77777777" w:rsidR="00E1724F" w:rsidRDefault="00E1724F">
      <w:pPr>
        <w:pStyle w:val="Default"/>
        <w:spacing w:before="0" w:line="360" w:lineRule="auto"/>
        <w:rPr>
          <w:rFonts w:ascii="Times New Roman" w:eastAsia="Times New Roman" w:hAnsi="Times New Roman" w:cs="Times New Roman"/>
        </w:rPr>
      </w:pPr>
    </w:p>
    <w:p w14:paraId="0E477679"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Manning, R.E., Anderson, L.E. and Pettengill, P.R. (2017) Managing outdoor recreation</w:t>
      </w:r>
      <w:r>
        <w:rPr>
          <w:rFonts w:ascii="Times New Roman" w:hAnsi="Times New Roman"/>
          <w:lang w:val="fr-FR"/>
        </w:rPr>
        <w:t> </w:t>
      </w:r>
      <w:r>
        <w:rPr>
          <w:rFonts w:ascii="Times New Roman" w:hAnsi="Times New Roman"/>
        </w:rPr>
        <w:t>: case studies in the national parks. Second edition. Boston: CAB International.</w:t>
      </w:r>
    </w:p>
    <w:p w14:paraId="6698B527" w14:textId="77777777" w:rsidR="00E1724F" w:rsidRDefault="00E1724F">
      <w:pPr>
        <w:pStyle w:val="Default"/>
        <w:spacing w:before="0" w:line="360" w:lineRule="auto"/>
        <w:rPr>
          <w:rFonts w:ascii="Times New Roman" w:eastAsia="Times New Roman" w:hAnsi="Times New Roman" w:cs="Times New Roman"/>
        </w:rPr>
      </w:pPr>
    </w:p>
    <w:p w14:paraId="0B6A9806"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lastRenderedPageBreak/>
        <w:t xml:space="preserve">Mocior, E. and Kruse, M. (2016) </w:t>
      </w:r>
      <w:r>
        <w:rPr>
          <w:rFonts w:ascii="Times New Roman" w:hAnsi="Times New Roman"/>
          <w:rtl/>
        </w:rPr>
        <w:t>‘</w:t>
      </w:r>
      <w:r>
        <w:rPr>
          <w:rFonts w:ascii="Times New Roman" w:hAnsi="Times New Roman"/>
        </w:rPr>
        <w:t xml:space="preserve">Educational values and services of ecosystems and landscapes – </w:t>
      </w:r>
      <w:r>
        <w:rPr>
          <w:rFonts w:ascii="Times New Roman" w:hAnsi="Times New Roman"/>
          <w:lang w:val="da-DK"/>
        </w:rPr>
        <w:t>An overview</w:t>
      </w:r>
      <w:r>
        <w:rPr>
          <w:rFonts w:ascii="Times New Roman" w:hAnsi="Times New Roman"/>
          <w:rtl/>
        </w:rPr>
        <w:t>’</w:t>
      </w:r>
      <w:r>
        <w:rPr>
          <w:rFonts w:ascii="Times New Roman" w:hAnsi="Times New Roman"/>
          <w:lang w:val="it-IT"/>
        </w:rPr>
        <w:t>, Ecological Indicators. 60, pp. 137-151.</w:t>
      </w:r>
    </w:p>
    <w:p w14:paraId="1356E584" w14:textId="77777777" w:rsidR="00E1724F" w:rsidRDefault="00E1724F">
      <w:pPr>
        <w:pStyle w:val="Default"/>
        <w:spacing w:before="0" w:line="360" w:lineRule="auto"/>
        <w:rPr>
          <w:rFonts w:ascii="Times New Roman" w:eastAsia="Times New Roman" w:hAnsi="Times New Roman" w:cs="Times New Roman"/>
        </w:rPr>
      </w:pPr>
    </w:p>
    <w:p w14:paraId="07AFA96F"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National Trust (n.d) Dinefwr. Available at: </w:t>
      </w:r>
      <w:hyperlink r:id="rId9" w:history="1">
        <w:r>
          <w:rPr>
            <w:rStyle w:val="Hyperlink0"/>
            <w:rFonts w:ascii="Times New Roman" w:hAnsi="Times New Roman"/>
          </w:rPr>
          <w:t>https://www.nationaltrust.org.uk/visit/wales/dinefwr</w:t>
        </w:r>
      </w:hyperlink>
      <w:r>
        <w:rPr>
          <w:rFonts w:ascii="Times New Roman" w:hAnsi="Times New Roman"/>
        </w:rPr>
        <w:t xml:space="preserve"> Accessed on: 8th May 2023</w:t>
      </w:r>
    </w:p>
    <w:p w14:paraId="7903CECD" w14:textId="77777777" w:rsidR="00E1724F" w:rsidRDefault="00E1724F">
      <w:pPr>
        <w:pStyle w:val="Default"/>
        <w:spacing w:before="0" w:line="360" w:lineRule="auto"/>
        <w:rPr>
          <w:rFonts w:ascii="Times New Roman" w:eastAsia="Times New Roman" w:hAnsi="Times New Roman" w:cs="Times New Roman"/>
        </w:rPr>
      </w:pPr>
    </w:p>
    <w:p w14:paraId="2221999E"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Natural Resources Wales (1999) Site of Special Scientific Interest Citation; Carmarthenshire, Dinefwr Estate. Available at: </w:t>
      </w:r>
      <w:hyperlink r:id="rId10" w:history="1">
        <w:r>
          <w:rPr>
            <w:rStyle w:val="Hyperlink0"/>
            <w:rFonts w:ascii="Times New Roman" w:hAnsi="Times New Roman"/>
          </w:rPr>
          <w:t>https://naturalresources.wales/media/647921/SSSI_0629_Citation_EN00143db.pdf</w:t>
        </w:r>
      </w:hyperlink>
      <w:r>
        <w:rPr>
          <w:rFonts w:ascii="Times New Roman" w:hAnsi="Times New Roman"/>
        </w:rPr>
        <w:t xml:space="preserve"> Accessed on: 8th May 2023</w:t>
      </w:r>
    </w:p>
    <w:p w14:paraId="7E0F01B6" w14:textId="77777777" w:rsidR="00E1724F" w:rsidRDefault="00E1724F">
      <w:pPr>
        <w:pStyle w:val="Default"/>
        <w:spacing w:before="0" w:line="360" w:lineRule="auto"/>
        <w:rPr>
          <w:rFonts w:ascii="Times New Roman" w:eastAsia="Times New Roman" w:hAnsi="Times New Roman" w:cs="Times New Roman"/>
        </w:rPr>
      </w:pPr>
    </w:p>
    <w:p w14:paraId="20C18F9E"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Office for National Statistics (2021) Tourism and outdoor leisure accounts, natural capital, UK: 2021. Available at: </w:t>
      </w:r>
      <w:hyperlink r:id="rId11" w:history="1">
        <w:r>
          <w:rPr>
            <w:rStyle w:val="Hyperlink0"/>
            <w:rFonts w:ascii="Times New Roman" w:hAnsi="Times New Roman"/>
          </w:rPr>
          <w:t>https://www.ons.gov.uk/economy/environmentalaccounts/bulletins/tourismandoutdoorleisureaccountsnaturalcapitaluk/2021</w:t>
        </w:r>
      </w:hyperlink>
      <w:r>
        <w:rPr>
          <w:rFonts w:ascii="Times New Roman" w:hAnsi="Times New Roman"/>
        </w:rPr>
        <w:t xml:space="preserve"> Accessed on: 9th May 2023</w:t>
      </w:r>
    </w:p>
    <w:p w14:paraId="3CAF5479" w14:textId="77777777" w:rsidR="00E1724F" w:rsidRDefault="00E1724F">
      <w:pPr>
        <w:pStyle w:val="Default"/>
        <w:spacing w:before="0" w:line="360" w:lineRule="auto"/>
        <w:rPr>
          <w:rFonts w:ascii="Times New Roman" w:eastAsia="Times New Roman" w:hAnsi="Times New Roman" w:cs="Times New Roman"/>
        </w:rPr>
      </w:pPr>
    </w:p>
    <w:p w14:paraId="2D488904"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lang w:val="pt-PT"/>
        </w:rPr>
        <w:t xml:space="preserve">Pascoe, S. et al. (2014) </w:t>
      </w:r>
      <w:r>
        <w:rPr>
          <w:rFonts w:ascii="Times New Roman" w:hAnsi="Times New Roman"/>
          <w:rtl/>
        </w:rPr>
        <w:t>‘</w:t>
      </w:r>
      <w:r>
        <w:rPr>
          <w:rFonts w:ascii="Times New Roman" w:hAnsi="Times New Roman"/>
        </w:rPr>
        <w:t>Estimating the potential impact of entry fees for marine parks on dive tourism in South East Asia</w:t>
      </w:r>
      <w:r>
        <w:rPr>
          <w:rFonts w:ascii="Times New Roman" w:hAnsi="Times New Roman"/>
          <w:rtl/>
        </w:rPr>
        <w:t>’</w:t>
      </w:r>
      <w:r>
        <w:rPr>
          <w:rFonts w:ascii="Times New Roman" w:hAnsi="Times New Roman"/>
        </w:rPr>
        <w:t>, Marine Policy. 47, pp. 147-152.</w:t>
      </w:r>
    </w:p>
    <w:p w14:paraId="52BD16E0" w14:textId="77777777" w:rsidR="00E1724F" w:rsidRDefault="00E1724F">
      <w:pPr>
        <w:pStyle w:val="Default"/>
        <w:spacing w:before="0" w:line="360" w:lineRule="auto"/>
        <w:rPr>
          <w:rFonts w:ascii="Times New Roman" w:eastAsia="Times New Roman" w:hAnsi="Times New Roman" w:cs="Times New Roman"/>
        </w:rPr>
      </w:pPr>
    </w:p>
    <w:p w14:paraId="3B236099"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Pigram, J.J. and Jenkins, J. (2006) Outdoor recreation management. 2nd ed. London: Routledge.</w:t>
      </w:r>
    </w:p>
    <w:p w14:paraId="573DA386" w14:textId="77777777" w:rsidR="00E1724F" w:rsidRDefault="00E1724F">
      <w:pPr>
        <w:pStyle w:val="Default"/>
        <w:spacing w:before="0" w:line="360" w:lineRule="auto"/>
        <w:rPr>
          <w:rFonts w:ascii="Times New Roman" w:eastAsia="Times New Roman" w:hAnsi="Times New Roman" w:cs="Times New Roman"/>
        </w:rPr>
      </w:pPr>
    </w:p>
    <w:p w14:paraId="72B732A1"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Prato. (2001) ‘Modelling carrying capacity for national parks’, </w:t>
      </w:r>
      <w:r>
        <w:rPr>
          <w:rStyle w:val="None"/>
          <w:rFonts w:ascii="Times New Roman" w:hAnsi="Times New Roman"/>
          <w:i/>
          <w:iCs/>
        </w:rPr>
        <w:t>Ecological Economics.</w:t>
      </w:r>
      <w:r>
        <w:rPr>
          <w:rFonts w:ascii="Times New Roman" w:hAnsi="Times New Roman"/>
        </w:rPr>
        <w:t xml:space="preserve"> 39, pp. 321-331</w:t>
      </w:r>
    </w:p>
    <w:p w14:paraId="791E3A5A" w14:textId="77777777" w:rsidR="00E1724F" w:rsidRDefault="00E1724F">
      <w:pPr>
        <w:pStyle w:val="Default"/>
        <w:spacing w:before="0" w:line="360" w:lineRule="auto"/>
        <w:rPr>
          <w:rFonts w:ascii="Times New Roman" w:eastAsia="Times New Roman" w:hAnsi="Times New Roman" w:cs="Times New Roman"/>
        </w:rPr>
      </w:pPr>
    </w:p>
    <w:p w14:paraId="17B1963E"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Reynisdottir, M., Song, H. and Agrusa, J. (2008) </w:t>
      </w:r>
      <w:r>
        <w:rPr>
          <w:rFonts w:ascii="Times New Roman" w:hAnsi="Times New Roman"/>
          <w:rtl/>
        </w:rPr>
        <w:t>‘</w:t>
      </w:r>
      <w:r>
        <w:rPr>
          <w:rFonts w:ascii="Times New Roman" w:hAnsi="Times New Roman"/>
        </w:rPr>
        <w:t>Willingness to pay entrance fees to natural attractions: An Icelandic case study</w:t>
      </w:r>
      <w:r>
        <w:rPr>
          <w:rFonts w:ascii="Times New Roman" w:hAnsi="Times New Roman"/>
          <w:rtl/>
        </w:rPr>
        <w:t>’</w:t>
      </w:r>
      <w:r>
        <w:rPr>
          <w:rFonts w:ascii="Times New Roman" w:hAnsi="Times New Roman"/>
          <w:lang w:val="de-DE"/>
        </w:rPr>
        <w:t>, Tourism Management. 29, pp. 1076-1083.</w:t>
      </w:r>
    </w:p>
    <w:p w14:paraId="12DD92A1" w14:textId="77777777" w:rsidR="00E1724F" w:rsidRDefault="00E1724F">
      <w:pPr>
        <w:pStyle w:val="Default"/>
        <w:spacing w:before="0" w:line="360" w:lineRule="auto"/>
        <w:rPr>
          <w:rFonts w:ascii="Times New Roman" w:eastAsia="Times New Roman" w:hAnsi="Times New Roman" w:cs="Times New Roman"/>
        </w:rPr>
      </w:pPr>
    </w:p>
    <w:p w14:paraId="594EF69D"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Richards, G. (2010) </w:t>
      </w:r>
      <w:r>
        <w:rPr>
          <w:rFonts w:ascii="Times New Roman" w:hAnsi="Times New Roman"/>
          <w:rtl/>
        </w:rPr>
        <w:t>‘</w:t>
      </w:r>
      <w:r>
        <w:rPr>
          <w:rFonts w:ascii="Times New Roman" w:hAnsi="Times New Roman"/>
        </w:rPr>
        <w:t>Increasing The Attractiveness Of Places Through Cultural Resources</w:t>
      </w:r>
      <w:r>
        <w:rPr>
          <w:rFonts w:ascii="Times New Roman" w:hAnsi="Times New Roman"/>
          <w:rtl/>
        </w:rPr>
        <w:t>’</w:t>
      </w:r>
      <w:r>
        <w:rPr>
          <w:rFonts w:ascii="Times New Roman" w:hAnsi="Times New Roman"/>
          <w:lang w:val="it-IT"/>
        </w:rPr>
        <w:t>, Tourism, Culture &amp; Communication. 10, pp. 47-58.</w:t>
      </w:r>
    </w:p>
    <w:p w14:paraId="4557D3DB" w14:textId="77777777" w:rsidR="00E1724F" w:rsidRDefault="00E1724F">
      <w:pPr>
        <w:pStyle w:val="Default"/>
        <w:spacing w:before="0" w:line="360" w:lineRule="auto"/>
        <w:rPr>
          <w:rFonts w:ascii="Times New Roman" w:eastAsia="Times New Roman" w:hAnsi="Times New Roman" w:cs="Times New Roman"/>
        </w:rPr>
      </w:pPr>
    </w:p>
    <w:p w14:paraId="556744D6" w14:textId="77777777" w:rsidR="00E1724F" w:rsidRDefault="00000000">
      <w:pPr>
        <w:pStyle w:val="Body"/>
        <w:spacing w:line="360" w:lineRule="auto"/>
        <w:rPr>
          <w:rFonts w:ascii="Times New Roman" w:eastAsia="Times New Roman" w:hAnsi="Times New Roman" w:cs="Times New Roman"/>
          <w:sz w:val="24"/>
          <w:szCs w:val="24"/>
          <w:u w:val="single"/>
        </w:rPr>
      </w:pPr>
      <w:r>
        <w:rPr>
          <w:rStyle w:val="None"/>
          <w:rFonts w:ascii="Times New Roman" w:hAnsi="Times New Roman"/>
          <w:sz w:val="24"/>
          <w:szCs w:val="24"/>
        </w:rPr>
        <w:t xml:space="preserve">Williams, A. (2019) Place is special when we do a bit of homework HORIZONS Magazine No 82 p14-17 Available at: </w:t>
      </w:r>
      <w:hyperlink r:id="rId12" w:history="1">
        <w:r>
          <w:rPr>
            <w:rStyle w:val="Hyperlink0"/>
            <w:rFonts w:ascii="Times New Roman" w:hAnsi="Times New Roman"/>
            <w:sz w:val="24"/>
            <w:szCs w:val="24"/>
          </w:rPr>
          <w:t>https://www.outdoor-learning-research.org/Portals/0/Research%20Documents/Horizons%20Archive/H82%20Andy%20Williams</w:t>
        </w:r>
        <w:r>
          <w:rPr>
            <w:rStyle w:val="Hyperlink0"/>
            <w:rFonts w:ascii="Times New Roman" w:hAnsi="Times New Roman"/>
            <w:sz w:val="24"/>
            <w:szCs w:val="24"/>
          </w:rPr>
          <w:lastRenderedPageBreak/>
          <w:t>%20Place%20is%20Specail%20when%20we%20do%20a%20bit%20of%20homework.pdf?ver=2019-10-15-152121-520</w:t>
        </w:r>
      </w:hyperlink>
      <w:r>
        <w:rPr>
          <w:rStyle w:val="None"/>
          <w:rFonts w:ascii="Times New Roman" w:hAnsi="Times New Roman"/>
          <w:sz w:val="24"/>
          <w:szCs w:val="24"/>
        </w:rPr>
        <w:t xml:space="preserve"> Accessed: 09/10/22</w:t>
      </w:r>
    </w:p>
    <w:p w14:paraId="75C89C22" w14:textId="77777777" w:rsidR="00E1724F" w:rsidRDefault="00E1724F">
      <w:pPr>
        <w:pStyle w:val="Default"/>
        <w:spacing w:before="0" w:line="360" w:lineRule="auto"/>
        <w:rPr>
          <w:rFonts w:ascii="Times New Roman" w:eastAsia="Times New Roman" w:hAnsi="Times New Roman" w:cs="Times New Roman"/>
        </w:rPr>
      </w:pPr>
    </w:p>
    <w:p w14:paraId="2C1AAEC0" w14:textId="77777777" w:rsidR="00E1724F" w:rsidRDefault="00000000">
      <w:pPr>
        <w:pStyle w:val="Default"/>
        <w:spacing w:before="0" w:line="360" w:lineRule="auto"/>
        <w:rPr>
          <w:rStyle w:val="None"/>
          <w:rFonts w:ascii="Helvetica" w:eastAsia="Helvetica" w:hAnsi="Helvetica" w:cs="Helvetica"/>
        </w:rPr>
      </w:pPr>
      <w:r>
        <w:rPr>
          <w:rFonts w:ascii="Times New Roman" w:hAnsi="Times New Roman"/>
        </w:rPr>
        <w:t xml:space="preserve">Wilson, C. and Tisdell, C. (2004) </w:t>
      </w:r>
      <w:r>
        <w:rPr>
          <w:rFonts w:ascii="Times New Roman" w:hAnsi="Times New Roman"/>
          <w:rtl/>
        </w:rPr>
        <w:t>‘</w:t>
      </w:r>
      <w:r>
        <w:rPr>
          <w:rFonts w:ascii="Times New Roman" w:hAnsi="Times New Roman"/>
        </w:rPr>
        <w:t>Attitudes To Entry Fees To National Parks: Results And Policy Implications From A Queensland Case Study</w:t>
      </w:r>
      <w:r>
        <w:rPr>
          <w:rFonts w:ascii="Times New Roman" w:hAnsi="Times New Roman"/>
          <w:rtl/>
        </w:rPr>
        <w:t>’</w:t>
      </w:r>
      <w:r>
        <w:rPr>
          <w:rFonts w:ascii="Times New Roman" w:hAnsi="Times New Roman"/>
        </w:rPr>
        <w:t>, Economic Analysis &amp; Policy. 34(1), pp. 79-102.</w:t>
      </w:r>
    </w:p>
    <w:p w14:paraId="16AED2E5" w14:textId="77777777" w:rsidR="00E1724F" w:rsidRDefault="00E1724F">
      <w:pPr>
        <w:pStyle w:val="Default"/>
        <w:spacing w:before="0" w:line="480" w:lineRule="atLeast"/>
        <w:rPr>
          <w:rFonts w:ascii="Avenir Book" w:eastAsia="Avenir Book" w:hAnsi="Avenir Book" w:cs="Avenir Book"/>
          <w:sz w:val="32"/>
          <w:szCs w:val="32"/>
        </w:rPr>
      </w:pPr>
    </w:p>
    <w:p w14:paraId="4BDD582F" w14:textId="77777777" w:rsidR="00E1724F" w:rsidRDefault="00E1724F">
      <w:pPr>
        <w:pStyle w:val="Default"/>
        <w:spacing w:before="0" w:line="240" w:lineRule="auto"/>
        <w:rPr>
          <w:rFonts w:ascii="Avenir Book" w:eastAsia="Avenir Book" w:hAnsi="Avenir Book" w:cs="Avenir Book"/>
        </w:rPr>
      </w:pPr>
    </w:p>
    <w:p w14:paraId="058CD75F" w14:textId="77777777" w:rsidR="00E1724F" w:rsidRDefault="00E1724F">
      <w:pPr>
        <w:pStyle w:val="Default"/>
        <w:spacing w:before="0" w:line="480" w:lineRule="atLeast"/>
        <w:rPr>
          <w:rStyle w:val="None"/>
          <w:rFonts w:ascii="Helvetica" w:eastAsia="Helvetica" w:hAnsi="Helvetica" w:cs="Helvetica"/>
          <w:sz w:val="32"/>
          <w:szCs w:val="32"/>
        </w:rPr>
      </w:pPr>
    </w:p>
    <w:p w14:paraId="072F1841" w14:textId="77777777" w:rsidR="00E1724F" w:rsidRDefault="00000000">
      <w:pPr>
        <w:pStyle w:val="Default"/>
        <w:spacing w:before="0" w:line="480" w:lineRule="atLeast"/>
        <w:rPr>
          <w:rStyle w:val="None"/>
          <w:rFonts w:ascii="Helvetica" w:eastAsia="Helvetica" w:hAnsi="Helvetica" w:cs="Helvetica"/>
          <w:sz w:val="32"/>
          <w:szCs w:val="32"/>
        </w:rPr>
      </w:pPr>
      <w:r>
        <w:rPr>
          <w:rFonts w:ascii="Avenir Book" w:hAnsi="Avenir Book"/>
          <w:sz w:val="32"/>
          <w:szCs w:val="32"/>
        </w:rPr>
        <w:t> </w:t>
      </w:r>
    </w:p>
    <w:p w14:paraId="34C226B1" w14:textId="77777777" w:rsidR="00E1724F" w:rsidRDefault="00E1724F">
      <w:pPr>
        <w:pStyle w:val="Default"/>
        <w:spacing w:before="0" w:line="480" w:lineRule="atLeast"/>
      </w:pPr>
    </w:p>
    <w:sectPr w:rsidR="00E1724F">
      <w:footerReference w:type="even" r:id="rId13"/>
      <w:footerReference w:type="default" r:id="rId14"/>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8C9370" w14:textId="77777777" w:rsidR="0027333F" w:rsidRDefault="0027333F">
      <w:r>
        <w:separator/>
      </w:r>
    </w:p>
  </w:endnote>
  <w:endnote w:type="continuationSeparator" w:id="0">
    <w:p w14:paraId="6A3DC812" w14:textId="77777777" w:rsidR="0027333F" w:rsidRDefault="002733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EFF" w:usb1="F9DFFFFF" w:usb2="0000007F" w:usb3="00000000" w:csb0="003F01FF" w:csb1="00000000"/>
  </w:font>
  <w:font w:name="Helvetica Neue">
    <w:altName w:val="Sylfaen"/>
    <w:charset w:val="00"/>
    <w:family w:val="auto"/>
    <w:pitch w:val="variable"/>
    <w:sig w:usb0="E50002FF" w:usb1="500079DB" w:usb2="00000010" w:usb3="00000000" w:csb0="00000001" w:csb1="00000000"/>
  </w:font>
  <w:font w:name="Helvetica">
    <w:panose1 w:val="020B0604020202020204"/>
    <w:charset w:val="00"/>
    <w:family w:val="auto"/>
    <w:pitch w:val="variable"/>
    <w:sig w:usb0="E00002FF" w:usb1="5000785B" w:usb2="00000000" w:usb3="00000000" w:csb0="0000019F" w:csb1="00000000"/>
  </w:font>
  <w:font w:name="Avenir Book">
    <w:altName w:val="Tw Cen MT"/>
    <w:charset w:val="00"/>
    <w:family w:val="auto"/>
    <w:pitch w:val="variable"/>
    <w:sig w:usb0="800000AF" w:usb1="5000204A" w:usb2="00000000" w:usb3="00000000" w:csb0="0000009B"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9172297"/>
      <w:docPartObj>
        <w:docPartGallery w:val="Page Numbers (Bottom of Page)"/>
        <w:docPartUnique/>
      </w:docPartObj>
    </w:sdtPr>
    <w:sdtContent>
      <w:p w14:paraId="5BC6EABC" w14:textId="3DBBF69D" w:rsidR="00A02E51" w:rsidRDefault="00A02E51" w:rsidP="00C159B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6D44EA99" w14:textId="77777777" w:rsidR="00A02E51" w:rsidRDefault="00A02E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36030160"/>
      <w:docPartObj>
        <w:docPartGallery w:val="Page Numbers (Bottom of Page)"/>
        <w:docPartUnique/>
      </w:docPartObj>
    </w:sdtPr>
    <w:sdtContent>
      <w:p w14:paraId="6EF0AC4A" w14:textId="17F3348E" w:rsidR="00A02E51" w:rsidRDefault="00A02E51" w:rsidP="00C159B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765C07F" w14:textId="77777777" w:rsidR="00E1724F" w:rsidRDefault="00E1724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BA5967" w14:textId="77777777" w:rsidR="0027333F" w:rsidRDefault="0027333F">
      <w:r>
        <w:separator/>
      </w:r>
    </w:p>
  </w:footnote>
  <w:footnote w:type="continuationSeparator" w:id="0">
    <w:p w14:paraId="189779EA" w14:textId="77777777" w:rsidR="0027333F" w:rsidRDefault="002733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730773"/>
    <w:multiLevelType w:val="hybridMultilevel"/>
    <w:tmpl w:val="FD94E1DA"/>
    <w:styleLink w:val="Dash"/>
    <w:lvl w:ilvl="0" w:tplc="0668102A">
      <w:start w:val="1"/>
      <w:numFmt w:val="bullet"/>
      <w:lvlText w:val="-"/>
      <w:lvlJc w:val="left"/>
      <w:pPr>
        <w:ind w:left="26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1" w:tplc="8AC2E02C">
      <w:start w:val="1"/>
      <w:numFmt w:val="bullet"/>
      <w:lvlText w:val="-"/>
      <w:lvlJc w:val="left"/>
      <w:pPr>
        <w:ind w:left="50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2" w:tplc="A49693B2">
      <w:start w:val="1"/>
      <w:numFmt w:val="bullet"/>
      <w:lvlText w:val="-"/>
      <w:lvlJc w:val="left"/>
      <w:pPr>
        <w:ind w:left="74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3" w:tplc="7E725C54">
      <w:start w:val="1"/>
      <w:numFmt w:val="bullet"/>
      <w:lvlText w:val="-"/>
      <w:lvlJc w:val="left"/>
      <w:pPr>
        <w:ind w:left="98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4" w:tplc="58B8FB34">
      <w:start w:val="1"/>
      <w:numFmt w:val="bullet"/>
      <w:lvlText w:val="-"/>
      <w:lvlJc w:val="left"/>
      <w:pPr>
        <w:ind w:left="122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5" w:tplc="BB08CA28">
      <w:start w:val="1"/>
      <w:numFmt w:val="bullet"/>
      <w:lvlText w:val="-"/>
      <w:lvlJc w:val="left"/>
      <w:pPr>
        <w:ind w:left="146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6" w:tplc="DA3E050C">
      <w:start w:val="1"/>
      <w:numFmt w:val="bullet"/>
      <w:lvlText w:val="-"/>
      <w:lvlJc w:val="left"/>
      <w:pPr>
        <w:ind w:left="170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7" w:tplc="DCAEA11A">
      <w:start w:val="1"/>
      <w:numFmt w:val="bullet"/>
      <w:lvlText w:val="-"/>
      <w:lvlJc w:val="left"/>
      <w:pPr>
        <w:ind w:left="194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8" w:tplc="F97A5A3A">
      <w:start w:val="1"/>
      <w:numFmt w:val="bullet"/>
      <w:lvlText w:val="-"/>
      <w:lvlJc w:val="left"/>
      <w:pPr>
        <w:ind w:left="218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abstractNum>
  <w:abstractNum w:abstractNumId="1" w15:restartNumberingAfterBreak="0">
    <w:nsid w:val="269F64AF"/>
    <w:multiLevelType w:val="hybridMultilevel"/>
    <w:tmpl w:val="FD94E1DA"/>
    <w:numStyleLink w:val="Dash"/>
  </w:abstractNum>
  <w:num w:numId="1" w16cid:durableId="802698849">
    <w:abstractNumId w:val="0"/>
  </w:num>
  <w:num w:numId="2" w16cid:durableId="222840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724F"/>
    <w:rsid w:val="0027333F"/>
    <w:rsid w:val="005964E0"/>
    <w:rsid w:val="00A02E51"/>
    <w:rsid w:val="00E1724F"/>
    <w:rsid w:val="00F50C8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1B61C"/>
  <w15:docId w15:val="{B32EEDA1-18F5-DA43-91F1-D25A02C9B6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Body">
    <w:name w:val="Body"/>
    <w:rPr>
      <w:rFonts w:ascii="Helvetica Neue" w:hAnsi="Helvetica Neue" w:cs="Arial Unicode MS"/>
      <w:color w:val="000000"/>
      <w:sz w:val="22"/>
      <w:szCs w:val="22"/>
      <w:lang w:val="en-US"/>
      <w14:textOutline w14:w="0" w14:cap="flat" w14:cmpd="sng" w14:algn="ctr">
        <w14:noFill/>
        <w14:prstDash w14:val="solid"/>
        <w14:bevel/>
      </w14:textOutline>
    </w:rPr>
  </w:style>
  <w:style w:type="paragraph" w:customStyle="1" w:styleId="Default">
    <w:name w:val="Default"/>
    <w:pPr>
      <w:spacing w:before="160" w:line="288" w:lineRule="auto"/>
    </w:pPr>
    <w:rPr>
      <w:rFonts w:ascii="Helvetica Neue" w:hAnsi="Helvetica Neue" w:cs="Arial Unicode MS"/>
      <w:color w:val="000000"/>
      <w:sz w:val="24"/>
      <w:szCs w:val="24"/>
      <w:lang w:val="en-US"/>
      <w14:textOutline w14:w="0" w14:cap="flat" w14:cmpd="sng" w14:algn="ctr">
        <w14:noFill/>
        <w14:prstDash w14:val="solid"/>
        <w14:bevel/>
      </w14:textOutline>
    </w:rPr>
  </w:style>
  <w:style w:type="numbering" w:customStyle="1" w:styleId="Dash">
    <w:name w:val="Dash"/>
    <w:pPr>
      <w:numPr>
        <w:numId w:val="1"/>
      </w:numPr>
    </w:pPr>
  </w:style>
  <w:style w:type="character" w:customStyle="1" w:styleId="Hyperlink0">
    <w:name w:val="Hyperlink.0"/>
    <w:basedOn w:val="Hyperlink"/>
    <w:rPr>
      <w:u w:val="single"/>
    </w:rPr>
  </w:style>
  <w:style w:type="character" w:customStyle="1" w:styleId="None">
    <w:name w:val="None"/>
  </w:style>
  <w:style w:type="character" w:customStyle="1" w:styleId="Hyperlink1">
    <w:name w:val="Hyperlink.1"/>
    <w:basedOn w:val="None"/>
    <w:rPr>
      <w:u w:val="single" w:color="0563C0"/>
    </w:rPr>
  </w:style>
  <w:style w:type="paragraph" w:styleId="Header">
    <w:name w:val="header"/>
    <w:basedOn w:val="Normal"/>
    <w:link w:val="HeaderChar"/>
    <w:uiPriority w:val="99"/>
    <w:unhideWhenUsed/>
    <w:rsid w:val="00A02E51"/>
    <w:pPr>
      <w:tabs>
        <w:tab w:val="center" w:pos="4513"/>
        <w:tab w:val="right" w:pos="9026"/>
      </w:tabs>
    </w:pPr>
  </w:style>
  <w:style w:type="character" w:customStyle="1" w:styleId="HeaderChar">
    <w:name w:val="Header Char"/>
    <w:basedOn w:val="DefaultParagraphFont"/>
    <w:link w:val="Header"/>
    <w:uiPriority w:val="99"/>
    <w:rsid w:val="00A02E51"/>
    <w:rPr>
      <w:sz w:val="24"/>
      <w:szCs w:val="24"/>
      <w:lang w:val="en-US" w:eastAsia="en-US"/>
    </w:rPr>
  </w:style>
  <w:style w:type="paragraph" w:styleId="Footer">
    <w:name w:val="footer"/>
    <w:basedOn w:val="Normal"/>
    <w:link w:val="FooterChar"/>
    <w:uiPriority w:val="99"/>
    <w:unhideWhenUsed/>
    <w:rsid w:val="00A02E51"/>
    <w:pPr>
      <w:tabs>
        <w:tab w:val="center" w:pos="4513"/>
        <w:tab w:val="right" w:pos="9026"/>
      </w:tabs>
    </w:pPr>
  </w:style>
  <w:style w:type="character" w:customStyle="1" w:styleId="FooterChar">
    <w:name w:val="Footer Char"/>
    <w:basedOn w:val="DefaultParagraphFont"/>
    <w:link w:val="Footer"/>
    <w:uiPriority w:val="99"/>
    <w:rsid w:val="00A02E51"/>
    <w:rPr>
      <w:sz w:val="24"/>
      <w:szCs w:val="24"/>
      <w:lang w:val="en-US" w:eastAsia="en-US"/>
    </w:rPr>
  </w:style>
  <w:style w:type="character" w:styleId="PageNumber">
    <w:name w:val="page number"/>
    <w:basedOn w:val="DefaultParagraphFont"/>
    <w:uiPriority w:val="99"/>
    <w:semiHidden/>
    <w:unhideWhenUsed/>
    <w:rsid w:val="00A02E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oi.org/10.1080/14927713.2009.9651454"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daera-ni.gov.uk/articles/what-bovine-tuberculosis-tb" TargetMode="External"/><Relationship Id="rId12" Type="http://schemas.openxmlformats.org/officeDocument/2006/relationships/hyperlink" Target="https://www.outdoor-learning-research.org/Portals/0/Research%20Documents/Horizons%20Archive/H82%20Andy%20Williams%20Place%20is%20Specail%20when%20we%20do%20a%20bit%20of%20homework.pdf?ver=2019-10-15-152121-520"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ns.gov.uk/economy/environmentalaccounts/bulletins/tourismandoutdoorleisureaccountsnaturalcapitaluk/2021"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naturalresources.wales/media/647921/SSSI_0629_Citation_EN00143db.pdf" TargetMode="External"/><Relationship Id="rId4" Type="http://schemas.openxmlformats.org/officeDocument/2006/relationships/webSettings" Target="webSettings.xml"/><Relationship Id="rId9" Type="http://schemas.openxmlformats.org/officeDocument/2006/relationships/hyperlink" Target="https://www.nationaltrust.org.uk/visit/wales/dinefwr" TargetMode="External"/><Relationship Id="rId14" Type="http://schemas.openxmlformats.org/officeDocument/2006/relationships/footer" Target="footer2.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3212</Words>
  <Characters>18313</Characters>
  <Application>Microsoft Office Word</Application>
  <DocSecurity>0</DocSecurity>
  <Lines>152</Lines>
  <Paragraphs>42</Paragraphs>
  <ScaleCrop>false</ScaleCrop>
  <Company/>
  <LinksUpToDate>false</LinksUpToDate>
  <CharactersWithSpaces>21483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Anthony Burns</cp:lastModifiedBy>
  <cp:revision>2</cp:revision>
  <dcterms:created xsi:type="dcterms:W3CDTF">2024-03-18T10:57:00Z</dcterms:created>
  <dcterms:modified xsi:type="dcterms:W3CDTF">2024-03-18T10:57:00Z</dcterms:modified>
</cp:coreProperties>
</file>