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B6367" w14:textId="77777777" w:rsidR="00325951" w:rsidRPr="00325951" w:rsidRDefault="00325951" w:rsidP="00325951">
      <w:pPr>
        <w:spacing w:line="480" w:lineRule="auto"/>
        <w:ind w:firstLine="720"/>
        <w:jc w:val="center"/>
        <w:rPr>
          <w:rFonts w:ascii="Times New Roman" w:hAnsi="Times New Roman" w:cs="Times New Roman"/>
          <w:b/>
          <w:sz w:val="24"/>
          <w:szCs w:val="24"/>
        </w:rPr>
      </w:pPr>
    </w:p>
    <w:p w14:paraId="71E14127" w14:textId="77777777" w:rsidR="00325951" w:rsidRPr="00325951" w:rsidRDefault="00325951" w:rsidP="00325951">
      <w:pPr>
        <w:spacing w:line="480" w:lineRule="auto"/>
        <w:ind w:firstLine="720"/>
        <w:jc w:val="center"/>
        <w:rPr>
          <w:rFonts w:ascii="Times New Roman" w:hAnsi="Times New Roman" w:cs="Times New Roman"/>
          <w:b/>
          <w:sz w:val="24"/>
          <w:szCs w:val="24"/>
        </w:rPr>
      </w:pPr>
    </w:p>
    <w:p w14:paraId="698D7418" w14:textId="77777777" w:rsidR="00325951" w:rsidRPr="00325951" w:rsidRDefault="00325951" w:rsidP="00325951">
      <w:pPr>
        <w:spacing w:line="480" w:lineRule="auto"/>
        <w:ind w:firstLine="720"/>
        <w:jc w:val="center"/>
        <w:rPr>
          <w:rFonts w:ascii="Times New Roman" w:hAnsi="Times New Roman" w:cs="Times New Roman"/>
          <w:b/>
          <w:sz w:val="24"/>
          <w:szCs w:val="24"/>
        </w:rPr>
      </w:pPr>
    </w:p>
    <w:p w14:paraId="72ABB187" w14:textId="77777777" w:rsidR="00325951" w:rsidRPr="00325951" w:rsidRDefault="00325951" w:rsidP="00325951">
      <w:pPr>
        <w:spacing w:line="480" w:lineRule="auto"/>
        <w:ind w:firstLine="720"/>
        <w:jc w:val="center"/>
        <w:rPr>
          <w:rFonts w:ascii="Times New Roman" w:hAnsi="Times New Roman" w:cs="Times New Roman"/>
          <w:b/>
          <w:sz w:val="24"/>
          <w:szCs w:val="24"/>
        </w:rPr>
      </w:pPr>
    </w:p>
    <w:p w14:paraId="3F6B3EF1" w14:textId="77777777" w:rsidR="00325951" w:rsidRPr="00325951" w:rsidRDefault="00325951" w:rsidP="00B82387">
      <w:pPr>
        <w:spacing w:line="480" w:lineRule="auto"/>
        <w:rPr>
          <w:rFonts w:ascii="Times New Roman" w:hAnsi="Times New Roman" w:cs="Times New Roman"/>
          <w:b/>
          <w:sz w:val="24"/>
          <w:szCs w:val="24"/>
        </w:rPr>
      </w:pPr>
    </w:p>
    <w:p w14:paraId="105A6D22" w14:textId="7EA03F87" w:rsidR="00325951" w:rsidRDefault="00325951" w:rsidP="00325951">
      <w:pPr>
        <w:spacing w:line="480" w:lineRule="auto"/>
        <w:ind w:firstLine="720"/>
        <w:jc w:val="center"/>
        <w:rPr>
          <w:rFonts w:ascii="Times New Roman" w:hAnsi="Times New Roman" w:cs="Times New Roman"/>
          <w:b/>
          <w:sz w:val="24"/>
          <w:szCs w:val="24"/>
        </w:rPr>
      </w:pPr>
      <w:r w:rsidRPr="00325951">
        <w:rPr>
          <w:rFonts w:ascii="Times New Roman" w:hAnsi="Times New Roman" w:cs="Times New Roman"/>
          <w:b/>
          <w:sz w:val="24"/>
          <w:szCs w:val="24"/>
        </w:rPr>
        <w:t>THE UK CORONERS AND JUSTICRE ACT (2009)</w:t>
      </w:r>
    </w:p>
    <w:p w14:paraId="64B20777" w14:textId="77777777" w:rsidR="00B82387" w:rsidRPr="00325951" w:rsidRDefault="00B82387" w:rsidP="00325951">
      <w:pPr>
        <w:spacing w:line="480" w:lineRule="auto"/>
        <w:ind w:firstLine="720"/>
        <w:jc w:val="center"/>
        <w:rPr>
          <w:rFonts w:ascii="Times New Roman" w:hAnsi="Times New Roman" w:cs="Times New Roman"/>
          <w:b/>
          <w:sz w:val="24"/>
          <w:szCs w:val="24"/>
        </w:rPr>
      </w:pPr>
    </w:p>
    <w:p w14:paraId="16FB7EDE" w14:textId="77777777" w:rsidR="001A37CD" w:rsidRPr="00BC6584" w:rsidRDefault="001A37CD" w:rsidP="001A37CD">
      <w:pPr>
        <w:spacing w:line="480" w:lineRule="auto"/>
        <w:jc w:val="center"/>
        <w:rPr>
          <w:rFonts w:ascii="Times New Roman" w:eastAsia="Arial" w:hAnsi="Times New Roman" w:cs="Times New Roman"/>
          <w:bCs/>
          <w:sz w:val="24"/>
          <w:szCs w:val="24"/>
        </w:rPr>
      </w:pPr>
      <w:r w:rsidRPr="00BC6584">
        <w:rPr>
          <w:rFonts w:ascii="Times New Roman" w:eastAsia="Arial" w:hAnsi="Times New Roman" w:cs="Times New Roman"/>
          <w:bCs/>
          <w:sz w:val="24"/>
          <w:szCs w:val="24"/>
        </w:rPr>
        <w:t xml:space="preserve">Norvegia Mirea </w:t>
      </w:r>
    </w:p>
    <w:p w14:paraId="0AA4445F" w14:textId="44FC427E" w:rsidR="009A4172" w:rsidRDefault="009A4172" w:rsidP="00325951">
      <w:pPr>
        <w:spacing w:line="480" w:lineRule="auto"/>
        <w:jc w:val="center"/>
        <w:rPr>
          <w:rFonts w:ascii="Times New Roman" w:eastAsia="Arial" w:hAnsi="Times New Roman" w:cs="Times New Roman"/>
          <w:bCs/>
          <w:sz w:val="24"/>
          <w:szCs w:val="24"/>
        </w:rPr>
      </w:pPr>
      <w:r w:rsidRPr="00CB1424">
        <w:rPr>
          <w:rFonts w:ascii="Times New Roman" w:eastAsia="Arial" w:hAnsi="Times New Roman" w:cs="Times New Roman"/>
          <w:bCs/>
          <w:sz w:val="24"/>
          <w:szCs w:val="24"/>
        </w:rPr>
        <w:t>2218912</w:t>
      </w:r>
      <w:r w:rsidRPr="00CB1424">
        <w:rPr>
          <w:rFonts w:ascii="Times New Roman" w:eastAsia="Arial" w:hAnsi="Times New Roman" w:cs="Times New Roman"/>
          <w:bCs/>
          <w:sz w:val="24"/>
          <w:szCs w:val="24"/>
        </w:rPr>
        <w:t xml:space="preserve"> </w:t>
      </w:r>
    </w:p>
    <w:p w14:paraId="1C8FA5E1" w14:textId="03A63140" w:rsidR="006859C9" w:rsidRDefault="006859C9" w:rsidP="00325951">
      <w:pPr>
        <w:spacing w:line="480" w:lineRule="auto"/>
        <w:jc w:val="center"/>
        <w:rPr>
          <w:rFonts w:ascii="Times New Roman" w:eastAsia="Arial" w:hAnsi="Times New Roman" w:cs="Times New Roman"/>
          <w:bCs/>
          <w:sz w:val="24"/>
          <w:szCs w:val="24"/>
        </w:rPr>
      </w:pPr>
      <w:r>
        <w:rPr>
          <w:rFonts w:ascii="Times New Roman" w:eastAsia="Arial" w:hAnsi="Times New Roman" w:cs="Times New Roman"/>
          <w:bCs/>
          <w:sz w:val="24"/>
          <w:szCs w:val="24"/>
        </w:rPr>
        <w:t>Criminal Law</w:t>
      </w:r>
    </w:p>
    <w:p w14:paraId="0BFB81C5" w14:textId="4E1965CC" w:rsidR="00193D19" w:rsidRDefault="00193D19" w:rsidP="00193D19">
      <w:pPr>
        <w:spacing w:line="480" w:lineRule="auto"/>
        <w:jc w:val="center"/>
        <w:rPr>
          <w:rFonts w:ascii="Times New Roman" w:hAnsi="Times New Roman" w:cs="Times New Roman"/>
          <w:bCs/>
          <w:sz w:val="24"/>
          <w:szCs w:val="24"/>
        </w:rPr>
      </w:pPr>
      <w:r w:rsidRPr="00193D19">
        <w:rPr>
          <w:rFonts w:ascii="Times New Roman" w:hAnsi="Times New Roman" w:cs="Times New Roman"/>
          <w:bCs/>
          <w:sz w:val="24"/>
          <w:szCs w:val="24"/>
        </w:rPr>
        <w:t>BMPL4009</w:t>
      </w:r>
      <w:r w:rsidR="00DF64F4">
        <w:rPr>
          <w:rFonts w:ascii="Times New Roman" w:hAnsi="Times New Roman" w:cs="Times New Roman"/>
          <w:bCs/>
          <w:sz w:val="24"/>
          <w:szCs w:val="24"/>
        </w:rPr>
        <w:t xml:space="preserve"> &amp;</w:t>
      </w:r>
      <w:r w:rsidRPr="00193D19">
        <w:rPr>
          <w:rFonts w:ascii="Times New Roman" w:hAnsi="Times New Roman" w:cs="Times New Roman"/>
          <w:bCs/>
          <w:sz w:val="24"/>
          <w:szCs w:val="24"/>
        </w:rPr>
        <w:t xml:space="preserve"> </w:t>
      </w:r>
      <w:r w:rsidRPr="00193D19">
        <w:rPr>
          <w:rFonts w:ascii="Times New Roman" w:hAnsi="Times New Roman" w:cs="Times New Roman"/>
          <w:bCs/>
          <w:sz w:val="24"/>
          <w:szCs w:val="24"/>
        </w:rPr>
        <w:t>BMLW4005</w:t>
      </w:r>
    </w:p>
    <w:p w14:paraId="08EFA84C" w14:textId="32717945" w:rsidR="009F1DC8" w:rsidRPr="00193D19" w:rsidRDefault="003E0582" w:rsidP="00193D19">
      <w:pPr>
        <w:spacing w:line="480" w:lineRule="auto"/>
        <w:jc w:val="center"/>
        <w:rPr>
          <w:rFonts w:ascii="Times New Roman" w:eastAsia="Arial" w:hAnsi="Times New Roman" w:cs="Times New Roman"/>
          <w:bCs/>
          <w:sz w:val="24"/>
          <w:szCs w:val="24"/>
        </w:rPr>
      </w:pPr>
      <w:r>
        <w:rPr>
          <w:rFonts w:ascii="Times New Roman" w:hAnsi="Times New Roman" w:cs="Times New Roman"/>
          <w:bCs/>
          <w:sz w:val="24"/>
          <w:szCs w:val="24"/>
        </w:rPr>
        <w:t>L. Knight</w:t>
      </w:r>
    </w:p>
    <w:p w14:paraId="6145BC76" w14:textId="4AAE2AA6" w:rsidR="00193D19" w:rsidRDefault="00193D19" w:rsidP="00193D19">
      <w:pPr>
        <w:spacing w:before="120" w:after="120"/>
        <w:jc w:val="center"/>
        <w:rPr>
          <w:rFonts w:ascii="Arial" w:hAnsi="Arial" w:cs="Arial"/>
          <w:b/>
        </w:rPr>
      </w:pPr>
    </w:p>
    <w:p w14:paraId="2137AE7C" w14:textId="18B2973E" w:rsidR="00325951" w:rsidRDefault="00325951" w:rsidP="00325951">
      <w:pPr>
        <w:spacing w:line="480" w:lineRule="auto"/>
        <w:jc w:val="both"/>
        <w:rPr>
          <w:rFonts w:ascii="Times New Roman" w:eastAsia="Arial" w:hAnsi="Times New Roman" w:cs="Times New Roman"/>
          <w:b/>
          <w:sz w:val="24"/>
          <w:szCs w:val="24"/>
        </w:rPr>
      </w:pPr>
    </w:p>
    <w:p w14:paraId="1660DC86" w14:textId="77777777" w:rsidR="007F4A53" w:rsidRPr="00325951" w:rsidRDefault="007F4A53" w:rsidP="00325951">
      <w:pPr>
        <w:spacing w:line="480" w:lineRule="auto"/>
        <w:jc w:val="both"/>
        <w:rPr>
          <w:rFonts w:ascii="Times New Roman" w:hAnsi="Times New Roman" w:cs="Times New Roman"/>
          <w:b/>
          <w:sz w:val="24"/>
          <w:szCs w:val="24"/>
        </w:rPr>
      </w:pPr>
    </w:p>
    <w:p w14:paraId="702D97C5" w14:textId="77777777" w:rsidR="00325951" w:rsidRPr="00325951" w:rsidRDefault="00325951" w:rsidP="00325951">
      <w:pPr>
        <w:spacing w:line="480" w:lineRule="auto"/>
        <w:jc w:val="both"/>
        <w:rPr>
          <w:rFonts w:ascii="Times New Roman" w:hAnsi="Times New Roman" w:cs="Times New Roman"/>
          <w:b/>
          <w:sz w:val="24"/>
          <w:szCs w:val="24"/>
        </w:rPr>
      </w:pPr>
    </w:p>
    <w:p w14:paraId="202460C5" w14:textId="77777777" w:rsidR="00325951" w:rsidRPr="00325951" w:rsidRDefault="00325951" w:rsidP="00325951">
      <w:pPr>
        <w:spacing w:line="480" w:lineRule="auto"/>
        <w:ind w:firstLine="720"/>
        <w:jc w:val="both"/>
        <w:rPr>
          <w:rFonts w:ascii="Times New Roman" w:hAnsi="Times New Roman" w:cs="Times New Roman"/>
          <w:b/>
          <w:sz w:val="24"/>
          <w:szCs w:val="24"/>
        </w:rPr>
      </w:pPr>
    </w:p>
    <w:p w14:paraId="2EA13751" w14:textId="77777777" w:rsidR="00325951" w:rsidRPr="00325951" w:rsidRDefault="00325951" w:rsidP="00325951">
      <w:pPr>
        <w:spacing w:line="480" w:lineRule="auto"/>
        <w:jc w:val="both"/>
        <w:rPr>
          <w:rFonts w:ascii="Times New Roman" w:hAnsi="Times New Roman" w:cs="Times New Roman"/>
          <w:b/>
          <w:sz w:val="24"/>
          <w:szCs w:val="24"/>
        </w:rPr>
      </w:pPr>
    </w:p>
    <w:p w14:paraId="79D3D86B" w14:textId="77777777" w:rsidR="00F245F8" w:rsidRPr="00325951" w:rsidRDefault="00E06860" w:rsidP="00325951">
      <w:pPr>
        <w:spacing w:line="480" w:lineRule="auto"/>
        <w:ind w:firstLine="720"/>
        <w:jc w:val="both"/>
        <w:rPr>
          <w:rFonts w:ascii="Times New Roman" w:hAnsi="Times New Roman" w:cs="Times New Roman"/>
          <w:b/>
          <w:sz w:val="24"/>
          <w:szCs w:val="24"/>
        </w:rPr>
      </w:pPr>
      <w:r w:rsidRPr="00325951">
        <w:rPr>
          <w:rFonts w:ascii="Times New Roman" w:hAnsi="Times New Roman" w:cs="Times New Roman"/>
          <w:b/>
          <w:sz w:val="24"/>
          <w:szCs w:val="24"/>
        </w:rPr>
        <w:lastRenderedPageBreak/>
        <w:t>Introduction</w:t>
      </w:r>
    </w:p>
    <w:p w14:paraId="4F227156" w14:textId="77777777" w:rsidR="00577B99" w:rsidRPr="00325951" w:rsidRDefault="00E06860" w:rsidP="00325951">
      <w:pPr>
        <w:spacing w:line="480" w:lineRule="auto"/>
        <w:ind w:firstLine="720"/>
        <w:jc w:val="both"/>
        <w:rPr>
          <w:rFonts w:ascii="Times New Roman" w:hAnsi="Times New Roman" w:cs="Times New Roman"/>
          <w:sz w:val="24"/>
          <w:szCs w:val="24"/>
        </w:rPr>
      </w:pPr>
      <w:r w:rsidRPr="00325951">
        <w:rPr>
          <w:rFonts w:ascii="Times New Roman" w:hAnsi="Times New Roman" w:cs="Times New Roman"/>
          <w:sz w:val="24"/>
          <w:szCs w:val="24"/>
        </w:rPr>
        <w:t xml:space="preserve">The Coroners act refers to the legal action that requires that individuals should notify the police/ coroner of any death cases in particular circumstances </w:t>
      </w:r>
      <w:r w:rsidR="00DF5E23" w:rsidRPr="00325951">
        <w:rPr>
          <w:rFonts w:ascii="Times New Roman" w:hAnsi="Times New Roman" w:cs="Times New Roman"/>
          <w:sz w:val="24"/>
          <w:szCs w:val="24"/>
        </w:rPr>
        <w:t>so that the police/coroner can do everything necessary to investigate the death cause and establish the circumstances associated with that case. The Coroners and Justice Act 2009 aimed to deliver more responsive,  transparent and effective justice and coroner services for witnesses, families , the wider public and the victims of such crimes</w:t>
      </w:r>
      <w:r w:rsidR="00F2133C" w:rsidRPr="00325951">
        <w:rPr>
          <w:rFonts w:ascii="Times New Roman" w:hAnsi="Times New Roman" w:cs="Times New Roman"/>
          <w:sz w:val="24"/>
          <w:szCs w:val="24"/>
        </w:rPr>
        <w:t xml:space="preserve"> (</w:t>
      </w:r>
      <w:r w:rsidR="00F2133C" w:rsidRPr="00325951">
        <w:rPr>
          <w:rFonts w:ascii="Times New Roman" w:hAnsi="Times New Roman" w:cs="Times New Roman"/>
          <w:sz w:val="24"/>
          <w:szCs w:val="24"/>
          <w:shd w:val="clear" w:color="auto" w:fill="FFFFFF"/>
        </w:rPr>
        <w:t>Norrie and Alan, 2010, p.280</w:t>
      </w:r>
      <w:r w:rsidR="00F2133C" w:rsidRPr="00325951">
        <w:rPr>
          <w:rFonts w:ascii="Times New Roman" w:hAnsi="Times New Roman" w:cs="Times New Roman"/>
          <w:sz w:val="24"/>
          <w:szCs w:val="24"/>
        </w:rPr>
        <w:t>)</w:t>
      </w:r>
      <w:r w:rsidR="00DF5E23" w:rsidRPr="00325951">
        <w:rPr>
          <w:rFonts w:ascii="Times New Roman" w:hAnsi="Times New Roman" w:cs="Times New Roman"/>
          <w:sz w:val="24"/>
          <w:szCs w:val="24"/>
        </w:rPr>
        <w:t>. According to this Act, a person shall not be declared guilty of murder if that person is established to be suffering from mind abnormalities that impair their mental responsibility for their actions as murderers or being part of the killing. This law allows the governm</w:t>
      </w:r>
      <w:r w:rsidR="00F2133C" w:rsidRPr="00325951">
        <w:rPr>
          <w:rFonts w:ascii="Times New Roman" w:hAnsi="Times New Roman" w:cs="Times New Roman"/>
          <w:sz w:val="24"/>
          <w:szCs w:val="24"/>
        </w:rPr>
        <w:t>ent all inde</w:t>
      </w:r>
      <w:r w:rsidR="00DF5E23" w:rsidRPr="00325951">
        <w:rPr>
          <w:rFonts w:ascii="Times New Roman" w:hAnsi="Times New Roman" w:cs="Times New Roman"/>
          <w:sz w:val="24"/>
          <w:szCs w:val="24"/>
        </w:rPr>
        <w:t xml:space="preserve">pendent </w:t>
      </w:r>
      <w:r w:rsidR="00F2133C" w:rsidRPr="00325951">
        <w:rPr>
          <w:rFonts w:ascii="Times New Roman" w:hAnsi="Times New Roman" w:cs="Times New Roman"/>
          <w:sz w:val="24"/>
          <w:szCs w:val="24"/>
        </w:rPr>
        <w:t>inquests into death cases in favor of an inquiry that can be held secret according to the Inquiries Act of 2005 (</w:t>
      </w:r>
      <w:r w:rsidR="00F2133C" w:rsidRPr="00325951">
        <w:rPr>
          <w:rFonts w:ascii="Times New Roman" w:hAnsi="Times New Roman" w:cs="Times New Roman"/>
          <w:sz w:val="24"/>
          <w:szCs w:val="24"/>
          <w:shd w:val="clear" w:color="auto" w:fill="FFFFFF"/>
        </w:rPr>
        <w:t>Mitchell, Barry, 2009, p.40</w:t>
      </w:r>
      <w:r w:rsidR="00F2133C" w:rsidRPr="00325951">
        <w:rPr>
          <w:rFonts w:ascii="Times New Roman" w:hAnsi="Times New Roman" w:cs="Times New Roman"/>
          <w:sz w:val="24"/>
          <w:szCs w:val="24"/>
        </w:rPr>
        <w:t>). This essay seeks to establish the changes that The Coroners and Justice Act 2009 made in defending diminished responsibility and whether the amendments improved the law.</w:t>
      </w:r>
    </w:p>
    <w:p w14:paraId="7762E2CE" w14:textId="77777777" w:rsidR="00AD708B" w:rsidRPr="00325951" w:rsidRDefault="00E06860" w:rsidP="00325951">
      <w:pPr>
        <w:spacing w:line="480" w:lineRule="auto"/>
        <w:ind w:firstLine="720"/>
        <w:jc w:val="both"/>
        <w:rPr>
          <w:rFonts w:ascii="Times New Roman" w:hAnsi="Times New Roman" w:cs="Times New Roman"/>
          <w:sz w:val="24"/>
          <w:szCs w:val="24"/>
        </w:rPr>
      </w:pPr>
      <w:r w:rsidRPr="00325951">
        <w:rPr>
          <w:rFonts w:ascii="Times New Roman" w:hAnsi="Times New Roman" w:cs="Times New Roman"/>
          <w:sz w:val="24"/>
          <w:szCs w:val="24"/>
        </w:rPr>
        <w:t>The 1957 Homicide act was an act for Wales and England (and for the court-martials wherever sitting) to make amendments regarding the homicide law and the punishment and trial for murder, and for Scotland, the amendments of the law regarding the punishment and trial for attempts or murder and murder</w:t>
      </w:r>
      <w:r w:rsidR="00F245F8" w:rsidRPr="00325951">
        <w:rPr>
          <w:rFonts w:ascii="Times New Roman" w:hAnsi="Times New Roman" w:cs="Times New Roman"/>
          <w:sz w:val="24"/>
          <w:szCs w:val="24"/>
        </w:rPr>
        <w:t xml:space="preserve"> (</w:t>
      </w:r>
      <w:r w:rsidR="00F245F8" w:rsidRPr="00325951">
        <w:rPr>
          <w:rFonts w:ascii="Times New Roman" w:hAnsi="Times New Roman" w:cs="Times New Roman"/>
          <w:sz w:val="24"/>
          <w:szCs w:val="24"/>
          <w:shd w:val="clear" w:color="auto" w:fill="FFFFFF"/>
        </w:rPr>
        <w:t>Griffin, Stephen, and Jon, 2010, p.370</w:t>
      </w:r>
      <w:r w:rsidR="00F245F8" w:rsidRPr="00325951">
        <w:rPr>
          <w:rFonts w:ascii="Times New Roman" w:hAnsi="Times New Roman" w:cs="Times New Roman"/>
          <w:sz w:val="24"/>
          <w:szCs w:val="24"/>
        </w:rPr>
        <w:t>)</w:t>
      </w:r>
      <w:r w:rsidRPr="00325951">
        <w:rPr>
          <w:rFonts w:ascii="Times New Roman" w:hAnsi="Times New Roman" w:cs="Times New Roman"/>
          <w:sz w:val="24"/>
          <w:szCs w:val="24"/>
        </w:rPr>
        <w:t>. Section 2 of this Act has several provisions. First, a person who is a party to the murder or murder</w:t>
      </w:r>
      <w:r w:rsidR="00325951">
        <w:rPr>
          <w:rFonts w:ascii="Times New Roman" w:hAnsi="Times New Roman" w:cs="Times New Roman"/>
          <w:sz w:val="24"/>
          <w:szCs w:val="24"/>
        </w:rPr>
        <w:t>er</w:t>
      </w:r>
      <w:r w:rsidRPr="00325951">
        <w:rPr>
          <w:rFonts w:ascii="Times New Roman" w:hAnsi="Times New Roman" w:cs="Times New Roman"/>
          <w:sz w:val="24"/>
          <w:szCs w:val="24"/>
        </w:rPr>
        <w:t xml:space="preserve"> of another person </w:t>
      </w:r>
      <w:r w:rsidR="00E0715D" w:rsidRPr="00325951">
        <w:rPr>
          <w:rFonts w:ascii="Times New Roman" w:hAnsi="Times New Roman" w:cs="Times New Roman"/>
          <w:sz w:val="24"/>
          <w:szCs w:val="24"/>
        </w:rPr>
        <w:t>is not supposed to be convicted if the individual is suffering from abnormal mental functioning</w:t>
      </w:r>
      <w:r w:rsidR="00F245F8" w:rsidRPr="00325951">
        <w:rPr>
          <w:rFonts w:ascii="Times New Roman" w:hAnsi="Times New Roman" w:cs="Times New Roman"/>
          <w:sz w:val="24"/>
          <w:szCs w:val="24"/>
        </w:rPr>
        <w:t xml:space="preserve"> (</w:t>
      </w:r>
      <w:r w:rsidR="00F245F8" w:rsidRPr="00325951">
        <w:rPr>
          <w:rFonts w:ascii="Times New Roman" w:hAnsi="Times New Roman" w:cs="Times New Roman"/>
          <w:sz w:val="24"/>
          <w:szCs w:val="24"/>
          <w:shd w:val="clear" w:color="auto" w:fill="FFFFFF"/>
        </w:rPr>
        <w:t>Large et al.</w:t>
      </w:r>
      <w:r w:rsidR="000B5341" w:rsidRPr="00325951">
        <w:rPr>
          <w:rFonts w:ascii="Times New Roman" w:hAnsi="Times New Roman" w:cs="Times New Roman"/>
          <w:sz w:val="24"/>
          <w:szCs w:val="24"/>
          <w:shd w:val="clear" w:color="auto" w:fill="FFFFFF"/>
        </w:rPr>
        <w:t>, 2008</w:t>
      </w:r>
      <w:r w:rsidR="00F245F8" w:rsidRPr="00325951">
        <w:rPr>
          <w:rFonts w:ascii="Times New Roman" w:hAnsi="Times New Roman" w:cs="Times New Roman"/>
          <w:sz w:val="24"/>
          <w:szCs w:val="24"/>
          <w:shd w:val="clear" w:color="auto" w:fill="FFFFFF"/>
        </w:rPr>
        <w:t>, p.133</w:t>
      </w:r>
      <w:r w:rsidR="00F245F8" w:rsidRPr="00325951">
        <w:rPr>
          <w:rFonts w:ascii="Times New Roman" w:hAnsi="Times New Roman" w:cs="Times New Roman"/>
          <w:sz w:val="24"/>
          <w:szCs w:val="24"/>
        </w:rPr>
        <w:t>)</w:t>
      </w:r>
      <w:r w:rsidR="00E0715D" w:rsidRPr="00325951">
        <w:rPr>
          <w:rFonts w:ascii="Times New Roman" w:hAnsi="Times New Roman" w:cs="Times New Roman"/>
          <w:sz w:val="24"/>
          <w:szCs w:val="24"/>
        </w:rPr>
        <w:t xml:space="preserve">. The abnormality in mental functioning could be as a result of a familiar or known medical condition, substantiality which may have impaired the person's ability to do any of the things stated in 1A, and if the mental state resulted from the explanation provided for the person's Act or omissions in either being party to the killing or doing the killing. The acts in section </w:t>
      </w:r>
      <w:r w:rsidR="00E0715D" w:rsidRPr="00325951">
        <w:rPr>
          <w:rFonts w:ascii="Times New Roman" w:hAnsi="Times New Roman" w:cs="Times New Roman"/>
          <w:sz w:val="24"/>
          <w:szCs w:val="24"/>
        </w:rPr>
        <w:lastRenderedPageBreak/>
        <w:t xml:space="preserve">1A that the person's mental state may impair </w:t>
      </w:r>
      <w:r w:rsidR="00325951">
        <w:rPr>
          <w:rFonts w:ascii="Times New Roman" w:hAnsi="Times New Roman" w:cs="Times New Roman"/>
          <w:sz w:val="24"/>
          <w:szCs w:val="24"/>
        </w:rPr>
        <w:t xml:space="preserve">against </w:t>
      </w:r>
      <w:r w:rsidR="00E0715D" w:rsidRPr="00325951">
        <w:rPr>
          <w:rFonts w:ascii="Times New Roman" w:hAnsi="Times New Roman" w:cs="Times New Roman"/>
          <w:sz w:val="24"/>
          <w:szCs w:val="24"/>
        </w:rPr>
        <w:t xml:space="preserve">include </w:t>
      </w:r>
      <w:r w:rsidR="00F245F8" w:rsidRPr="00325951">
        <w:rPr>
          <w:rFonts w:ascii="Times New Roman" w:hAnsi="Times New Roman" w:cs="Times New Roman"/>
          <w:sz w:val="24"/>
          <w:szCs w:val="24"/>
        </w:rPr>
        <w:t xml:space="preserve">understanding the nature </w:t>
      </w:r>
      <w:r w:rsidR="00E0715D" w:rsidRPr="00325951">
        <w:rPr>
          <w:rFonts w:ascii="Times New Roman" w:hAnsi="Times New Roman" w:cs="Times New Roman"/>
          <w:sz w:val="24"/>
          <w:szCs w:val="24"/>
        </w:rPr>
        <w:t>of the</w:t>
      </w:r>
      <w:r w:rsidR="00F245F8" w:rsidRPr="00325951">
        <w:rPr>
          <w:rFonts w:ascii="Times New Roman" w:hAnsi="Times New Roman" w:cs="Times New Roman"/>
          <w:sz w:val="24"/>
          <w:szCs w:val="24"/>
        </w:rPr>
        <w:t>ir</w:t>
      </w:r>
      <w:r w:rsidR="00E0715D" w:rsidRPr="00325951">
        <w:rPr>
          <w:rFonts w:ascii="Times New Roman" w:hAnsi="Times New Roman" w:cs="Times New Roman"/>
          <w:sz w:val="24"/>
          <w:szCs w:val="24"/>
        </w:rPr>
        <w:t xml:space="preserve"> conduct, </w:t>
      </w:r>
      <w:r w:rsidR="00F245F8" w:rsidRPr="00325951">
        <w:rPr>
          <w:rFonts w:ascii="Times New Roman" w:hAnsi="Times New Roman" w:cs="Times New Roman"/>
          <w:sz w:val="24"/>
          <w:szCs w:val="24"/>
        </w:rPr>
        <w:t>forming a</w:t>
      </w:r>
      <w:r w:rsidR="00E0715D" w:rsidRPr="00325951">
        <w:rPr>
          <w:rFonts w:ascii="Times New Roman" w:hAnsi="Times New Roman" w:cs="Times New Roman"/>
          <w:sz w:val="24"/>
          <w:szCs w:val="24"/>
        </w:rPr>
        <w:t xml:space="preserve"> rational judgment, and </w:t>
      </w:r>
      <w:r w:rsidR="00F245F8" w:rsidRPr="00325951">
        <w:rPr>
          <w:rFonts w:ascii="Times New Roman" w:hAnsi="Times New Roman" w:cs="Times New Roman"/>
          <w:sz w:val="24"/>
          <w:szCs w:val="24"/>
        </w:rPr>
        <w:t>exercising</w:t>
      </w:r>
      <w:r w:rsidR="00E0715D" w:rsidRPr="00325951">
        <w:rPr>
          <w:rFonts w:ascii="Times New Roman" w:hAnsi="Times New Roman" w:cs="Times New Roman"/>
          <w:sz w:val="24"/>
          <w:szCs w:val="24"/>
        </w:rPr>
        <w:t xml:space="preserve"> </w:t>
      </w:r>
      <w:r w:rsidR="00F245F8" w:rsidRPr="00325951">
        <w:rPr>
          <w:rFonts w:ascii="Times New Roman" w:hAnsi="Times New Roman" w:cs="Times New Roman"/>
          <w:sz w:val="24"/>
          <w:szCs w:val="24"/>
        </w:rPr>
        <w:t>self-</w:t>
      </w:r>
      <w:r w:rsidR="00E0715D" w:rsidRPr="00325951">
        <w:rPr>
          <w:rFonts w:ascii="Times New Roman" w:hAnsi="Times New Roman" w:cs="Times New Roman"/>
          <w:sz w:val="24"/>
          <w:szCs w:val="24"/>
        </w:rPr>
        <w:t>control.</w:t>
      </w:r>
      <w:r w:rsidR="00F245F8" w:rsidRPr="00325951">
        <w:rPr>
          <w:rFonts w:ascii="Times New Roman" w:hAnsi="Times New Roman" w:cs="Times New Roman"/>
          <w:sz w:val="24"/>
          <w:szCs w:val="24"/>
        </w:rPr>
        <w:t xml:space="preserve"> The section further provides that the accused's conduct would be explained by their mental abnormality (</w:t>
      </w:r>
      <w:r w:rsidR="00F245F8" w:rsidRPr="00325951">
        <w:rPr>
          <w:rFonts w:ascii="Times New Roman" w:hAnsi="Times New Roman" w:cs="Times New Roman"/>
          <w:sz w:val="24"/>
          <w:szCs w:val="24"/>
          <w:shd w:val="clear" w:color="auto" w:fill="FFFFFF"/>
        </w:rPr>
        <w:t>Wake and Nicola, 2011, p.12</w:t>
      </w:r>
      <w:r w:rsidR="00F245F8" w:rsidRPr="00325951">
        <w:rPr>
          <w:rFonts w:ascii="Times New Roman" w:hAnsi="Times New Roman" w:cs="Times New Roman"/>
          <w:sz w:val="24"/>
          <w:szCs w:val="24"/>
        </w:rPr>
        <w:t>). Therefore, in the case of murder, because of the mentioned reasons, the person will not be convicted of murder under this section.</w:t>
      </w:r>
    </w:p>
    <w:p w14:paraId="27A3EEA0" w14:textId="77777777" w:rsidR="003A5CC6" w:rsidRPr="00325951" w:rsidRDefault="00E06860" w:rsidP="00325951">
      <w:pPr>
        <w:spacing w:line="480" w:lineRule="auto"/>
        <w:ind w:firstLine="720"/>
        <w:jc w:val="both"/>
        <w:rPr>
          <w:rFonts w:ascii="Times New Roman" w:hAnsi="Times New Roman" w:cs="Times New Roman"/>
          <w:sz w:val="24"/>
          <w:szCs w:val="24"/>
        </w:rPr>
      </w:pPr>
      <w:r w:rsidRPr="00325951">
        <w:rPr>
          <w:rFonts w:ascii="Times New Roman" w:hAnsi="Times New Roman" w:cs="Times New Roman"/>
          <w:sz w:val="24"/>
          <w:szCs w:val="24"/>
        </w:rPr>
        <w:t>On 12</w:t>
      </w:r>
      <w:r w:rsidRPr="00325951">
        <w:rPr>
          <w:rFonts w:ascii="Times New Roman" w:hAnsi="Times New Roman" w:cs="Times New Roman"/>
          <w:sz w:val="24"/>
          <w:szCs w:val="24"/>
          <w:vertAlign w:val="superscript"/>
        </w:rPr>
        <w:t>th</w:t>
      </w:r>
      <w:r w:rsidRPr="00325951">
        <w:rPr>
          <w:rFonts w:ascii="Times New Roman" w:hAnsi="Times New Roman" w:cs="Times New Roman"/>
          <w:sz w:val="24"/>
          <w:szCs w:val="24"/>
        </w:rPr>
        <w:t xml:space="preserve"> November 2009, the Coroners and Justice Act 2009 was enforced</w:t>
      </w:r>
      <w:r w:rsidR="00C12C3A" w:rsidRPr="00325951">
        <w:rPr>
          <w:rFonts w:ascii="Times New Roman" w:hAnsi="Times New Roman" w:cs="Times New Roman"/>
          <w:sz w:val="24"/>
          <w:szCs w:val="24"/>
        </w:rPr>
        <w:t xml:space="preserve">; this abolished the common law's partial defense of provocation and the second and third sections of the 1957 Homicide Act. </w:t>
      </w:r>
      <w:r w:rsidR="00AD708B" w:rsidRPr="00325951">
        <w:rPr>
          <w:rFonts w:ascii="Times New Roman" w:hAnsi="Times New Roman" w:cs="Times New Roman"/>
          <w:sz w:val="24"/>
          <w:szCs w:val="24"/>
        </w:rPr>
        <w:t>The second of the 1957 Homicide Act</w:t>
      </w:r>
      <w:r w:rsidRPr="00325951">
        <w:rPr>
          <w:rFonts w:ascii="Times New Roman" w:hAnsi="Times New Roman" w:cs="Times New Roman"/>
          <w:sz w:val="24"/>
          <w:szCs w:val="24"/>
        </w:rPr>
        <w:t xml:space="preserve"> has been considered indefensible. This Act had to change because of the many anomalies that were realized. The mental responsibility concept has been considered a hybrid which turned the psychiatrist witness into either a spare barrister or a thirteenth juryman</w:t>
      </w:r>
      <w:r w:rsidR="008D0D35" w:rsidRPr="00325951">
        <w:rPr>
          <w:rFonts w:ascii="Times New Roman" w:hAnsi="Times New Roman" w:cs="Times New Roman"/>
          <w:sz w:val="24"/>
          <w:szCs w:val="24"/>
        </w:rPr>
        <w:t xml:space="preserve"> (</w:t>
      </w:r>
      <w:r w:rsidR="008D0D35" w:rsidRPr="00325951">
        <w:rPr>
          <w:rFonts w:ascii="Times New Roman" w:hAnsi="Times New Roman" w:cs="Times New Roman"/>
          <w:sz w:val="24"/>
          <w:szCs w:val="24"/>
          <w:shd w:val="clear" w:color="auto" w:fill="FFFFFF"/>
        </w:rPr>
        <w:t>Maher and Gerry, 2010, p.218</w:t>
      </w:r>
      <w:r w:rsidR="008D0D35" w:rsidRPr="00325951">
        <w:rPr>
          <w:rFonts w:ascii="Times New Roman" w:hAnsi="Times New Roman" w:cs="Times New Roman"/>
          <w:sz w:val="24"/>
          <w:szCs w:val="24"/>
        </w:rPr>
        <w:t>)</w:t>
      </w:r>
      <w:r w:rsidRPr="00325951">
        <w:rPr>
          <w:rFonts w:ascii="Times New Roman" w:hAnsi="Times New Roman" w:cs="Times New Roman"/>
          <w:sz w:val="24"/>
          <w:szCs w:val="24"/>
        </w:rPr>
        <w:t>. The reform did not align with the Criminal law Revision Committee or the Butler Committee. From this committee, the jury goes back to the policy of the eighteenth century, where mental wellness is not considered a factor in responsibility determination but a way of escaping from responsibility</w:t>
      </w:r>
      <w:r w:rsidR="008D0D35" w:rsidRPr="00325951">
        <w:rPr>
          <w:rFonts w:ascii="Times New Roman" w:hAnsi="Times New Roman" w:cs="Times New Roman"/>
          <w:sz w:val="24"/>
          <w:szCs w:val="24"/>
        </w:rPr>
        <w:t xml:space="preserve"> (</w:t>
      </w:r>
      <w:r w:rsidR="008D0D35" w:rsidRPr="00325951">
        <w:rPr>
          <w:rFonts w:ascii="Times New Roman" w:hAnsi="Times New Roman" w:cs="Times New Roman"/>
          <w:sz w:val="24"/>
          <w:szCs w:val="24"/>
          <w:shd w:val="clear" w:color="auto" w:fill="FFFFFF"/>
        </w:rPr>
        <w:t>Mackay, Ronnie, and Barry, 2017</w:t>
      </w:r>
      <w:r w:rsidR="008D0D35" w:rsidRPr="00325951">
        <w:rPr>
          <w:rFonts w:ascii="Times New Roman" w:hAnsi="Times New Roman" w:cs="Times New Roman"/>
          <w:sz w:val="24"/>
          <w:szCs w:val="24"/>
        </w:rPr>
        <w:t>)</w:t>
      </w:r>
      <w:r w:rsidRPr="00325951">
        <w:rPr>
          <w:rFonts w:ascii="Times New Roman" w:hAnsi="Times New Roman" w:cs="Times New Roman"/>
          <w:sz w:val="24"/>
          <w:szCs w:val="24"/>
        </w:rPr>
        <w:t>. The criticisms by the McNaughton rules further provided a more sound ground for determining where responsibility should be assigned in a criminal case.</w:t>
      </w:r>
      <w:r w:rsidR="00C12C3A" w:rsidRPr="00325951">
        <w:rPr>
          <w:rFonts w:ascii="Times New Roman" w:hAnsi="Times New Roman" w:cs="Times New Roman"/>
          <w:sz w:val="24"/>
          <w:szCs w:val="24"/>
        </w:rPr>
        <w:t xml:space="preserve"> The biggest question was whether such an act as murder should be considered a mental or moral responsibility. Many people getting away with mental </w:t>
      </w:r>
      <w:r w:rsidR="008D0D35" w:rsidRPr="00325951">
        <w:rPr>
          <w:rFonts w:ascii="Times New Roman" w:hAnsi="Times New Roman" w:cs="Times New Roman"/>
          <w:sz w:val="24"/>
          <w:szCs w:val="24"/>
        </w:rPr>
        <w:t>abnormality denied justice for many victims of the bereaved persons. It is because of these weaknesses and inefficiencies that this Act went through an amendment.</w:t>
      </w:r>
    </w:p>
    <w:p w14:paraId="57063848" w14:textId="77777777" w:rsidR="008D0D35" w:rsidRPr="00325951" w:rsidRDefault="00E06860" w:rsidP="00325951">
      <w:pPr>
        <w:spacing w:line="480" w:lineRule="auto"/>
        <w:ind w:firstLine="720"/>
        <w:jc w:val="both"/>
        <w:rPr>
          <w:rFonts w:ascii="Times New Roman" w:hAnsi="Times New Roman" w:cs="Times New Roman"/>
          <w:sz w:val="24"/>
          <w:szCs w:val="24"/>
        </w:rPr>
      </w:pPr>
      <w:r w:rsidRPr="00325951">
        <w:rPr>
          <w:rFonts w:ascii="Times New Roman" w:hAnsi="Times New Roman" w:cs="Times New Roman"/>
          <w:sz w:val="24"/>
          <w:szCs w:val="24"/>
        </w:rPr>
        <w:t xml:space="preserve">Section 52 of the Corners and Justice Act 2009 mainly deals with the partial defense to murder by diminished responsibility as it applied to Wales and England. It, therefore, changed the law in several areas. It first replaced the partial defense definition with a more modern definition. It achieves this by having new subsections ((1) to (1B) replace section two of the Homicide Act </w:t>
      </w:r>
      <w:r w:rsidRPr="00325951">
        <w:rPr>
          <w:rFonts w:ascii="Times New Roman" w:hAnsi="Times New Roman" w:cs="Times New Roman"/>
          <w:sz w:val="24"/>
          <w:szCs w:val="24"/>
        </w:rPr>
        <w:lastRenderedPageBreak/>
        <w:t>1957</w:t>
      </w:r>
      <w:r w:rsidR="00412AF5" w:rsidRPr="00325951">
        <w:rPr>
          <w:rFonts w:ascii="Times New Roman" w:hAnsi="Times New Roman" w:cs="Times New Roman"/>
          <w:sz w:val="24"/>
          <w:szCs w:val="24"/>
        </w:rPr>
        <w:t xml:space="preserve"> (</w:t>
      </w:r>
      <w:r w:rsidR="00412AF5" w:rsidRPr="00325951">
        <w:rPr>
          <w:rFonts w:ascii="Times New Roman" w:hAnsi="Times New Roman" w:cs="Times New Roman"/>
          <w:sz w:val="24"/>
          <w:szCs w:val="24"/>
          <w:shd w:val="clear" w:color="auto" w:fill="FFFFFF"/>
        </w:rPr>
        <w:t>Criminal Law Policy Unit Ministry of Justice, 2010)</w:t>
      </w:r>
      <w:r w:rsidRPr="00325951">
        <w:rPr>
          <w:rFonts w:ascii="Times New Roman" w:hAnsi="Times New Roman" w:cs="Times New Roman"/>
          <w:sz w:val="24"/>
          <w:szCs w:val="24"/>
        </w:rPr>
        <w:t>.</w:t>
      </w:r>
      <w:r w:rsidR="001E0818" w:rsidRPr="00325951">
        <w:rPr>
          <w:rFonts w:ascii="Times New Roman" w:hAnsi="Times New Roman" w:cs="Times New Roman"/>
          <w:sz w:val="24"/>
          <w:szCs w:val="24"/>
        </w:rPr>
        <w:t xml:space="preserve"> No change is done regarding the outcome of the successful pleading of partial defense and the requirement for the defense to prove the application of the partial defense. The subsection 1 amendment provides that abnormal mental functioning arising from proven medical conditions will not be convicted for murder</w:t>
      </w:r>
      <w:r w:rsidR="007A61DC" w:rsidRPr="00325951">
        <w:rPr>
          <w:rFonts w:ascii="Times New Roman" w:hAnsi="Times New Roman" w:cs="Times New Roman"/>
          <w:sz w:val="24"/>
          <w:szCs w:val="24"/>
        </w:rPr>
        <w:t xml:space="preserve"> (</w:t>
      </w:r>
      <w:r w:rsidR="007A61DC" w:rsidRPr="00325951">
        <w:rPr>
          <w:rFonts w:ascii="Times New Roman" w:hAnsi="Times New Roman" w:cs="Times New Roman"/>
          <w:sz w:val="24"/>
          <w:szCs w:val="24"/>
          <w:shd w:val="clear" w:color="auto" w:fill="FFFFFF"/>
        </w:rPr>
        <w:t>Sprack and John, 2011</w:t>
      </w:r>
      <w:r w:rsidR="007A61DC" w:rsidRPr="00325951">
        <w:rPr>
          <w:rFonts w:ascii="Times New Roman" w:hAnsi="Times New Roman" w:cs="Times New Roman"/>
          <w:sz w:val="24"/>
          <w:szCs w:val="24"/>
        </w:rPr>
        <w:t>)</w:t>
      </w:r>
      <w:r w:rsidR="001E0818" w:rsidRPr="00325951">
        <w:rPr>
          <w:rFonts w:ascii="Times New Roman" w:hAnsi="Times New Roman" w:cs="Times New Roman"/>
          <w:sz w:val="24"/>
          <w:szCs w:val="24"/>
        </w:rPr>
        <w:t>. This will be proved if the accused cannot understand the nature of their conduct, if they cannot make a rational judgment, and cannot exercise self-control.</w:t>
      </w:r>
      <w:r w:rsidR="00606851" w:rsidRPr="00325951">
        <w:rPr>
          <w:rFonts w:ascii="Times New Roman" w:hAnsi="Times New Roman" w:cs="Times New Roman"/>
          <w:sz w:val="24"/>
          <w:szCs w:val="24"/>
        </w:rPr>
        <w:t xml:space="preserve"> Subsection 1B provides that abnormal mental functioning proves that the actions done were influenced by their mental state</w:t>
      </w:r>
      <w:r w:rsidR="00412AF5" w:rsidRPr="00325951">
        <w:rPr>
          <w:rFonts w:ascii="Times New Roman" w:hAnsi="Times New Roman" w:cs="Times New Roman"/>
          <w:sz w:val="24"/>
          <w:szCs w:val="24"/>
        </w:rPr>
        <w:t xml:space="preserve"> (</w:t>
      </w:r>
      <w:r w:rsidR="00412AF5" w:rsidRPr="00325951">
        <w:rPr>
          <w:rFonts w:ascii="Times New Roman" w:hAnsi="Times New Roman" w:cs="Times New Roman"/>
          <w:sz w:val="24"/>
          <w:szCs w:val="24"/>
          <w:shd w:val="clear" w:color="auto" w:fill="FFFFFF"/>
        </w:rPr>
        <w:t>Luce and Tom, 2010, p.176</w:t>
      </w:r>
      <w:r w:rsidR="00412AF5" w:rsidRPr="00325951">
        <w:rPr>
          <w:rFonts w:ascii="Times New Roman" w:hAnsi="Times New Roman" w:cs="Times New Roman"/>
          <w:sz w:val="24"/>
          <w:szCs w:val="24"/>
        </w:rPr>
        <w:t>)</w:t>
      </w:r>
      <w:r w:rsidR="00606851" w:rsidRPr="00325951">
        <w:rPr>
          <w:rFonts w:ascii="Times New Roman" w:hAnsi="Times New Roman" w:cs="Times New Roman"/>
          <w:sz w:val="24"/>
          <w:szCs w:val="24"/>
        </w:rPr>
        <w:t>. The partial defense cannot only succeed if the impairment and the recognized medical condition were present by coincidence and make no difference to the ensued behavior. The</w:t>
      </w:r>
      <w:r w:rsidR="00BE6F20" w:rsidRPr="00325951">
        <w:rPr>
          <w:rFonts w:ascii="Times New Roman" w:hAnsi="Times New Roman" w:cs="Times New Roman"/>
          <w:sz w:val="24"/>
          <w:szCs w:val="24"/>
        </w:rPr>
        <w:t xml:space="preserve"> aim </w:t>
      </w:r>
      <w:r w:rsidR="00606851" w:rsidRPr="00325951">
        <w:rPr>
          <w:rFonts w:ascii="Times New Roman" w:hAnsi="Times New Roman" w:cs="Times New Roman"/>
          <w:sz w:val="24"/>
          <w:szCs w:val="24"/>
        </w:rPr>
        <w:t>is that the defense should not succeed where the defendant's mental condition is not the primary factor contributing to the behavior.</w:t>
      </w:r>
    </w:p>
    <w:p w14:paraId="24A9F8ED" w14:textId="77777777" w:rsidR="007A61DC" w:rsidRPr="00325951" w:rsidRDefault="00E06860" w:rsidP="002277B5">
      <w:pPr>
        <w:spacing w:line="480" w:lineRule="auto"/>
        <w:ind w:firstLine="720"/>
        <w:jc w:val="both"/>
        <w:rPr>
          <w:rFonts w:ascii="Times New Roman" w:hAnsi="Times New Roman" w:cs="Times New Roman"/>
          <w:sz w:val="24"/>
          <w:szCs w:val="24"/>
        </w:rPr>
      </w:pPr>
      <w:r w:rsidRPr="00325951">
        <w:rPr>
          <w:rFonts w:ascii="Times New Roman" w:hAnsi="Times New Roman" w:cs="Times New Roman"/>
          <w:sz w:val="24"/>
          <w:szCs w:val="24"/>
        </w:rPr>
        <w:t>The Cor</w:t>
      </w:r>
      <w:r w:rsidR="00C750DD" w:rsidRPr="00325951">
        <w:rPr>
          <w:rFonts w:ascii="Times New Roman" w:hAnsi="Times New Roman" w:cs="Times New Roman"/>
          <w:sz w:val="24"/>
          <w:szCs w:val="24"/>
        </w:rPr>
        <w:t>o</w:t>
      </w:r>
      <w:r w:rsidRPr="00325951">
        <w:rPr>
          <w:rFonts w:ascii="Times New Roman" w:hAnsi="Times New Roman" w:cs="Times New Roman"/>
          <w:sz w:val="24"/>
          <w:szCs w:val="24"/>
        </w:rPr>
        <w:t>ners and Justice Act 2009 section 2 amendment carries a great advantage. The misjudgments brought about by the 1957 Act have now been rectified. True justice can now be administered not just based on observations but proof. The process of pleading partial defense has now been made more intensive. One will not easily successfully plead for partial defense because of abnormal mental functioning</w:t>
      </w:r>
      <w:r w:rsidR="00BE6F20" w:rsidRPr="00325951">
        <w:rPr>
          <w:rFonts w:ascii="Times New Roman" w:hAnsi="Times New Roman" w:cs="Times New Roman"/>
          <w:sz w:val="24"/>
          <w:szCs w:val="24"/>
        </w:rPr>
        <w:t xml:space="preserve"> (</w:t>
      </w:r>
      <w:r w:rsidR="00BE6F20" w:rsidRPr="00325951">
        <w:rPr>
          <w:rFonts w:ascii="Times New Roman" w:hAnsi="Times New Roman" w:cs="Times New Roman"/>
          <w:sz w:val="24"/>
          <w:szCs w:val="24"/>
          <w:shd w:val="clear" w:color="auto" w:fill="FFFFFF"/>
        </w:rPr>
        <w:t>Lowe and David, 2015, p.205</w:t>
      </w:r>
      <w:r w:rsidR="00BE6F20" w:rsidRPr="00325951">
        <w:rPr>
          <w:rFonts w:ascii="Times New Roman" w:hAnsi="Times New Roman" w:cs="Times New Roman"/>
          <w:sz w:val="24"/>
          <w:szCs w:val="24"/>
        </w:rPr>
        <w:t>)</w:t>
      </w:r>
      <w:r w:rsidRPr="00325951">
        <w:rPr>
          <w:rFonts w:ascii="Times New Roman" w:hAnsi="Times New Roman" w:cs="Times New Roman"/>
          <w:sz w:val="24"/>
          <w:szCs w:val="24"/>
        </w:rPr>
        <w:t xml:space="preserve">. There must be tangible evidence that shows that the behavior was largely caused by the mental state and not minimally. The changes now </w:t>
      </w:r>
      <w:r w:rsidR="00C750DD" w:rsidRPr="00325951">
        <w:rPr>
          <w:rFonts w:ascii="Times New Roman" w:hAnsi="Times New Roman" w:cs="Times New Roman"/>
          <w:sz w:val="24"/>
          <w:szCs w:val="24"/>
        </w:rPr>
        <w:t xml:space="preserve">make it possible for </w:t>
      </w:r>
      <w:r w:rsidR="000B5341" w:rsidRPr="00325951">
        <w:rPr>
          <w:rFonts w:ascii="Times New Roman" w:hAnsi="Times New Roman" w:cs="Times New Roman"/>
          <w:sz w:val="24"/>
          <w:szCs w:val="24"/>
        </w:rPr>
        <w:t>an</w:t>
      </w:r>
      <w:r w:rsidR="00C750DD" w:rsidRPr="00325951">
        <w:rPr>
          <w:rFonts w:ascii="Times New Roman" w:hAnsi="Times New Roman" w:cs="Times New Roman"/>
          <w:sz w:val="24"/>
          <w:szCs w:val="24"/>
        </w:rPr>
        <w:t xml:space="preserve"> abnormally mentally functioning person to be convicted in cases where the mental state seems to coincide with their predetermined behavior</w:t>
      </w:r>
      <w:r w:rsidR="007A61DC" w:rsidRPr="00325951">
        <w:rPr>
          <w:rFonts w:ascii="Times New Roman" w:hAnsi="Times New Roman" w:cs="Times New Roman"/>
          <w:sz w:val="24"/>
          <w:szCs w:val="24"/>
        </w:rPr>
        <w:t xml:space="preserve"> (</w:t>
      </w:r>
      <w:r w:rsidR="007A61DC" w:rsidRPr="00325951">
        <w:rPr>
          <w:rFonts w:ascii="Times New Roman" w:hAnsi="Times New Roman" w:cs="Times New Roman"/>
          <w:sz w:val="24"/>
          <w:szCs w:val="24"/>
          <w:shd w:val="clear" w:color="auto" w:fill="FFFFFF"/>
        </w:rPr>
        <w:t>Ahmed, Farrah, and Adam, 2017</w:t>
      </w:r>
      <w:r w:rsidR="000B5341" w:rsidRPr="00325951">
        <w:rPr>
          <w:rFonts w:ascii="Times New Roman" w:hAnsi="Times New Roman" w:cs="Times New Roman"/>
          <w:sz w:val="24"/>
          <w:szCs w:val="24"/>
          <w:shd w:val="clear" w:color="auto" w:fill="FFFFFF"/>
        </w:rPr>
        <w:t>, p.471</w:t>
      </w:r>
      <w:r w:rsidR="007A61DC" w:rsidRPr="00325951">
        <w:rPr>
          <w:rFonts w:ascii="Times New Roman" w:hAnsi="Times New Roman" w:cs="Times New Roman"/>
          <w:sz w:val="24"/>
          <w:szCs w:val="24"/>
        </w:rPr>
        <w:t>)</w:t>
      </w:r>
      <w:r w:rsidR="00C750DD" w:rsidRPr="00325951">
        <w:rPr>
          <w:rFonts w:ascii="Times New Roman" w:hAnsi="Times New Roman" w:cs="Times New Roman"/>
          <w:sz w:val="24"/>
          <w:szCs w:val="24"/>
        </w:rPr>
        <w:t xml:space="preserve">. Another advantage is that judgment is now evidence-based and not opinion based. Before the 2009 amendment, the verdict in such cases </w:t>
      </w:r>
      <w:r w:rsidR="000B5341" w:rsidRPr="00325951">
        <w:rPr>
          <w:rFonts w:ascii="Times New Roman" w:hAnsi="Times New Roman" w:cs="Times New Roman"/>
          <w:sz w:val="24"/>
          <w:szCs w:val="24"/>
        </w:rPr>
        <w:t>was</w:t>
      </w:r>
      <w:r w:rsidR="00C750DD" w:rsidRPr="00325951">
        <w:rPr>
          <w:rFonts w:ascii="Times New Roman" w:hAnsi="Times New Roman" w:cs="Times New Roman"/>
          <w:sz w:val="24"/>
          <w:szCs w:val="24"/>
        </w:rPr>
        <w:t xml:space="preserve"> m</w:t>
      </w:r>
      <w:r w:rsidR="00BE6F20" w:rsidRPr="00325951">
        <w:rPr>
          <w:rFonts w:ascii="Times New Roman" w:hAnsi="Times New Roman" w:cs="Times New Roman"/>
          <w:sz w:val="24"/>
          <w:szCs w:val="24"/>
        </w:rPr>
        <w:t>erely</w:t>
      </w:r>
      <w:r w:rsidR="00C750DD" w:rsidRPr="00325951">
        <w:rPr>
          <w:rFonts w:ascii="Times New Roman" w:hAnsi="Times New Roman" w:cs="Times New Roman"/>
          <w:sz w:val="24"/>
          <w:szCs w:val="24"/>
        </w:rPr>
        <w:t xml:space="preserve"> based on the instincts of the judge on whether the defendant is being worth convicted or not. Right now, the process is more </w:t>
      </w:r>
      <w:r w:rsidR="00BE6F20" w:rsidRPr="00325951">
        <w:rPr>
          <w:rFonts w:ascii="Times New Roman" w:hAnsi="Times New Roman" w:cs="Times New Roman"/>
          <w:sz w:val="24"/>
          <w:szCs w:val="24"/>
        </w:rPr>
        <w:t>robust and provides a framework by which a mentally abnormal person can be convicted. (</w:t>
      </w:r>
      <w:r w:rsidR="00BE6F20" w:rsidRPr="00325951">
        <w:rPr>
          <w:rFonts w:ascii="Times New Roman" w:hAnsi="Times New Roman" w:cs="Times New Roman"/>
          <w:sz w:val="24"/>
          <w:szCs w:val="24"/>
          <w:shd w:val="clear" w:color="auto" w:fill="FFFFFF"/>
        </w:rPr>
        <w:t xml:space="preserve">Roberts, </w:t>
      </w:r>
      <w:r w:rsidR="00BE6F20" w:rsidRPr="00325951">
        <w:rPr>
          <w:rFonts w:ascii="Times New Roman" w:hAnsi="Times New Roman" w:cs="Times New Roman"/>
          <w:sz w:val="24"/>
          <w:szCs w:val="24"/>
          <w:shd w:val="clear" w:color="auto" w:fill="FFFFFF"/>
        </w:rPr>
        <w:lastRenderedPageBreak/>
        <w:t>Paul Adrian, 2010</w:t>
      </w:r>
      <w:r w:rsidR="00BE6F20" w:rsidRPr="00325951">
        <w:rPr>
          <w:rFonts w:ascii="Times New Roman" w:hAnsi="Times New Roman" w:cs="Times New Roman"/>
          <w:sz w:val="24"/>
          <w:szCs w:val="24"/>
        </w:rPr>
        <w:t>) The disadvantage is that, sometimes, without tangible evidence, a judge can easily judge wrongly.</w:t>
      </w:r>
    </w:p>
    <w:p w14:paraId="27BF5C9D" w14:textId="77777777" w:rsidR="007A61DC" w:rsidRPr="00325951" w:rsidRDefault="00E06860" w:rsidP="00325951">
      <w:pPr>
        <w:pStyle w:val="Heading3"/>
        <w:shd w:val="clear" w:color="auto" w:fill="FFFFFF"/>
        <w:spacing w:before="240" w:line="480" w:lineRule="auto"/>
        <w:ind w:firstLine="720"/>
        <w:jc w:val="both"/>
        <w:rPr>
          <w:rFonts w:ascii="Times New Roman" w:hAnsi="Times New Roman" w:cs="Times New Roman"/>
          <w:bCs w:val="0"/>
          <w:color w:val="auto"/>
          <w:sz w:val="24"/>
          <w:szCs w:val="24"/>
        </w:rPr>
      </w:pPr>
      <w:r w:rsidRPr="00325951">
        <w:rPr>
          <w:rFonts w:ascii="Times New Roman" w:hAnsi="Times New Roman" w:cs="Times New Roman"/>
          <w:bCs w:val="0"/>
          <w:color w:val="auto"/>
          <w:sz w:val="24"/>
          <w:szCs w:val="24"/>
        </w:rPr>
        <w:t>Recommendations for further action and reform</w:t>
      </w:r>
    </w:p>
    <w:p w14:paraId="7350B592" w14:textId="77777777" w:rsidR="007A61DC" w:rsidRPr="00325951" w:rsidRDefault="00E06860" w:rsidP="00325951">
      <w:pPr>
        <w:spacing w:line="480" w:lineRule="auto"/>
        <w:ind w:firstLine="720"/>
        <w:jc w:val="both"/>
        <w:rPr>
          <w:rFonts w:ascii="Times New Roman" w:hAnsi="Times New Roman" w:cs="Times New Roman"/>
          <w:sz w:val="24"/>
          <w:szCs w:val="24"/>
        </w:rPr>
      </w:pPr>
      <w:r w:rsidRPr="00325951">
        <w:rPr>
          <w:rFonts w:ascii="Times New Roman" w:hAnsi="Times New Roman" w:cs="Times New Roman"/>
          <w:sz w:val="24"/>
          <w:szCs w:val="24"/>
        </w:rPr>
        <w:t xml:space="preserve">Different </w:t>
      </w:r>
      <w:r w:rsidR="002277B5">
        <w:rPr>
          <w:rFonts w:ascii="Times New Roman" w:hAnsi="Times New Roman" w:cs="Times New Roman"/>
          <w:sz w:val="24"/>
          <w:szCs w:val="24"/>
        </w:rPr>
        <w:t>individuals</w:t>
      </w:r>
      <w:r w:rsidRPr="00325951">
        <w:rPr>
          <w:rFonts w:ascii="Times New Roman" w:hAnsi="Times New Roman" w:cs="Times New Roman"/>
          <w:sz w:val="24"/>
          <w:szCs w:val="24"/>
        </w:rPr>
        <w:t xml:space="preserve"> and institutions have made recommendations for further reforms in this area. First and foremost,</w:t>
      </w:r>
      <w:r w:rsidR="0049786A" w:rsidRPr="00325951">
        <w:rPr>
          <w:rFonts w:ascii="Times New Roman" w:hAnsi="Times New Roman" w:cs="Times New Roman"/>
          <w:sz w:val="24"/>
          <w:szCs w:val="24"/>
        </w:rPr>
        <w:t xml:space="preserve"> the Coroner Service report by the House of Commons Justice Committee published on 27</w:t>
      </w:r>
      <w:r w:rsidR="0049786A" w:rsidRPr="00325951">
        <w:rPr>
          <w:rFonts w:ascii="Times New Roman" w:hAnsi="Times New Roman" w:cs="Times New Roman"/>
          <w:sz w:val="24"/>
          <w:szCs w:val="24"/>
          <w:vertAlign w:val="superscript"/>
        </w:rPr>
        <w:t>th</w:t>
      </w:r>
      <w:r w:rsidR="0049786A" w:rsidRPr="00325951">
        <w:rPr>
          <w:rFonts w:ascii="Times New Roman" w:hAnsi="Times New Roman" w:cs="Times New Roman"/>
          <w:sz w:val="24"/>
          <w:szCs w:val="24"/>
        </w:rPr>
        <w:t xml:space="preserve"> May 2021 revealed that since the implementation of the Coroner and Justice Act 2009, there has been substantially improved except that the bereaved were not sufficiently in its heart. The government responded to this on 10</w:t>
      </w:r>
      <w:r w:rsidR="0049786A" w:rsidRPr="00325951">
        <w:rPr>
          <w:rFonts w:ascii="Times New Roman" w:hAnsi="Times New Roman" w:cs="Times New Roman"/>
          <w:sz w:val="24"/>
          <w:szCs w:val="24"/>
          <w:vertAlign w:val="superscript"/>
        </w:rPr>
        <w:t>th</w:t>
      </w:r>
      <w:r w:rsidR="0049786A" w:rsidRPr="00325951">
        <w:rPr>
          <w:rFonts w:ascii="Times New Roman" w:hAnsi="Times New Roman" w:cs="Times New Roman"/>
          <w:sz w:val="24"/>
          <w:szCs w:val="24"/>
        </w:rPr>
        <w:t xml:space="preserve"> September 2021</w:t>
      </w:r>
      <w:r w:rsidR="00CC01BB" w:rsidRPr="00325951">
        <w:rPr>
          <w:rFonts w:ascii="Times New Roman" w:hAnsi="Times New Roman" w:cs="Times New Roman"/>
          <w:sz w:val="24"/>
          <w:szCs w:val="24"/>
        </w:rPr>
        <w:t xml:space="preserve"> (House of Commons Justice Committee, 2021.)</w:t>
      </w:r>
      <w:r w:rsidR="0049786A" w:rsidRPr="00325951">
        <w:rPr>
          <w:rFonts w:ascii="Times New Roman" w:hAnsi="Times New Roman" w:cs="Times New Roman"/>
          <w:sz w:val="24"/>
          <w:szCs w:val="24"/>
        </w:rPr>
        <w:t>. Secondly, the chief Coroner's recommendations were directed to the Lord Chancellor, which had also been included in the previous report. The report of the Right Reverend James Jones KBE also had a recommendation. Overall, these recomm</w:t>
      </w:r>
      <w:r w:rsidR="00CC01BB" w:rsidRPr="00325951">
        <w:rPr>
          <w:rFonts w:ascii="Times New Roman" w:hAnsi="Times New Roman" w:cs="Times New Roman"/>
          <w:sz w:val="24"/>
          <w:szCs w:val="24"/>
        </w:rPr>
        <w:t>endations are</w:t>
      </w:r>
      <w:r w:rsidR="0049786A" w:rsidRPr="00325951">
        <w:rPr>
          <w:rFonts w:ascii="Times New Roman" w:hAnsi="Times New Roman" w:cs="Times New Roman"/>
          <w:sz w:val="24"/>
          <w:szCs w:val="24"/>
        </w:rPr>
        <w:t xml:space="preserve">: that a statutory charter should be created for the </w:t>
      </w:r>
      <w:r w:rsidR="000B5341" w:rsidRPr="00325951">
        <w:rPr>
          <w:rFonts w:ascii="Times New Roman" w:hAnsi="Times New Roman" w:cs="Times New Roman"/>
          <w:sz w:val="24"/>
          <w:szCs w:val="24"/>
        </w:rPr>
        <w:t>bereaved and that</w:t>
      </w:r>
      <w:r w:rsidR="0049786A" w:rsidRPr="00325951">
        <w:rPr>
          <w:rFonts w:ascii="Times New Roman" w:hAnsi="Times New Roman" w:cs="Times New Roman"/>
          <w:sz w:val="24"/>
          <w:szCs w:val="24"/>
        </w:rPr>
        <w:t xml:space="preserve"> the bereaved be provided with non-means-tested legal aid so that they</w:t>
      </w:r>
      <w:r w:rsidR="00CC01BB" w:rsidRPr="00325951">
        <w:rPr>
          <w:rFonts w:ascii="Times New Roman" w:hAnsi="Times New Roman" w:cs="Times New Roman"/>
          <w:sz w:val="24"/>
          <w:szCs w:val="24"/>
        </w:rPr>
        <w:t xml:space="preserve"> </w:t>
      </w:r>
      <w:r w:rsidR="0049786A" w:rsidRPr="00325951">
        <w:rPr>
          <w:rFonts w:ascii="Times New Roman" w:hAnsi="Times New Roman" w:cs="Times New Roman"/>
          <w:sz w:val="24"/>
          <w:szCs w:val="24"/>
        </w:rPr>
        <w:t>can make inquests in places where the public authorities are lawfully represented</w:t>
      </w:r>
      <w:r w:rsidR="00CC01BB" w:rsidRPr="00325951">
        <w:rPr>
          <w:rFonts w:ascii="Times New Roman" w:hAnsi="Times New Roman" w:cs="Times New Roman"/>
          <w:sz w:val="24"/>
          <w:szCs w:val="24"/>
        </w:rPr>
        <w:t xml:space="preserve"> (</w:t>
      </w:r>
      <w:r w:rsidR="00CC01BB" w:rsidRPr="00325951">
        <w:rPr>
          <w:rFonts w:ascii="Times New Roman" w:hAnsi="Times New Roman" w:cs="Times New Roman"/>
          <w:sz w:val="24"/>
          <w:szCs w:val="24"/>
          <w:shd w:val="clear" w:color="auto" w:fill="FFFFFF"/>
        </w:rPr>
        <w:t>Easton and Susan, 2012</w:t>
      </w:r>
      <w:r w:rsidR="00CC01BB" w:rsidRPr="00325951">
        <w:rPr>
          <w:rFonts w:ascii="Times New Roman" w:hAnsi="Times New Roman" w:cs="Times New Roman"/>
          <w:sz w:val="24"/>
          <w:szCs w:val="24"/>
        </w:rPr>
        <w:t>)</w:t>
      </w:r>
      <w:r w:rsidR="0049786A" w:rsidRPr="00325951">
        <w:rPr>
          <w:rFonts w:ascii="Times New Roman" w:hAnsi="Times New Roman" w:cs="Times New Roman"/>
          <w:sz w:val="24"/>
          <w:szCs w:val="24"/>
        </w:rPr>
        <w:t xml:space="preserve">. Other recommendations are the process for challenging the Coroner's decision to be reformed, </w:t>
      </w:r>
      <w:r w:rsidR="00CC01BB" w:rsidRPr="00325951">
        <w:rPr>
          <w:rFonts w:ascii="Times New Roman" w:hAnsi="Times New Roman" w:cs="Times New Roman"/>
          <w:sz w:val="24"/>
          <w:szCs w:val="24"/>
        </w:rPr>
        <w:t>reforming the relevant pathology decisions of the Coroner,  creating a national service for Coroners, creating an inspectorate Coroner service, and finally following upon the promised actions in response to future killings and making responses and reports more accessible.</w:t>
      </w:r>
    </w:p>
    <w:p w14:paraId="7A528744" w14:textId="77777777" w:rsidR="007A61DC" w:rsidRPr="00325951" w:rsidRDefault="00E06860" w:rsidP="00325951">
      <w:pPr>
        <w:spacing w:line="480" w:lineRule="auto"/>
        <w:ind w:firstLine="720"/>
        <w:jc w:val="both"/>
        <w:rPr>
          <w:rFonts w:ascii="Times New Roman" w:hAnsi="Times New Roman" w:cs="Times New Roman"/>
          <w:b/>
          <w:sz w:val="24"/>
          <w:szCs w:val="24"/>
        </w:rPr>
      </w:pPr>
      <w:r w:rsidRPr="00325951">
        <w:rPr>
          <w:rFonts w:ascii="Times New Roman" w:hAnsi="Times New Roman" w:cs="Times New Roman"/>
          <w:b/>
          <w:sz w:val="24"/>
          <w:szCs w:val="24"/>
        </w:rPr>
        <w:t>Conclusion</w:t>
      </w:r>
    </w:p>
    <w:p w14:paraId="4B1C24D4" w14:textId="77777777" w:rsidR="00BE6F20" w:rsidRPr="00325951" w:rsidRDefault="00E06860" w:rsidP="00325951">
      <w:pPr>
        <w:spacing w:line="480" w:lineRule="auto"/>
        <w:ind w:firstLine="720"/>
        <w:jc w:val="both"/>
        <w:rPr>
          <w:rFonts w:ascii="Times New Roman" w:hAnsi="Times New Roman" w:cs="Times New Roman"/>
          <w:sz w:val="24"/>
          <w:szCs w:val="24"/>
        </w:rPr>
      </w:pPr>
      <w:r w:rsidRPr="00325951">
        <w:rPr>
          <w:rFonts w:ascii="Times New Roman" w:hAnsi="Times New Roman" w:cs="Times New Roman"/>
          <w:sz w:val="24"/>
          <w:szCs w:val="24"/>
        </w:rPr>
        <w:t xml:space="preserve">In conclusion, the 1957 Homicide act faced much criticism from different individuals and institutions because it did not administer accurate judgment in such matters as murder. According to this Act, an abnormally mentally functioning person would not be convicted for murder since </w:t>
      </w:r>
      <w:r w:rsidRPr="00325951">
        <w:rPr>
          <w:rFonts w:ascii="Times New Roman" w:hAnsi="Times New Roman" w:cs="Times New Roman"/>
          <w:sz w:val="24"/>
          <w:szCs w:val="24"/>
        </w:rPr>
        <w:lastRenderedPageBreak/>
        <w:t xml:space="preserve">their ill state of mind influenced them. However, in November </w:t>
      </w:r>
      <w:r w:rsidR="000B5341" w:rsidRPr="00325951">
        <w:rPr>
          <w:rFonts w:ascii="Times New Roman" w:hAnsi="Times New Roman" w:cs="Times New Roman"/>
          <w:sz w:val="24"/>
          <w:szCs w:val="24"/>
        </w:rPr>
        <w:t>2009,</w:t>
      </w:r>
      <w:r w:rsidRPr="00325951">
        <w:rPr>
          <w:rFonts w:ascii="Times New Roman" w:hAnsi="Times New Roman" w:cs="Times New Roman"/>
          <w:sz w:val="24"/>
          <w:szCs w:val="24"/>
        </w:rPr>
        <w:t xml:space="preserve"> </w:t>
      </w:r>
      <w:r w:rsidR="000B5341" w:rsidRPr="00325951">
        <w:rPr>
          <w:rFonts w:ascii="Times New Roman" w:hAnsi="Times New Roman" w:cs="Times New Roman"/>
          <w:sz w:val="24"/>
          <w:szCs w:val="24"/>
        </w:rPr>
        <w:t>an</w:t>
      </w:r>
      <w:r w:rsidRPr="00325951">
        <w:rPr>
          <w:rFonts w:ascii="Times New Roman" w:hAnsi="Times New Roman" w:cs="Times New Roman"/>
          <w:sz w:val="24"/>
          <w:szCs w:val="24"/>
        </w:rPr>
        <w:t xml:space="preserve"> act was amended, and a new act called the Coroners and Justice Act 2009 was enforced. This Act was a from the unjust Act of 1957, which allowed several people to get away wi</w:t>
      </w:r>
      <w:r w:rsidR="007A61DC" w:rsidRPr="00325951">
        <w:rPr>
          <w:rFonts w:ascii="Times New Roman" w:hAnsi="Times New Roman" w:cs="Times New Roman"/>
          <w:sz w:val="24"/>
          <w:szCs w:val="24"/>
        </w:rPr>
        <w:t xml:space="preserve">th murder with the excuse of abnormal mental functioning. According to the 2009 Act, a mentally abnormal person can still be convicted if they don't show enough tangible evidence that the mental state was the major influence of their behavior. </w:t>
      </w:r>
    </w:p>
    <w:p w14:paraId="11BDACDD" w14:textId="77777777" w:rsidR="007A61DC" w:rsidRPr="00325951" w:rsidRDefault="007A61DC" w:rsidP="00325951">
      <w:pPr>
        <w:spacing w:line="480" w:lineRule="auto"/>
        <w:jc w:val="both"/>
        <w:rPr>
          <w:rFonts w:ascii="Times New Roman" w:hAnsi="Times New Roman" w:cs="Times New Roman"/>
          <w:sz w:val="24"/>
          <w:szCs w:val="24"/>
        </w:rPr>
      </w:pPr>
    </w:p>
    <w:p w14:paraId="349D5794" w14:textId="77777777" w:rsidR="00325951" w:rsidRDefault="00325951" w:rsidP="00325951">
      <w:pPr>
        <w:spacing w:line="480" w:lineRule="auto"/>
        <w:jc w:val="center"/>
        <w:rPr>
          <w:rFonts w:ascii="Times New Roman" w:hAnsi="Times New Roman" w:cs="Times New Roman"/>
          <w:b/>
          <w:sz w:val="24"/>
          <w:szCs w:val="24"/>
        </w:rPr>
      </w:pPr>
    </w:p>
    <w:p w14:paraId="13359293" w14:textId="77777777" w:rsidR="00325951" w:rsidRDefault="00325951" w:rsidP="00325951">
      <w:pPr>
        <w:spacing w:line="480" w:lineRule="auto"/>
        <w:jc w:val="center"/>
        <w:rPr>
          <w:rFonts w:ascii="Times New Roman" w:hAnsi="Times New Roman" w:cs="Times New Roman"/>
          <w:b/>
          <w:sz w:val="24"/>
          <w:szCs w:val="24"/>
        </w:rPr>
      </w:pPr>
    </w:p>
    <w:p w14:paraId="0944C1A9" w14:textId="77777777" w:rsidR="00325951" w:rsidRDefault="00325951" w:rsidP="00325951">
      <w:pPr>
        <w:spacing w:line="480" w:lineRule="auto"/>
        <w:jc w:val="center"/>
        <w:rPr>
          <w:rFonts w:ascii="Times New Roman" w:hAnsi="Times New Roman" w:cs="Times New Roman"/>
          <w:b/>
          <w:sz w:val="24"/>
          <w:szCs w:val="24"/>
        </w:rPr>
      </w:pPr>
    </w:p>
    <w:p w14:paraId="2DC622F9" w14:textId="77777777" w:rsidR="00325951" w:rsidRDefault="00325951" w:rsidP="00325951">
      <w:pPr>
        <w:spacing w:line="480" w:lineRule="auto"/>
        <w:jc w:val="center"/>
        <w:rPr>
          <w:rFonts w:ascii="Times New Roman" w:hAnsi="Times New Roman" w:cs="Times New Roman"/>
          <w:b/>
          <w:sz w:val="24"/>
          <w:szCs w:val="24"/>
        </w:rPr>
      </w:pPr>
    </w:p>
    <w:p w14:paraId="2538753D" w14:textId="77777777" w:rsidR="00325951" w:rsidRDefault="00325951" w:rsidP="00325951">
      <w:pPr>
        <w:spacing w:line="480" w:lineRule="auto"/>
        <w:jc w:val="center"/>
        <w:rPr>
          <w:rFonts w:ascii="Times New Roman" w:hAnsi="Times New Roman" w:cs="Times New Roman"/>
          <w:b/>
          <w:sz w:val="24"/>
          <w:szCs w:val="24"/>
        </w:rPr>
      </w:pPr>
    </w:p>
    <w:p w14:paraId="01F66348" w14:textId="77777777" w:rsidR="00325951" w:rsidRDefault="00325951" w:rsidP="00325951">
      <w:pPr>
        <w:spacing w:line="480" w:lineRule="auto"/>
        <w:jc w:val="center"/>
        <w:rPr>
          <w:rFonts w:ascii="Times New Roman" w:hAnsi="Times New Roman" w:cs="Times New Roman"/>
          <w:b/>
          <w:sz w:val="24"/>
          <w:szCs w:val="24"/>
        </w:rPr>
      </w:pPr>
    </w:p>
    <w:p w14:paraId="644B6485" w14:textId="77777777" w:rsidR="00325951" w:rsidRDefault="00325951" w:rsidP="00325951">
      <w:pPr>
        <w:spacing w:line="480" w:lineRule="auto"/>
        <w:jc w:val="center"/>
        <w:rPr>
          <w:rFonts w:ascii="Times New Roman" w:hAnsi="Times New Roman" w:cs="Times New Roman"/>
          <w:b/>
          <w:sz w:val="24"/>
          <w:szCs w:val="24"/>
        </w:rPr>
      </w:pPr>
    </w:p>
    <w:p w14:paraId="3B5C3855" w14:textId="77777777" w:rsidR="00325951" w:rsidRDefault="00325951" w:rsidP="00325951">
      <w:pPr>
        <w:spacing w:line="480" w:lineRule="auto"/>
        <w:jc w:val="center"/>
        <w:rPr>
          <w:rFonts w:ascii="Times New Roman" w:hAnsi="Times New Roman" w:cs="Times New Roman"/>
          <w:b/>
          <w:sz w:val="24"/>
          <w:szCs w:val="24"/>
        </w:rPr>
      </w:pPr>
    </w:p>
    <w:p w14:paraId="5BE9E294" w14:textId="77777777" w:rsidR="00325951" w:rsidRPr="00325951" w:rsidRDefault="00325951" w:rsidP="00325951">
      <w:pPr>
        <w:spacing w:line="480" w:lineRule="auto"/>
        <w:jc w:val="center"/>
        <w:rPr>
          <w:rFonts w:ascii="Times New Roman" w:hAnsi="Times New Roman" w:cs="Times New Roman"/>
          <w:b/>
          <w:sz w:val="24"/>
          <w:szCs w:val="24"/>
        </w:rPr>
      </w:pPr>
      <w:r w:rsidRPr="00325951">
        <w:rPr>
          <w:rFonts w:ascii="Times New Roman" w:hAnsi="Times New Roman" w:cs="Times New Roman"/>
          <w:b/>
          <w:sz w:val="24"/>
          <w:szCs w:val="24"/>
        </w:rPr>
        <w:t>References</w:t>
      </w:r>
    </w:p>
    <w:p w14:paraId="36A62F78" w14:textId="77777777" w:rsidR="00325951" w:rsidRPr="00325951" w:rsidRDefault="00325951" w:rsidP="00325951">
      <w:pPr>
        <w:spacing w:line="480" w:lineRule="auto"/>
        <w:ind w:left="720" w:hanging="720"/>
        <w:jc w:val="both"/>
        <w:rPr>
          <w:rFonts w:ascii="Times New Roman" w:hAnsi="Times New Roman" w:cs="Times New Roman"/>
          <w:sz w:val="24"/>
          <w:szCs w:val="24"/>
        </w:rPr>
      </w:pPr>
      <w:r w:rsidRPr="00325951">
        <w:rPr>
          <w:rFonts w:ascii="Times New Roman" w:hAnsi="Times New Roman" w:cs="Times New Roman"/>
          <w:sz w:val="24"/>
          <w:szCs w:val="24"/>
        </w:rPr>
        <w:t>“Cultural Hegemony in a Scientific World.” Google Books, books.google.com/books/about/Cultural_Hegemony_in_a_Scientific_World.html?id=0gsOEAAAQBAJ.</w:t>
      </w:r>
    </w:p>
    <w:p w14:paraId="2077D10F" w14:textId="77777777" w:rsidR="00325951" w:rsidRPr="00325951" w:rsidRDefault="00325951" w:rsidP="00325951">
      <w:pPr>
        <w:spacing w:line="480" w:lineRule="auto"/>
        <w:ind w:left="720" w:hanging="720"/>
        <w:jc w:val="both"/>
        <w:rPr>
          <w:rFonts w:ascii="Times New Roman" w:hAnsi="Times New Roman" w:cs="Times New Roman"/>
          <w:sz w:val="24"/>
          <w:szCs w:val="24"/>
        </w:rPr>
      </w:pPr>
      <w:r w:rsidRPr="00325951">
        <w:rPr>
          <w:rFonts w:ascii="Times New Roman" w:hAnsi="Times New Roman" w:cs="Times New Roman"/>
          <w:sz w:val="24"/>
          <w:szCs w:val="24"/>
        </w:rPr>
        <w:lastRenderedPageBreak/>
        <w:t>Ahmed, F. and Perry, A., 2017. Constitutional statutes. Oxford Journal of Legal Studies, 37(2), pp.461-481.</w:t>
      </w:r>
    </w:p>
    <w:p w14:paraId="2F9BE459" w14:textId="77777777" w:rsidR="00325951" w:rsidRPr="00325951" w:rsidRDefault="00325951" w:rsidP="00325951">
      <w:pPr>
        <w:spacing w:line="480" w:lineRule="auto"/>
        <w:ind w:left="720" w:hanging="720"/>
        <w:jc w:val="both"/>
        <w:rPr>
          <w:rFonts w:ascii="Times New Roman" w:hAnsi="Times New Roman" w:cs="Times New Roman"/>
          <w:sz w:val="24"/>
          <w:szCs w:val="24"/>
        </w:rPr>
      </w:pPr>
      <w:r w:rsidRPr="00325951">
        <w:rPr>
          <w:rFonts w:ascii="Times New Roman" w:hAnsi="Times New Roman" w:cs="Times New Roman"/>
          <w:sz w:val="24"/>
          <w:szCs w:val="24"/>
        </w:rPr>
        <w:t>Easton, S. and Piper, C., 2012. Sentencing and punishment: The quest for justice.</w:t>
      </w:r>
    </w:p>
    <w:p w14:paraId="0A93F125" w14:textId="77777777" w:rsidR="00325951" w:rsidRPr="00325951" w:rsidRDefault="00325951" w:rsidP="00325951">
      <w:pPr>
        <w:spacing w:line="480" w:lineRule="auto"/>
        <w:ind w:left="720" w:hanging="720"/>
        <w:jc w:val="both"/>
        <w:rPr>
          <w:rFonts w:ascii="Times New Roman" w:hAnsi="Times New Roman" w:cs="Times New Roman"/>
          <w:sz w:val="24"/>
          <w:szCs w:val="24"/>
        </w:rPr>
      </w:pPr>
      <w:r w:rsidRPr="00325951">
        <w:rPr>
          <w:rFonts w:ascii="Times New Roman" w:hAnsi="Times New Roman" w:cs="Times New Roman"/>
          <w:sz w:val="24"/>
          <w:szCs w:val="24"/>
        </w:rPr>
        <w:t>Griffin, S. and Moran, J., 2010. Accountability for deaths attributable to the gross negligent act or omission of a police force: The impact of the corporate manslaughter and corporate homicide act 2007. The Journal of Criminal Law, 74(4), pp.358-381.</w:t>
      </w:r>
    </w:p>
    <w:p w14:paraId="6896BE81" w14:textId="77777777" w:rsidR="00325951" w:rsidRPr="00325951" w:rsidRDefault="00325951" w:rsidP="00325951">
      <w:pPr>
        <w:spacing w:line="480" w:lineRule="auto"/>
        <w:ind w:left="720" w:hanging="720"/>
        <w:jc w:val="both"/>
        <w:rPr>
          <w:rFonts w:ascii="Times New Roman" w:hAnsi="Times New Roman" w:cs="Times New Roman"/>
          <w:sz w:val="24"/>
          <w:szCs w:val="24"/>
        </w:rPr>
      </w:pPr>
      <w:r w:rsidRPr="00325951">
        <w:rPr>
          <w:rFonts w:ascii="Times New Roman" w:hAnsi="Times New Roman" w:cs="Times New Roman"/>
          <w:sz w:val="24"/>
          <w:szCs w:val="24"/>
        </w:rPr>
        <w:t>House of Commons Justice Committee 27 May 2021., The Coroner Service, HC 68.</w:t>
      </w:r>
    </w:p>
    <w:p w14:paraId="7A173F30" w14:textId="77777777" w:rsidR="00325951" w:rsidRPr="00325951" w:rsidRDefault="00325951" w:rsidP="00325951">
      <w:pPr>
        <w:spacing w:line="480" w:lineRule="auto"/>
        <w:ind w:left="720" w:hanging="720"/>
        <w:jc w:val="both"/>
        <w:rPr>
          <w:rFonts w:ascii="Times New Roman" w:hAnsi="Times New Roman" w:cs="Times New Roman"/>
          <w:sz w:val="24"/>
          <w:szCs w:val="24"/>
        </w:rPr>
      </w:pPr>
      <w:r w:rsidRPr="00325951">
        <w:rPr>
          <w:rFonts w:ascii="Times New Roman" w:hAnsi="Times New Roman" w:cs="Times New Roman"/>
          <w:sz w:val="24"/>
          <w:szCs w:val="24"/>
        </w:rPr>
        <w:t>Large, M., Smith, G., Swinson, N., Shaw, J. and Nielssen, O., 2008. Homicide due to mental disorder in England and Wales over 50 years. The British journal of psychiatry, 193(2), pp.130-133.</w:t>
      </w:r>
    </w:p>
    <w:p w14:paraId="68E01CF4" w14:textId="77777777" w:rsidR="00325951" w:rsidRPr="00325951" w:rsidRDefault="00325951" w:rsidP="00325951">
      <w:pPr>
        <w:spacing w:line="480" w:lineRule="auto"/>
        <w:ind w:left="720" w:hanging="720"/>
        <w:jc w:val="both"/>
        <w:rPr>
          <w:rFonts w:ascii="Times New Roman" w:hAnsi="Times New Roman" w:cs="Times New Roman"/>
          <w:sz w:val="24"/>
          <w:szCs w:val="24"/>
        </w:rPr>
      </w:pPr>
      <w:r w:rsidRPr="00325951">
        <w:rPr>
          <w:rFonts w:ascii="Times New Roman" w:hAnsi="Times New Roman" w:cs="Times New Roman"/>
          <w:sz w:val="24"/>
          <w:szCs w:val="24"/>
        </w:rPr>
        <w:t>Lowe, D., 2015. Handling informers. The detective’s handbook, pp.193-210.</w:t>
      </w:r>
    </w:p>
    <w:p w14:paraId="78C3BB0B" w14:textId="77777777" w:rsidR="00325951" w:rsidRPr="00325951" w:rsidRDefault="00325951" w:rsidP="00325951">
      <w:pPr>
        <w:spacing w:line="480" w:lineRule="auto"/>
        <w:ind w:left="720" w:hanging="720"/>
        <w:jc w:val="both"/>
        <w:rPr>
          <w:rFonts w:ascii="Times New Roman" w:hAnsi="Times New Roman" w:cs="Times New Roman"/>
          <w:sz w:val="24"/>
          <w:szCs w:val="24"/>
        </w:rPr>
      </w:pPr>
      <w:r w:rsidRPr="00325951">
        <w:rPr>
          <w:rFonts w:ascii="Times New Roman" w:hAnsi="Times New Roman" w:cs="Times New Roman"/>
          <w:sz w:val="24"/>
          <w:szCs w:val="24"/>
        </w:rPr>
        <w:t>Luce, T., 2010. Coroners and death certification law reform: the Coroners and Justice Act 2009 and its aftermath. Medicine, Science and the Law, 50(4), pp.171-178.</w:t>
      </w:r>
    </w:p>
    <w:p w14:paraId="07EB7F40" w14:textId="77777777" w:rsidR="00325951" w:rsidRPr="00325951" w:rsidRDefault="00325951" w:rsidP="00325951">
      <w:pPr>
        <w:spacing w:line="480" w:lineRule="auto"/>
        <w:ind w:left="720" w:hanging="720"/>
        <w:jc w:val="both"/>
        <w:rPr>
          <w:rFonts w:ascii="Times New Roman" w:hAnsi="Times New Roman" w:cs="Times New Roman"/>
          <w:sz w:val="24"/>
          <w:szCs w:val="24"/>
        </w:rPr>
      </w:pPr>
      <w:r w:rsidRPr="00325951">
        <w:rPr>
          <w:rFonts w:ascii="Times New Roman" w:hAnsi="Times New Roman" w:cs="Times New Roman"/>
          <w:sz w:val="24"/>
          <w:szCs w:val="24"/>
        </w:rPr>
        <w:t>Mackay, R. and Mitchell, B.J., 2017. The new diminished responsibility plea in operation-some initial findings.</w:t>
      </w:r>
    </w:p>
    <w:p w14:paraId="707D5D3D" w14:textId="77777777" w:rsidR="00325951" w:rsidRPr="00325951" w:rsidRDefault="00325951" w:rsidP="00325951">
      <w:pPr>
        <w:spacing w:line="480" w:lineRule="auto"/>
        <w:ind w:left="720" w:hanging="720"/>
        <w:jc w:val="both"/>
        <w:rPr>
          <w:rFonts w:ascii="Times New Roman" w:hAnsi="Times New Roman" w:cs="Times New Roman"/>
          <w:sz w:val="24"/>
          <w:szCs w:val="24"/>
        </w:rPr>
      </w:pPr>
      <w:r w:rsidRPr="00325951">
        <w:rPr>
          <w:rFonts w:ascii="Times New Roman" w:hAnsi="Times New Roman" w:cs="Times New Roman"/>
          <w:sz w:val="24"/>
          <w:szCs w:val="24"/>
        </w:rPr>
        <w:t>Maher, G., 2010. " The most heinous of all crimes". Reflections on the structure of homicide in Scots law. Essays in Criminal Law in Honour of Sir Gerald Gordon, 218.</w:t>
      </w:r>
    </w:p>
    <w:p w14:paraId="146EE6B2" w14:textId="77777777" w:rsidR="00325951" w:rsidRPr="00325951" w:rsidRDefault="00325951" w:rsidP="00325951">
      <w:pPr>
        <w:spacing w:line="480" w:lineRule="auto"/>
        <w:ind w:left="720" w:hanging="720"/>
        <w:jc w:val="both"/>
        <w:rPr>
          <w:rFonts w:ascii="Times New Roman" w:hAnsi="Times New Roman" w:cs="Times New Roman"/>
          <w:sz w:val="24"/>
          <w:szCs w:val="24"/>
        </w:rPr>
      </w:pPr>
      <w:r w:rsidRPr="00325951">
        <w:rPr>
          <w:rFonts w:ascii="Times New Roman" w:hAnsi="Times New Roman" w:cs="Times New Roman"/>
          <w:sz w:val="24"/>
          <w:szCs w:val="24"/>
        </w:rPr>
        <w:t>Mitchell, B., 2011. Loss of self-control under the Coroners and Justice Act 2009: oh no!. In Loss of Control and Diminished Responsibility: Domestic, Comparative and International Perspectives (pp. 39-50). Ashgate.</w:t>
      </w:r>
    </w:p>
    <w:p w14:paraId="7D95061D" w14:textId="77777777" w:rsidR="00325951" w:rsidRPr="00325951" w:rsidRDefault="00325951" w:rsidP="00325951">
      <w:pPr>
        <w:spacing w:line="480" w:lineRule="auto"/>
        <w:ind w:left="720" w:hanging="720"/>
        <w:jc w:val="both"/>
        <w:rPr>
          <w:rFonts w:ascii="Times New Roman" w:hAnsi="Times New Roman" w:cs="Times New Roman"/>
          <w:sz w:val="24"/>
          <w:szCs w:val="24"/>
        </w:rPr>
      </w:pPr>
      <w:r w:rsidRPr="00325951">
        <w:rPr>
          <w:rFonts w:ascii="Times New Roman" w:hAnsi="Times New Roman" w:cs="Times New Roman"/>
          <w:sz w:val="24"/>
          <w:szCs w:val="24"/>
        </w:rPr>
        <w:lastRenderedPageBreak/>
        <w:t>Norrie, A.W., 2010. The coroners and justice act 2009-partial defences to murder (1) loss of control. Criminal Law Review, 4, pp.275-289.</w:t>
      </w:r>
    </w:p>
    <w:p w14:paraId="5918835D" w14:textId="77777777" w:rsidR="00325951" w:rsidRPr="00325951" w:rsidRDefault="00325951" w:rsidP="00325951">
      <w:pPr>
        <w:spacing w:line="480" w:lineRule="auto"/>
        <w:ind w:left="720" w:hanging="720"/>
        <w:jc w:val="both"/>
        <w:rPr>
          <w:rFonts w:ascii="Times New Roman" w:hAnsi="Times New Roman" w:cs="Times New Roman"/>
          <w:sz w:val="24"/>
          <w:szCs w:val="24"/>
        </w:rPr>
      </w:pPr>
      <w:r w:rsidRPr="00325951">
        <w:rPr>
          <w:rFonts w:ascii="Times New Roman" w:hAnsi="Times New Roman" w:cs="Times New Roman"/>
          <w:sz w:val="24"/>
          <w:szCs w:val="24"/>
        </w:rPr>
        <w:t>Roberts, P. and Zuckerman, A., 2010. Criminal evidence. Oxford University Press.</w:t>
      </w:r>
    </w:p>
    <w:p w14:paraId="1C74784E" w14:textId="77777777" w:rsidR="00325951" w:rsidRPr="00325951" w:rsidRDefault="00325951" w:rsidP="00325951">
      <w:pPr>
        <w:spacing w:line="480" w:lineRule="auto"/>
        <w:ind w:left="720" w:hanging="720"/>
        <w:jc w:val="both"/>
        <w:rPr>
          <w:rFonts w:ascii="Times New Roman" w:hAnsi="Times New Roman" w:cs="Times New Roman"/>
          <w:sz w:val="24"/>
          <w:szCs w:val="24"/>
        </w:rPr>
      </w:pPr>
      <w:r w:rsidRPr="00325951">
        <w:rPr>
          <w:rFonts w:ascii="Times New Roman" w:hAnsi="Times New Roman" w:cs="Times New Roman"/>
          <w:sz w:val="24"/>
          <w:szCs w:val="24"/>
        </w:rPr>
        <w:t>Sprack, J., 2011. A practical approach to criminal procedure. Oxford University Press.</w:t>
      </w:r>
    </w:p>
    <w:p w14:paraId="3B3802EE" w14:textId="77777777" w:rsidR="00325951" w:rsidRPr="00325951" w:rsidRDefault="00325951" w:rsidP="00325951">
      <w:pPr>
        <w:spacing w:line="480" w:lineRule="auto"/>
        <w:ind w:left="720" w:hanging="720"/>
        <w:jc w:val="both"/>
        <w:rPr>
          <w:rFonts w:ascii="Times New Roman" w:hAnsi="Times New Roman" w:cs="Times New Roman"/>
          <w:sz w:val="24"/>
          <w:szCs w:val="24"/>
        </w:rPr>
      </w:pPr>
      <w:r w:rsidRPr="00325951">
        <w:rPr>
          <w:rFonts w:ascii="Times New Roman" w:hAnsi="Times New Roman" w:cs="Times New Roman"/>
          <w:sz w:val="24"/>
          <w:szCs w:val="24"/>
        </w:rPr>
        <w:t>TITLE Partial defences to murder: loss of control and diminished responsibility; and infanticide: Implementation of Sections 52, and 54 to 57 of the Coroners and Justice Act 2009 From: Criminal Law Policy Unit Ministry of Justice. (2010). Available at: https://www.justice.gov.uk/downloads/legislation/bills-acts/circulars/moj/2010/circular-12-2010-coroners-justice-act-homicide-provisions.pdf.</w:t>
      </w:r>
    </w:p>
    <w:p w14:paraId="6ED53FF2" w14:textId="77777777" w:rsidR="00325951" w:rsidRPr="00325951" w:rsidRDefault="00325951" w:rsidP="00325951">
      <w:pPr>
        <w:spacing w:line="480" w:lineRule="auto"/>
        <w:ind w:left="720" w:hanging="720"/>
        <w:jc w:val="both"/>
        <w:rPr>
          <w:rFonts w:ascii="Times New Roman" w:hAnsi="Times New Roman" w:cs="Times New Roman"/>
          <w:sz w:val="24"/>
          <w:szCs w:val="24"/>
        </w:rPr>
      </w:pPr>
      <w:r w:rsidRPr="00325951">
        <w:rPr>
          <w:rFonts w:ascii="Times New Roman" w:hAnsi="Times New Roman" w:cs="Times New Roman"/>
          <w:sz w:val="24"/>
          <w:szCs w:val="24"/>
        </w:rPr>
        <w:t>Wake, N., 2011. Substantial Confusion Within Diminished Responsibility. J. Crim. L., 75, p.12.</w:t>
      </w:r>
    </w:p>
    <w:p w14:paraId="06031ECE" w14:textId="77777777" w:rsidR="00F2133C" w:rsidRPr="00325951" w:rsidRDefault="00F2133C" w:rsidP="00325951">
      <w:pPr>
        <w:spacing w:line="480" w:lineRule="auto"/>
        <w:jc w:val="both"/>
        <w:rPr>
          <w:rFonts w:ascii="Times New Roman" w:hAnsi="Times New Roman" w:cs="Times New Roman"/>
          <w:sz w:val="24"/>
          <w:szCs w:val="24"/>
        </w:rPr>
      </w:pPr>
    </w:p>
    <w:p w14:paraId="40C169ED" w14:textId="77777777" w:rsidR="00F2133C" w:rsidRPr="00325951" w:rsidRDefault="00F2133C" w:rsidP="00325951">
      <w:pPr>
        <w:spacing w:line="480" w:lineRule="auto"/>
        <w:jc w:val="both"/>
        <w:rPr>
          <w:rFonts w:ascii="Times New Roman" w:hAnsi="Times New Roman" w:cs="Times New Roman"/>
          <w:sz w:val="24"/>
          <w:szCs w:val="24"/>
        </w:rPr>
      </w:pPr>
    </w:p>
    <w:p w14:paraId="57097F90" w14:textId="77777777" w:rsidR="00F245F8" w:rsidRPr="00325951" w:rsidRDefault="00F245F8" w:rsidP="00325951">
      <w:pPr>
        <w:spacing w:line="480" w:lineRule="auto"/>
        <w:jc w:val="both"/>
        <w:rPr>
          <w:rFonts w:ascii="Times New Roman" w:hAnsi="Times New Roman" w:cs="Times New Roman"/>
          <w:sz w:val="24"/>
          <w:szCs w:val="24"/>
        </w:rPr>
      </w:pPr>
    </w:p>
    <w:p w14:paraId="226FA8AE" w14:textId="77777777" w:rsidR="00F2133C" w:rsidRPr="00325951" w:rsidRDefault="00F2133C" w:rsidP="00325951">
      <w:pPr>
        <w:spacing w:line="480" w:lineRule="auto"/>
        <w:jc w:val="both"/>
        <w:rPr>
          <w:rFonts w:ascii="Times New Roman" w:hAnsi="Times New Roman" w:cs="Times New Roman"/>
          <w:sz w:val="24"/>
          <w:szCs w:val="24"/>
        </w:rPr>
      </w:pPr>
    </w:p>
    <w:p w14:paraId="30A6EE3C" w14:textId="77777777" w:rsidR="00A56450" w:rsidRPr="00325951" w:rsidRDefault="00A56450" w:rsidP="00325951">
      <w:pPr>
        <w:spacing w:line="480" w:lineRule="auto"/>
        <w:jc w:val="both"/>
        <w:rPr>
          <w:rFonts w:ascii="Times New Roman" w:hAnsi="Times New Roman" w:cs="Times New Roman"/>
          <w:sz w:val="24"/>
          <w:szCs w:val="24"/>
        </w:rPr>
      </w:pPr>
    </w:p>
    <w:sectPr w:rsidR="00A56450" w:rsidRPr="0032595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6FF32" w14:textId="77777777" w:rsidR="00A42618" w:rsidRDefault="00A42618" w:rsidP="002277B5">
      <w:pPr>
        <w:spacing w:after="0" w:line="240" w:lineRule="auto"/>
      </w:pPr>
      <w:r>
        <w:separator/>
      </w:r>
    </w:p>
  </w:endnote>
  <w:endnote w:type="continuationSeparator" w:id="0">
    <w:p w14:paraId="77403FEB" w14:textId="77777777" w:rsidR="00A42618" w:rsidRDefault="00A42618" w:rsidP="00227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2855E" w14:textId="77777777" w:rsidR="00A42618" w:rsidRDefault="00A42618" w:rsidP="002277B5">
      <w:pPr>
        <w:spacing w:after="0" w:line="240" w:lineRule="auto"/>
      </w:pPr>
      <w:r>
        <w:separator/>
      </w:r>
    </w:p>
  </w:footnote>
  <w:footnote w:type="continuationSeparator" w:id="0">
    <w:p w14:paraId="2099ABC0" w14:textId="77777777" w:rsidR="00A42618" w:rsidRDefault="00A42618" w:rsidP="002277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477948999"/>
      <w:docPartObj>
        <w:docPartGallery w:val="Page Numbers (Top of Page)"/>
        <w:docPartUnique/>
      </w:docPartObj>
    </w:sdtPr>
    <w:sdtEndPr>
      <w:rPr>
        <w:noProof/>
      </w:rPr>
    </w:sdtEndPr>
    <w:sdtContent>
      <w:p w14:paraId="0853E4A3" w14:textId="77777777" w:rsidR="002277B5" w:rsidRPr="00CB726A" w:rsidRDefault="002277B5">
        <w:pPr>
          <w:pStyle w:val="Header"/>
          <w:jc w:val="right"/>
          <w:rPr>
            <w:rFonts w:ascii="Times New Roman" w:hAnsi="Times New Roman" w:cs="Times New Roman"/>
            <w:sz w:val="24"/>
            <w:szCs w:val="24"/>
          </w:rPr>
        </w:pPr>
        <w:r w:rsidRPr="00CB726A">
          <w:rPr>
            <w:rFonts w:ascii="Times New Roman" w:hAnsi="Times New Roman" w:cs="Times New Roman"/>
            <w:sz w:val="24"/>
            <w:szCs w:val="24"/>
          </w:rPr>
          <w:fldChar w:fldCharType="begin"/>
        </w:r>
        <w:r w:rsidRPr="00CB726A">
          <w:rPr>
            <w:rFonts w:ascii="Times New Roman" w:hAnsi="Times New Roman" w:cs="Times New Roman"/>
            <w:sz w:val="24"/>
            <w:szCs w:val="24"/>
          </w:rPr>
          <w:instrText xml:space="preserve"> PAGE   \* MERGEFORMAT </w:instrText>
        </w:r>
        <w:r w:rsidRPr="00CB726A">
          <w:rPr>
            <w:rFonts w:ascii="Times New Roman" w:hAnsi="Times New Roman" w:cs="Times New Roman"/>
            <w:sz w:val="24"/>
            <w:szCs w:val="24"/>
          </w:rPr>
          <w:fldChar w:fldCharType="separate"/>
        </w:r>
        <w:r w:rsidR="00527AD5" w:rsidRPr="00CB726A">
          <w:rPr>
            <w:rFonts w:ascii="Times New Roman" w:hAnsi="Times New Roman" w:cs="Times New Roman"/>
            <w:noProof/>
            <w:sz w:val="24"/>
            <w:szCs w:val="24"/>
          </w:rPr>
          <w:t>1</w:t>
        </w:r>
        <w:r w:rsidRPr="00CB726A">
          <w:rPr>
            <w:rFonts w:ascii="Times New Roman" w:hAnsi="Times New Roman" w:cs="Times New Roman"/>
            <w:noProof/>
            <w:sz w:val="24"/>
            <w:szCs w:val="24"/>
          </w:rPr>
          <w:fldChar w:fldCharType="end"/>
        </w:r>
      </w:p>
    </w:sdtContent>
  </w:sdt>
  <w:p w14:paraId="1576EA81" w14:textId="77777777" w:rsidR="002277B5" w:rsidRDefault="002277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390AD6"/>
    <w:multiLevelType w:val="multilevel"/>
    <w:tmpl w:val="CFDCB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075053"/>
    <w:multiLevelType w:val="multilevel"/>
    <w:tmpl w:val="80DA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426217">
    <w:abstractNumId w:val="1"/>
  </w:num>
  <w:num w:numId="2" w16cid:durableId="11411962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82E"/>
    <w:rsid w:val="0003182E"/>
    <w:rsid w:val="000B5341"/>
    <w:rsid w:val="00193D19"/>
    <w:rsid w:val="001A37CD"/>
    <w:rsid w:val="001E0818"/>
    <w:rsid w:val="00217405"/>
    <w:rsid w:val="00224E48"/>
    <w:rsid w:val="002277B5"/>
    <w:rsid w:val="00325951"/>
    <w:rsid w:val="003A5CC6"/>
    <w:rsid w:val="003B1A67"/>
    <w:rsid w:val="003E0582"/>
    <w:rsid w:val="00412AF5"/>
    <w:rsid w:val="0049786A"/>
    <w:rsid w:val="00527AD5"/>
    <w:rsid w:val="00577B99"/>
    <w:rsid w:val="00606851"/>
    <w:rsid w:val="006859C9"/>
    <w:rsid w:val="00686E61"/>
    <w:rsid w:val="007A61DC"/>
    <w:rsid w:val="007F4A53"/>
    <w:rsid w:val="008D0D35"/>
    <w:rsid w:val="009A4172"/>
    <w:rsid w:val="009F1DC8"/>
    <w:rsid w:val="00A42618"/>
    <w:rsid w:val="00A56450"/>
    <w:rsid w:val="00AD708B"/>
    <w:rsid w:val="00B13BC7"/>
    <w:rsid w:val="00B82387"/>
    <w:rsid w:val="00BE6F20"/>
    <w:rsid w:val="00C12C3A"/>
    <w:rsid w:val="00C750DD"/>
    <w:rsid w:val="00CB1424"/>
    <w:rsid w:val="00CB726A"/>
    <w:rsid w:val="00CC01BB"/>
    <w:rsid w:val="00DF5E23"/>
    <w:rsid w:val="00DF64F4"/>
    <w:rsid w:val="00E06860"/>
    <w:rsid w:val="00E0715D"/>
    <w:rsid w:val="00F2133C"/>
    <w:rsid w:val="00F245F8"/>
    <w:rsid w:val="00FD5C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4F72E"/>
  <w15:docId w15:val="{35162BC4-0B4E-48B7-9E78-98758D7EA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318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577B9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3182E"/>
    <w:rPr>
      <w:rFonts w:ascii="Times New Roman" w:eastAsia="Times New Roman" w:hAnsi="Times New Roman" w:cs="Times New Roman"/>
      <w:b/>
      <w:bCs/>
      <w:sz w:val="36"/>
      <w:szCs w:val="36"/>
    </w:rPr>
  </w:style>
  <w:style w:type="paragraph" w:customStyle="1" w:styleId="dcr-94xsh">
    <w:name w:val="dcr-94xsh"/>
    <w:basedOn w:val="Normal"/>
    <w:rsid w:val="000318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3182E"/>
    <w:rPr>
      <w:color w:val="0000FF"/>
      <w:u w:val="single"/>
    </w:rPr>
  </w:style>
  <w:style w:type="character" w:customStyle="1" w:styleId="Heading3Char">
    <w:name w:val="Heading 3 Char"/>
    <w:basedOn w:val="DefaultParagraphFont"/>
    <w:link w:val="Heading3"/>
    <w:uiPriority w:val="9"/>
    <w:semiHidden/>
    <w:rsid w:val="00577B99"/>
    <w:rPr>
      <w:rFonts w:asciiTheme="majorHAnsi" w:eastAsiaTheme="majorEastAsia" w:hAnsiTheme="majorHAnsi" w:cstheme="majorBidi"/>
      <w:b/>
      <w:bCs/>
      <w:color w:val="4F81BD" w:themeColor="accent1"/>
    </w:rPr>
  </w:style>
  <w:style w:type="character" w:customStyle="1" w:styleId="legds">
    <w:name w:val="legds"/>
    <w:basedOn w:val="DefaultParagraphFont"/>
    <w:rsid w:val="00577B99"/>
  </w:style>
  <w:style w:type="paragraph" w:customStyle="1" w:styleId="legclearfix">
    <w:name w:val="legclearfix"/>
    <w:basedOn w:val="Normal"/>
    <w:rsid w:val="00577B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577B99"/>
  </w:style>
  <w:style w:type="character" w:customStyle="1" w:styleId="legsubstitution">
    <w:name w:val="legsubstitution"/>
    <w:basedOn w:val="DefaultParagraphFont"/>
    <w:rsid w:val="00F2133C"/>
  </w:style>
  <w:style w:type="character" w:customStyle="1" w:styleId="legchangedelimiter">
    <w:name w:val="legchangedelimiter"/>
    <w:basedOn w:val="DefaultParagraphFont"/>
    <w:rsid w:val="00F2133C"/>
  </w:style>
  <w:style w:type="paragraph" w:styleId="NormalWeb">
    <w:name w:val="Normal (Web)"/>
    <w:basedOn w:val="Normal"/>
    <w:uiPriority w:val="99"/>
    <w:semiHidden/>
    <w:unhideWhenUsed/>
    <w:rsid w:val="007A61D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277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77B5"/>
  </w:style>
  <w:style w:type="paragraph" w:styleId="Footer">
    <w:name w:val="footer"/>
    <w:basedOn w:val="Normal"/>
    <w:link w:val="FooterChar"/>
    <w:uiPriority w:val="99"/>
    <w:unhideWhenUsed/>
    <w:rsid w:val="002277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77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1674</Words>
  <Characters>9548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dcterms:created xsi:type="dcterms:W3CDTF">2023-03-10T18:42:00Z</dcterms:created>
  <dcterms:modified xsi:type="dcterms:W3CDTF">2023-03-10T18:55:00Z</dcterms:modified>
</cp:coreProperties>
</file>