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70B291" w14:textId="3E911DD4" w:rsidR="00AF65B4" w:rsidRPr="00AF65B4" w:rsidRDefault="00AF65B4" w:rsidP="00AF65B4">
      <w:pPr>
        <w:jc w:val="center"/>
        <w:rPr>
          <w:rFonts w:asciiTheme="majorHAnsi" w:hAnsiTheme="majorHAnsi" w:cstheme="majorHAnsi"/>
          <w:sz w:val="28"/>
          <w:szCs w:val="28"/>
        </w:rPr>
      </w:pPr>
      <w:r w:rsidRPr="00AF65B4">
        <w:rPr>
          <w:rFonts w:asciiTheme="majorHAnsi" w:hAnsiTheme="majorHAnsi" w:cstheme="majorHAnsi"/>
          <w:sz w:val="28"/>
          <w:szCs w:val="28"/>
        </w:rPr>
        <w:t>Jayden Thoirs</w:t>
      </w:r>
    </w:p>
    <w:p w14:paraId="7AD991E6" w14:textId="6E85C705" w:rsidR="00AF65B4" w:rsidRPr="00AF65B4" w:rsidRDefault="00AF65B4" w:rsidP="00AF65B4">
      <w:pPr>
        <w:jc w:val="center"/>
        <w:rPr>
          <w:rFonts w:asciiTheme="majorHAnsi" w:hAnsiTheme="majorHAnsi" w:cstheme="majorHAnsi"/>
          <w:sz w:val="28"/>
          <w:szCs w:val="28"/>
        </w:rPr>
      </w:pPr>
      <w:r w:rsidRPr="00AF65B4">
        <w:rPr>
          <w:rFonts w:asciiTheme="majorHAnsi" w:hAnsiTheme="majorHAnsi" w:cstheme="majorHAnsi"/>
          <w:sz w:val="28"/>
          <w:szCs w:val="28"/>
        </w:rPr>
        <w:t>University Number – 2222952</w:t>
      </w:r>
    </w:p>
    <w:p w14:paraId="628CCE0D" w14:textId="089FF639" w:rsidR="00AF65B4" w:rsidRDefault="00AF65B4" w:rsidP="00AF65B4">
      <w:pPr>
        <w:jc w:val="center"/>
        <w:rPr>
          <w:rFonts w:asciiTheme="majorHAnsi" w:hAnsiTheme="majorHAnsi" w:cstheme="majorHAnsi"/>
          <w:sz w:val="28"/>
          <w:szCs w:val="28"/>
        </w:rPr>
      </w:pPr>
      <w:r w:rsidRPr="00AF65B4">
        <w:rPr>
          <w:rFonts w:asciiTheme="majorHAnsi" w:hAnsiTheme="majorHAnsi" w:cstheme="majorHAnsi"/>
          <w:sz w:val="28"/>
          <w:szCs w:val="28"/>
        </w:rPr>
        <w:t>Cohort 04/22</w:t>
      </w:r>
    </w:p>
    <w:p w14:paraId="7BB5A193" w14:textId="14FD70E3" w:rsidR="00AF65B4" w:rsidRDefault="00AF65B4" w:rsidP="00AF65B4">
      <w:pPr>
        <w:jc w:val="center"/>
        <w:rPr>
          <w:rFonts w:asciiTheme="majorHAnsi" w:hAnsiTheme="majorHAnsi" w:cstheme="majorHAnsi"/>
          <w:sz w:val="28"/>
          <w:szCs w:val="28"/>
        </w:rPr>
      </w:pPr>
      <w:r>
        <w:rPr>
          <w:rFonts w:asciiTheme="majorHAnsi" w:hAnsiTheme="majorHAnsi" w:cstheme="majorHAnsi"/>
          <w:sz w:val="28"/>
          <w:szCs w:val="28"/>
        </w:rPr>
        <w:t>Year 2 Assignment 1.</w:t>
      </w:r>
    </w:p>
    <w:p w14:paraId="59E07880" w14:textId="137B9DA5" w:rsidR="00AF65B4" w:rsidRDefault="00AF65B4" w:rsidP="00AF65B4">
      <w:pPr>
        <w:jc w:val="center"/>
        <w:rPr>
          <w:rFonts w:asciiTheme="majorHAnsi" w:hAnsiTheme="majorHAnsi" w:cstheme="majorHAnsi"/>
          <w:sz w:val="28"/>
          <w:szCs w:val="28"/>
        </w:rPr>
      </w:pPr>
    </w:p>
    <w:p w14:paraId="7F35B3C2" w14:textId="722E0818" w:rsidR="00AF65B4" w:rsidRPr="00AF65B4" w:rsidRDefault="00AF65B4" w:rsidP="00AF65B4">
      <w:pPr>
        <w:rPr>
          <w:rFonts w:cstheme="minorHAnsi"/>
          <w:b/>
          <w:bCs/>
          <w:sz w:val="24"/>
          <w:szCs w:val="24"/>
        </w:rPr>
      </w:pPr>
      <w:r w:rsidRPr="00AF65B4">
        <w:rPr>
          <w:rFonts w:cstheme="minorHAnsi"/>
          <w:b/>
          <w:bCs/>
          <w:sz w:val="24"/>
          <w:szCs w:val="24"/>
        </w:rPr>
        <w:t>Question 1</w:t>
      </w:r>
    </w:p>
    <w:p w14:paraId="2276A047" w14:textId="450C2D61" w:rsidR="00AF65B4" w:rsidRPr="00AF65B4" w:rsidRDefault="00AF65B4" w:rsidP="00AF65B4">
      <w:pPr>
        <w:rPr>
          <w:rFonts w:cstheme="minorHAnsi"/>
        </w:rPr>
      </w:pPr>
      <w:r w:rsidRPr="00AF65B4">
        <w:rPr>
          <w:rFonts w:cstheme="minorHAnsi"/>
        </w:rPr>
        <w:t>This essay aims to evaluate the influence of cultural diversity on the implementation of policing practices and the development of professional policies and standards.</w:t>
      </w:r>
    </w:p>
    <w:p w14:paraId="3BEF8146" w14:textId="77777777" w:rsidR="00AF65B4" w:rsidRPr="00AF65B4" w:rsidRDefault="00AF65B4" w:rsidP="00AF65B4">
      <w:pPr>
        <w:rPr>
          <w:rFonts w:cstheme="minorHAnsi"/>
        </w:rPr>
      </w:pPr>
    </w:p>
    <w:p w14:paraId="6E3F2279" w14:textId="2798BA89" w:rsidR="00AF65B4" w:rsidRPr="00AF65B4" w:rsidRDefault="00AF65B4" w:rsidP="00AF65B4">
      <w:pPr>
        <w:rPr>
          <w:rFonts w:cstheme="minorHAnsi"/>
        </w:rPr>
      </w:pPr>
      <w:r w:rsidRPr="00AF65B4">
        <w:rPr>
          <w:rFonts w:cstheme="minorHAnsi"/>
        </w:rPr>
        <w:t xml:space="preserve">The Scarman Report </w:t>
      </w:r>
      <w:sdt>
        <w:sdtPr>
          <w:rPr>
            <w:rFonts w:cstheme="minorHAnsi"/>
          </w:rPr>
          <w:id w:val="-1961484386"/>
          <w:citation/>
        </w:sdtPr>
        <w:sdtContent>
          <w:r w:rsidRPr="00AF65B4">
            <w:rPr>
              <w:rFonts w:cstheme="minorHAnsi"/>
            </w:rPr>
            <w:fldChar w:fldCharType="begin"/>
          </w:r>
          <w:r w:rsidRPr="00AF65B4">
            <w:rPr>
              <w:rFonts w:cstheme="minorHAnsi"/>
            </w:rPr>
            <w:instrText xml:space="preserve"> CITATION Bri81 \l 2057 </w:instrText>
          </w:r>
          <w:r w:rsidRPr="00AF65B4">
            <w:rPr>
              <w:rFonts w:cstheme="minorHAnsi"/>
            </w:rPr>
            <w:fldChar w:fldCharType="separate"/>
          </w:r>
          <w:r w:rsidRPr="00AF65B4">
            <w:rPr>
              <w:rFonts w:cstheme="minorHAnsi"/>
              <w:noProof/>
            </w:rPr>
            <w:t>(Scarman, 1981)</w:t>
          </w:r>
          <w:r w:rsidRPr="00AF65B4">
            <w:rPr>
              <w:rFonts w:cstheme="minorHAnsi"/>
            </w:rPr>
            <w:fldChar w:fldCharType="end"/>
          </w:r>
        </w:sdtContent>
      </w:sdt>
      <w:r w:rsidRPr="00AF65B4">
        <w:rPr>
          <w:rFonts w:cstheme="minorHAnsi"/>
        </w:rPr>
        <w:t xml:space="preserve"> was published in 1981 with the aim of providing an explanation for the disturbances that occurred in Brixton throughout the Brixton Riots. It critically analysed the policing approach, specifically focusing on operation 'Swamp 81', which involved a large number of officers patrolling the area and conducting stop and search activities on individuals deemed 'suspicious' </w:t>
      </w:r>
      <w:sdt>
        <w:sdtPr>
          <w:rPr>
            <w:rFonts w:cstheme="minorHAnsi"/>
          </w:rPr>
          <w:id w:val="-955793581"/>
          <w:citation/>
        </w:sdtPr>
        <w:sdtContent>
          <w:r w:rsidRPr="00AF65B4">
            <w:rPr>
              <w:rFonts w:cstheme="minorHAnsi"/>
            </w:rPr>
            <w:fldChar w:fldCharType="begin"/>
          </w:r>
          <w:r w:rsidRPr="00AF65B4">
            <w:rPr>
              <w:rFonts w:cstheme="minorHAnsi"/>
            </w:rPr>
            <w:instrText xml:space="preserve"> CITATION Del06 \l 2057 </w:instrText>
          </w:r>
          <w:r w:rsidRPr="00AF65B4">
            <w:rPr>
              <w:rFonts w:cstheme="minorHAnsi"/>
            </w:rPr>
            <w:fldChar w:fldCharType="separate"/>
          </w:r>
          <w:r w:rsidRPr="00AF65B4">
            <w:rPr>
              <w:rFonts w:cstheme="minorHAnsi"/>
              <w:noProof/>
            </w:rPr>
            <w:t>(Delsol, 2006)</w:t>
          </w:r>
          <w:r w:rsidRPr="00AF65B4">
            <w:rPr>
              <w:rFonts w:cstheme="minorHAnsi"/>
            </w:rPr>
            <w:fldChar w:fldCharType="end"/>
          </w:r>
        </w:sdtContent>
      </w:sdt>
      <w:r w:rsidRPr="00AF65B4">
        <w:rPr>
          <w:rFonts w:cstheme="minorHAnsi"/>
        </w:rPr>
        <w:t xml:space="preserve">. During the course of four days, a total of 943 individuals were stopped, leading to the arrest of 118 people, with more than half of them being black </w:t>
      </w:r>
      <w:sdt>
        <w:sdtPr>
          <w:rPr>
            <w:rFonts w:cstheme="minorHAnsi"/>
          </w:rPr>
          <w:id w:val="1414891007"/>
          <w:citation/>
        </w:sdtPr>
        <w:sdtContent>
          <w:r w:rsidRPr="00AF65B4">
            <w:rPr>
              <w:rFonts w:cstheme="minorHAnsi"/>
            </w:rPr>
            <w:fldChar w:fldCharType="begin"/>
          </w:r>
          <w:r w:rsidRPr="00AF65B4">
            <w:rPr>
              <w:rFonts w:cstheme="minorHAnsi"/>
            </w:rPr>
            <w:instrText xml:space="preserve"> CITATION Bow02 \l 2057 </w:instrText>
          </w:r>
          <w:r w:rsidRPr="00AF65B4">
            <w:rPr>
              <w:rFonts w:cstheme="minorHAnsi"/>
            </w:rPr>
            <w:fldChar w:fldCharType="separate"/>
          </w:r>
          <w:r w:rsidRPr="00AF65B4">
            <w:rPr>
              <w:rFonts w:cstheme="minorHAnsi"/>
              <w:noProof/>
            </w:rPr>
            <w:t>(Bowling &amp; Phillips, 2002)</w:t>
          </w:r>
          <w:r w:rsidRPr="00AF65B4">
            <w:rPr>
              <w:rFonts w:cstheme="minorHAnsi"/>
            </w:rPr>
            <w:fldChar w:fldCharType="end"/>
          </w:r>
        </w:sdtContent>
      </w:sdt>
      <w:r w:rsidRPr="00AF65B4">
        <w:rPr>
          <w:rFonts w:cstheme="minorHAnsi"/>
        </w:rPr>
        <w:t xml:space="preserve">. Delsol strongly criticised the entire operation, viewing the disturbances throughout the Brixton Riots as an expression of anger and resentment by young black individuals towards the police. Furthermore, Delsol emphasised the importance of public 'consent' in establishing the legitimacy of policing. Scarman, on the other hand, acknowledged the significance of stop and search in combating street crime but recommended the implementation of safeguards to ensure that it was carried out based on reasonable grounds for suspicion </w:t>
      </w:r>
      <w:sdt>
        <w:sdtPr>
          <w:rPr>
            <w:rFonts w:cstheme="minorHAnsi"/>
          </w:rPr>
          <w:id w:val="657738381"/>
          <w:citation/>
        </w:sdtPr>
        <w:sdtContent>
          <w:r w:rsidRPr="00AF65B4">
            <w:rPr>
              <w:rFonts w:cstheme="minorHAnsi"/>
            </w:rPr>
            <w:fldChar w:fldCharType="begin"/>
          </w:r>
          <w:r w:rsidRPr="00AF65B4">
            <w:rPr>
              <w:rFonts w:cstheme="minorHAnsi"/>
            </w:rPr>
            <w:instrText xml:space="preserve"> CITATION Bri81 \l 2057 </w:instrText>
          </w:r>
          <w:r w:rsidRPr="00AF65B4">
            <w:rPr>
              <w:rFonts w:cstheme="minorHAnsi"/>
            </w:rPr>
            <w:fldChar w:fldCharType="separate"/>
          </w:r>
          <w:r w:rsidRPr="00AF65B4">
            <w:rPr>
              <w:rFonts w:cstheme="minorHAnsi"/>
              <w:noProof/>
            </w:rPr>
            <w:t>(Scarman, 1981)</w:t>
          </w:r>
          <w:r w:rsidRPr="00AF65B4">
            <w:rPr>
              <w:rFonts w:cstheme="minorHAnsi"/>
            </w:rPr>
            <w:fldChar w:fldCharType="end"/>
          </w:r>
        </w:sdtContent>
      </w:sdt>
      <w:r w:rsidRPr="00AF65B4">
        <w:rPr>
          <w:rFonts w:cstheme="minorHAnsi"/>
        </w:rPr>
        <w:t>.</w:t>
      </w:r>
    </w:p>
    <w:p w14:paraId="071A5B6B" w14:textId="5C80F191" w:rsidR="00AF65B4" w:rsidRPr="00AF65B4" w:rsidRDefault="00AF65B4" w:rsidP="00AF65B4">
      <w:pPr>
        <w:rPr>
          <w:rFonts w:cstheme="minorHAnsi"/>
        </w:rPr>
      </w:pPr>
      <w:r w:rsidRPr="00AF65B4">
        <w:rPr>
          <w:rFonts w:cstheme="minorHAnsi"/>
        </w:rPr>
        <w:t xml:space="preserve">The Scarman report </w:t>
      </w:r>
      <w:sdt>
        <w:sdtPr>
          <w:rPr>
            <w:rFonts w:cstheme="minorHAnsi"/>
          </w:rPr>
          <w:id w:val="-2050747790"/>
          <w:citation/>
        </w:sdtPr>
        <w:sdtContent>
          <w:r w:rsidRPr="00AF65B4">
            <w:rPr>
              <w:rFonts w:cstheme="minorHAnsi"/>
            </w:rPr>
            <w:fldChar w:fldCharType="begin"/>
          </w:r>
          <w:r w:rsidRPr="00AF65B4">
            <w:rPr>
              <w:rFonts w:cstheme="minorHAnsi"/>
            </w:rPr>
            <w:instrText xml:space="preserve">CITATION Bri81 \l 2057 </w:instrText>
          </w:r>
          <w:r w:rsidRPr="00AF65B4">
            <w:rPr>
              <w:rFonts w:cstheme="minorHAnsi"/>
            </w:rPr>
            <w:fldChar w:fldCharType="separate"/>
          </w:r>
          <w:r w:rsidRPr="00AF65B4">
            <w:rPr>
              <w:rFonts w:cstheme="minorHAnsi"/>
              <w:noProof/>
            </w:rPr>
            <w:t>(Scarman, 1981)</w:t>
          </w:r>
          <w:r w:rsidRPr="00AF65B4">
            <w:rPr>
              <w:rFonts w:cstheme="minorHAnsi"/>
            </w:rPr>
            <w:fldChar w:fldCharType="end"/>
          </w:r>
        </w:sdtContent>
      </w:sdt>
      <w:r w:rsidRPr="00AF65B4">
        <w:rPr>
          <w:rFonts w:cstheme="minorHAnsi"/>
        </w:rPr>
        <w:t xml:space="preserve"> into the disturbances in Brixton concluded that there were so called racist rotten apples in the police service, although Lord Scarman did not conclude that institutional racism existed. That was overturned following the inquiry into the investigation of the murder of the black teenager Steven Lawrence, and its findings, published in the McPherson Report </w:t>
      </w:r>
      <w:sdt>
        <w:sdtPr>
          <w:rPr>
            <w:rFonts w:cstheme="minorHAnsi"/>
          </w:rPr>
          <w:id w:val="1361313532"/>
          <w:citation/>
        </w:sdtPr>
        <w:sdtContent>
          <w:r w:rsidRPr="00AF65B4">
            <w:rPr>
              <w:rFonts w:cstheme="minorHAnsi"/>
            </w:rPr>
            <w:fldChar w:fldCharType="begin"/>
          </w:r>
          <w:r w:rsidRPr="00AF65B4">
            <w:rPr>
              <w:rFonts w:cstheme="minorHAnsi"/>
            </w:rPr>
            <w:instrText xml:space="preserve"> CITATION Sir99 \l 2057 </w:instrText>
          </w:r>
          <w:r w:rsidRPr="00AF65B4">
            <w:rPr>
              <w:rFonts w:cstheme="minorHAnsi"/>
            </w:rPr>
            <w:fldChar w:fldCharType="separate"/>
          </w:r>
          <w:r w:rsidRPr="00AF65B4">
            <w:rPr>
              <w:rFonts w:cstheme="minorHAnsi"/>
              <w:noProof/>
            </w:rPr>
            <w:t>(Macpherson, 1999)</w:t>
          </w:r>
          <w:r w:rsidRPr="00AF65B4">
            <w:rPr>
              <w:rFonts w:cstheme="minorHAnsi"/>
            </w:rPr>
            <w:fldChar w:fldCharType="end"/>
          </w:r>
        </w:sdtContent>
      </w:sdt>
      <w:r w:rsidRPr="00AF65B4">
        <w:rPr>
          <w:rFonts w:cstheme="minorHAnsi"/>
        </w:rPr>
        <w:t xml:space="preserve">, otherwise known as the Lawrence Inquiry - that institutional racism exists in the Metropolitan police service. Stephen Lawrence was a young black individual, tragically lost his life due to a racially motivated assault carried out by five white teenagers. Following an unsuccessful police investigation, as well as the failure of both the prosecution case and a subsequent private prosecution, Stephen Lawrence's family sought a public inquiry </w:t>
      </w:r>
      <w:sdt>
        <w:sdtPr>
          <w:rPr>
            <w:rFonts w:cstheme="minorHAnsi"/>
          </w:rPr>
          <w:id w:val="878279725"/>
          <w:citation/>
        </w:sdtPr>
        <w:sdtContent>
          <w:r w:rsidRPr="00AF65B4">
            <w:rPr>
              <w:rFonts w:cstheme="minorHAnsi"/>
            </w:rPr>
            <w:fldChar w:fldCharType="begin"/>
          </w:r>
          <w:r w:rsidRPr="00AF65B4">
            <w:rPr>
              <w:rFonts w:cstheme="minorHAnsi"/>
            </w:rPr>
            <w:instrText xml:space="preserve"> CITATION Cat99 \l 2057 </w:instrText>
          </w:r>
          <w:r w:rsidRPr="00AF65B4">
            <w:rPr>
              <w:rFonts w:cstheme="minorHAnsi"/>
            </w:rPr>
            <w:fldChar w:fldCharType="separate"/>
          </w:r>
          <w:r w:rsidRPr="00AF65B4">
            <w:rPr>
              <w:rFonts w:cstheme="minorHAnsi"/>
              <w:noProof/>
            </w:rPr>
            <w:t>(Cathcart, 1999)</w:t>
          </w:r>
          <w:r w:rsidRPr="00AF65B4">
            <w:rPr>
              <w:rFonts w:cstheme="minorHAnsi"/>
            </w:rPr>
            <w:fldChar w:fldCharType="end"/>
          </w:r>
        </w:sdtContent>
      </w:sdt>
      <w:r w:rsidRPr="00AF65B4">
        <w:rPr>
          <w:rFonts w:cstheme="minorHAnsi"/>
        </w:rPr>
        <w:t xml:space="preserve">. McPherson’s report revealed that the murder investigation had been severely compromised by a mixture of professional incompetence, institutional racism, and a lack of effective leadership among senior officers </w:t>
      </w:r>
      <w:sdt>
        <w:sdtPr>
          <w:rPr>
            <w:rFonts w:cstheme="minorHAnsi"/>
          </w:rPr>
          <w:id w:val="-2063942181"/>
          <w:citation/>
        </w:sdtPr>
        <w:sdtContent>
          <w:r w:rsidRPr="00AF65B4">
            <w:rPr>
              <w:rFonts w:cstheme="minorHAnsi"/>
            </w:rPr>
            <w:fldChar w:fldCharType="begin"/>
          </w:r>
          <w:r w:rsidRPr="00AF65B4">
            <w:rPr>
              <w:rFonts w:cstheme="minorHAnsi"/>
            </w:rPr>
            <w:instrText xml:space="preserve"> CITATION Sir99 \l 2057 </w:instrText>
          </w:r>
          <w:r w:rsidRPr="00AF65B4">
            <w:rPr>
              <w:rFonts w:cstheme="minorHAnsi"/>
            </w:rPr>
            <w:fldChar w:fldCharType="separate"/>
          </w:r>
          <w:r w:rsidRPr="00AF65B4">
            <w:rPr>
              <w:rFonts w:cstheme="minorHAnsi"/>
              <w:noProof/>
            </w:rPr>
            <w:t>(Macpherson, 1999)</w:t>
          </w:r>
          <w:r w:rsidRPr="00AF65B4">
            <w:rPr>
              <w:rFonts w:cstheme="minorHAnsi"/>
            </w:rPr>
            <w:fldChar w:fldCharType="end"/>
          </w:r>
        </w:sdtContent>
      </w:sdt>
      <w:r w:rsidRPr="00AF65B4">
        <w:rPr>
          <w:rFonts w:cstheme="minorHAnsi"/>
        </w:rPr>
        <w:t>.</w:t>
      </w:r>
    </w:p>
    <w:p w14:paraId="1931DB3C" w14:textId="2DEF13D8" w:rsidR="00AF65B4" w:rsidRPr="00AF65B4" w:rsidRDefault="00AF65B4" w:rsidP="00AF65B4">
      <w:pPr>
        <w:rPr>
          <w:rFonts w:cstheme="minorHAnsi"/>
        </w:rPr>
      </w:pPr>
      <w:r w:rsidRPr="00AF65B4">
        <w:rPr>
          <w:rFonts w:cstheme="minorHAnsi"/>
        </w:rPr>
        <w:t xml:space="preserve"> As a consequence of the Lawrence Inquiry, the British government responded with amendments to the Race relations Act 1976. These changes include a duty to promote race equality and apply to a wide range of public authorities. Having also accepted Macpherson’s findings of the existence of institutional racism within the Metropolitan Police, and its 70 recommendations, the Home Office published a ground-breaking report called Dismantling Barriers </w:t>
      </w:r>
      <w:sdt>
        <w:sdtPr>
          <w:rPr>
            <w:rFonts w:cstheme="minorHAnsi"/>
          </w:rPr>
          <w:id w:val="-453251437"/>
          <w:citation/>
        </w:sdtPr>
        <w:sdtContent>
          <w:r w:rsidRPr="00AF65B4">
            <w:rPr>
              <w:rFonts w:cstheme="minorHAnsi"/>
            </w:rPr>
            <w:fldChar w:fldCharType="begin"/>
          </w:r>
          <w:r w:rsidRPr="00AF65B4">
            <w:rPr>
              <w:rFonts w:cstheme="minorHAnsi"/>
            </w:rPr>
            <w:instrText xml:space="preserve"> CITATION Hom99 \l 2057 </w:instrText>
          </w:r>
          <w:r w:rsidRPr="00AF65B4">
            <w:rPr>
              <w:rFonts w:cstheme="minorHAnsi"/>
            </w:rPr>
            <w:fldChar w:fldCharType="separate"/>
          </w:r>
          <w:r w:rsidRPr="00AF65B4">
            <w:rPr>
              <w:rFonts w:cstheme="minorHAnsi"/>
              <w:noProof/>
            </w:rPr>
            <w:t>(Home Office, 1999)</w:t>
          </w:r>
          <w:r w:rsidRPr="00AF65B4">
            <w:rPr>
              <w:rFonts w:cstheme="minorHAnsi"/>
            </w:rPr>
            <w:fldChar w:fldCharType="end"/>
          </w:r>
        </w:sdtContent>
      </w:sdt>
      <w:r w:rsidRPr="00AF65B4">
        <w:rPr>
          <w:rFonts w:cstheme="minorHAnsi"/>
        </w:rPr>
        <w:t xml:space="preserve">. As well as creating a duty for chief constables to support and promote support networks such as Black Police Associations </w:t>
      </w:r>
      <w:sdt>
        <w:sdtPr>
          <w:rPr>
            <w:rFonts w:cstheme="minorHAnsi"/>
          </w:rPr>
          <w:id w:val="-290674767"/>
          <w:citation/>
        </w:sdtPr>
        <w:sdtContent>
          <w:r w:rsidRPr="00AF65B4">
            <w:rPr>
              <w:rFonts w:cstheme="minorHAnsi"/>
            </w:rPr>
            <w:fldChar w:fldCharType="begin"/>
          </w:r>
          <w:r w:rsidRPr="00AF65B4">
            <w:rPr>
              <w:rFonts w:cstheme="minorHAnsi"/>
            </w:rPr>
            <w:instrText xml:space="preserve"> CITATION Hol04 \l 2057 </w:instrText>
          </w:r>
          <w:r w:rsidRPr="00AF65B4">
            <w:rPr>
              <w:rFonts w:cstheme="minorHAnsi"/>
            </w:rPr>
            <w:fldChar w:fldCharType="separate"/>
          </w:r>
          <w:r w:rsidRPr="00AF65B4">
            <w:rPr>
              <w:rFonts w:cstheme="minorHAnsi"/>
              <w:noProof/>
            </w:rPr>
            <w:t>(Holdaway &amp; O'Neil, 2004)</w:t>
          </w:r>
          <w:r w:rsidRPr="00AF65B4">
            <w:rPr>
              <w:rFonts w:cstheme="minorHAnsi"/>
            </w:rPr>
            <w:fldChar w:fldCharType="end"/>
          </w:r>
        </w:sdtContent>
      </w:sdt>
      <w:r w:rsidRPr="00AF65B4">
        <w:rPr>
          <w:rFonts w:cstheme="minorHAnsi"/>
        </w:rPr>
        <w:t xml:space="preserve">, the Home Office Dismantling Barriers report also sets </w:t>
      </w:r>
      <w:r w:rsidRPr="00AF65B4">
        <w:rPr>
          <w:rFonts w:cstheme="minorHAnsi"/>
        </w:rPr>
        <w:lastRenderedPageBreak/>
        <w:t>targets for recruitment, retention and progression of both minority ethnic police officers and police support staff.</w:t>
      </w:r>
    </w:p>
    <w:p w14:paraId="28B44B97" w14:textId="06129832" w:rsidR="00AF65B4" w:rsidRPr="00AF65B4" w:rsidRDefault="00AF65B4" w:rsidP="00AF65B4">
      <w:pPr>
        <w:rPr>
          <w:rFonts w:cstheme="minorHAnsi"/>
        </w:rPr>
      </w:pPr>
      <w:r w:rsidRPr="00AF65B4">
        <w:rPr>
          <w:rFonts w:cstheme="minorHAnsi"/>
        </w:rPr>
        <w:t xml:space="preserve">Prior to the introduction of the Police and Criminal Evidence Act 1984 (PACE), the legal powers to search suspects were incoherent and had developed on an ad hoc basis, contained in a variety of local and national legislation. Under s66 of the 1839 Metropolitan Police Act, the police in London had the power to stop and search people they `reasonably suspected' of carrying anything `stolen or unlawfully obtained. ' Similar powers existed in the West Midlands, Manchester, and Liverpool. Nationally, however the police had powers to stop and search only for drugs and firearms </w:t>
      </w:r>
      <w:sdt>
        <w:sdtPr>
          <w:rPr>
            <w:rFonts w:cstheme="minorHAnsi"/>
          </w:rPr>
          <w:id w:val="-824281600"/>
          <w:citation/>
        </w:sdtPr>
        <w:sdtContent>
          <w:r w:rsidRPr="00AF65B4">
            <w:rPr>
              <w:rFonts w:cstheme="minorHAnsi"/>
            </w:rPr>
            <w:fldChar w:fldCharType="begin"/>
          </w:r>
          <w:r w:rsidRPr="00AF65B4">
            <w:rPr>
              <w:rFonts w:cstheme="minorHAnsi"/>
            </w:rPr>
            <w:instrText xml:space="preserve"> CITATION Wil83 \l 2057 </w:instrText>
          </w:r>
          <w:r w:rsidRPr="00AF65B4">
            <w:rPr>
              <w:rFonts w:cstheme="minorHAnsi"/>
            </w:rPr>
            <w:fldChar w:fldCharType="separate"/>
          </w:r>
          <w:r w:rsidRPr="00AF65B4">
            <w:rPr>
              <w:rFonts w:cstheme="minorHAnsi"/>
              <w:noProof/>
            </w:rPr>
            <w:t>(Willis, 1983)</w:t>
          </w:r>
          <w:r w:rsidRPr="00AF65B4">
            <w:rPr>
              <w:rFonts w:cstheme="minorHAnsi"/>
            </w:rPr>
            <w:fldChar w:fldCharType="end"/>
          </w:r>
        </w:sdtContent>
      </w:sdt>
      <w:r w:rsidRPr="00AF65B4">
        <w:rPr>
          <w:rFonts w:cstheme="minorHAnsi"/>
        </w:rPr>
        <w:t>.</w:t>
      </w:r>
    </w:p>
    <w:p w14:paraId="27C49B93" w14:textId="2BC33A6B" w:rsidR="00AF65B4" w:rsidRPr="00AF65B4" w:rsidRDefault="00AF65B4" w:rsidP="00AF65B4">
      <w:pPr>
        <w:rPr>
          <w:rFonts w:cstheme="minorHAnsi"/>
        </w:rPr>
      </w:pPr>
      <w:r w:rsidRPr="00AF65B4">
        <w:rPr>
          <w:rFonts w:cstheme="minorHAnsi"/>
        </w:rPr>
        <w:t xml:space="preserve">The Royal Commission on Criminal Procedure 1981 were aware of the difficulties in regulating stop and search and the tensions felt in many communities over its use as had been highlighted by </w:t>
      </w:r>
      <w:sdt>
        <w:sdtPr>
          <w:rPr>
            <w:rFonts w:cstheme="minorHAnsi"/>
          </w:rPr>
          <w:id w:val="-135732450"/>
          <w:citation/>
        </w:sdtPr>
        <w:sdtContent>
          <w:r w:rsidRPr="00AF65B4">
            <w:rPr>
              <w:rFonts w:cstheme="minorHAnsi"/>
            </w:rPr>
            <w:fldChar w:fldCharType="begin"/>
          </w:r>
          <w:r w:rsidRPr="00AF65B4">
            <w:rPr>
              <w:rFonts w:cstheme="minorHAnsi"/>
            </w:rPr>
            <w:instrText xml:space="preserve"> CITATION Bri81 \l 2057 </w:instrText>
          </w:r>
          <w:r w:rsidRPr="00AF65B4">
            <w:rPr>
              <w:rFonts w:cstheme="minorHAnsi"/>
            </w:rPr>
            <w:fldChar w:fldCharType="separate"/>
          </w:r>
          <w:r w:rsidRPr="00AF65B4">
            <w:rPr>
              <w:rFonts w:cstheme="minorHAnsi"/>
              <w:noProof/>
            </w:rPr>
            <w:t>(Scarman, 1981)</w:t>
          </w:r>
          <w:r w:rsidRPr="00AF65B4">
            <w:rPr>
              <w:rFonts w:cstheme="minorHAnsi"/>
            </w:rPr>
            <w:fldChar w:fldCharType="end"/>
          </w:r>
        </w:sdtContent>
      </w:sdt>
      <w:r w:rsidRPr="00AF65B4">
        <w:rPr>
          <w:rFonts w:cstheme="minorHAnsi"/>
        </w:rPr>
        <w:t xml:space="preserve">. It recommended a uniform power that would give the police the power to stop and search for stolen goods or articles that it is an offence to possess, but that these powers were to be exercised within strict safeguards. At the core of the Commission's consideration was the need to balance the rights of the suspect with the requirement to tackle crime, in procedures that were publicly accountable </w:t>
      </w:r>
      <w:sdt>
        <w:sdtPr>
          <w:rPr>
            <w:rFonts w:cstheme="minorHAnsi"/>
          </w:rPr>
          <w:id w:val="-582530381"/>
          <w:citation/>
        </w:sdtPr>
        <w:sdtContent>
          <w:r w:rsidRPr="00AF65B4">
            <w:rPr>
              <w:rFonts w:cstheme="minorHAnsi"/>
            </w:rPr>
            <w:fldChar w:fldCharType="begin"/>
          </w:r>
          <w:r w:rsidRPr="00AF65B4">
            <w:rPr>
              <w:rFonts w:cstheme="minorHAnsi"/>
            </w:rPr>
            <w:instrText xml:space="preserve"> CITATION Phi81 \l 2057 </w:instrText>
          </w:r>
          <w:r w:rsidRPr="00AF65B4">
            <w:rPr>
              <w:rFonts w:cstheme="minorHAnsi"/>
            </w:rPr>
            <w:fldChar w:fldCharType="separate"/>
          </w:r>
          <w:r w:rsidRPr="00AF65B4">
            <w:rPr>
              <w:rFonts w:cstheme="minorHAnsi"/>
              <w:noProof/>
            </w:rPr>
            <w:t>(Phillips, 1981)</w:t>
          </w:r>
          <w:r w:rsidRPr="00AF65B4">
            <w:rPr>
              <w:rFonts w:cstheme="minorHAnsi"/>
            </w:rPr>
            <w:fldChar w:fldCharType="end"/>
          </w:r>
        </w:sdtContent>
      </w:sdt>
      <w:r w:rsidRPr="00AF65B4">
        <w:rPr>
          <w:rFonts w:cstheme="minorHAnsi"/>
        </w:rPr>
        <w:t>. On the heels of the recommendations of the Royal Commission and in an atmosphere of continued public concern about discrimination in the use of stop and search, the 1984 Police and Criminal Evidence Act was introduced. The Philips Commission deemed it necessary to include certain measures in PACE to ensure the protection of individuals. These measures took the form of administrative controls and encompassed various safeguards. Among these safeguards were the implementation of a threshold of reasonable suspicion and the systematic recording and monitoring of stop and search statistics. It is important to note that the concept of "reasonable suspicion" must be founded on objective and individual grounds, without any bias towards specific groups.</w:t>
      </w:r>
    </w:p>
    <w:p w14:paraId="3C912753" w14:textId="014A2FDC" w:rsidR="00AF65B4" w:rsidRPr="00AF65B4" w:rsidRDefault="00AF65B4" w:rsidP="00AF65B4">
      <w:pPr>
        <w:rPr>
          <w:rFonts w:cstheme="minorHAnsi"/>
        </w:rPr>
      </w:pPr>
      <w:r w:rsidRPr="00AF65B4">
        <w:rPr>
          <w:rFonts w:cstheme="minorHAnsi"/>
        </w:rPr>
        <w:t xml:space="preserve">Officers are now obligated, whenever possible, to furnish the individual who has been detained with a comprehensive account of the encounter. This account encompasses the rationale behind the search, the specific </w:t>
      </w:r>
      <w:r w:rsidRPr="00AF65B4">
        <w:rPr>
          <w:rFonts w:cstheme="minorHAnsi"/>
        </w:rPr>
        <w:t>item,</w:t>
      </w:r>
      <w:r w:rsidRPr="00AF65B4">
        <w:rPr>
          <w:rFonts w:cstheme="minorHAnsi"/>
        </w:rPr>
        <w:t xml:space="preserve"> or items that the officers are seeking, the ultimate outcome of the search, as well as the name and affiliation of the officer responsible for conducting the search. Additionally, the record includes personal particulars of the individual subjected to the search, such as their name, address, ethnic background, and a physical description. It is important to note that the individual has the right to decline providing these personal details. The requirement of maintaining a written record serves three primary purposes. Firstly, it is anticipated that by informing the public about the necessity of documenting these encounters, officers will exercise greater caution and thoughtfulness when deciding to initiate a stop, thereby discouraging arbitrary stops. Secondly, by providing a written record of the incident and informing the public about the process of filing complaints, it is believed that transparency will be fostered, ultimately leading to the establishment of trust and confidence in law enforcement among the public.</w:t>
      </w:r>
    </w:p>
    <w:p w14:paraId="085B7FF0" w14:textId="161AC212" w:rsidR="00AF65B4" w:rsidRDefault="00AF65B4" w:rsidP="00AF65B4">
      <w:pPr>
        <w:rPr>
          <w:rFonts w:cstheme="minorHAnsi"/>
        </w:rPr>
      </w:pPr>
    </w:p>
    <w:p w14:paraId="1B93FA65" w14:textId="0329978F" w:rsidR="00AF65B4" w:rsidRDefault="00AF65B4" w:rsidP="00AF65B4">
      <w:pPr>
        <w:rPr>
          <w:rFonts w:cstheme="minorHAnsi"/>
        </w:rPr>
      </w:pPr>
      <w:r>
        <w:rPr>
          <w:rFonts w:cstheme="minorHAnsi"/>
        </w:rPr>
        <w:t>Word Count – 972.</w:t>
      </w:r>
    </w:p>
    <w:p w14:paraId="6DA7FBE6" w14:textId="6077942D" w:rsidR="00AF65B4" w:rsidRDefault="00AF65B4" w:rsidP="00AF65B4">
      <w:pPr>
        <w:rPr>
          <w:rFonts w:cstheme="minorHAnsi"/>
        </w:rPr>
      </w:pPr>
    </w:p>
    <w:p w14:paraId="667C6939" w14:textId="4DDD989B" w:rsidR="00AF65B4" w:rsidRDefault="00AF65B4" w:rsidP="00AF65B4">
      <w:pPr>
        <w:rPr>
          <w:rFonts w:cstheme="minorHAnsi"/>
        </w:rPr>
      </w:pPr>
    </w:p>
    <w:p w14:paraId="49345789" w14:textId="780F0BD1" w:rsidR="00AF65B4" w:rsidRDefault="00AF65B4" w:rsidP="00AF65B4">
      <w:pPr>
        <w:rPr>
          <w:rFonts w:cstheme="minorHAnsi"/>
        </w:rPr>
      </w:pPr>
    </w:p>
    <w:p w14:paraId="74454416" w14:textId="2052073D" w:rsidR="00AF65B4" w:rsidRDefault="00AF65B4" w:rsidP="00AF65B4">
      <w:pPr>
        <w:rPr>
          <w:rFonts w:cstheme="minorHAnsi"/>
        </w:rPr>
      </w:pPr>
    </w:p>
    <w:p w14:paraId="719443DE" w14:textId="5FFC7E8D" w:rsidR="00AF65B4" w:rsidRDefault="00AF65B4" w:rsidP="00AF65B4">
      <w:pPr>
        <w:rPr>
          <w:rFonts w:cstheme="minorHAnsi"/>
        </w:rPr>
      </w:pPr>
    </w:p>
    <w:p w14:paraId="568B92C4" w14:textId="006F3335" w:rsidR="00AF65B4" w:rsidRPr="00AF65B4" w:rsidRDefault="00AF65B4" w:rsidP="00AF65B4">
      <w:pPr>
        <w:rPr>
          <w:b/>
          <w:bCs/>
          <w:sz w:val="24"/>
          <w:szCs w:val="24"/>
        </w:rPr>
      </w:pPr>
      <w:r w:rsidRPr="00AF65B4">
        <w:rPr>
          <w:b/>
          <w:bCs/>
          <w:sz w:val="24"/>
          <w:szCs w:val="24"/>
        </w:rPr>
        <w:t>Question 2</w:t>
      </w:r>
    </w:p>
    <w:p w14:paraId="0C3FF052" w14:textId="6D5AFC3D" w:rsidR="00AF65B4" w:rsidRPr="00AF65B4" w:rsidRDefault="00AF65B4" w:rsidP="00AF65B4">
      <w:r w:rsidRPr="00AF65B4">
        <w:t xml:space="preserve">This essay aims to explore the diverse socio-economic and psychological attributes that render individuals susceptible to exploitation by criminal organisations. </w:t>
      </w:r>
    </w:p>
    <w:p w14:paraId="0BF33211" w14:textId="77777777" w:rsidR="00AF65B4" w:rsidRPr="00AF65B4" w:rsidRDefault="00AF65B4" w:rsidP="00AF65B4"/>
    <w:p w14:paraId="0BD46A18" w14:textId="706EC025" w:rsidR="00AF65B4" w:rsidRPr="00AF65B4" w:rsidRDefault="00AF65B4" w:rsidP="00AF65B4">
      <w:r w:rsidRPr="00AF65B4">
        <w:t xml:space="preserve">County lines, a term used to describe criminal organisations that utilise dedicated cell phone lines or other forms of "deal lines" to transport illegal substances into various regions within the United Kingdom. These gangs often resort to tactics such as coercion, intimidation, and physical violence. Additionally, they exploit children and vulnerable individuals to facilitate the transportation and storage of narcotics or the proceeds from their illicit activities </w:t>
      </w:r>
      <w:sdt>
        <w:sdtPr>
          <w:id w:val="-1341616130"/>
          <w:citation/>
        </w:sdtPr>
        <w:sdtContent>
          <w:r w:rsidRPr="00AF65B4">
            <w:fldChar w:fldCharType="begin"/>
          </w:r>
          <w:r w:rsidRPr="00AF65B4">
            <w:instrText xml:space="preserve"> CITATION Nat20 \l 2057 </w:instrText>
          </w:r>
          <w:r w:rsidRPr="00AF65B4">
            <w:fldChar w:fldCharType="separate"/>
          </w:r>
          <w:r>
            <w:rPr>
              <w:noProof/>
            </w:rPr>
            <w:t>(National Crime Agency, 2020)</w:t>
          </w:r>
          <w:r w:rsidRPr="00AF65B4">
            <w:fldChar w:fldCharType="end"/>
          </w:r>
        </w:sdtContent>
      </w:sdt>
      <w:r w:rsidRPr="00AF65B4">
        <w:t>.</w:t>
      </w:r>
    </w:p>
    <w:p w14:paraId="6EF6E094" w14:textId="51853C3F" w:rsidR="00AF65B4" w:rsidRPr="00AF65B4" w:rsidRDefault="00AF65B4" w:rsidP="00AF65B4">
      <w:r w:rsidRPr="00AF65B4">
        <w:t xml:space="preserve">According to the Oxford English Dictionary, vulnerability is a person in need of special care, support, or protection because of age, disability, or risk of abuse or neglect </w:t>
      </w:r>
      <w:sdt>
        <w:sdtPr>
          <w:id w:val="1913189383"/>
          <w:citation/>
        </w:sdtPr>
        <w:sdtContent>
          <w:r w:rsidRPr="00AF65B4">
            <w:fldChar w:fldCharType="begin"/>
          </w:r>
          <w:r w:rsidRPr="00AF65B4">
            <w:instrText xml:space="preserve"> CITATION Oxf23 \l 2057 </w:instrText>
          </w:r>
          <w:r w:rsidRPr="00AF65B4">
            <w:fldChar w:fldCharType="separate"/>
          </w:r>
          <w:r>
            <w:rPr>
              <w:noProof/>
            </w:rPr>
            <w:t>(Oxford University Press, 2023)</w:t>
          </w:r>
          <w:r w:rsidRPr="00AF65B4">
            <w:fldChar w:fldCharType="end"/>
          </w:r>
        </w:sdtContent>
      </w:sdt>
      <w:r w:rsidRPr="00AF65B4">
        <w:t>.</w:t>
      </w:r>
    </w:p>
    <w:p w14:paraId="10127A1B" w14:textId="77777777" w:rsidR="00AF65B4" w:rsidRPr="00AF65B4" w:rsidRDefault="00AF65B4" w:rsidP="00AF65B4">
      <w:r w:rsidRPr="00AF65B4">
        <w:t>There are many reasons why county line gangs may choose to use vulnerable or young people, likewise there are many reasons why these people may choose to get involved with them.</w:t>
      </w:r>
    </w:p>
    <w:p w14:paraId="2FE31B2D" w14:textId="77777777" w:rsidR="00AF65B4" w:rsidRPr="00AF65B4" w:rsidRDefault="00AF65B4" w:rsidP="00AF65B4">
      <w:r w:rsidRPr="00AF65B4">
        <w:t xml:space="preserve">Based on research and informal discussions with professional bodies, several vulnerable groups are being taken advantage of. </w:t>
      </w:r>
    </w:p>
    <w:p w14:paraId="36965E1F" w14:textId="107E7EC6" w:rsidR="00AF65B4" w:rsidRPr="00AF65B4" w:rsidRDefault="00AF65B4" w:rsidP="00AF65B4">
      <w:pPr>
        <w:rPr>
          <w:b/>
          <w:bCs/>
        </w:rPr>
      </w:pPr>
      <w:r w:rsidRPr="00AF65B4">
        <w:t xml:space="preserve">These groups include individuals who are dependent on drugs, adults and young individuals with specific welfare requirements, children who are under the care of authorities - these agencies act as their "corporate parents" and bear the responsibility for their welfare. These children are moved to accommodations that are frequently distant from their original homes and occasionally unregulated </w:t>
      </w:r>
      <w:sdt>
        <w:sdtPr>
          <w:id w:val="1976567033"/>
          <w:citation/>
        </w:sdtPr>
        <w:sdtContent>
          <w:r w:rsidRPr="00AF65B4">
            <w:fldChar w:fldCharType="begin"/>
          </w:r>
          <w:r w:rsidRPr="00AF65B4">
            <w:instrText xml:space="preserve"> CITATION Nat161 \l 2057 </w:instrText>
          </w:r>
          <w:r w:rsidRPr="00AF65B4">
            <w:fldChar w:fldCharType="separate"/>
          </w:r>
          <w:r>
            <w:rPr>
              <w:noProof/>
            </w:rPr>
            <w:t>(National Crime Agency , 2016)</w:t>
          </w:r>
          <w:r w:rsidRPr="00AF65B4">
            <w:fldChar w:fldCharType="end"/>
          </w:r>
        </w:sdtContent>
      </w:sdt>
      <w:r w:rsidRPr="00AF65B4">
        <w:t>.</w:t>
      </w:r>
      <w:r w:rsidRPr="00AF65B4">
        <w:rPr>
          <w:b/>
          <w:bCs/>
        </w:rPr>
        <w:t xml:space="preserve"> </w:t>
      </w:r>
    </w:p>
    <w:p w14:paraId="41A59DC2" w14:textId="78F4F98C" w:rsidR="00AF65B4" w:rsidRPr="00AF65B4" w:rsidRDefault="00AF65B4" w:rsidP="00AF65B4">
      <w:pPr>
        <w:rPr>
          <w:b/>
          <w:bCs/>
        </w:rPr>
      </w:pPr>
      <w:r w:rsidRPr="00AF65B4">
        <w:t xml:space="preserve">Other vulnerable groups include children whose parents or caregivers suffer from mental health problems, and individuals who are reliant on alcohol or drugs </w:t>
      </w:r>
      <w:sdt>
        <w:sdtPr>
          <w:rPr>
            <w:rFonts w:cstheme="minorHAnsi"/>
            <w:color w:val="333333"/>
            <w:shd w:val="clear" w:color="auto" w:fill="FFFFFF"/>
          </w:rPr>
          <w:id w:val="1479186926"/>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 CITATION Coo12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(Coomber R. a., 2012)</w:t>
          </w:r>
          <w:r w:rsidRPr="00AF65B4">
            <w:rPr>
              <w:rFonts w:cstheme="minorHAnsi"/>
              <w:color w:val="333333"/>
              <w:shd w:val="clear" w:color="auto" w:fill="FFFFFF"/>
            </w:rPr>
            <w:fldChar w:fldCharType="end"/>
          </w:r>
        </w:sdtContent>
      </w:sdt>
      <w:r w:rsidRPr="00AF65B4">
        <w:rPr>
          <w:rFonts w:cstheme="minorHAnsi"/>
          <w:color w:val="333333"/>
          <w:shd w:val="clear" w:color="auto" w:fill="FFFFFF"/>
        </w:rPr>
        <w:t xml:space="preserve">. </w:t>
      </w:r>
      <w:r w:rsidRPr="00AF65B4">
        <w:rPr>
          <w:rFonts w:ascii="Open Sans" w:hAnsi="Open Sans" w:cs="Open Sans"/>
          <w:color w:val="333333"/>
          <w:shd w:val="clear" w:color="auto" w:fill="FFFFFF"/>
        </w:rPr>
        <w:t xml:space="preserve"> </w:t>
      </w:r>
      <w:r w:rsidRPr="00AF65B4">
        <w:rPr>
          <w:rFonts w:cstheme="minorHAnsi"/>
          <w:color w:val="333333"/>
          <w:shd w:val="clear" w:color="auto" w:fill="FFFFFF"/>
        </w:rPr>
        <w:t xml:space="preserve">According to police intelligence, boys between the ages of 14 and 17 are the most common youth targets of county line gangs </w:t>
      </w:r>
      <w:sdt>
        <w:sdtPr>
          <w:rPr>
            <w:rFonts w:cstheme="minorHAnsi"/>
            <w:color w:val="333333"/>
            <w:shd w:val="clear" w:color="auto" w:fill="FFFFFF"/>
          </w:rPr>
          <w:id w:val="-798382070"/>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 CITATION Nat16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(National Crime Agency, 2016)</w:t>
          </w:r>
          <w:r w:rsidRPr="00AF65B4">
            <w:rPr>
              <w:rFonts w:cstheme="minorHAnsi"/>
              <w:color w:val="333333"/>
              <w:shd w:val="clear" w:color="auto" w:fill="FFFFFF"/>
            </w:rPr>
            <w:fldChar w:fldCharType="end"/>
          </w:r>
        </w:sdtContent>
      </w:sdt>
      <w:r w:rsidRPr="00AF65B4">
        <w:rPr>
          <w:rFonts w:cstheme="minorHAnsi"/>
          <w:color w:val="333333"/>
          <w:shd w:val="clear" w:color="auto" w:fill="FFFFFF"/>
        </w:rPr>
        <w:t>. While </w:t>
      </w:r>
      <w:sdt>
        <w:sdtPr>
          <w:rPr>
            <w:rFonts w:cstheme="minorHAnsi"/>
            <w:color w:val="333333"/>
            <w:shd w:val="clear" w:color="auto" w:fill="FFFFFF"/>
          </w:rPr>
          <w:id w:val="581564418"/>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 CITATION Rei17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(Reid, 2017)</w:t>
          </w:r>
          <w:r w:rsidRPr="00AF65B4">
            <w:rPr>
              <w:rFonts w:cstheme="minorHAnsi"/>
              <w:color w:val="333333"/>
              <w:shd w:val="clear" w:color="auto" w:fill="FFFFFF"/>
            </w:rPr>
            <w:fldChar w:fldCharType="end"/>
          </w:r>
        </w:sdtContent>
      </w:sdt>
      <w:r w:rsidRPr="00AF65B4">
        <w:rPr>
          <w:rFonts w:cstheme="minorHAnsi"/>
          <w:color w:val="333333"/>
          <w:shd w:val="clear" w:color="auto" w:fill="FFFFFF"/>
        </w:rPr>
        <w:t xml:space="preserve"> has discovered that individuals who have encountered a variety of adverse childhood experiences (ACEs) are more susceptible to becoming victims of human trafficking. </w:t>
      </w:r>
    </w:p>
    <w:p w14:paraId="09A1F4CB" w14:textId="220F9DD2" w:rsidR="00AF65B4" w:rsidRPr="00AF65B4" w:rsidRDefault="00AF65B4" w:rsidP="00AF65B4">
      <w:pPr>
        <w:rPr>
          <w:rFonts w:cstheme="minorHAnsi"/>
          <w:color w:val="333333"/>
          <w:shd w:val="clear" w:color="auto" w:fill="FFFFFF"/>
        </w:rPr>
      </w:pPr>
      <w:r w:rsidRPr="00AF65B4">
        <w:rPr>
          <w:rFonts w:cstheme="minorHAnsi"/>
          <w:color w:val="333333"/>
          <w:shd w:val="clear" w:color="auto" w:fill="FFFFFF"/>
        </w:rPr>
        <w:t>Children and young people may be exploited due to the perception that they are viewed as expendable commodities and provide a cheap, readily recruited workforce capable of bearing the risk of prosecution associated with street-level sales</w:t>
      </w:r>
      <w:r w:rsidRPr="00AF65B4">
        <w:rPr>
          <w:rFonts w:ascii="Open Sans" w:hAnsi="Open Sans" w:cs="Open Sans"/>
          <w:color w:val="333333"/>
          <w:shd w:val="clear" w:color="auto" w:fill="FFFFFF"/>
        </w:rPr>
        <w:t xml:space="preserve"> </w:t>
      </w:r>
      <w:sdt>
        <w:sdtPr>
          <w:rPr>
            <w:rFonts w:cstheme="minorHAnsi"/>
            <w:color w:val="333333"/>
            <w:shd w:val="clear" w:color="auto" w:fill="FFFFFF"/>
          </w:rPr>
          <w:id w:val="557135504"/>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CITATION Coo18 \t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(Coomber R. a., 2018)</w:t>
          </w:r>
          <w:r w:rsidRPr="00AF65B4">
            <w:rPr>
              <w:rFonts w:cstheme="minorHAnsi"/>
              <w:color w:val="333333"/>
              <w:shd w:val="clear" w:color="auto" w:fill="FFFFFF"/>
            </w:rPr>
            <w:fldChar w:fldCharType="end"/>
          </w:r>
        </w:sdtContent>
      </w:sdt>
      <w:r w:rsidRPr="00AF65B4">
        <w:rPr>
          <w:rFonts w:cstheme="minorHAnsi"/>
          <w:color w:val="333333"/>
          <w:shd w:val="clear" w:color="auto" w:fill="FFFFFF"/>
        </w:rPr>
        <w:t xml:space="preserve">. </w:t>
      </w:r>
    </w:p>
    <w:p w14:paraId="2538D701" w14:textId="43BC375D" w:rsidR="00AF65B4" w:rsidRPr="00AF65B4" w:rsidRDefault="00AF65B4" w:rsidP="00AF65B4">
      <w:pPr>
        <w:rPr>
          <w:rFonts w:cstheme="minorHAnsi"/>
          <w:color w:val="333333"/>
          <w:shd w:val="clear" w:color="auto" w:fill="FFFFFF"/>
        </w:rPr>
      </w:pPr>
      <w:r w:rsidRPr="00AF65B4">
        <w:rPr>
          <w:rFonts w:cstheme="minorHAnsi"/>
          <w:color w:val="333333"/>
          <w:shd w:val="clear" w:color="auto" w:fill="FFFFFF"/>
        </w:rPr>
        <w:t>According to The Home Office, individuals who have experienced neglect, physical and/or sexual abuse in the past are more susceptible to exploitation. Furthermore, those who lack a secure and stable home environment, either presently or in the past, are also at a higher risk, this is why county lines gangs typically target young people who are in/or have been in the care system and have experienced a lack of stable home environment during childhood. Social isolation or difficulties in social interactions, economic vulnerability, or insecure housing situations, physical or learning disabilities and substance abuse problems are additional factors that contribute to an individual's vulnerability to exploitation</w:t>
      </w:r>
      <w:r w:rsidRPr="00AF65B4">
        <w:t xml:space="preserve"> </w:t>
      </w:r>
      <w:sdt>
        <w:sdtPr>
          <w:rPr>
            <w:rFonts w:cstheme="minorHAnsi"/>
            <w:color w:val="333333"/>
            <w:shd w:val="clear" w:color="auto" w:fill="FFFFFF"/>
          </w:rPr>
          <w:id w:val="692807954"/>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 CITATION Hom17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(Home Office., 2017.)</w:t>
          </w:r>
          <w:r w:rsidRPr="00AF65B4">
            <w:rPr>
              <w:rFonts w:cstheme="minorHAnsi"/>
              <w:color w:val="333333"/>
              <w:shd w:val="clear" w:color="auto" w:fill="FFFFFF"/>
            </w:rPr>
            <w:fldChar w:fldCharType="end"/>
          </w:r>
        </w:sdtContent>
      </w:sdt>
      <w:r w:rsidRPr="00AF65B4">
        <w:rPr>
          <w:rFonts w:cstheme="minorHAnsi"/>
          <w:color w:val="333333"/>
          <w:shd w:val="clear" w:color="auto" w:fill="FFFFFF"/>
        </w:rPr>
        <w:t xml:space="preserve">. It is clear to see why county lines gangs will target young people who are still at school, more specifically those who are being bullied, who lack the popularity and have a deep desperation for social interaction and a friend, children like this can often spend a lot of time alone and are easily spotted by recruiters, this makes them easily recruited when they are approached by a seemingly friendly face. On the other side of the social spectrum, </w:t>
      </w:r>
      <w:r w:rsidRPr="00AF65B4">
        <w:rPr>
          <w:rFonts w:cstheme="minorHAnsi"/>
          <w:color w:val="333333"/>
          <w:shd w:val="clear" w:color="auto" w:fill="FFFFFF"/>
        </w:rPr>
        <w:lastRenderedPageBreak/>
        <w:t xml:space="preserve">those who have the popularity in the school environment will thrive from receiving financial incentives, the newest technology, and the best designer clothing for example, this in essence will allow them to fall into the grooming hands of county lines gangs. </w:t>
      </w:r>
    </w:p>
    <w:p w14:paraId="109D113D" w14:textId="4A785A97" w:rsidR="00AF65B4" w:rsidRPr="00AF65B4" w:rsidRDefault="00AF65B4" w:rsidP="00AF65B4">
      <w:pPr>
        <w:rPr>
          <w:rFonts w:cstheme="minorHAnsi"/>
          <w:b/>
          <w:bCs/>
          <w:color w:val="333333"/>
          <w:shd w:val="clear" w:color="auto" w:fill="FFFFFF"/>
        </w:rPr>
      </w:pPr>
      <w:r w:rsidRPr="00AF65B4">
        <w:rPr>
          <w:rFonts w:cstheme="minorHAnsi"/>
          <w:color w:val="333333"/>
          <w:shd w:val="clear" w:color="auto" w:fill="FFFFFF"/>
        </w:rPr>
        <w:t xml:space="preserve">The involvement of young individuals in county lines activity can be attributed to various factors such as financial gain, easy access to drugs, or the appeal of acquiring material possessions that are flaunted by criminal gangs </w:t>
      </w:r>
      <w:sdt>
        <w:sdtPr>
          <w:rPr>
            <w:rFonts w:cstheme="minorHAnsi"/>
            <w:color w:val="333333"/>
            <w:shd w:val="clear" w:color="auto" w:fill="FFFFFF"/>
          </w:rPr>
          <w:id w:val="-2038503208"/>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 CITATION Win15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(Windle, 2015)</w:t>
          </w:r>
          <w:r w:rsidRPr="00AF65B4">
            <w:rPr>
              <w:rFonts w:cstheme="minorHAnsi"/>
              <w:color w:val="333333"/>
              <w:shd w:val="clear" w:color="auto" w:fill="FFFFFF"/>
            </w:rPr>
            <w:fldChar w:fldCharType="end"/>
          </w:r>
        </w:sdtContent>
      </w:sdt>
      <w:r w:rsidRPr="00AF65B4">
        <w:rPr>
          <w:rFonts w:cstheme="minorHAnsi"/>
          <w:color w:val="333333"/>
          <w:shd w:val="clear" w:color="auto" w:fill="FFFFFF"/>
        </w:rPr>
        <w:t>,</w:t>
      </w:r>
      <w:r w:rsidRPr="00AF65B4">
        <w:rPr>
          <w:rFonts w:ascii="Open Sans" w:hAnsi="Open Sans" w:cs="Open Sans"/>
          <w:color w:val="333333"/>
          <w:shd w:val="clear" w:color="auto" w:fill="FFFFFF"/>
        </w:rPr>
        <w:t xml:space="preserve"> </w:t>
      </w:r>
      <w:sdt>
        <w:sdtPr>
          <w:rPr>
            <w:rFonts w:cstheme="minorHAnsi"/>
            <w:color w:val="333333"/>
            <w:shd w:val="clear" w:color="auto" w:fill="FFFFFF"/>
          </w:rPr>
          <w:id w:val="1805117448"/>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CITATION Coo181 \t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(Coomber R. a., 2018)</w:t>
          </w:r>
          <w:r w:rsidRPr="00AF65B4">
            <w:rPr>
              <w:rFonts w:cstheme="minorHAnsi"/>
              <w:color w:val="333333"/>
              <w:shd w:val="clear" w:color="auto" w:fill="FFFFFF"/>
            </w:rPr>
            <w:fldChar w:fldCharType="end"/>
          </w:r>
        </w:sdtContent>
      </w:sdt>
      <w:r w:rsidRPr="00AF65B4">
        <w:rPr>
          <w:rFonts w:cstheme="minorHAnsi"/>
          <w:color w:val="333333"/>
          <w:shd w:val="clear" w:color="auto" w:fill="FFFFFF"/>
        </w:rPr>
        <w:t xml:space="preserve">, </w:t>
      </w:r>
      <w:sdt>
        <w:sdtPr>
          <w:rPr>
            <w:rFonts w:cstheme="minorHAnsi"/>
            <w:color w:val="333333"/>
            <w:shd w:val="clear" w:color="auto" w:fill="FFFFFF"/>
          </w:rPr>
          <w:id w:val="850838890"/>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CITATION Bri13 \t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(Briggs, 2013)</w:t>
          </w:r>
          <w:r w:rsidRPr="00AF65B4">
            <w:rPr>
              <w:rFonts w:cstheme="minorHAnsi"/>
              <w:color w:val="333333"/>
              <w:shd w:val="clear" w:color="auto" w:fill="FFFFFF"/>
            </w:rPr>
            <w:fldChar w:fldCharType="end"/>
          </w:r>
        </w:sdtContent>
      </w:sdt>
      <w:r w:rsidRPr="00AF65B4">
        <w:rPr>
          <w:rFonts w:cstheme="minorHAnsi"/>
          <w:color w:val="333333"/>
          <w:shd w:val="clear" w:color="auto" w:fill="FFFFFF"/>
        </w:rPr>
        <w:t xml:space="preserve">. Children from disadvantaged backgrounds are frequently more prone to participating in criminal activities. Those who encounter challenges within their families or while under the care of social welfare institutions are particularly vulnerable to being manipulated by criminal gangs. Consequently, they often go missing or experience a noticeable decrease in school attendance </w:t>
      </w:r>
      <w:sdt>
        <w:sdtPr>
          <w:rPr>
            <w:rFonts w:cstheme="minorHAnsi"/>
            <w:color w:val="333333"/>
            <w:shd w:val="clear" w:color="auto" w:fill="FFFFFF"/>
          </w:rPr>
          <w:id w:val="147869766"/>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 CITATION Nat161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(National Crime Agency , 2016)</w:t>
          </w:r>
          <w:r w:rsidRPr="00AF65B4">
            <w:rPr>
              <w:rFonts w:cstheme="minorHAnsi"/>
              <w:color w:val="333333"/>
              <w:shd w:val="clear" w:color="auto" w:fill="FFFFFF"/>
            </w:rPr>
            <w:fldChar w:fldCharType="end"/>
          </w:r>
        </w:sdtContent>
      </w:sdt>
      <w:r w:rsidRPr="00AF65B4">
        <w:rPr>
          <w:rFonts w:cstheme="minorHAnsi"/>
          <w:color w:val="333333"/>
          <w:shd w:val="clear" w:color="auto" w:fill="FFFFFF"/>
        </w:rPr>
        <w:t>.</w:t>
      </w:r>
    </w:p>
    <w:p w14:paraId="74AB1CC3" w14:textId="72DE9DB4" w:rsidR="00AF65B4" w:rsidRPr="00AF65B4" w:rsidRDefault="00AF65B4" w:rsidP="00AF65B4">
      <w:pPr>
        <w:rPr>
          <w:rFonts w:cstheme="minorHAnsi"/>
          <w:color w:val="333333"/>
          <w:shd w:val="clear" w:color="auto" w:fill="FFFFFF"/>
        </w:rPr>
      </w:pPr>
      <w:r w:rsidRPr="00AF65B4">
        <w:rPr>
          <w:rFonts w:cstheme="minorHAnsi"/>
          <w:color w:val="333333"/>
          <w:shd w:val="clear" w:color="auto" w:fill="FFFFFF"/>
        </w:rPr>
        <w:t xml:space="preserve">On a more personal level, individuals could be enticed by the thrill and prestige of belonging to a specific criminal group or having romantic or personal ties with them </w:t>
      </w:r>
      <w:sdt>
        <w:sdtPr>
          <w:rPr>
            <w:rFonts w:cstheme="minorHAnsi"/>
            <w:color w:val="333333"/>
            <w:shd w:val="clear" w:color="auto" w:fill="FFFFFF"/>
          </w:rPr>
          <w:id w:val="151651643"/>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 CITATION And18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(Andell, 2018)</w:t>
          </w:r>
          <w:r w:rsidRPr="00AF65B4">
            <w:rPr>
              <w:rFonts w:cstheme="minorHAnsi"/>
              <w:color w:val="333333"/>
              <w:shd w:val="clear" w:color="auto" w:fill="FFFFFF"/>
            </w:rPr>
            <w:fldChar w:fldCharType="end"/>
          </w:r>
        </w:sdtContent>
      </w:sdt>
      <w:r w:rsidRPr="00AF65B4">
        <w:rPr>
          <w:rFonts w:cstheme="minorHAnsi"/>
          <w:color w:val="333333"/>
          <w:shd w:val="clear" w:color="auto" w:fill="FFFFFF"/>
        </w:rPr>
        <w:t xml:space="preserve">, </w:t>
      </w:r>
      <w:sdt>
        <w:sdtPr>
          <w:rPr>
            <w:rFonts w:cstheme="minorHAnsi"/>
            <w:color w:val="333333"/>
            <w:shd w:val="clear" w:color="auto" w:fill="FFFFFF"/>
          </w:rPr>
          <w:id w:val="328334666"/>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CITATION Coo122 \t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(Coomber R. a., 2012)</w:t>
          </w:r>
          <w:r w:rsidRPr="00AF65B4">
            <w:rPr>
              <w:rFonts w:cstheme="minorHAnsi"/>
              <w:color w:val="333333"/>
              <w:shd w:val="clear" w:color="auto" w:fill="FFFFFF"/>
            </w:rPr>
            <w:fldChar w:fldCharType="end"/>
          </w:r>
        </w:sdtContent>
      </w:sdt>
      <w:r w:rsidRPr="00AF65B4">
        <w:rPr>
          <w:rFonts w:cstheme="minorHAnsi"/>
          <w:color w:val="333333"/>
          <w:shd w:val="clear" w:color="auto" w:fill="FFFFFF"/>
        </w:rPr>
        <w:t xml:space="preserve">. </w:t>
      </w:r>
      <w:r w:rsidRPr="00AF65B4">
        <w:rPr>
          <w:rFonts w:cstheme="minorHAnsi"/>
          <w:b/>
          <w:bCs/>
          <w:color w:val="333333"/>
          <w:shd w:val="clear" w:color="auto" w:fill="FFFFFF"/>
        </w:rPr>
        <w:t> </w:t>
      </w:r>
      <w:r w:rsidRPr="00AF65B4">
        <w:rPr>
          <w:rFonts w:cstheme="minorHAnsi"/>
          <w:color w:val="333333"/>
          <w:shd w:val="clear" w:color="auto" w:fill="FFFFFF"/>
        </w:rPr>
        <w:t>Research by </w:t>
      </w:r>
      <w:sdt>
        <w:sdtPr>
          <w:rPr>
            <w:rFonts w:cstheme="minorHAnsi"/>
            <w:color w:val="333333"/>
            <w:shd w:val="clear" w:color="auto" w:fill="FFFFFF"/>
          </w:rPr>
          <w:id w:val="-469357202"/>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 CITATION Sto17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(Storrod, 2017)</w:t>
          </w:r>
          <w:r w:rsidRPr="00AF65B4">
            <w:rPr>
              <w:rFonts w:cstheme="minorHAnsi"/>
              <w:color w:val="333333"/>
              <w:shd w:val="clear" w:color="auto" w:fill="FFFFFF"/>
            </w:rPr>
            <w:fldChar w:fldCharType="end"/>
          </w:r>
        </w:sdtContent>
      </w:sdt>
      <w:r w:rsidRPr="00AF65B4">
        <w:rPr>
          <w:rFonts w:cstheme="minorHAnsi"/>
          <w:color w:val="333333"/>
          <w:shd w:val="clear" w:color="auto" w:fill="FFFFFF"/>
        </w:rPr>
        <w:t xml:space="preserve"> reveals the existence of emotional manipulation, where teenagers are controlled by the threat of posting harmful comments or explicit photos on social media platforms, obtaining said explicit photographs from a young person may be easily obtainable if they believe that they are in a loving and consenting relationship with county lines gang members. Studies have made it clear that individuals who become victims of county lines exploitation are motivated by economic instability and/or chaotic and troubled domestic situations. </w:t>
      </w:r>
      <w:sdt>
        <w:sdtPr>
          <w:rPr>
            <w:rFonts w:cstheme="minorHAnsi"/>
            <w:color w:val="333333"/>
            <w:shd w:val="clear" w:color="auto" w:fill="FFFFFF"/>
          </w:rPr>
          <w:id w:val="375969660"/>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CITATION Coo121 \t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(Coomber R. a., 2012)</w:t>
          </w:r>
          <w:r w:rsidRPr="00AF65B4">
            <w:rPr>
              <w:rFonts w:cstheme="minorHAnsi"/>
              <w:color w:val="333333"/>
              <w:shd w:val="clear" w:color="auto" w:fill="FFFFFF"/>
            </w:rPr>
            <w:fldChar w:fldCharType="end"/>
          </w:r>
        </w:sdtContent>
      </w:sdt>
      <w:r w:rsidRPr="00AF65B4">
        <w:rPr>
          <w:rFonts w:cstheme="minorHAnsi"/>
          <w:color w:val="333333"/>
          <w:shd w:val="clear" w:color="auto" w:fill="FFFFFF"/>
        </w:rPr>
        <w:t xml:space="preserve">, the accumulation of drug debt or the imposition of gifts results in the grooming or trapping of children and young adults </w:t>
      </w:r>
      <w:sdt>
        <w:sdtPr>
          <w:rPr>
            <w:rFonts w:cstheme="minorHAnsi"/>
            <w:color w:val="333333"/>
            <w:shd w:val="clear" w:color="auto" w:fill="FFFFFF"/>
          </w:rPr>
          <w:id w:val="-2111197266"/>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 CITATION Coo12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(Coomber R. a., 2012)</w:t>
          </w:r>
          <w:r w:rsidRPr="00AF65B4">
            <w:rPr>
              <w:rFonts w:cstheme="minorHAnsi"/>
              <w:color w:val="333333"/>
              <w:shd w:val="clear" w:color="auto" w:fill="FFFFFF"/>
            </w:rPr>
            <w:fldChar w:fldCharType="end"/>
          </w:r>
        </w:sdtContent>
      </w:sdt>
      <w:r w:rsidRPr="00AF65B4">
        <w:rPr>
          <w:rFonts w:cstheme="minorHAnsi"/>
          <w:color w:val="333333"/>
          <w:shd w:val="clear" w:color="auto" w:fill="FFFFFF"/>
        </w:rPr>
        <w:t xml:space="preserve">. The process of recruiting children is often ambiguous, lacking clarity. Nevertheless, social media platforms have emerged as a means to establish initial communication with victims </w:t>
      </w:r>
      <w:sdt>
        <w:sdtPr>
          <w:rPr>
            <w:rFonts w:cstheme="minorHAnsi"/>
            <w:color w:val="333333"/>
            <w:shd w:val="clear" w:color="auto" w:fill="FFFFFF"/>
          </w:rPr>
          <w:id w:val="357251747"/>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 CITATION Nat161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(National Crime Agency , 2016)</w:t>
          </w:r>
          <w:r w:rsidRPr="00AF65B4">
            <w:rPr>
              <w:rFonts w:cstheme="minorHAnsi"/>
              <w:color w:val="333333"/>
              <w:shd w:val="clear" w:color="auto" w:fill="FFFFFF"/>
            </w:rPr>
            <w:fldChar w:fldCharType="end"/>
          </w:r>
        </w:sdtContent>
      </w:sdt>
      <w:r w:rsidRPr="00AF65B4">
        <w:rPr>
          <w:rFonts w:cstheme="minorHAnsi"/>
          <w:color w:val="333333"/>
          <w:shd w:val="clear" w:color="auto" w:fill="FFFFFF"/>
        </w:rPr>
        <w:t>.</w:t>
      </w:r>
    </w:p>
    <w:p w14:paraId="637B493E" w14:textId="77777777" w:rsidR="00AF65B4" w:rsidRPr="00AF65B4" w:rsidRDefault="00AF65B4" w:rsidP="00AF65B4">
      <w:pPr>
        <w:rPr>
          <w:rFonts w:cstheme="minorHAnsi"/>
          <w:b/>
          <w:bCs/>
          <w:color w:val="333333"/>
          <w:shd w:val="clear" w:color="auto" w:fill="FFFFFF"/>
        </w:rPr>
      </w:pPr>
    </w:p>
    <w:p w14:paraId="0BB5B8A7" w14:textId="5CF11465" w:rsidR="00AF65B4" w:rsidRPr="00AF65B4" w:rsidRDefault="00AF65B4" w:rsidP="00AF65B4">
      <w:pPr>
        <w:rPr>
          <w:rFonts w:cstheme="minorHAnsi"/>
          <w:color w:val="333333"/>
          <w:shd w:val="clear" w:color="auto" w:fill="FFFFFF"/>
        </w:rPr>
      </w:pPr>
      <w:r w:rsidRPr="00AF65B4">
        <w:rPr>
          <w:rFonts w:cstheme="minorHAnsi"/>
          <w:color w:val="333333"/>
          <w:shd w:val="clear" w:color="auto" w:fill="FFFFFF"/>
        </w:rPr>
        <w:t>Victims of county line exploitation may be exposed to living or working environments that could be unsanitary and unpleasant, leading them to witness and engage with normalised drug use, specifically crack and heroin, as well as sexual activities </w:t>
      </w:r>
      <w:sdt>
        <w:sdtPr>
          <w:rPr>
            <w:rFonts w:cstheme="minorHAnsi"/>
            <w:color w:val="333333"/>
            <w:shd w:val="clear" w:color="auto" w:fill="FFFFFF"/>
          </w:rPr>
          <w:id w:val="-1989390249"/>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 CITATION Bri10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(Briggs, The world is out to get me, bruv’: life after school ‘exclusion., 2010)</w:t>
          </w:r>
          <w:r w:rsidRPr="00AF65B4">
            <w:rPr>
              <w:rFonts w:cstheme="minorHAnsi"/>
              <w:color w:val="333333"/>
              <w:shd w:val="clear" w:color="auto" w:fill="FFFFFF"/>
            </w:rPr>
            <w:fldChar w:fldCharType="end"/>
          </w:r>
        </w:sdtContent>
      </w:sdt>
      <w:r w:rsidRPr="00AF65B4">
        <w:rPr>
          <w:rFonts w:cstheme="minorHAnsi"/>
        </w:rPr>
        <w:t xml:space="preserve">. </w:t>
      </w:r>
      <w:r w:rsidRPr="00AF65B4">
        <w:rPr>
          <w:rFonts w:cstheme="minorHAnsi"/>
          <w:color w:val="333333"/>
          <w:shd w:val="clear" w:color="auto" w:fill="FFFFFF"/>
        </w:rPr>
        <w:t xml:space="preserve">There is a wealth of research that strongly suggests that young people's involvement in gangs, whether as members or associates, can have negative impacts on different aspects of their lives. These detrimental effects include lower academic performance, increased likelihood of participating in criminal behaviour, and therefore a higher risk of becoming victims of county lines criminal activity again based on research above. </w:t>
      </w:r>
      <w:sdt>
        <w:sdtPr>
          <w:rPr>
            <w:rFonts w:cstheme="minorHAnsi"/>
            <w:color w:val="333333"/>
            <w:shd w:val="clear" w:color="auto" w:fill="FFFFFF"/>
          </w:rPr>
          <w:id w:val="-1022474307"/>
          <w:citation/>
        </w:sdtPr>
        <w:sdtContent>
          <w:r w:rsidRPr="00AF65B4">
            <w:rPr>
              <w:rFonts w:cstheme="minorHAnsi"/>
              <w:color w:val="333333"/>
              <w:shd w:val="clear" w:color="auto" w:fill="FFFFFF"/>
            </w:rPr>
            <w:fldChar w:fldCharType="begin"/>
          </w:r>
          <w:r w:rsidRPr="00AF65B4">
            <w:rPr>
              <w:rFonts w:cstheme="minorHAnsi"/>
              <w:color w:val="333333"/>
              <w:shd w:val="clear" w:color="auto" w:fill="FFFFFF"/>
            </w:rPr>
            <w:instrText xml:space="preserve"> CITATION Cur03 \l 2057 </w:instrText>
          </w:r>
          <w:r w:rsidRPr="00AF65B4">
            <w:rPr>
              <w:rFonts w:cstheme="minorHAnsi"/>
              <w:color w:val="333333"/>
              <w:shd w:val="clear" w:color="auto" w:fill="FFFFFF"/>
            </w:rPr>
            <w:fldChar w:fldCharType="separate"/>
          </w:r>
          <w:r w:rsidRPr="00AF65B4">
            <w:rPr>
              <w:rFonts w:cstheme="minorHAnsi"/>
              <w:noProof/>
              <w:color w:val="333333"/>
              <w:shd w:val="clear" w:color="auto" w:fill="FFFFFF"/>
            </w:rPr>
            <w:t>(Curry, 2003)</w:t>
          </w:r>
          <w:r w:rsidRPr="00AF65B4">
            <w:rPr>
              <w:rFonts w:cstheme="minorHAnsi"/>
              <w:color w:val="333333"/>
              <w:shd w:val="clear" w:color="auto" w:fill="FFFFFF"/>
            </w:rPr>
            <w:fldChar w:fldCharType="end"/>
          </w:r>
        </w:sdtContent>
      </w:sdt>
      <w:r w:rsidRPr="00AF65B4">
        <w:rPr>
          <w:rFonts w:cstheme="minorHAnsi"/>
          <w:color w:val="333333"/>
          <w:shd w:val="clear" w:color="auto" w:fill="FFFFFF"/>
        </w:rPr>
        <w:t>.</w:t>
      </w:r>
    </w:p>
    <w:p w14:paraId="55798C13" w14:textId="77777777" w:rsidR="00AF65B4" w:rsidRPr="00AF65B4" w:rsidRDefault="00AF65B4" w:rsidP="00AF65B4">
      <w:pPr>
        <w:rPr>
          <w:rFonts w:cstheme="minorHAnsi"/>
          <w:color w:val="333333"/>
          <w:shd w:val="clear" w:color="auto" w:fill="FFFFFF"/>
        </w:rPr>
      </w:pPr>
    </w:p>
    <w:p w14:paraId="32FF9197" w14:textId="46BEE545" w:rsidR="00AF65B4" w:rsidRDefault="00AF65B4" w:rsidP="00AF65B4">
      <w:r w:rsidRPr="00AF65B4">
        <w:rPr>
          <w:rFonts w:cstheme="minorHAnsi"/>
          <w:color w:val="333333"/>
          <w:shd w:val="clear" w:color="auto" w:fill="FFFFFF"/>
        </w:rPr>
        <w:t>To conclude, these vulnerable people need to be safeguarded. T</w:t>
      </w:r>
      <w:r w:rsidRPr="00AF65B4">
        <w:t xml:space="preserve">he current state of the children's social care placements market is flawed, there exists a scarcity of appropriate placements in proximity to the homes of vulnerable young people, resulting in their placement in facilities being located hundreds of miles away. In dire circumstances, these young people are even placed in unregistered and unregulated settings </w:t>
      </w:r>
      <w:sdt>
        <w:sdtPr>
          <w:id w:val="783081260"/>
          <w:citation/>
        </w:sdtPr>
        <w:sdtContent>
          <w:r w:rsidRPr="00AF65B4">
            <w:fldChar w:fldCharType="begin"/>
          </w:r>
          <w:r w:rsidRPr="00AF65B4">
            <w:instrText xml:space="preserve"> CITATION Cal20 \l 2057 </w:instrText>
          </w:r>
          <w:r w:rsidRPr="00AF65B4">
            <w:fldChar w:fldCharType="separate"/>
          </w:r>
          <w:r>
            <w:rPr>
              <w:noProof/>
            </w:rPr>
            <w:t>(Caluori, 2020)</w:t>
          </w:r>
          <w:r w:rsidRPr="00AF65B4">
            <w:fldChar w:fldCharType="end"/>
          </w:r>
        </w:sdtContent>
      </w:sdt>
      <w:r w:rsidRPr="00AF65B4">
        <w:t>, this needs to be addressed. Teachers, social workers, and carers need to be educated on the signs of exploitation and the risk that follows so they can take preventative measures against it or report any suspected activity to the police so they can take action.</w:t>
      </w:r>
    </w:p>
    <w:p w14:paraId="7DFC7046" w14:textId="77777777" w:rsidR="00AF65B4" w:rsidRPr="00AF65B4" w:rsidRDefault="00AF65B4" w:rsidP="00AF65B4">
      <w:pPr>
        <w:rPr>
          <w:rFonts w:cstheme="minorHAnsi"/>
          <w:color w:val="333333"/>
          <w:shd w:val="clear" w:color="auto" w:fill="FFFFFF"/>
        </w:rPr>
      </w:pPr>
    </w:p>
    <w:p w14:paraId="11811BC9" w14:textId="586C1BA6" w:rsidR="00AF65B4" w:rsidRDefault="00AF65B4" w:rsidP="00AF65B4">
      <w:r w:rsidRPr="00AF65B4">
        <w:t>Word count – 1083.</w:t>
      </w:r>
    </w:p>
    <w:p w14:paraId="466D90A3" w14:textId="7452952E" w:rsidR="00AF65B4" w:rsidRDefault="00AF65B4" w:rsidP="00AF65B4"/>
    <w:p w14:paraId="1F31E8FE" w14:textId="5CA955A2" w:rsidR="00AF65B4" w:rsidRDefault="00AF65B4" w:rsidP="00AF65B4">
      <w:pPr>
        <w:rPr>
          <w:b/>
          <w:bCs/>
          <w:sz w:val="24"/>
          <w:szCs w:val="24"/>
        </w:rPr>
      </w:pPr>
      <w:r w:rsidRPr="00AF65B4">
        <w:rPr>
          <w:b/>
          <w:bCs/>
          <w:sz w:val="24"/>
          <w:szCs w:val="24"/>
        </w:rPr>
        <w:lastRenderedPageBreak/>
        <w:t>Question 3</w:t>
      </w:r>
    </w:p>
    <w:p w14:paraId="779C7C07" w14:textId="77777777" w:rsidR="00AF65B4" w:rsidRPr="00AF65B4" w:rsidRDefault="00AF65B4" w:rsidP="00AF65B4">
      <w:r w:rsidRPr="00AF65B4">
        <w:t xml:space="preserve">Throughout this essay I will be discussing MAPPA, I will be using my research to determine whether MAPPA is an effective way means of managing violent and sexual offenders. </w:t>
      </w:r>
    </w:p>
    <w:p w14:paraId="494F1FA3" w14:textId="77777777" w:rsidR="00AF65B4" w:rsidRPr="00AF65B4" w:rsidRDefault="00AF65B4" w:rsidP="00AF65B4"/>
    <w:p w14:paraId="7B7D9D3B" w14:textId="1A70B3B4" w:rsidR="00AF65B4" w:rsidRPr="00AF65B4" w:rsidRDefault="00AF65B4" w:rsidP="00AF65B4">
      <w:r w:rsidRPr="00AF65B4">
        <w:t xml:space="preserve">According to </w:t>
      </w:r>
      <w:sdt>
        <w:sdtPr>
          <w:id w:val="-1570966506"/>
          <w:citation/>
        </w:sdtPr>
        <w:sdtContent>
          <w:r w:rsidRPr="00AF65B4">
            <w:fldChar w:fldCharType="begin"/>
          </w:r>
          <w:r w:rsidRPr="00AF65B4">
            <w:instrText xml:space="preserve"> CITATION Nac23 \l 2057 </w:instrText>
          </w:r>
          <w:r w:rsidRPr="00AF65B4">
            <w:fldChar w:fldCharType="separate"/>
          </w:r>
          <w:r>
            <w:rPr>
              <w:noProof/>
            </w:rPr>
            <w:t>(Nacro, 2023)</w:t>
          </w:r>
          <w:r w:rsidRPr="00AF65B4">
            <w:fldChar w:fldCharType="end"/>
          </w:r>
        </w:sdtContent>
      </w:sdt>
      <w:r w:rsidRPr="00AF65B4">
        <w:t>, MAPPA, which stands for Multi-Agency Public Protection Arrangements, is a comprehensive framework that facilitates collaboration among various authorities such as the police, the Prison Service, and Probation. Its primary objective is to effectively manage the risks associated with violent and sexual offenders who are living within the community, thereby ensuring the safety and security of the general public.</w:t>
      </w:r>
    </w:p>
    <w:p w14:paraId="1D05EBA7" w14:textId="2FFF66A7" w:rsidR="00AF65B4" w:rsidRPr="00AF65B4" w:rsidRDefault="00AF65B4" w:rsidP="00AF65B4">
      <w:r w:rsidRPr="00AF65B4">
        <w:t xml:space="preserve">The 'Four Pillar' framework is adhered to by MAPPA, with Professor Hazel Kemshall being the developer of the Four Pillars approach. This approach serves as a method for effectively managing and evaluating risk in a manner that is fair, open, and equitable. According to </w:t>
      </w:r>
      <w:sdt>
        <w:sdtPr>
          <w:id w:val="273913097"/>
          <w:citation/>
        </w:sdtPr>
        <w:sdtContent>
          <w:r w:rsidRPr="00AF65B4">
            <w:fldChar w:fldCharType="begin"/>
          </w:r>
          <w:r w:rsidRPr="00AF65B4">
            <w:instrText xml:space="preserve"> CITATION Haz10 \l 2057 </w:instrText>
          </w:r>
          <w:r w:rsidRPr="00AF65B4">
            <w:fldChar w:fldCharType="separate"/>
          </w:r>
          <w:r>
            <w:rPr>
              <w:noProof/>
            </w:rPr>
            <w:t>(Kemshall, 2010)</w:t>
          </w:r>
          <w:r w:rsidRPr="00AF65B4">
            <w:fldChar w:fldCharType="end"/>
          </w:r>
        </w:sdtContent>
      </w:sdt>
      <w:r w:rsidRPr="00AF65B4">
        <w:t>, the Four Pillars approach consists of four essential components: supervision, monitoring and control, interventions and treatment, and victim safety planning. This framework has gained widespread acceptance as the preferred structure for MAPPA meetings, as it ensures that measures taken to mitigate risk, which often involve external controls, are accompanied by efforts to facilitate internal transformation, and enhance protective factors.</w:t>
      </w:r>
    </w:p>
    <w:p w14:paraId="072E2C08" w14:textId="25646853" w:rsidR="00AF65B4" w:rsidRPr="00AF65B4" w:rsidRDefault="00AF65B4" w:rsidP="00AF65B4">
      <w:sdt>
        <w:sdtPr>
          <w:id w:val="-792675541"/>
          <w:citation/>
        </w:sdtPr>
        <w:sdtContent>
          <w:r w:rsidRPr="00AF65B4">
            <w:fldChar w:fldCharType="begin"/>
          </w:r>
          <w:r w:rsidRPr="00AF65B4">
            <w:instrText xml:space="preserve">CITATION HMI22 \l 2057 </w:instrText>
          </w:r>
          <w:r w:rsidRPr="00AF65B4">
            <w:fldChar w:fldCharType="separate"/>
          </w:r>
          <w:r>
            <w:rPr>
              <w:noProof/>
            </w:rPr>
            <w:t>(HM Inspectorate of Probation, 2022)</w:t>
          </w:r>
          <w:r w:rsidRPr="00AF65B4">
            <w:fldChar w:fldCharType="end"/>
          </w:r>
        </w:sdtContent>
      </w:sdt>
      <w:r w:rsidRPr="00AF65B4">
        <w:t xml:space="preserve"> have released a report from when the Criminal Justice Joint Inspection Group conducted a collaborative thematic inspection of MAPPA, which was initiated in July 2022. The primary purpose of this inspection was to assess the extent to which MAPPA has been successful in achieving its objectives, two decades after its implementation within the Criminal Justice System.</w:t>
      </w:r>
    </w:p>
    <w:p w14:paraId="115BD187" w14:textId="77777777" w:rsidR="00AF65B4" w:rsidRPr="00AF65B4" w:rsidRDefault="00AF65B4" w:rsidP="00AF65B4">
      <w:r w:rsidRPr="00AF65B4">
        <w:t>It states in the report that each criminal justice area has an appointed MAPPA coordinator. There are huge variations in size of the geographical areas that coordinators cover, the demands of this role therefore vary considerably. On 31 March 2021, Cumbria had a total of 815 MAPPA-eligible offenders, while London had a significantly higher number of 10,131. Interestingly, both regions have only one coordinator responsible for managing these cases. Consequently, operational probation managers in these areas are burdened with additional MAPPA-related responsibilities alongside their primary roles. Despite their utmost dedication, this situation often leads to limited time availability, resulting in less effective collaboration with partner agencies.</w:t>
      </w:r>
    </w:p>
    <w:p w14:paraId="0A81D860" w14:textId="77777777" w:rsidR="00AF65B4" w:rsidRPr="00AF65B4" w:rsidRDefault="00AF65B4" w:rsidP="00AF65B4">
      <w:r w:rsidRPr="00AF65B4">
        <w:t>In instances where probation or police take the lead, there are established and efficient procedures to automatically identify cases that are eligible for MAPPA at the time of sentencing. However, the determination of the suitable management level is not consistently made in a timely manner and lacks a clear rationale. This can have adverse consequences on the management of risks and the formulation of release plans for individuals transitioning out of prison. Although case management at Levels 2 and 3 undergoes regular evaluation through multi-agency meetings, not all regions have effective mechanisms in place to review Level 1 cases.</w:t>
      </w:r>
    </w:p>
    <w:p w14:paraId="3256946C" w14:textId="714BF75D" w:rsidR="00AF65B4" w:rsidRPr="00AF65B4" w:rsidRDefault="00AF65B4" w:rsidP="00AF65B4">
      <w:r w:rsidRPr="00AF65B4">
        <w:t xml:space="preserve">The guidance suggests that Level 2 management should be considered in cases where formal multi-agency meetings would enhance the lead agency's ability to manage the risk of serious harm. This applies to cases that are assessed as posing a high or very high risk of serious harm, or cases that have a lower risk level but require the active involvement of other agencies to address emerging risks. In the </w:t>
      </w:r>
      <w:sdt>
        <w:sdtPr>
          <w:id w:val="645405567"/>
          <w:citation/>
        </w:sdtPr>
        <w:sdtContent>
          <w:r w:rsidRPr="00AF65B4">
            <w:fldChar w:fldCharType="begin"/>
          </w:r>
          <w:r w:rsidRPr="00AF65B4">
            <w:instrText xml:space="preserve"> CITATION HMI11 \l 2057 </w:instrText>
          </w:r>
          <w:r w:rsidRPr="00AF65B4">
            <w:fldChar w:fldCharType="separate"/>
          </w:r>
          <w:r>
            <w:rPr>
              <w:noProof/>
            </w:rPr>
            <w:t>(HM Inspectorates of Constabulary and Probation, 2011)</w:t>
          </w:r>
          <w:r w:rsidRPr="00AF65B4">
            <w:fldChar w:fldCharType="end"/>
          </w:r>
        </w:sdtContent>
      </w:sdt>
      <w:r w:rsidRPr="00AF65B4">
        <w:t xml:space="preserve">, it was emphasised that the threshold for Level 2 cases should be set high due to the significant resources involved in their </w:t>
      </w:r>
      <w:r w:rsidRPr="00AF65B4">
        <w:lastRenderedPageBreak/>
        <w:t>management. However, in certain areas, this threshold has become excessively high and narrowly defined, resulting in cases being adopted for Level 2 management only when there is a specific barrier preventing access to resources through alternative means. A joint thematic inspection of MAPPA highlighted that complex cases are being rejected in situations where multi-agency oversight and accountability are crucial. In areas where this practice is prevalent, the effectiveness and value of MAPPA are being undermined, leading to its underutilisation and diminished importance among practitioners.</w:t>
      </w:r>
    </w:p>
    <w:p w14:paraId="3E88B9E4" w14:textId="77777777" w:rsidR="00AF65B4" w:rsidRPr="00AF65B4" w:rsidRDefault="00AF65B4" w:rsidP="00AF65B4">
      <w:r w:rsidRPr="00AF65B4">
        <w:t xml:space="preserve">Before the Covid-19 pandemic, physical presence of representatives from agencies was mandatory for MAPPA meetings, posing a challenge, especially in rural areas. The transition to online MAPPA meetings has been well-received by most representatives, resulting in improved attendance. </w:t>
      </w:r>
    </w:p>
    <w:p w14:paraId="1E5044AF" w14:textId="77777777" w:rsidR="00AF65B4" w:rsidRPr="00AF65B4" w:rsidRDefault="00AF65B4" w:rsidP="00AF65B4">
      <w:r w:rsidRPr="00AF65B4">
        <w:t>Although Key Performance Indicators (KPIs) have limited scope, they effectively encourage attendance at MAPPA meetings. In order to facilitate discussions, most regions have a dedicated panel of representatives who offer expert advice during Level 2 and 3 meetings. Unlike previous MAPPA inspections, current meetings generally yield clear actions that directly relate to risk management. While records of the meetings are maintained in all cases, we discovered that crucial information is not consistently updated in the minutes, particularly regarding the risk management plan. The existing template for recording minutes fails to clearly differentiate between current and previous actions. To address these concerns, a revised document set has been developed, although it has not yet been implemented.</w:t>
      </w:r>
    </w:p>
    <w:p w14:paraId="0867B3C9" w14:textId="77777777" w:rsidR="00AF65B4" w:rsidRPr="00AF65B4" w:rsidRDefault="00AF65B4" w:rsidP="00AF65B4">
      <w:r w:rsidRPr="00AF65B4">
        <w:t>Research suggests that involving the right people in MAPPA has a positive impact on case management at Levels 2 and 3. This collaborative approach allows for timely access to services and support that may otherwise be unavailable. MAPPA oversight and scrutiny are invaluable in complex cases where dangerous individuals are unlikely to change. However, there are shortcomings, such as delays in referrals and inadequate pre-release planning. The quality and consistency of information provided by prisons to MAPPA meetings need improvement. Some staff fail to understand the significance of certain information and do not share it. Crucial intelligence is not always shared with offender management staff and MAPPA meetings. Limited resources for monitoring prisoner communications result in missed opportunities to address risks.</w:t>
      </w:r>
    </w:p>
    <w:p w14:paraId="0D68E111" w14:textId="77777777" w:rsidR="00AF65B4" w:rsidRPr="00AF65B4" w:rsidRDefault="00AF65B4" w:rsidP="00AF65B4">
      <w:r w:rsidRPr="00AF65B4">
        <w:t>Despite the recent implementation of a Level 1 Policy Framework for supervised cases, we have identified areas that need improvement in managing Level 1 cases. In many instances, these cases did not prioritise gathering information from other agencies, leading to practitioners being unaware of crucial information and failing to address emerging risks. The joint inspection of Multi-Agency Public Protection Arrangements also overlooked these issues in Level 1 cases. However, in regions with established and well-funded processes for reviewing Level 1 cases, we observed a more favourable situation. In these areas, the quality of case management for Level 1 cases was comparable to Levels 2 and 3.</w:t>
      </w:r>
    </w:p>
    <w:p w14:paraId="0B8F01C0" w14:textId="765A4299" w:rsidR="00AF65B4" w:rsidRPr="00AF65B4" w:rsidRDefault="00AF65B4" w:rsidP="00AF65B4">
      <w:r w:rsidRPr="00AF65B4">
        <w:t xml:space="preserve">In the previous evaluation conducted by MAPPA </w:t>
      </w:r>
      <w:sdt>
        <w:sdtPr>
          <w:id w:val="-398671729"/>
          <w:citation/>
        </w:sdtPr>
        <w:sdtContent>
          <w:r w:rsidRPr="00AF65B4">
            <w:fldChar w:fldCharType="begin"/>
          </w:r>
          <w:r w:rsidRPr="00AF65B4">
            <w:instrText xml:space="preserve"> CITATION HMI15 \l 2057 </w:instrText>
          </w:r>
          <w:r w:rsidRPr="00AF65B4">
            <w:fldChar w:fldCharType="separate"/>
          </w:r>
          <w:r>
            <w:rPr>
              <w:noProof/>
            </w:rPr>
            <w:t>(HM Inspectorates of Constabulary and Probation, 2015)</w:t>
          </w:r>
          <w:r w:rsidRPr="00AF65B4">
            <w:fldChar w:fldCharType="end"/>
          </w:r>
        </w:sdtContent>
      </w:sdt>
      <w:r w:rsidRPr="00AF65B4">
        <w:t xml:space="preserve"> emphasised that a significant majority (97 percent at the time, now 98.4 percent) of cases eligible for MAPPA were effectively handled at Level 1. This observation indicated the need for a collaborative inspection, especially considering the declining number of cases managed at Levels 2 and 3.</w:t>
      </w:r>
    </w:p>
    <w:p w14:paraId="0842DB8D" w14:textId="77777777" w:rsidR="00AF65B4" w:rsidRPr="00AF65B4" w:rsidRDefault="00AF65B4" w:rsidP="00AF65B4"/>
    <w:p w14:paraId="07ED5790" w14:textId="77777777" w:rsidR="00AF65B4" w:rsidRPr="00AF65B4" w:rsidRDefault="00AF65B4" w:rsidP="00AF65B4">
      <w:r w:rsidRPr="00AF65B4">
        <w:t>Word count – 1084</w:t>
      </w:r>
    </w:p>
    <w:p w14:paraId="674713AC" w14:textId="03F0F18E" w:rsidR="00AF65B4" w:rsidRDefault="00AF65B4" w:rsidP="00AF65B4">
      <w:pPr>
        <w:rPr>
          <w:b/>
          <w:bCs/>
          <w:sz w:val="24"/>
          <w:szCs w:val="24"/>
        </w:rPr>
      </w:pPr>
      <w:r>
        <w:rPr>
          <w:b/>
          <w:bCs/>
          <w:sz w:val="24"/>
          <w:szCs w:val="24"/>
        </w:rPr>
        <w:lastRenderedPageBreak/>
        <w:t xml:space="preserve">Question 4 </w:t>
      </w:r>
    </w:p>
    <w:p w14:paraId="4D6F8464" w14:textId="4A36C5D2" w:rsidR="00AF65B4" w:rsidRDefault="00AF65B4" w:rsidP="00AF65B4">
      <w:pPr>
        <w:rPr>
          <w:b/>
          <w:bCs/>
          <w:sz w:val="24"/>
          <w:szCs w:val="24"/>
        </w:rPr>
      </w:pPr>
    </w:p>
    <w:p w14:paraId="324FECCC" w14:textId="184DA9B8" w:rsidR="00AF65B4" w:rsidRDefault="00AF65B4" w:rsidP="00AF65B4">
      <w:pPr>
        <w:rPr>
          <w:b/>
          <w:bCs/>
          <w:sz w:val="24"/>
          <w:szCs w:val="24"/>
        </w:rPr>
      </w:pPr>
      <w:r>
        <w:rPr>
          <w:b/>
          <w:bCs/>
          <w:sz w:val="24"/>
          <w:szCs w:val="24"/>
        </w:rPr>
        <w:t xml:space="preserve">Not yet completed. </w:t>
      </w:r>
    </w:p>
    <w:p w14:paraId="7674AADE" w14:textId="2938D018" w:rsidR="00AF65B4" w:rsidRDefault="00AF65B4" w:rsidP="00AF65B4">
      <w:pPr>
        <w:rPr>
          <w:b/>
          <w:bCs/>
          <w:sz w:val="24"/>
          <w:szCs w:val="24"/>
        </w:rPr>
      </w:pPr>
    </w:p>
    <w:p w14:paraId="0393F6A6" w14:textId="795773BF" w:rsidR="00AF65B4" w:rsidRDefault="00AF65B4" w:rsidP="00AF65B4">
      <w:pPr>
        <w:rPr>
          <w:b/>
          <w:bCs/>
          <w:sz w:val="24"/>
          <w:szCs w:val="24"/>
        </w:rPr>
      </w:pPr>
      <w:r>
        <w:rPr>
          <w:b/>
          <w:bCs/>
          <w:sz w:val="24"/>
          <w:szCs w:val="24"/>
        </w:rPr>
        <w:t>Please see next page for Bibliography.</w:t>
      </w:r>
    </w:p>
    <w:p w14:paraId="50996418" w14:textId="27A1E009" w:rsidR="00AF65B4" w:rsidRDefault="00AF65B4" w:rsidP="00AF65B4">
      <w:pPr>
        <w:rPr>
          <w:b/>
          <w:bCs/>
          <w:sz w:val="24"/>
          <w:szCs w:val="24"/>
        </w:rPr>
      </w:pPr>
    </w:p>
    <w:p w14:paraId="081C81A7" w14:textId="48A6A8FA" w:rsidR="00AF65B4" w:rsidRDefault="00AF65B4" w:rsidP="00AF65B4">
      <w:pPr>
        <w:rPr>
          <w:b/>
          <w:bCs/>
          <w:sz w:val="24"/>
          <w:szCs w:val="24"/>
        </w:rPr>
      </w:pPr>
    </w:p>
    <w:p w14:paraId="3CAD5956" w14:textId="6148FBE7" w:rsidR="00AF65B4" w:rsidRDefault="00AF65B4" w:rsidP="00AF65B4">
      <w:pPr>
        <w:rPr>
          <w:b/>
          <w:bCs/>
          <w:sz w:val="24"/>
          <w:szCs w:val="24"/>
        </w:rPr>
      </w:pPr>
    </w:p>
    <w:p w14:paraId="47F4A795" w14:textId="0FCDD0BB" w:rsidR="00AF65B4" w:rsidRDefault="00AF65B4" w:rsidP="00AF65B4">
      <w:pPr>
        <w:rPr>
          <w:b/>
          <w:bCs/>
          <w:sz w:val="24"/>
          <w:szCs w:val="24"/>
        </w:rPr>
      </w:pPr>
    </w:p>
    <w:p w14:paraId="65CD41FD" w14:textId="0E697F9F" w:rsidR="00AF65B4" w:rsidRDefault="00AF65B4" w:rsidP="00AF65B4">
      <w:pPr>
        <w:rPr>
          <w:b/>
          <w:bCs/>
          <w:sz w:val="24"/>
          <w:szCs w:val="24"/>
        </w:rPr>
      </w:pPr>
    </w:p>
    <w:p w14:paraId="0051C225" w14:textId="5B91AE93" w:rsidR="00AF65B4" w:rsidRDefault="00AF65B4" w:rsidP="00AF65B4">
      <w:pPr>
        <w:rPr>
          <w:b/>
          <w:bCs/>
          <w:sz w:val="24"/>
          <w:szCs w:val="24"/>
        </w:rPr>
      </w:pPr>
    </w:p>
    <w:p w14:paraId="7EE332E3" w14:textId="6D2435DC" w:rsidR="00AF65B4" w:rsidRDefault="00AF65B4" w:rsidP="00AF65B4">
      <w:pPr>
        <w:rPr>
          <w:b/>
          <w:bCs/>
          <w:sz w:val="24"/>
          <w:szCs w:val="24"/>
        </w:rPr>
      </w:pPr>
    </w:p>
    <w:p w14:paraId="21331B74" w14:textId="40B10596" w:rsidR="00AF65B4" w:rsidRDefault="00AF65B4" w:rsidP="00AF65B4">
      <w:pPr>
        <w:rPr>
          <w:b/>
          <w:bCs/>
          <w:sz w:val="24"/>
          <w:szCs w:val="24"/>
        </w:rPr>
      </w:pPr>
    </w:p>
    <w:p w14:paraId="62301A2A" w14:textId="6A68B2D1" w:rsidR="00AF65B4" w:rsidRDefault="00AF65B4" w:rsidP="00AF65B4">
      <w:pPr>
        <w:rPr>
          <w:b/>
          <w:bCs/>
          <w:sz w:val="24"/>
          <w:szCs w:val="24"/>
        </w:rPr>
      </w:pPr>
    </w:p>
    <w:p w14:paraId="4DA0FBE7" w14:textId="33ECB00D" w:rsidR="00AF65B4" w:rsidRDefault="00AF65B4" w:rsidP="00AF65B4">
      <w:pPr>
        <w:rPr>
          <w:b/>
          <w:bCs/>
          <w:sz w:val="24"/>
          <w:szCs w:val="24"/>
        </w:rPr>
      </w:pPr>
    </w:p>
    <w:p w14:paraId="1A2AA21D" w14:textId="7099FFA2" w:rsidR="00AF65B4" w:rsidRDefault="00AF65B4" w:rsidP="00AF65B4">
      <w:pPr>
        <w:rPr>
          <w:b/>
          <w:bCs/>
          <w:sz w:val="24"/>
          <w:szCs w:val="24"/>
        </w:rPr>
      </w:pPr>
    </w:p>
    <w:p w14:paraId="5EF0E688" w14:textId="5AC8D2D6" w:rsidR="00AF65B4" w:rsidRDefault="00AF65B4" w:rsidP="00AF65B4">
      <w:pPr>
        <w:rPr>
          <w:b/>
          <w:bCs/>
          <w:sz w:val="24"/>
          <w:szCs w:val="24"/>
        </w:rPr>
      </w:pPr>
    </w:p>
    <w:p w14:paraId="654D3701" w14:textId="5E440458" w:rsidR="00AF65B4" w:rsidRDefault="00AF65B4" w:rsidP="00AF65B4">
      <w:pPr>
        <w:rPr>
          <w:b/>
          <w:bCs/>
          <w:sz w:val="24"/>
          <w:szCs w:val="24"/>
        </w:rPr>
      </w:pPr>
    </w:p>
    <w:p w14:paraId="72677BC8" w14:textId="0704A35E" w:rsidR="00AF65B4" w:rsidRDefault="00AF65B4" w:rsidP="00AF65B4">
      <w:pPr>
        <w:rPr>
          <w:b/>
          <w:bCs/>
          <w:sz w:val="24"/>
          <w:szCs w:val="24"/>
        </w:rPr>
      </w:pPr>
    </w:p>
    <w:p w14:paraId="57FBFC6D" w14:textId="77777777" w:rsidR="00AF65B4" w:rsidRDefault="00AF65B4" w:rsidP="00AF65B4">
      <w:pPr>
        <w:rPr>
          <w:b/>
          <w:bCs/>
          <w:sz w:val="24"/>
          <w:szCs w:val="24"/>
        </w:rPr>
      </w:pPr>
    </w:p>
    <w:p w14:paraId="20E35D8A" w14:textId="4D883027" w:rsidR="00AF65B4" w:rsidRDefault="00AF65B4" w:rsidP="00AF65B4">
      <w:pPr>
        <w:rPr>
          <w:b/>
          <w:bCs/>
          <w:sz w:val="24"/>
          <w:szCs w:val="24"/>
        </w:rPr>
      </w:pPr>
    </w:p>
    <w:p w14:paraId="7CAC2AC5" w14:textId="73F1C944" w:rsidR="00AF65B4" w:rsidRDefault="00AF65B4" w:rsidP="00AF65B4">
      <w:pPr>
        <w:rPr>
          <w:b/>
          <w:bCs/>
          <w:sz w:val="24"/>
          <w:szCs w:val="24"/>
        </w:rPr>
      </w:pPr>
    </w:p>
    <w:p w14:paraId="1DC31FBB" w14:textId="61A4FD4F" w:rsidR="00AF65B4" w:rsidRDefault="00AF65B4" w:rsidP="00AF65B4">
      <w:pPr>
        <w:rPr>
          <w:b/>
          <w:bCs/>
          <w:sz w:val="24"/>
          <w:szCs w:val="24"/>
        </w:rPr>
      </w:pPr>
    </w:p>
    <w:p w14:paraId="11969845" w14:textId="595C3701" w:rsidR="00AF65B4" w:rsidRDefault="00AF65B4" w:rsidP="00AF65B4">
      <w:pPr>
        <w:rPr>
          <w:b/>
          <w:bCs/>
          <w:sz w:val="24"/>
          <w:szCs w:val="24"/>
        </w:rPr>
      </w:pPr>
    </w:p>
    <w:p w14:paraId="41B6F416" w14:textId="790FD309" w:rsidR="00AF65B4" w:rsidRDefault="00AF65B4" w:rsidP="00AF65B4">
      <w:pPr>
        <w:rPr>
          <w:b/>
          <w:bCs/>
          <w:sz w:val="24"/>
          <w:szCs w:val="24"/>
        </w:rPr>
      </w:pPr>
    </w:p>
    <w:p w14:paraId="5C19C950" w14:textId="644CEE68" w:rsidR="00AF65B4" w:rsidRDefault="00AF65B4" w:rsidP="00AF65B4">
      <w:pPr>
        <w:rPr>
          <w:b/>
          <w:bCs/>
          <w:sz w:val="24"/>
          <w:szCs w:val="24"/>
        </w:rPr>
      </w:pPr>
    </w:p>
    <w:p w14:paraId="7662FEA5" w14:textId="77777777" w:rsidR="00AF65B4" w:rsidRDefault="00AF65B4" w:rsidP="00AF65B4">
      <w:pPr>
        <w:rPr>
          <w:b/>
          <w:bCs/>
          <w:sz w:val="24"/>
          <w:szCs w:val="24"/>
        </w:rPr>
      </w:pPr>
    </w:p>
    <w:p w14:paraId="099FE118" w14:textId="77777777" w:rsidR="00AF65B4" w:rsidRDefault="00AF65B4" w:rsidP="00AF65B4">
      <w:pPr>
        <w:rPr>
          <w:b/>
          <w:bCs/>
          <w:sz w:val="24"/>
          <w:szCs w:val="24"/>
        </w:rPr>
      </w:pPr>
    </w:p>
    <w:sdt>
      <w:sdtPr>
        <w:id w:val="-205337311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D580C18" w14:textId="4AD0AECA" w:rsidR="00AF65B4" w:rsidRDefault="00AF65B4">
          <w:pPr>
            <w:pStyle w:val="Heading1"/>
          </w:pPr>
          <w:r>
            <w:t>Bibliography</w:t>
          </w:r>
        </w:p>
        <w:sdt>
          <w:sdtPr>
            <w:id w:val="111145805"/>
            <w:bibliography/>
          </w:sdtPr>
          <w:sdtContent>
            <w:p w14:paraId="11FBE52C" w14:textId="77777777" w:rsidR="00AF65B4" w:rsidRDefault="00AF65B4" w:rsidP="00AF65B4">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Andell, P. a. (2018). The end of the line? The impact of county lines drug distribution on youth crime in a target destination. </w:t>
              </w:r>
              <w:r>
                <w:rPr>
                  <w:i/>
                  <w:iCs/>
                  <w:noProof/>
                  <w:lang w:val="en-US"/>
                </w:rPr>
                <w:t>Youth &amp; Policy.</w:t>
              </w:r>
              <w:r>
                <w:rPr>
                  <w:noProof/>
                  <w:lang w:val="en-US"/>
                </w:rPr>
                <w:t xml:space="preserve"> </w:t>
              </w:r>
            </w:p>
            <w:p w14:paraId="079382C2" w14:textId="77777777" w:rsidR="00AF65B4" w:rsidRDefault="00AF65B4" w:rsidP="00AF65B4">
              <w:pPr>
                <w:pStyle w:val="Bibliography"/>
                <w:ind w:left="720" w:hanging="720"/>
                <w:rPr>
                  <w:noProof/>
                  <w:lang w:val="en-US"/>
                </w:rPr>
              </w:pPr>
              <w:r>
                <w:rPr>
                  <w:noProof/>
                  <w:lang w:val="en-US"/>
                </w:rPr>
                <w:t xml:space="preserve">Bowling, B., &amp; Phillips, C. (2002). Racism, Crime and Justice. </w:t>
              </w:r>
              <w:r>
                <w:rPr>
                  <w:i/>
                  <w:iCs/>
                  <w:noProof/>
                  <w:lang w:val="en-US"/>
                </w:rPr>
                <w:t>Pearson Education Limited</w:t>
              </w:r>
              <w:r>
                <w:rPr>
                  <w:noProof/>
                  <w:lang w:val="en-US"/>
                </w:rPr>
                <w:t>, 139-140.</w:t>
              </w:r>
            </w:p>
            <w:p w14:paraId="410C01AD" w14:textId="77777777" w:rsidR="00AF65B4" w:rsidRDefault="00AF65B4" w:rsidP="00AF65B4">
              <w:pPr>
                <w:pStyle w:val="Bibliography"/>
                <w:ind w:left="720" w:hanging="720"/>
                <w:rPr>
                  <w:noProof/>
                  <w:lang w:val="en-US"/>
                </w:rPr>
              </w:pPr>
              <w:r>
                <w:rPr>
                  <w:noProof/>
                  <w:lang w:val="en-US"/>
                </w:rPr>
                <w:t xml:space="preserve">Briggs, D. (2010). The world is out to get me, bruv’: life after school ‘exclusion. </w:t>
              </w:r>
              <w:r>
                <w:rPr>
                  <w:i/>
                  <w:iCs/>
                  <w:noProof/>
                  <w:lang w:val="en-US"/>
                </w:rPr>
                <w:t>Safer Communities</w:t>
              </w:r>
              <w:r>
                <w:rPr>
                  <w:noProof/>
                  <w:lang w:val="en-US"/>
                </w:rPr>
                <w:t>, 9(2), pp.9-19.</w:t>
              </w:r>
            </w:p>
            <w:p w14:paraId="04A92258" w14:textId="77777777" w:rsidR="00AF65B4" w:rsidRDefault="00AF65B4" w:rsidP="00AF65B4">
              <w:pPr>
                <w:pStyle w:val="Bibliography"/>
                <w:ind w:left="720" w:hanging="720"/>
                <w:rPr>
                  <w:noProof/>
                  <w:lang w:val="en-US"/>
                </w:rPr>
              </w:pPr>
              <w:r>
                <w:rPr>
                  <w:noProof/>
                  <w:lang w:val="en-US"/>
                </w:rPr>
                <w:t xml:space="preserve">Briggs, D. (2013). Crack cocaine users: High society and low life in South London. . </w:t>
              </w:r>
              <w:r>
                <w:rPr>
                  <w:i/>
                  <w:iCs/>
                  <w:noProof/>
                  <w:lang w:val="en-US"/>
                </w:rPr>
                <w:t>Routledge.</w:t>
              </w:r>
              <w:r>
                <w:rPr>
                  <w:noProof/>
                  <w:lang w:val="en-US"/>
                </w:rPr>
                <w:t xml:space="preserve"> </w:t>
              </w:r>
            </w:p>
            <w:p w14:paraId="67972AEF" w14:textId="77777777" w:rsidR="00AF65B4" w:rsidRDefault="00AF65B4" w:rsidP="00AF65B4">
              <w:pPr>
                <w:pStyle w:val="Bibliography"/>
                <w:ind w:left="720" w:hanging="720"/>
                <w:rPr>
                  <w:noProof/>
                  <w:lang w:val="en-US"/>
                </w:rPr>
              </w:pPr>
              <w:r>
                <w:rPr>
                  <w:noProof/>
                  <w:lang w:val="en-US"/>
                </w:rPr>
                <w:t xml:space="preserve">Caluori, J. C. (2020). </w:t>
              </w:r>
              <w:r>
                <w:rPr>
                  <w:i/>
                  <w:iCs/>
                  <w:noProof/>
                  <w:lang w:val="en-US"/>
                </w:rPr>
                <w:t>County lines and looked after children.</w:t>
              </w:r>
              <w:r>
                <w:rPr>
                  <w:noProof/>
                  <w:lang w:val="en-US"/>
                </w:rPr>
                <w:t xml:space="preserve"> Retrieved from Crest: https://search.ebscohost.com/login.aspx?direct=true&amp;AuthType=shib&amp;db=cat04924a&amp;AN=npl.E7425&amp;site=eds-live&amp;scope=site</w:t>
              </w:r>
            </w:p>
            <w:p w14:paraId="2D571008" w14:textId="77777777" w:rsidR="00AF65B4" w:rsidRDefault="00AF65B4" w:rsidP="00AF65B4">
              <w:pPr>
                <w:pStyle w:val="Bibliography"/>
                <w:ind w:left="720" w:hanging="720"/>
                <w:rPr>
                  <w:noProof/>
                  <w:lang w:val="en-US"/>
                </w:rPr>
              </w:pPr>
              <w:r>
                <w:rPr>
                  <w:noProof/>
                  <w:lang w:val="en-US"/>
                </w:rPr>
                <w:t xml:space="preserve">Cathcart, B. (1999). </w:t>
              </w:r>
              <w:r>
                <w:rPr>
                  <w:i/>
                  <w:iCs/>
                  <w:noProof/>
                  <w:lang w:val="en-US"/>
                </w:rPr>
                <w:t>The Case of Steven Lawence.</w:t>
              </w:r>
              <w:r>
                <w:rPr>
                  <w:noProof/>
                  <w:lang w:val="en-US"/>
                </w:rPr>
                <w:t xml:space="preserve"> London: Viking.</w:t>
              </w:r>
            </w:p>
            <w:p w14:paraId="000ECA64" w14:textId="77777777" w:rsidR="00AF65B4" w:rsidRDefault="00AF65B4" w:rsidP="00AF65B4">
              <w:pPr>
                <w:pStyle w:val="Bibliography"/>
                <w:ind w:left="720" w:hanging="720"/>
                <w:rPr>
                  <w:noProof/>
                  <w:lang w:val="en-US"/>
                </w:rPr>
              </w:pPr>
              <w:r>
                <w:rPr>
                  <w:noProof/>
                  <w:lang w:val="en-US"/>
                </w:rPr>
                <w:t xml:space="preserve">Coomber, R. a. (2012). A rapid appraisal of the illicit drug market in Southend-On-Sea-On-Sea, Essex. </w:t>
              </w:r>
              <w:r>
                <w:rPr>
                  <w:i/>
                  <w:iCs/>
                  <w:noProof/>
                  <w:lang w:val="en-US"/>
                </w:rPr>
                <w:t>Plymouth University, Drug and Alcohol Research Unit.</w:t>
              </w:r>
              <w:r>
                <w:rPr>
                  <w:noProof/>
                  <w:lang w:val="en-US"/>
                </w:rPr>
                <w:t xml:space="preserve"> </w:t>
              </w:r>
            </w:p>
            <w:p w14:paraId="52771CBE" w14:textId="77777777" w:rsidR="00AF65B4" w:rsidRDefault="00AF65B4" w:rsidP="00AF65B4">
              <w:pPr>
                <w:pStyle w:val="Bibliography"/>
                <w:ind w:left="720" w:hanging="720"/>
                <w:rPr>
                  <w:noProof/>
                  <w:lang w:val="en-US"/>
                </w:rPr>
              </w:pPr>
              <w:r>
                <w:rPr>
                  <w:noProof/>
                  <w:lang w:val="en-US"/>
                </w:rPr>
                <w:t xml:space="preserve">Coomber, R. a. (2012). A rapid appraisal of the illicit drug market in Southend-On-Sea-On-Sea, Essex. Full report. </w:t>
              </w:r>
              <w:r>
                <w:rPr>
                  <w:i/>
                  <w:iCs/>
                  <w:noProof/>
                  <w:lang w:val="en-US"/>
                </w:rPr>
                <w:t>Plymouth University, Drug and Alcohol Research Unit.</w:t>
              </w:r>
              <w:r>
                <w:rPr>
                  <w:noProof/>
                  <w:lang w:val="en-US"/>
                </w:rPr>
                <w:t xml:space="preserve"> </w:t>
              </w:r>
            </w:p>
            <w:p w14:paraId="3E968AA1" w14:textId="77777777" w:rsidR="00AF65B4" w:rsidRDefault="00AF65B4" w:rsidP="00AF65B4">
              <w:pPr>
                <w:pStyle w:val="Bibliography"/>
                <w:ind w:left="720" w:hanging="720"/>
                <w:rPr>
                  <w:noProof/>
                  <w:lang w:val="en-US"/>
                </w:rPr>
              </w:pPr>
              <w:r>
                <w:rPr>
                  <w:noProof/>
                  <w:lang w:val="en-US"/>
                </w:rPr>
                <w:t xml:space="preserve">Coomber, R. a. (2012). A rapid appraisal of the illicit drug market in Southend-On-Sea-On-Sea, Essex. Full report. . </w:t>
              </w:r>
              <w:r>
                <w:rPr>
                  <w:i/>
                  <w:iCs/>
                  <w:noProof/>
                  <w:lang w:val="en-US"/>
                </w:rPr>
                <w:t>Plymouth University, Drug and Alcohol Research Unit.</w:t>
              </w:r>
              <w:r>
                <w:rPr>
                  <w:noProof/>
                  <w:lang w:val="en-US"/>
                </w:rPr>
                <w:t xml:space="preserve"> </w:t>
              </w:r>
            </w:p>
            <w:p w14:paraId="30510F4B" w14:textId="77777777" w:rsidR="00AF65B4" w:rsidRDefault="00AF65B4" w:rsidP="00AF65B4">
              <w:pPr>
                <w:pStyle w:val="Bibliography"/>
                <w:ind w:left="720" w:hanging="720"/>
                <w:rPr>
                  <w:noProof/>
                  <w:lang w:val="en-US"/>
                </w:rPr>
              </w:pPr>
              <w:r>
                <w:rPr>
                  <w:noProof/>
                  <w:lang w:val="en-US"/>
                </w:rPr>
                <w:t xml:space="preserve">Coomber, R. a. (2018). The changing shape of street-level heroin and crack supply in England: Commuting, holidaying and cuckooing drug dealers across ‘county lines’. . </w:t>
              </w:r>
              <w:r>
                <w:rPr>
                  <w:i/>
                  <w:iCs/>
                  <w:noProof/>
                  <w:lang w:val="en-US"/>
                </w:rPr>
                <w:t>The British Journal of Criminology</w:t>
              </w:r>
              <w:r>
                <w:rPr>
                  <w:noProof/>
                  <w:lang w:val="en-US"/>
                </w:rPr>
                <w:t>, 58(6), pp.1323-1342.</w:t>
              </w:r>
            </w:p>
            <w:p w14:paraId="30C46AB1" w14:textId="77777777" w:rsidR="00AF65B4" w:rsidRDefault="00AF65B4" w:rsidP="00AF65B4">
              <w:pPr>
                <w:pStyle w:val="Bibliography"/>
                <w:ind w:left="720" w:hanging="720"/>
                <w:rPr>
                  <w:noProof/>
                  <w:lang w:val="en-US"/>
                </w:rPr>
              </w:pPr>
              <w:r>
                <w:rPr>
                  <w:noProof/>
                  <w:lang w:val="en-US"/>
                </w:rPr>
                <w:t xml:space="preserve">Coomber, R. a. (2018). The changing shape of street-level heroin and crack supply in England: Commuting, holidaying and cuckooing drug dealers across ‘county lines’. . </w:t>
              </w:r>
              <w:r>
                <w:rPr>
                  <w:i/>
                  <w:iCs/>
                  <w:noProof/>
                  <w:lang w:val="en-US"/>
                </w:rPr>
                <w:t>The British Journal of Criminology</w:t>
              </w:r>
              <w:r>
                <w:rPr>
                  <w:noProof/>
                  <w:lang w:val="en-US"/>
                </w:rPr>
                <w:t>, 58(6), pp.1323-1342.</w:t>
              </w:r>
            </w:p>
            <w:p w14:paraId="7A3DD5D9" w14:textId="77777777" w:rsidR="00AF65B4" w:rsidRDefault="00AF65B4" w:rsidP="00AF65B4">
              <w:pPr>
                <w:pStyle w:val="Bibliography"/>
                <w:ind w:left="720" w:hanging="720"/>
                <w:rPr>
                  <w:noProof/>
                  <w:lang w:val="en-US"/>
                </w:rPr>
              </w:pPr>
              <w:r>
                <w:rPr>
                  <w:noProof/>
                  <w:lang w:val="en-US"/>
                </w:rPr>
                <w:t xml:space="preserve">Curry, G. D. (2003). Confronting gangs: Crime and community. </w:t>
              </w:r>
              <w:r>
                <w:rPr>
                  <w:i/>
                  <w:iCs/>
                  <w:noProof/>
                  <w:lang w:val="en-US"/>
                </w:rPr>
                <w:t>Los Angeles, CA: Roxbury Publishing Company.</w:t>
              </w:r>
              <w:r>
                <w:rPr>
                  <w:noProof/>
                  <w:lang w:val="en-US"/>
                </w:rPr>
                <w:t xml:space="preserve"> </w:t>
              </w:r>
            </w:p>
            <w:p w14:paraId="3141E5F6" w14:textId="77777777" w:rsidR="00AF65B4" w:rsidRDefault="00AF65B4" w:rsidP="00AF65B4">
              <w:pPr>
                <w:pStyle w:val="Bibliography"/>
                <w:ind w:left="720" w:hanging="720"/>
                <w:rPr>
                  <w:noProof/>
                  <w:lang w:val="en-US"/>
                </w:rPr>
              </w:pPr>
              <w:r>
                <w:rPr>
                  <w:noProof/>
                  <w:lang w:val="en-US"/>
                </w:rPr>
                <w:t xml:space="preserve">Delsol, R. (2006). </w:t>
              </w:r>
              <w:r>
                <w:rPr>
                  <w:i/>
                  <w:iCs/>
                  <w:noProof/>
                  <w:lang w:val="en-US"/>
                </w:rPr>
                <w:t>nstitutional Racism, the Police and Stop and Search: A Comparative Study of Stop and Search in the UK and USA. .</w:t>
              </w:r>
              <w:r>
                <w:rPr>
                  <w:noProof/>
                  <w:lang w:val="en-US"/>
                </w:rPr>
                <w:t xml:space="preserve"> Warwick: University of Warwick, Department of Sociology.</w:t>
              </w:r>
            </w:p>
            <w:p w14:paraId="481FD938" w14:textId="77777777" w:rsidR="00AF65B4" w:rsidRDefault="00AF65B4" w:rsidP="00AF65B4">
              <w:pPr>
                <w:pStyle w:val="Bibliography"/>
                <w:ind w:left="720" w:hanging="720"/>
                <w:rPr>
                  <w:noProof/>
                  <w:lang w:val="en-US"/>
                </w:rPr>
              </w:pPr>
              <w:r>
                <w:rPr>
                  <w:noProof/>
                  <w:lang w:val="en-US"/>
                </w:rPr>
                <w:t xml:space="preserve">HM Inspectorate of Probation. (2022). </w:t>
              </w:r>
              <w:r>
                <w:rPr>
                  <w:i/>
                  <w:iCs/>
                  <w:noProof/>
                  <w:lang w:val="en-US"/>
                </w:rPr>
                <w:t>Twenty Years on, is MAPPA Acheiving its Objectives.</w:t>
              </w:r>
              <w:r>
                <w:rPr>
                  <w:noProof/>
                  <w:lang w:val="en-US"/>
                </w:rPr>
                <w:t xml:space="preserve"> Manchester: Her Majesty's Inspectorate of Probation.</w:t>
              </w:r>
            </w:p>
            <w:p w14:paraId="08DD24CB" w14:textId="77777777" w:rsidR="00AF65B4" w:rsidRDefault="00AF65B4" w:rsidP="00AF65B4">
              <w:pPr>
                <w:pStyle w:val="Bibliography"/>
                <w:ind w:left="720" w:hanging="720"/>
                <w:rPr>
                  <w:noProof/>
                  <w:lang w:val="en-US"/>
                </w:rPr>
              </w:pPr>
              <w:r>
                <w:rPr>
                  <w:noProof/>
                  <w:lang w:val="en-US"/>
                </w:rPr>
                <w:t xml:space="preserve">HM Inspectorates of Constabulary and Probation. (2011). </w:t>
              </w:r>
              <w:r>
                <w:rPr>
                  <w:i/>
                  <w:iCs/>
                  <w:noProof/>
                  <w:lang w:val="en-US"/>
                </w:rPr>
                <w:t>Putting the pieces together: An inspection of MAPPA .</w:t>
              </w:r>
              <w:r>
                <w:rPr>
                  <w:noProof/>
                  <w:lang w:val="en-US"/>
                </w:rPr>
                <w:t xml:space="preserve"> Manchester: HM Inspectorates of Constabulary and Probation.</w:t>
              </w:r>
            </w:p>
            <w:p w14:paraId="26D9455B" w14:textId="77777777" w:rsidR="00AF65B4" w:rsidRDefault="00AF65B4" w:rsidP="00AF65B4">
              <w:pPr>
                <w:pStyle w:val="Bibliography"/>
                <w:ind w:left="720" w:hanging="720"/>
                <w:rPr>
                  <w:noProof/>
                  <w:lang w:val="en-US"/>
                </w:rPr>
              </w:pPr>
              <w:r>
                <w:rPr>
                  <w:noProof/>
                  <w:lang w:val="en-US"/>
                </w:rPr>
                <w:t xml:space="preserve">HM Inspectorates of Constabulary and Probation. (2015). </w:t>
              </w:r>
              <w:r>
                <w:rPr>
                  <w:i/>
                  <w:iCs/>
                  <w:noProof/>
                  <w:lang w:val="en-US"/>
                </w:rPr>
                <w:t>A follow-up inspection of MAPPA.</w:t>
              </w:r>
              <w:r>
                <w:rPr>
                  <w:noProof/>
                  <w:lang w:val="en-US"/>
                </w:rPr>
                <w:t xml:space="preserve"> Manchester: HM Inspectorates of Constabulary and Probation.</w:t>
              </w:r>
            </w:p>
            <w:p w14:paraId="78468414" w14:textId="77777777" w:rsidR="00AF65B4" w:rsidRDefault="00AF65B4" w:rsidP="00AF65B4">
              <w:pPr>
                <w:pStyle w:val="Bibliography"/>
                <w:ind w:left="720" w:hanging="720"/>
                <w:rPr>
                  <w:noProof/>
                  <w:lang w:val="en-US"/>
                </w:rPr>
              </w:pPr>
              <w:r>
                <w:rPr>
                  <w:noProof/>
                  <w:lang w:val="en-US"/>
                </w:rPr>
                <w:t xml:space="preserve">Holdaway, S., &amp; O'Neil, M. (2004). The Development of Black Police Associations: Changing Articulations of Race within the Police. </w:t>
              </w:r>
              <w:r>
                <w:rPr>
                  <w:i/>
                  <w:iCs/>
                  <w:noProof/>
                  <w:lang w:val="en-US"/>
                </w:rPr>
                <w:t>British Journal of Criminology</w:t>
              </w:r>
              <w:r>
                <w:rPr>
                  <w:noProof/>
                  <w:lang w:val="en-US"/>
                </w:rPr>
                <w:t>, Vol 44. (6), 854-865.</w:t>
              </w:r>
            </w:p>
            <w:p w14:paraId="4445F32B" w14:textId="77777777" w:rsidR="00AF65B4" w:rsidRDefault="00AF65B4" w:rsidP="00AF65B4">
              <w:pPr>
                <w:pStyle w:val="Bibliography"/>
                <w:ind w:left="720" w:hanging="720"/>
                <w:rPr>
                  <w:noProof/>
                  <w:lang w:val="en-US"/>
                </w:rPr>
              </w:pPr>
              <w:r>
                <w:rPr>
                  <w:noProof/>
                  <w:lang w:val="en-US"/>
                </w:rPr>
                <w:t xml:space="preserve">Home Office. (1999). </w:t>
              </w:r>
              <w:r>
                <w:rPr>
                  <w:i/>
                  <w:iCs/>
                  <w:noProof/>
                  <w:lang w:val="en-US"/>
                </w:rPr>
                <w:t>Dismantling Barriers.</w:t>
              </w:r>
              <w:r>
                <w:rPr>
                  <w:noProof/>
                  <w:lang w:val="en-US"/>
                </w:rPr>
                <w:t xml:space="preserve"> London: Home Office.</w:t>
              </w:r>
            </w:p>
            <w:p w14:paraId="4A8E94DC" w14:textId="77777777" w:rsidR="00AF65B4" w:rsidRDefault="00AF65B4" w:rsidP="00AF65B4">
              <w:pPr>
                <w:pStyle w:val="Bibliography"/>
                <w:ind w:left="720" w:hanging="720"/>
                <w:rPr>
                  <w:noProof/>
                  <w:lang w:val="en-US"/>
                </w:rPr>
              </w:pPr>
              <w:r>
                <w:rPr>
                  <w:noProof/>
                  <w:lang w:val="en-US"/>
                </w:rPr>
                <w:t xml:space="preserve">Home Office. (2017.). County Lines guidance. </w:t>
              </w:r>
              <w:r>
                <w:rPr>
                  <w:i/>
                  <w:iCs/>
                  <w:noProof/>
                  <w:lang w:val="en-US"/>
                </w:rPr>
                <w:t>Criminal Exploitation of children and vulnerable adults.</w:t>
              </w:r>
              <w:r>
                <w:rPr>
                  <w:noProof/>
                  <w:lang w:val="en-US"/>
                </w:rPr>
                <w:t xml:space="preserve"> </w:t>
              </w:r>
            </w:p>
            <w:p w14:paraId="5AF18666" w14:textId="77777777" w:rsidR="00AF65B4" w:rsidRDefault="00AF65B4" w:rsidP="00AF65B4">
              <w:pPr>
                <w:pStyle w:val="Bibliography"/>
                <w:ind w:left="720" w:hanging="720"/>
                <w:rPr>
                  <w:noProof/>
                  <w:lang w:val="en-US"/>
                </w:rPr>
              </w:pPr>
              <w:r>
                <w:rPr>
                  <w:noProof/>
                  <w:lang w:val="en-US"/>
                </w:rPr>
                <w:lastRenderedPageBreak/>
                <w:t xml:space="preserve">Kemshall, H. (2010). ‘The role of risk, needs and strengths assessment in improving the supervision'. </w:t>
              </w:r>
              <w:r>
                <w:rPr>
                  <w:i/>
                  <w:iCs/>
                  <w:noProof/>
                  <w:lang w:val="en-US"/>
                </w:rPr>
                <w:t>Offender Supervision: New directions in theory, research and practice</w:t>
              </w:r>
              <w:r>
                <w:rPr>
                  <w:noProof/>
                  <w:lang w:val="en-US"/>
                </w:rPr>
                <w:t>.</w:t>
              </w:r>
            </w:p>
            <w:p w14:paraId="7EBDE605" w14:textId="77777777" w:rsidR="00AF65B4" w:rsidRDefault="00AF65B4" w:rsidP="00AF65B4">
              <w:pPr>
                <w:pStyle w:val="Bibliography"/>
                <w:ind w:left="720" w:hanging="720"/>
                <w:rPr>
                  <w:noProof/>
                  <w:lang w:val="en-US"/>
                </w:rPr>
              </w:pPr>
              <w:r>
                <w:rPr>
                  <w:noProof/>
                  <w:lang w:val="en-US"/>
                </w:rPr>
                <w:t xml:space="preserve">Macpherson, S. W. (1999). </w:t>
              </w:r>
              <w:r>
                <w:rPr>
                  <w:i/>
                  <w:iCs/>
                  <w:noProof/>
                  <w:lang w:val="en-US"/>
                </w:rPr>
                <w:t>Stephen Lawence Inquiry .</w:t>
              </w:r>
              <w:r>
                <w:rPr>
                  <w:noProof/>
                  <w:lang w:val="en-US"/>
                </w:rPr>
                <w:t xml:space="preserve"> London: HMSO.</w:t>
              </w:r>
            </w:p>
            <w:p w14:paraId="562E4E64" w14:textId="77777777" w:rsidR="00AF65B4" w:rsidRDefault="00AF65B4" w:rsidP="00AF65B4">
              <w:pPr>
                <w:pStyle w:val="Bibliography"/>
                <w:ind w:left="720" w:hanging="720"/>
                <w:rPr>
                  <w:noProof/>
                  <w:lang w:val="en-US"/>
                </w:rPr>
              </w:pPr>
              <w:r>
                <w:rPr>
                  <w:noProof/>
                  <w:lang w:val="en-US"/>
                </w:rPr>
                <w:t xml:space="preserve">Nacro. (2023). </w:t>
              </w:r>
              <w:r>
                <w:rPr>
                  <w:i/>
                  <w:iCs/>
                  <w:noProof/>
                  <w:lang w:val="en-US"/>
                </w:rPr>
                <w:t>Nacro</w:t>
              </w:r>
              <w:r>
                <w:rPr>
                  <w:noProof/>
                  <w:lang w:val="en-US"/>
                </w:rPr>
                <w:t>. Retrieved from Advice for people under MAPPA: https://www.nacro.org.uk/nacro-services/advice/advice-for-individuals/sex-offences-shpo-mappa/advice-for-people-under-mappa/</w:t>
              </w:r>
            </w:p>
            <w:p w14:paraId="498246D7" w14:textId="77777777" w:rsidR="00AF65B4" w:rsidRDefault="00AF65B4" w:rsidP="00AF65B4">
              <w:pPr>
                <w:pStyle w:val="Bibliography"/>
                <w:ind w:left="720" w:hanging="720"/>
                <w:rPr>
                  <w:noProof/>
                  <w:lang w:val="en-US"/>
                </w:rPr>
              </w:pPr>
              <w:r>
                <w:rPr>
                  <w:noProof/>
                  <w:lang w:val="en-US"/>
                </w:rPr>
                <w:t xml:space="preserve">National Crime Agency . (2016). </w:t>
              </w:r>
              <w:r>
                <w:rPr>
                  <w:i/>
                  <w:iCs/>
                  <w:noProof/>
                  <w:lang w:val="en-US"/>
                </w:rPr>
                <w:t>County lines gang violence, exploitation and drug supply</w:t>
              </w:r>
              <w:r>
                <w:rPr>
                  <w:noProof/>
                  <w:lang w:val="en-US"/>
                </w:rPr>
                <w:t>. Retrieved from National briefing report: https://search.ebscohost.com/login.aspx?direct=true&amp;AuthType=shib&amp;db=cat04924a&amp;AN=npl.E1974&amp;site=e</w:t>
              </w:r>
            </w:p>
            <w:p w14:paraId="25E49141" w14:textId="77777777" w:rsidR="00AF65B4" w:rsidRDefault="00AF65B4" w:rsidP="00AF65B4">
              <w:pPr>
                <w:pStyle w:val="Bibliography"/>
                <w:ind w:left="720" w:hanging="720"/>
                <w:rPr>
                  <w:noProof/>
                  <w:lang w:val="en-US"/>
                </w:rPr>
              </w:pPr>
              <w:r>
                <w:rPr>
                  <w:noProof/>
                  <w:lang w:val="en-US"/>
                </w:rPr>
                <w:t xml:space="preserve">National Crime Agency. (2016). County lines gang violence, exploitation and drug supply. </w:t>
              </w:r>
              <w:r>
                <w:rPr>
                  <w:i/>
                  <w:iCs/>
                  <w:noProof/>
                  <w:lang w:val="en-US"/>
                </w:rPr>
                <w:t>London: NCA.</w:t>
              </w:r>
              <w:r>
                <w:rPr>
                  <w:noProof/>
                  <w:lang w:val="en-US"/>
                </w:rPr>
                <w:t xml:space="preserve"> </w:t>
              </w:r>
            </w:p>
            <w:p w14:paraId="4CA53AB6" w14:textId="77777777" w:rsidR="00AF65B4" w:rsidRDefault="00AF65B4" w:rsidP="00AF65B4">
              <w:pPr>
                <w:pStyle w:val="Bibliography"/>
                <w:ind w:left="720" w:hanging="720"/>
                <w:rPr>
                  <w:noProof/>
                  <w:lang w:val="en-US"/>
                </w:rPr>
              </w:pPr>
              <w:r>
                <w:rPr>
                  <w:noProof/>
                  <w:lang w:val="en-US"/>
                </w:rPr>
                <w:t xml:space="preserve">National Crime Agency. (2020, September 22). </w:t>
              </w:r>
              <w:r>
                <w:rPr>
                  <w:i/>
                  <w:iCs/>
                  <w:noProof/>
                  <w:lang w:val="en-US"/>
                </w:rPr>
                <w:t>Protecting the public from serious and organised crime.</w:t>
              </w:r>
              <w:r>
                <w:rPr>
                  <w:noProof/>
                  <w:lang w:val="en-US"/>
                </w:rPr>
                <w:t xml:space="preserve"> Retrieved from National Crime Agency: https://nationalcrimeagency.gov.uk/what-we-do/crime-threats/drug-trafficking/county-lines</w:t>
              </w:r>
            </w:p>
            <w:p w14:paraId="79CA389F" w14:textId="77777777" w:rsidR="00AF65B4" w:rsidRDefault="00AF65B4" w:rsidP="00AF65B4">
              <w:pPr>
                <w:pStyle w:val="Bibliography"/>
                <w:ind w:left="720" w:hanging="720"/>
                <w:rPr>
                  <w:noProof/>
                  <w:lang w:val="en-US"/>
                </w:rPr>
              </w:pPr>
              <w:r>
                <w:rPr>
                  <w:noProof/>
                  <w:lang w:val="en-US"/>
                </w:rPr>
                <w:t xml:space="preserve">Oxford University Press. (2023). </w:t>
              </w:r>
              <w:r>
                <w:rPr>
                  <w:i/>
                  <w:iCs/>
                  <w:noProof/>
                  <w:lang w:val="en-US"/>
                </w:rPr>
                <w:t>Oxford English Dictionary.</w:t>
              </w:r>
              <w:r>
                <w:rPr>
                  <w:noProof/>
                  <w:lang w:val="en-US"/>
                </w:rPr>
                <w:t xml:space="preserve"> Oxford: Oxford University Press.</w:t>
              </w:r>
            </w:p>
            <w:p w14:paraId="5DEB2A2A" w14:textId="77777777" w:rsidR="00AF65B4" w:rsidRDefault="00AF65B4" w:rsidP="00AF65B4">
              <w:pPr>
                <w:pStyle w:val="Bibliography"/>
                <w:ind w:left="720" w:hanging="720"/>
                <w:rPr>
                  <w:noProof/>
                  <w:lang w:val="en-US"/>
                </w:rPr>
              </w:pPr>
              <w:r>
                <w:rPr>
                  <w:noProof/>
                  <w:lang w:val="en-US"/>
                </w:rPr>
                <w:t xml:space="preserve">Phillips, C. (1981). </w:t>
              </w:r>
              <w:r>
                <w:rPr>
                  <w:i/>
                  <w:iCs/>
                  <w:noProof/>
                  <w:lang w:val="en-US"/>
                </w:rPr>
                <w:t>Royal Commission on Criminal Procedure .</w:t>
              </w:r>
              <w:r>
                <w:rPr>
                  <w:noProof/>
                  <w:lang w:val="en-US"/>
                </w:rPr>
                <w:t xml:space="preserve"> London: HMSO.</w:t>
              </w:r>
            </w:p>
            <w:p w14:paraId="21BD7795" w14:textId="77777777" w:rsidR="00AF65B4" w:rsidRDefault="00AF65B4" w:rsidP="00AF65B4">
              <w:pPr>
                <w:pStyle w:val="Bibliography"/>
                <w:ind w:left="720" w:hanging="720"/>
                <w:rPr>
                  <w:noProof/>
                  <w:lang w:val="en-US"/>
                </w:rPr>
              </w:pPr>
              <w:r>
                <w:rPr>
                  <w:noProof/>
                  <w:lang w:val="en-US"/>
                </w:rPr>
                <w:t xml:space="preserve">Reid, J. B. (2017). Human trafficking of minors and childhood adversity in Florida. . </w:t>
              </w:r>
              <w:r>
                <w:rPr>
                  <w:i/>
                  <w:iCs/>
                  <w:noProof/>
                  <w:lang w:val="en-US"/>
                </w:rPr>
                <w:t>American journal of public health</w:t>
              </w:r>
              <w:r>
                <w:rPr>
                  <w:noProof/>
                  <w:lang w:val="en-US"/>
                </w:rPr>
                <w:t>, 107(2), pp.306-311.</w:t>
              </w:r>
            </w:p>
            <w:p w14:paraId="7CA15F4C" w14:textId="77777777" w:rsidR="00AF65B4" w:rsidRDefault="00AF65B4" w:rsidP="00AF65B4">
              <w:pPr>
                <w:pStyle w:val="Bibliography"/>
                <w:ind w:left="720" w:hanging="720"/>
                <w:rPr>
                  <w:noProof/>
                  <w:lang w:val="en-US"/>
                </w:rPr>
              </w:pPr>
              <w:r>
                <w:rPr>
                  <w:noProof/>
                  <w:lang w:val="en-US"/>
                </w:rPr>
                <w:t xml:space="preserve">Scarman. (1981). </w:t>
              </w:r>
              <w:r>
                <w:rPr>
                  <w:i/>
                  <w:iCs/>
                  <w:noProof/>
                  <w:lang w:val="en-US"/>
                </w:rPr>
                <w:t>The Brixton Disorders.</w:t>
              </w:r>
              <w:r>
                <w:rPr>
                  <w:noProof/>
                  <w:lang w:val="en-US"/>
                </w:rPr>
                <w:t xml:space="preserve"> London: HMSO.</w:t>
              </w:r>
            </w:p>
            <w:p w14:paraId="55D1F473" w14:textId="77777777" w:rsidR="00AF65B4" w:rsidRDefault="00AF65B4" w:rsidP="00AF65B4">
              <w:pPr>
                <w:pStyle w:val="Bibliography"/>
                <w:ind w:left="720" w:hanging="720"/>
                <w:rPr>
                  <w:noProof/>
                  <w:lang w:val="en-US"/>
                </w:rPr>
              </w:pPr>
              <w:r>
                <w:rPr>
                  <w:noProof/>
                  <w:lang w:val="en-US"/>
                </w:rPr>
                <w:t xml:space="preserve">Storrod, M. a. (2017). ‘Going viral’and ‘Going country’: the expressive and instrumental activities of street gangs on social media. . </w:t>
              </w:r>
              <w:r>
                <w:rPr>
                  <w:i/>
                  <w:iCs/>
                  <w:noProof/>
                  <w:lang w:val="en-US"/>
                </w:rPr>
                <w:t>Journal of youth studies.</w:t>
              </w:r>
              <w:r>
                <w:rPr>
                  <w:noProof/>
                  <w:lang w:val="en-US"/>
                </w:rPr>
                <w:t>, 20(6), pp.677-696.</w:t>
              </w:r>
            </w:p>
            <w:p w14:paraId="729BB3C5" w14:textId="77777777" w:rsidR="00AF65B4" w:rsidRDefault="00AF65B4" w:rsidP="00AF65B4">
              <w:pPr>
                <w:pStyle w:val="Bibliography"/>
                <w:ind w:left="720" w:hanging="720"/>
                <w:rPr>
                  <w:noProof/>
                  <w:lang w:val="en-US"/>
                </w:rPr>
              </w:pPr>
              <w:r>
                <w:rPr>
                  <w:noProof/>
                  <w:lang w:val="en-US"/>
                </w:rPr>
                <w:t xml:space="preserve">Willis, C. (1983). </w:t>
              </w:r>
              <w:r>
                <w:rPr>
                  <w:i/>
                  <w:iCs/>
                  <w:noProof/>
                  <w:lang w:val="en-US"/>
                </w:rPr>
                <w:t>The Use, Effectiveness and Impact of Police Stop and Search Powers.</w:t>
              </w:r>
              <w:r>
                <w:rPr>
                  <w:noProof/>
                  <w:lang w:val="en-US"/>
                </w:rPr>
                <w:t xml:space="preserve"> London: Home Office.</w:t>
              </w:r>
            </w:p>
            <w:p w14:paraId="5A4C7E28" w14:textId="77777777" w:rsidR="00AF65B4" w:rsidRDefault="00AF65B4" w:rsidP="00AF65B4">
              <w:pPr>
                <w:pStyle w:val="Bibliography"/>
                <w:ind w:left="720" w:hanging="720"/>
                <w:rPr>
                  <w:noProof/>
                  <w:lang w:val="en-US"/>
                </w:rPr>
              </w:pPr>
              <w:r>
                <w:rPr>
                  <w:noProof/>
                  <w:lang w:val="en-US"/>
                </w:rPr>
                <w:t xml:space="preserve">Windle, J. a. (2015). Going solo: the social organisation of drug dealing within a London street gang. . </w:t>
              </w:r>
              <w:r>
                <w:rPr>
                  <w:i/>
                  <w:iCs/>
                  <w:noProof/>
                  <w:lang w:val="en-US"/>
                </w:rPr>
                <w:t>Journal of youth studies</w:t>
              </w:r>
              <w:r>
                <w:rPr>
                  <w:noProof/>
                  <w:lang w:val="en-US"/>
                </w:rPr>
                <w:t>, 18(9), pp.1170-1185.</w:t>
              </w:r>
            </w:p>
            <w:p w14:paraId="55D4A6C5" w14:textId="4719FB76" w:rsidR="00AF65B4" w:rsidRDefault="00AF65B4" w:rsidP="00AF65B4">
              <w:r>
                <w:rPr>
                  <w:b/>
                  <w:bCs/>
                  <w:noProof/>
                </w:rPr>
                <w:fldChar w:fldCharType="end"/>
              </w:r>
            </w:p>
          </w:sdtContent>
        </w:sdt>
      </w:sdtContent>
    </w:sdt>
    <w:p w14:paraId="50721EE9" w14:textId="77777777" w:rsidR="00AF65B4" w:rsidRPr="00AF65B4" w:rsidRDefault="00AF65B4" w:rsidP="00AF65B4">
      <w:pPr>
        <w:rPr>
          <w:b/>
          <w:bCs/>
          <w:sz w:val="24"/>
          <w:szCs w:val="24"/>
        </w:rPr>
      </w:pPr>
    </w:p>
    <w:p w14:paraId="748FDE6E" w14:textId="77777777" w:rsidR="00AF65B4" w:rsidRPr="00AF65B4" w:rsidRDefault="00AF65B4" w:rsidP="00AF65B4">
      <w:pPr>
        <w:rPr>
          <w:rFonts w:cstheme="minorHAnsi"/>
        </w:rPr>
      </w:pPr>
    </w:p>
    <w:sectPr w:rsidR="00AF65B4" w:rsidRPr="00AF65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5B4"/>
    <w:rsid w:val="00AF6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E346F"/>
  <w15:chartTrackingRefBased/>
  <w15:docId w15:val="{CD8A5E7E-88CB-42FD-98F3-24E745D22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5B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5B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F65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0875">
      <w:bodyDiv w:val="1"/>
      <w:marLeft w:val="0"/>
      <w:marRight w:val="0"/>
      <w:marTop w:val="0"/>
      <w:marBottom w:val="0"/>
      <w:divBdr>
        <w:top w:val="none" w:sz="0" w:space="0" w:color="auto"/>
        <w:left w:val="none" w:sz="0" w:space="0" w:color="auto"/>
        <w:bottom w:val="none" w:sz="0" w:space="0" w:color="auto"/>
        <w:right w:val="none" w:sz="0" w:space="0" w:color="auto"/>
      </w:divBdr>
    </w:div>
    <w:div w:id="32311824">
      <w:bodyDiv w:val="1"/>
      <w:marLeft w:val="0"/>
      <w:marRight w:val="0"/>
      <w:marTop w:val="0"/>
      <w:marBottom w:val="0"/>
      <w:divBdr>
        <w:top w:val="none" w:sz="0" w:space="0" w:color="auto"/>
        <w:left w:val="none" w:sz="0" w:space="0" w:color="auto"/>
        <w:bottom w:val="none" w:sz="0" w:space="0" w:color="auto"/>
        <w:right w:val="none" w:sz="0" w:space="0" w:color="auto"/>
      </w:divBdr>
    </w:div>
    <w:div w:id="113986118">
      <w:bodyDiv w:val="1"/>
      <w:marLeft w:val="0"/>
      <w:marRight w:val="0"/>
      <w:marTop w:val="0"/>
      <w:marBottom w:val="0"/>
      <w:divBdr>
        <w:top w:val="none" w:sz="0" w:space="0" w:color="auto"/>
        <w:left w:val="none" w:sz="0" w:space="0" w:color="auto"/>
        <w:bottom w:val="none" w:sz="0" w:space="0" w:color="auto"/>
        <w:right w:val="none" w:sz="0" w:space="0" w:color="auto"/>
      </w:divBdr>
    </w:div>
    <w:div w:id="145558337">
      <w:bodyDiv w:val="1"/>
      <w:marLeft w:val="0"/>
      <w:marRight w:val="0"/>
      <w:marTop w:val="0"/>
      <w:marBottom w:val="0"/>
      <w:divBdr>
        <w:top w:val="none" w:sz="0" w:space="0" w:color="auto"/>
        <w:left w:val="none" w:sz="0" w:space="0" w:color="auto"/>
        <w:bottom w:val="none" w:sz="0" w:space="0" w:color="auto"/>
        <w:right w:val="none" w:sz="0" w:space="0" w:color="auto"/>
      </w:divBdr>
    </w:div>
    <w:div w:id="353310870">
      <w:bodyDiv w:val="1"/>
      <w:marLeft w:val="0"/>
      <w:marRight w:val="0"/>
      <w:marTop w:val="0"/>
      <w:marBottom w:val="0"/>
      <w:divBdr>
        <w:top w:val="none" w:sz="0" w:space="0" w:color="auto"/>
        <w:left w:val="none" w:sz="0" w:space="0" w:color="auto"/>
        <w:bottom w:val="none" w:sz="0" w:space="0" w:color="auto"/>
        <w:right w:val="none" w:sz="0" w:space="0" w:color="auto"/>
      </w:divBdr>
    </w:div>
    <w:div w:id="428161432">
      <w:bodyDiv w:val="1"/>
      <w:marLeft w:val="0"/>
      <w:marRight w:val="0"/>
      <w:marTop w:val="0"/>
      <w:marBottom w:val="0"/>
      <w:divBdr>
        <w:top w:val="none" w:sz="0" w:space="0" w:color="auto"/>
        <w:left w:val="none" w:sz="0" w:space="0" w:color="auto"/>
        <w:bottom w:val="none" w:sz="0" w:space="0" w:color="auto"/>
        <w:right w:val="none" w:sz="0" w:space="0" w:color="auto"/>
      </w:divBdr>
    </w:div>
    <w:div w:id="461575270">
      <w:bodyDiv w:val="1"/>
      <w:marLeft w:val="0"/>
      <w:marRight w:val="0"/>
      <w:marTop w:val="0"/>
      <w:marBottom w:val="0"/>
      <w:divBdr>
        <w:top w:val="none" w:sz="0" w:space="0" w:color="auto"/>
        <w:left w:val="none" w:sz="0" w:space="0" w:color="auto"/>
        <w:bottom w:val="none" w:sz="0" w:space="0" w:color="auto"/>
        <w:right w:val="none" w:sz="0" w:space="0" w:color="auto"/>
      </w:divBdr>
    </w:div>
    <w:div w:id="491022687">
      <w:bodyDiv w:val="1"/>
      <w:marLeft w:val="0"/>
      <w:marRight w:val="0"/>
      <w:marTop w:val="0"/>
      <w:marBottom w:val="0"/>
      <w:divBdr>
        <w:top w:val="none" w:sz="0" w:space="0" w:color="auto"/>
        <w:left w:val="none" w:sz="0" w:space="0" w:color="auto"/>
        <w:bottom w:val="none" w:sz="0" w:space="0" w:color="auto"/>
        <w:right w:val="none" w:sz="0" w:space="0" w:color="auto"/>
      </w:divBdr>
    </w:div>
    <w:div w:id="551842355">
      <w:bodyDiv w:val="1"/>
      <w:marLeft w:val="0"/>
      <w:marRight w:val="0"/>
      <w:marTop w:val="0"/>
      <w:marBottom w:val="0"/>
      <w:divBdr>
        <w:top w:val="none" w:sz="0" w:space="0" w:color="auto"/>
        <w:left w:val="none" w:sz="0" w:space="0" w:color="auto"/>
        <w:bottom w:val="none" w:sz="0" w:space="0" w:color="auto"/>
        <w:right w:val="none" w:sz="0" w:space="0" w:color="auto"/>
      </w:divBdr>
    </w:div>
    <w:div w:id="555509347">
      <w:bodyDiv w:val="1"/>
      <w:marLeft w:val="0"/>
      <w:marRight w:val="0"/>
      <w:marTop w:val="0"/>
      <w:marBottom w:val="0"/>
      <w:divBdr>
        <w:top w:val="none" w:sz="0" w:space="0" w:color="auto"/>
        <w:left w:val="none" w:sz="0" w:space="0" w:color="auto"/>
        <w:bottom w:val="none" w:sz="0" w:space="0" w:color="auto"/>
        <w:right w:val="none" w:sz="0" w:space="0" w:color="auto"/>
      </w:divBdr>
    </w:div>
    <w:div w:id="575943401">
      <w:bodyDiv w:val="1"/>
      <w:marLeft w:val="0"/>
      <w:marRight w:val="0"/>
      <w:marTop w:val="0"/>
      <w:marBottom w:val="0"/>
      <w:divBdr>
        <w:top w:val="none" w:sz="0" w:space="0" w:color="auto"/>
        <w:left w:val="none" w:sz="0" w:space="0" w:color="auto"/>
        <w:bottom w:val="none" w:sz="0" w:space="0" w:color="auto"/>
        <w:right w:val="none" w:sz="0" w:space="0" w:color="auto"/>
      </w:divBdr>
    </w:div>
    <w:div w:id="618610079">
      <w:bodyDiv w:val="1"/>
      <w:marLeft w:val="0"/>
      <w:marRight w:val="0"/>
      <w:marTop w:val="0"/>
      <w:marBottom w:val="0"/>
      <w:divBdr>
        <w:top w:val="none" w:sz="0" w:space="0" w:color="auto"/>
        <w:left w:val="none" w:sz="0" w:space="0" w:color="auto"/>
        <w:bottom w:val="none" w:sz="0" w:space="0" w:color="auto"/>
        <w:right w:val="none" w:sz="0" w:space="0" w:color="auto"/>
      </w:divBdr>
    </w:div>
    <w:div w:id="643393759">
      <w:bodyDiv w:val="1"/>
      <w:marLeft w:val="0"/>
      <w:marRight w:val="0"/>
      <w:marTop w:val="0"/>
      <w:marBottom w:val="0"/>
      <w:divBdr>
        <w:top w:val="none" w:sz="0" w:space="0" w:color="auto"/>
        <w:left w:val="none" w:sz="0" w:space="0" w:color="auto"/>
        <w:bottom w:val="none" w:sz="0" w:space="0" w:color="auto"/>
        <w:right w:val="none" w:sz="0" w:space="0" w:color="auto"/>
      </w:divBdr>
    </w:div>
    <w:div w:id="684592963">
      <w:bodyDiv w:val="1"/>
      <w:marLeft w:val="0"/>
      <w:marRight w:val="0"/>
      <w:marTop w:val="0"/>
      <w:marBottom w:val="0"/>
      <w:divBdr>
        <w:top w:val="none" w:sz="0" w:space="0" w:color="auto"/>
        <w:left w:val="none" w:sz="0" w:space="0" w:color="auto"/>
        <w:bottom w:val="none" w:sz="0" w:space="0" w:color="auto"/>
        <w:right w:val="none" w:sz="0" w:space="0" w:color="auto"/>
      </w:divBdr>
    </w:div>
    <w:div w:id="762725243">
      <w:bodyDiv w:val="1"/>
      <w:marLeft w:val="0"/>
      <w:marRight w:val="0"/>
      <w:marTop w:val="0"/>
      <w:marBottom w:val="0"/>
      <w:divBdr>
        <w:top w:val="none" w:sz="0" w:space="0" w:color="auto"/>
        <w:left w:val="none" w:sz="0" w:space="0" w:color="auto"/>
        <w:bottom w:val="none" w:sz="0" w:space="0" w:color="auto"/>
        <w:right w:val="none" w:sz="0" w:space="0" w:color="auto"/>
      </w:divBdr>
    </w:div>
    <w:div w:id="909461360">
      <w:bodyDiv w:val="1"/>
      <w:marLeft w:val="0"/>
      <w:marRight w:val="0"/>
      <w:marTop w:val="0"/>
      <w:marBottom w:val="0"/>
      <w:divBdr>
        <w:top w:val="none" w:sz="0" w:space="0" w:color="auto"/>
        <w:left w:val="none" w:sz="0" w:space="0" w:color="auto"/>
        <w:bottom w:val="none" w:sz="0" w:space="0" w:color="auto"/>
        <w:right w:val="none" w:sz="0" w:space="0" w:color="auto"/>
      </w:divBdr>
    </w:div>
    <w:div w:id="964387584">
      <w:bodyDiv w:val="1"/>
      <w:marLeft w:val="0"/>
      <w:marRight w:val="0"/>
      <w:marTop w:val="0"/>
      <w:marBottom w:val="0"/>
      <w:divBdr>
        <w:top w:val="none" w:sz="0" w:space="0" w:color="auto"/>
        <w:left w:val="none" w:sz="0" w:space="0" w:color="auto"/>
        <w:bottom w:val="none" w:sz="0" w:space="0" w:color="auto"/>
        <w:right w:val="none" w:sz="0" w:space="0" w:color="auto"/>
      </w:divBdr>
    </w:div>
    <w:div w:id="1030841854">
      <w:bodyDiv w:val="1"/>
      <w:marLeft w:val="0"/>
      <w:marRight w:val="0"/>
      <w:marTop w:val="0"/>
      <w:marBottom w:val="0"/>
      <w:divBdr>
        <w:top w:val="none" w:sz="0" w:space="0" w:color="auto"/>
        <w:left w:val="none" w:sz="0" w:space="0" w:color="auto"/>
        <w:bottom w:val="none" w:sz="0" w:space="0" w:color="auto"/>
        <w:right w:val="none" w:sz="0" w:space="0" w:color="auto"/>
      </w:divBdr>
    </w:div>
    <w:div w:id="1040940121">
      <w:bodyDiv w:val="1"/>
      <w:marLeft w:val="0"/>
      <w:marRight w:val="0"/>
      <w:marTop w:val="0"/>
      <w:marBottom w:val="0"/>
      <w:divBdr>
        <w:top w:val="none" w:sz="0" w:space="0" w:color="auto"/>
        <w:left w:val="none" w:sz="0" w:space="0" w:color="auto"/>
        <w:bottom w:val="none" w:sz="0" w:space="0" w:color="auto"/>
        <w:right w:val="none" w:sz="0" w:space="0" w:color="auto"/>
      </w:divBdr>
    </w:div>
    <w:div w:id="1059548858">
      <w:bodyDiv w:val="1"/>
      <w:marLeft w:val="0"/>
      <w:marRight w:val="0"/>
      <w:marTop w:val="0"/>
      <w:marBottom w:val="0"/>
      <w:divBdr>
        <w:top w:val="none" w:sz="0" w:space="0" w:color="auto"/>
        <w:left w:val="none" w:sz="0" w:space="0" w:color="auto"/>
        <w:bottom w:val="none" w:sz="0" w:space="0" w:color="auto"/>
        <w:right w:val="none" w:sz="0" w:space="0" w:color="auto"/>
      </w:divBdr>
    </w:div>
    <w:div w:id="1087000429">
      <w:bodyDiv w:val="1"/>
      <w:marLeft w:val="0"/>
      <w:marRight w:val="0"/>
      <w:marTop w:val="0"/>
      <w:marBottom w:val="0"/>
      <w:divBdr>
        <w:top w:val="none" w:sz="0" w:space="0" w:color="auto"/>
        <w:left w:val="none" w:sz="0" w:space="0" w:color="auto"/>
        <w:bottom w:val="none" w:sz="0" w:space="0" w:color="auto"/>
        <w:right w:val="none" w:sz="0" w:space="0" w:color="auto"/>
      </w:divBdr>
    </w:div>
    <w:div w:id="1102190943">
      <w:bodyDiv w:val="1"/>
      <w:marLeft w:val="0"/>
      <w:marRight w:val="0"/>
      <w:marTop w:val="0"/>
      <w:marBottom w:val="0"/>
      <w:divBdr>
        <w:top w:val="none" w:sz="0" w:space="0" w:color="auto"/>
        <w:left w:val="none" w:sz="0" w:space="0" w:color="auto"/>
        <w:bottom w:val="none" w:sz="0" w:space="0" w:color="auto"/>
        <w:right w:val="none" w:sz="0" w:space="0" w:color="auto"/>
      </w:divBdr>
    </w:div>
    <w:div w:id="1127236638">
      <w:bodyDiv w:val="1"/>
      <w:marLeft w:val="0"/>
      <w:marRight w:val="0"/>
      <w:marTop w:val="0"/>
      <w:marBottom w:val="0"/>
      <w:divBdr>
        <w:top w:val="none" w:sz="0" w:space="0" w:color="auto"/>
        <w:left w:val="none" w:sz="0" w:space="0" w:color="auto"/>
        <w:bottom w:val="none" w:sz="0" w:space="0" w:color="auto"/>
        <w:right w:val="none" w:sz="0" w:space="0" w:color="auto"/>
      </w:divBdr>
    </w:div>
    <w:div w:id="1139766633">
      <w:bodyDiv w:val="1"/>
      <w:marLeft w:val="0"/>
      <w:marRight w:val="0"/>
      <w:marTop w:val="0"/>
      <w:marBottom w:val="0"/>
      <w:divBdr>
        <w:top w:val="none" w:sz="0" w:space="0" w:color="auto"/>
        <w:left w:val="none" w:sz="0" w:space="0" w:color="auto"/>
        <w:bottom w:val="none" w:sz="0" w:space="0" w:color="auto"/>
        <w:right w:val="none" w:sz="0" w:space="0" w:color="auto"/>
      </w:divBdr>
    </w:div>
    <w:div w:id="1145706108">
      <w:bodyDiv w:val="1"/>
      <w:marLeft w:val="0"/>
      <w:marRight w:val="0"/>
      <w:marTop w:val="0"/>
      <w:marBottom w:val="0"/>
      <w:divBdr>
        <w:top w:val="none" w:sz="0" w:space="0" w:color="auto"/>
        <w:left w:val="none" w:sz="0" w:space="0" w:color="auto"/>
        <w:bottom w:val="none" w:sz="0" w:space="0" w:color="auto"/>
        <w:right w:val="none" w:sz="0" w:space="0" w:color="auto"/>
      </w:divBdr>
    </w:div>
    <w:div w:id="1222447480">
      <w:bodyDiv w:val="1"/>
      <w:marLeft w:val="0"/>
      <w:marRight w:val="0"/>
      <w:marTop w:val="0"/>
      <w:marBottom w:val="0"/>
      <w:divBdr>
        <w:top w:val="none" w:sz="0" w:space="0" w:color="auto"/>
        <w:left w:val="none" w:sz="0" w:space="0" w:color="auto"/>
        <w:bottom w:val="none" w:sz="0" w:space="0" w:color="auto"/>
        <w:right w:val="none" w:sz="0" w:space="0" w:color="auto"/>
      </w:divBdr>
    </w:div>
    <w:div w:id="1235505315">
      <w:bodyDiv w:val="1"/>
      <w:marLeft w:val="0"/>
      <w:marRight w:val="0"/>
      <w:marTop w:val="0"/>
      <w:marBottom w:val="0"/>
      <w:divBdr>
        <w:top w:val="none" w:sz="0" w:space="0" w:color="auto"/>
        <w:left w:val="none" w:sz="0" w:space="0" w:color="auto"/>
        <w:bottom w:val="none" w:sz="0" w:space="0" w:color="auto"/>
        <w:right w:val="none" w:sz="0" w:space="0" w:color="auto"/>
      </w:divBdr>
    </w:div>
    <w:div w:id="1281492985">
      <w:bodyDiv w:val="1"/>
      <w:marLeft w:val="0"/>
      <w:marRight w:val="0"/>
      <w:marTop w:val="0"/>
      <w:marBottom w:val="0"/>
      <w:divBdr>
        <w:top w:val="none" w:sz="0" w:space="0" w:color="auto"/>
        <w:left w:val="none" w:sz="0" w:space="0" w:color="auto"/>
        <w:bottom w:val="none" w:sz="0" w:space="0" w:color="auto"/>
        <w:right w:val="none" w:sz="0" w:space="0" w:color="auto"/>
      </w:divBdr>
    </w:div>
    <w:div w:id="1500921359">
      <w:bodyDiv w:val="1"/>
      <w:marLeft w:val="0"/>
      <w:marRight w:val="0"/>
      <w:marTop w:val="0"/>
      <w:marBottom w:val="0"/>
      <w:divBdr>
        <w:top w:val="none" w:sz="0" w:space="0" w:color="auto"/>
        <w:left w:val="none" w:sz="0" w:space="0" w:color="auto"/>
        <w:bottom w:val="none" w:sz="0" w:space="0" w:color="auto"/>
        <w:right w:val="none" w:sz="0" w:space="0" w:color="auto"/>
      </w:divBdr>
    </w:div>
    <w:div w:id="1510867470">
      <w:bodyDiv w:val="1"/>
      <w:marLeft w:val="0"/>
      <w:marRight w:val="0"/>
      <w:marTop w:val="0"/>
      <w:marBottom w:val="0"/>
      <w:divBdr>
        <w:top w:val="none" w:sz="0" w:space="0" w:color="auto"/>
        <w:left w:val="none" w:sz="0" w:space="0" w:color="auto"/>
        <w:bottom w:val="none" w:sz="0" w:space="0" w:color="auto"/>
        <w:right w:val="none" w:sz="0" w:space="0" w:color="auto"/>
      </w:divBdr>
    </w:div>
    <w:div w:id="1576040722">
      <w:bodyDiv w:val="1"/>
      <w:marLeft w:val="0"/>
      <w:marRight w:val="0"/>
      <w:marTop w:val="0"/>
      <w:marBottom w:val="0"/>
      <w:divBdr>
        <w:top w:val="none" w:sz="0" w:space="0" w:color="auto"/>
        <w:left w:val="none" w:sz="0" w:space="0" w:color="auto"/>
        <w:bottom w:val="none" w:sz="0" w:space="0" w:color="auto"/>
        <w:right w:val="none" w:sz="0" w:space="0" w:color="auto"/>
      </w:divBdr>
    </w:div>
    <w:div w:id="1617761103">
      <w:bodyDiv w:val="1"/>
      <w:marLeft w:val="0"/>
      <w:marRight w:val="0"/>
      <w:marTop w:val="0"/>
      <w:marBottom w:val="0"/>
      <w:divBdr>
        <w:top w:val="none" w:sz="0" w:space="0" w:color="auto"/>
        <w:left w:val="none" w:sz="0" w:space="0" w:color="auto"/>
        <w:bottom w:val="none" w:sz="0" w:space="0" w:color="auto"/>
        <w:right w:val="none" w:sz="0" w:space="0" w:color="auto"/>
      </w:divBdr>
    </w:div>
    <w:div w:id="1651514760">
      <w:bodyDiv w:val="1"/>
      <w:marLeft w:val="0"/>
      <w:marRight w:val="0"/>
      <w:marTop w:val="0"/>
      <w:marBottom w:val="0"/>
      <w:divBdr>
        <w:top w:val="none" w:sz="0" w:space="0" w:color="auto"/>
        <w:left w:val="none" w:sz="0" w:space="0" w:color="auto"/>
        <w:bottom w:val="none" w:sz="0" w:space="0" w:color="auto"/>
        <w:right w:val="none" w:sz="0" w:space="0" w:color="auto"/>
      </w:divBdr>
    </w:div>
    <w:div w:id="1790929747">
      <w:bodyDiv w:val="1"/>
      <w:marLeft w:val="0"/>
      <w:marRight w:val="0"/>
      <w:marTop w:val="0"/>
      <w:marBottom w:val="0"/>
      <w:divBdr>
        <w:top w:val="none" w:sz="0" w:space="0" w:color="auto"/>
        <w:left w:val="none" w:sz="0" w:space="0" w:color="auto"/>
        <w:bottom w:val="none" w:sz="0" w:space="0" w:color="auto"/>
        <w:right w:val="none" w:sz="0" w:space="0" w:color="auto"/>
      </w:divBdr>
    </w:div>
    <w:div w:id="1860771310">
      <w:bodyDiv w:val="1"/>
      <w:marLeft w:val="0"/>
      <w:marRight w:val="0"/>
      <w:marTop w:val="0"/>
      <w:marBottom w:val="0"/>
      <w:divBdr>
        <w:top w:val="none" w:sz="0" w:space="0" w:color="auto"/>
        <w:left w:val="none" w:sz="0" w:space="0" w:color="auto"/>
        <w:bottom w:val="none" w:sz="0" w:space="0" w:color="auto"/>
        <w:right w:val="none" w:sz="0" w:space="0" w:color="auto"/>
      </w:divBdr>
    </w:div>
    <w:div w:id="1981180742">
      <w:bodyDiv w:val="1"/>
      <w:marLeft w:val="0"/>
      <w:marRight w:val="0"/>
      <w:marTop w:val="0"/>
      <w:marBottom w:val="0"/>
      <w:divBdr>
        <w:top w:val="none" w:sz="0" w:space="0" w:color="auto"/>
        <w:left w:val="none" w:sz="0" w:space="0" w:color="auto"/>
        <w:bottom w:val="none" w:sz="0" w:space="0" w:color="auto"/>
        <w:right w:val="none" w:sz="0" w:space="0" w:color="auto"/>
      </w:divBdr>
    </w:div>
    <w:div w:id="1982076327">
      <w:bodyDiv w:val="1"/>
      <w:marLeft w:val="0"/>
      <w:marRight w:val="0"/>
      <w:marTop w:val="0"/>
      <w:marBottom w:val="0"/>
      <w:divBdr>
        <w:top w:val="none" w:sz="0" w:space="0" w:color="auto"/>
        <w:left w:val="none" w:sz="0" w:space="0" w:color="auto"/>
        <w:bottom w:val="none" w:sz="0" w:space="0" w:color="auto"/>
        <w:right w:val="none" w:sz="0" w:space="0" w:color="auto"/>
      </w:divBdr>
    </w:div>
    <w:div w:id="2009751532">
      <w:bodyDiv w:val="1"/>
      <w:marLeft w:val="0"/>
      <w:marRight w:val="0"/>
      <w:marTop w:val="0"/>
      <w:marBottom w:val="0"/>
      <w:divBdr>
        <w:top w:val="none" w:sz="0" w:space="0" w:color="auto"/>
        <w:left w:val="none" w:sz="0" w:space="0" w:color="auto"/>
        <w:bottom w:val="none" w:sz="0" w:space="0" w:color="auto"/>
        <w:right w:val="none" w:sz="0" w:space="0" w:color="auto"/>
      </w:divBdr>
    </w:div>
    <w:div w:id="2074695553">
      <w:bodyDiv w:val="1"/>
      <w:marLeft w:val="0"/>
      <w:marRight w:val="0"/>
      <w:marTop w:val="0"/>
      <w:marBottom w:val="0"/>
      <w:divBdr>
        <w:top w:val="none" w:sz="0" w:space="0" w:color="auto"/>
        <w:left w:val="none" w:sz="0" w:space="0" w:color="auto"/>
        <w:bottom w:val="none" w:sz="0" w:space="0" w:color="auto"/>
        <w:right w:val="none" w:sz="0" w:space="0" w:color="auto"/>
      </w:divBdr>
    </w:div>
    <w:div w:id="2076659825">
      <w:bodyDiv w:val="1"/>
      <w:marLeft w:val="0"/>
      <w:marRight w:val="0"/>
      <w:marTop w:val="0"/>
      <w:marBottom w:val="0"/>
      <w:divBdr>
        <w:top w:val="none" w:sz="0" w:space="0" w:color="auto"/>
        <w:left w:val="none" w:sz="0" w:space="0" w:color="auto"/>
        <w:bottom w:val="none" w:sz="0" w:space="0" w:color="auto"/>
        <w:right w:val="none" w:sz="0" w:space="0" w:color="auto"/>
      </w:divBdr>
    </w:div>
    <w:div w:id="2143962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Bri81</b:Tag>
    <b:SourceType>Report</b:SourceType>
    <b:Guid>{A0CAAB21-A97F-4F54-8B7F-A8964B71F69A}</b:Guid>
    <b:Title>The Brixton Disorders</b:Title>
    <b:Year>1981</b:Year>
    <b:Author>
      <b:Author>
        <b:Corporate>Scarman</b:Corporate>
      </b:Author>
    </b:Author>
    <b:Publisher>HMSO</b:Publisher>
    <b:City>London</b:City>
    <b:RefOrder>1</b:RefOrder>
  </b:Source>
  <b:Source>
    <b:Tag>Del06</b:Tag>
    <b:SourceType>Report</b:SourceType>
    <b:Guid>{8958DDCC-F9C7-40E4-8286-15016BF9A6D1}</b:Guid>
    <b:Title>nstitutional Racism, the Police and Stop and Search: A Comparative Study of Stop and Search in the UK and USA. </b:Title>
    <b:Year>2006</b:Year>
    <b:Publisher>University of Warwick, Department of Sociology</b:Publisher>
    <b:City>Warwick</b:City>
    <b:Author>
      <b:Author>
        <b:NameList>
          <b:Person>
            <b:Last>Delsol</b:Last>
            <b:First>Rebekah</b:First>
          </b:Person>
        </b:NameList>
      </b:Author>
    </b:Author>
    <b:RefOrder>2</b:RefOrder>
  </b:Source>
  <b:Source>
    <b:Tag>Bow02</b:Tag>
    <b:SourceType>JournalArticle</b:SourceType>
    <b:Guid>{35397CEC-84FA-4650-AD04-AD4A8CA8DA58}</b:Guid>
    <b:Title>Racism, Crime and Justice</b:Title>
    <b:Year>2002</b:Year>
    <b:JournalName>Pearson Education Limited</b:JournalName>
    <b:Pages>139-140</b:Pages>
    <b:Author>
      <b:Author>
        <b:NameList>
          <b:Person>
            <b:Last>Bowling</b:Last>
            <b:First>B</b:First>
          </b:Person>
          <b:Person>
            <b:Last>Phillips</b:Last>
            <b:First>C</b:First>
          </b:Person>
        </b:NameList>
      </b:Author>
    </b:Author>
    <b:RefOrder>3</b:RefOrder>
  </b:Source>
  <b:Source>
    <b:Tag>Sir99</b:Tag>
    <b:SourceType>Report</b:SourceType>
    <b:Guid>{9489FFD6-79FC-4912-BBE0-2D5A903512B6}</b:Guid>
    <b:Author>
      <b:Author>
        <b:NameList>
          <b:Person>
            <b:Last>Macpherson</b:Last>
            <b:First>Sir</b:First>
            <b:Middle>William</b:Middle>
          </b:Person>
        </b:NameList>
      </b:Author>
    </b:Author>
    <b:Title>Stephen Lawence Inquiry </b:Title>
    <b:Year>1999</b:Year>
    <b:Publisher>HMSO</b:Publisher>
    <b:City>London</b:City>
    <b:RefOrder>4</b:RefOrder>
  </b:Source>
  <b:Source>
    <b:Tag>Cat99</b:Tag>
    <b:SourceType>Report</b:SourceType>
    <b:Guid>{ECDAC4EE-0A44-4865-AB31-8A21841E57D2}</b:Guid>
    <b:Title>The Case of Steven Lawence</b:Title>
    <b:Year>1999</b:Year>
    <b:Publisher>Viking</b:Publisher>
    <b:City>London</b:City>
    <b:Author>
      <b:Author>
        <b:NameList>
          <b:Person>
            <b:Last>Cathcart</b:Last>
            <b:First>B</b:First>
          </b:Person>
        </b:NameList>
      </b:Author>
    </b:Author>
    <b:RefOrder>5</b:RefOrder>
  </b:Source>
  <b:Source>
    <b:Tag>Hom99</b:Tag>
    <b:SourceType>Report</b:SourceType>
    <b:Guid>{3DF02486-E9F1-4AC8-A7AC-EE639032371F}</b:Guid>
    <b:Author>
      <b:Author>
        <b:Corporate>Home Office</b:Corporate>
      </b:Author>
    </b:Author>
    <b:Title>Dismantling Barriers</b:Title>
    <b:Year>1999</b:Year>
    <b:Publisher>Home Office</b:Publisher>
    <b:City>London</b:City>
    <b:RefOrder>6</b:RefOrder>
  </b:Source>
  <b:Source>
    <b:Tag>Hol04</b:Tag>
    <b:SourceType>JournalArticle</b:SourceType>
    <b:Guid>{42EF12F9-12DF-4313-9BBB-62C70D89F391}</b:Guid>
    <b:Title>The Development of Black Police Associations: Changing Articulations of Race within the Police.</b:Title>
    <b:Year>2004</b:Year>
    <b:JournalName>British Journal of Criminology</b:JournalName>
    <b:Pages>Vol 44. (6), 854-865</b:Pages>
    <b:Author>
      <b:Author>
        <b:NameList>
          <b:Person>
            <b:Last>Holdaway</b:Last>
            <b:First>S.</b:First>
          </b:Person>
          <b:Person>
            <b:Last>O'Neil</b:Last>
            <b:First>M.</b:First>
          </b:Person>
        </b:NameList>
      </b:Author>
    </b:Author>
    <b:RefOrder>7</b:RefOrder>
  </b:Source>
  <b:Source>
    <b:Tag>Wil83</b:Tag>
    <b:SourceType>Report</b:SourceType>
    <b:Guid>{CF9DECA3-12DD-46C4-9A68-6A09292379E0}</b:Guid>
    <b:Title>The Use, Effectiveness and Impact of Police Stop and Search Powers.</b:Title>
    <b:Year>1983</b:Year>
    <b:Publisher>Home Office</b:Publisher>
    <b:City>London</b:City>
    <b:Author>
      <b:Author>
        <b:NameList>
          <b:Person>
            <b:Last>Willis</b:Last>
            <b:First>C</b:First>
          </b:Person>
        </b:NameList>
      </b:Author>
    </b:Author>
    <b:RefOrder>8</b:RefOrder>
  </b:Source>
  <b:Source>
    <b:Tag>Phi81</b:Tag>
    <b:SourceType>Report</b:SourceType>
    <b:Guid>{027596E0-DEC2-404D-B385-47083AF230EE}</b:Guid>
    <b:Title>Royal Commission on Criminal Procedure </b:Title>
    <b:Year>1981</b:Year>
    <b:Publisher>HMSO</b:Publisher>
    <b:City>London</b:City>
    <b:Author>
      <b:Author>
        <b:NameList>
          <b:Person>
            <b:Last>Phillips</b:Last>
            <b:First>Cyril</b:First>
          </b:Person>
        </b:NameList>
      </b:Author>
    </b:Author>
    <b:RefOrder>9</b:RefOrder>
  </b:Source>
  <b:Source>
    <b:Tag>Nat20</b:Tag>
    <b:SourceType>InternetSite</b:SourceType>
    <b:Guid>{163EEDD7-F78C-47D3-AAE5-961F236274B3}</b:Guid>
    <b:Title>Protecting the public from serious and organised crime.</b:Title>
    <b:Year>2020</b:Year>
    <b:Author>
      <b:Author>
        <b:Corporate>National Crime Agency</b:Corporate>
      </b:Author>
    </b:Author>
    <b:InternetSiteTitle>National Crime Agency</b:InternetSiteTitle>
    <b:Month>September</b:Month>
    <b:Day>22</b:Day>
    <b:URL>https://nationalcrimeagency.gov.uk/what-we-do/crime-threats/drug-trafficking/county-lines</b:URL>
    <b:RefOrder>10</b:RefOrder>
  </b:Source>
  <b:Source>
    <b:Tag>Oxf23</b:Tag>
    <b:SourceType>Book</b:SourceType>
    <b:Guid>{F7DC2149-1C2F-4CB6-907E-C3070B9AA58D}</b:Guid>
    <b:Title>Oxford English Dictionary</b:Title>
    <b:Year>2023</b:Year>
    <b:City>Oxford</b:City>
    <b:Publisher>Oxford University Press</b:Publisher>
    <b:Author>
      <b:Author>
        <b:Corporate>Oxford University Press</b:Corporate>
      </b:Author>
    </b:Author>
    <b:RefOrder>11</b:RefOrder>
  </b:Source>
  <b:Source>
    <b:Tag>Nat161</b:Tag>
    <b:SourceType>InternetSite</b:SourceType>
    <b:Guid>{8E4E72C7-2D05-433E-817F-7F256CC54F05}</b:Guid>
    <b:Author>
      <b:Author>
        <b:Corporate>National Crime Agency </b:Corporate>
      </b:Author>
    </b:Author>
    <b:Title>County lines gang violence, exploitation and drug supply</b:Title>
    <b:InternetSiteTitle>National briefing report</b:InternetSiteTitle>
    <b:Year>2016</b:Year>
    <b:URL>https://search.ebscohost.com/login.aspx?direct=true&amp;AuthType=shib&amp;db=cat04924a&amp;AN=npl.E1974&amp;site=e</b:URL>
    <b:RefOrder>12</b:RefOrder>
  </b:Source>
  <b:Source>
    <b:Tag>Coo12</b:Tag>
    <b:SourceType>JournalArticle</b:SourceType>
    <b:Guid>{8C0882EE-9EBA-4958-BC07-E8F2C5B43A5A}</b:Guid>
    <b:Author>
      <b:Author>
        <b:NameList>
          <b:Person>
            <b:Last>Coomber</b:Last>
            <b:First>R.</b:First>
            <b:Middle>and Moyle, L</b:Middle>
          </b:Person>
        </b:NameList>
      </b:Author>
    </b:Author>
    <b:Title> A rapid appraisal of the illicit drug market in Southend-On-Sea-On-Sea, Essex.</b:Title>
    <b:JournalName>Plymouth University, Drug and Alcohol Research Unit.</b:JournalName>
    <b:Year>2012</b:Year>
    <b:RefOrder>13</b:RefOrder>
  </b:Source>
  <b:Source>
    <b:Tag>Nat16</b:Tag>
    <b:SourceType>JournalArticle</b:SourceType>
    <b:Guid>{5E4849A5-4901-41C6-AD11-CCAB9B40B21C}</b:Guid>
    <b:Title>County lines gang violence, exploitation and drug supply.</b:Title>
    <b:Year>2016</b:Year>
    <b:Author>
      <b:Author>
        <b:Corporate>National Crime Agency</b:Corporate>
      </b:Author>
    </b:Author>
    <b:JournalName>London: NCA.</b:JournalName>
    <b:RefOrder>14</b:RefOrder>
  </b:Source>
  <b:Source>
    <b:Tag>Rei17</b:Tag>
    <b:SourceType>JournalArticle</b:SourceType>
    <b:Guid>{88B9AE1C-B684-4F96-B794-5310CEA21AF9}</b:Guid>
    <b:Author>
      <b:Author>
        <b:NameList>
          <b:Person>
            <b:Last>Reid</b:Last>
            <b:First>J.A.,</b:First>
            <b:Middle>Baglivio, M.T., Piquero, A.R., Greenwald, M.A. and Epps, N.</b:Middle>
          </b:Person>
        </b:NameList>
      </b:Author>
    </b:Author>
    <b:Title>Human trafficking of minors and childhood adversity in Florida. </b:Title>
    <b:JournalName>American journal of public health</b:JournalName>
    <b:Year>2017</b:Year>
    <b:Pages>107(2), pp.306-311.</b:Pages>
    <b:RefOrder>15</b:RefOrder>
  </b:Source>
  <b:Source>
    <b:Tag>Coo18</b:Tag>
    <b:SourceType>JournalArticle</b:SourceType>
    <b:Guid>{EA8B6FA7-8564-44D8-B71F-ECE898FCE88E}</b:Guid>
    <b:Author>
      <b:Author>
        <b:NameList>
          <b:Person>
            <b:Last>Coomber</b:Last>
            <b:First>R.</b:First>
            <b:Middle>and Moyle, L.</b:Middle>
          </b:Person>
        </b:NameList>
      </b:Author>
    </b:Author>
    <b:Title>The changing shape of street-level heroin and crack supply in England: Commuting, holidaying and cuckooing drug dealers across ‘county lines’. </b:Title>
    <b:JournalName>The British Journal of Criminology</b:JournalName>
    <b:Year>2018</b:Year>
    <b:Pages>58(6), pp.1323-1342.</b:Pages>
    <b:RefOrder>16</b:RefOrder>
  </b:Source>
  <b:Source>
    <b:Tag>Hom17</b:Tag>
    <b:SourceType>JournalArticle</b:SourceType>
    <b:Guid>{D25D79EB-4358-462A-90EC-8AAAB1B4EC09}</b:Guid>
    <b:Author>
      <b:Author>
        <b:Corporate>Home Office.</b:Corporate>
      </b:Author>
    </b:Author>
    <b:Title>County Lines guidance.</b:Title>
    <b:JournalName>Criminal Exploitation of children and vulnerable adults.</b:JournalName>
    <b:Year>2017.</b:Year>
    <b:RefOrder>17</b:RefOrder>
  </b:Source>
  <b:Source>
    <b:Tag>Win15</b:Tag>
    <b:SourceType>JournalArticle</b:SourceType>
    <b:Guid>{30E89AE1-513C-437B-BA30-E7DBF394ECC0}</b:Guid>
    <b:Author>
      <b:Author>
        <b:NameList>
          <b:Person>
            <b:Last>Windle</b:Last>
            <b:First>J.</b:First>
            <b:Middle>and Briggs, D.</b:Middle>
          </b:Person>
        </b:NameList>
      </b:Author>
    </b:Author>
    <b:Title>Going solo: the social organisation of drug dealing within a London street gang. </b:Title>
    <b:JournalName>Journal of youth studies</b:JournalName>
    <b:Year>2015</b:Year>
    <b:Pages>18(9), pp.1170-1185.</b:Pages>
    <b:RefOrder>18</b:RefOrder>
  </b:Source>
  <b:Source>
    <b:Tag>Coo181</b:Tag>
    <b:SourceType>JournalArticle</b:SourceType>
    <b:Guid>{D20105C5-B98E-4F24-B10C-9407DDA025DA}</b:Guid>
    <b:Author>
      <b:Author>
        <b:NameList>
          <b:Person>
            <b:Last>Coomber</b:Last>
            <b:First>R.</b:First>
            <b:Middle>and Moyle, L.</b:Middle>
          </b:Person>
        </b:NameList>
      </b:Author>
    </b:Author>
    <b:Title>The changing shape of street-level heroin and crack supply in England: Commuting, holidaying and cuckooing drug dealers across ‘county lines’. </b:Title>
    <b:JournalName> The British Journal of Criminology</b:JournalName>
    <b:Year>2018</b:Year>
    <b:Pages>58(6), pp.1323-1342.</b:Pages>
    <b:RefOrder>19</b:RefOrder>
  </b:Source>
  <b:Source>
    <b:Tag>Bri13</b:Tag>
    <b:SourceType>JournalArticle</b:SourceType>
    <b:Guid>{D86A8127-693A-49EC-9313-ACE9A1BF339C}</b:Guid>
    <b:Author>
      <b:Author>
        <b:NameList>
          <b:Person>
            <b:Last>Briggs</b:Last>
            <b:First>D.</b:First>
          </b:Person>
        </b:NameList>
      </b:Author>
    </b:Author>
    <b:Title>Crack cocaine users: High society and low life in South London. </b:Title>
    <b:JournalName>Routledge.</b:JournalName>
    <b:Year>2013</b:Year>
    <b:RefOrder>20</b:RefOrder>
  </b:Source>
  <b:Source>
    <b:Tag>And18</b:Tag>
    <b:SourceType>JournalArticle</b:SourceType>
    <b:Guid>{612ECA15-3D2C-4BD2-AF39-C47345825DAA}</b:Guid>
    <b:Author>
      <b:Author>
        <b:NameList>
          <b:Person>
            <b:Last>Andell</b:Last>
            <b:First>P.</b:First>
            <b:Middle>and Pitts, J.</b:Middle>
          </b:Person>
        </b:NameList>
      </b:Author>
    </b:Author>
    <b:Title> The end of the line? The impact of county lines drug distribution on youth crime in a target destination.</b:Title>
    <b:JournalName>Youth &amp; Policy.</b:JournalName>
    <b:Year>2018</b:Year>
    <b:RefOrder>21</b:RefOrder>
  </b:Source>
  <b:Source>
    <b:Tag>Coo122</b:Tag>
    <b:SourceType>JournalArticle</b:SourceType>
    <b:Guid>{A7B27804-56ED-4268-A7DF-24550B7217A2}</b:Guid>
    <b:Author>
      <b:Author>
        <b:NameList>
          <b:Person>
            <b:Last>Coomber</b:Last>
            <b:First>R.</b:First>
            <b:Middle>and Moyle, L.</b:Middle>
          </b:Person>
        </b:NameList>
      </b:Author>
    </b:Author>
    <b:Title>A rapid appraisal of the illicit drug market in Southend-On-Sea-On-Sea, Essex. Full report.</b:Title>
    <b:JournalName>Plymouth University, Drug and Alcohol Research Unit.</b:JournalName>
    <b:Year>2012</b:Year>
    <b:RefOrder>22</b:RefOrder>
  </b:Source>
  <b:Source>
    <b:Tag>Sto17</b:Tag>
    <b:SourceType>JournalArticle</b:SourceType>
    <b:Guid>{E5A17B2E-B977-4996-8205-AB649ADA141C}</b:Guid>
    <b:Author>
      <b:Author>
        <b:NameList>
          <b:Person>
            <b:Last>Storrod</b:Last>
            <b:First>M.L.</b:First>
            <b:Middle>and Densley, J.A</b:Middle>
          </b:Person>
        </b:NameList>
      </b:Author>
    </b:Author>
    <b:Title>‘Going viral’and ‘Going country’: the expressive and instrumental activities of street gangs on social media. </b:Title>
    <b:JournalName>Journal of youth studies.</b:JournalName>
    <b:Year>2017</b:Year>
    <b:Pages>20(6), pp.677-696.</b:Pages>
    <b:RefOrder>23</b:RefOrder>
  </b:Source>
  <b:Source>
    <b:Tag>Coo121</b:Tag>
    <b:SourceType>JournalArticle</b:SourceType>
    <b:Guid>{DD0D5361-F4C6-40B5-A599-D921B63E1ADF}</b:Guid>
    <b:Author>
      <b:Author>
        <b:NameList>
          <b:Person>
            <b:Last>Coomber</b:Last>
            <b:First>R.</b:First>
            <b:Middle>and Moyle, L.</b:Middle>
          </b:Person>
        </b:NameList>
      </b:Author>
    </b:Author>
    <b:Title>A rapid appraisal of the illicit drug market in Southend-On-Sea-On-Sea, Essex. Full report. </b:Title>
    <b:JournalName> Plymouth University, Drug and Alcohol Research Unit.</b:JournalName>
    <b:Year>2012</b:Year>
    <b:RefOrder>24</b:RefOrder>
  </b:Source>
  <b:Source>
    <b:Tag>Bri10</b:Tag>
    <b:SourceType>JournalArticle</b:SourceType>
    <b:Guid>{D9F01C0B-EB3D-4703-8A25-BD8B1BF8DB40}</b:Guid>
    <b:Author>
      <b:Author>
        <b:NameList>
          <b:Person>
            <b:Last>Briggs</b:Last>
            <b:First>D.</b:First>
          </b:Person>
        </b:NameList>
      </b:Author>
    </b:Author>
    <b:Title>The world is out to get me, bruv’: life after school ‘exclusion.</b:Title>
    <b:JournalName>Safer Communities</b:JournalName>
    <b:Year>2010</b:Year>
    <b:Pages>9(2), pp.9-19.</b:Pages>
    <b:RefOrder>25</b:RefOrder>
  </b:Source>
  <b:Source>
    <b:Tag>Cur03</b:Tag>
    <b:SourceType>JournalArticle</b:SourceType>
    <b:Guid>{A135118F-B9BE-48F0-AB0B-9661F227A87D}</b:Guid>
    <b:Author>
      <b:Author>
        <b:NameList>
          <b:Person>
            <b:Last>Curry</b:Last>
            <b:First>G.D.,</b:First>
            <b:Middle>Decker, S.H. and Pyrooz, D.</b:Middle>
          </b:Person>
        </b:NameList>
      </b:Author>
    </b:Author>
    <b:Title>Confronting gangs: Crime and community.</b:Title>
    <b:JournalName>Los Angeles, CA: Roxbury Publishing Company.</b:JournalName>
    <b:Year>2003</b:Year>
    <b:RefOrder>26</b:RefOrder>
  </b:Source>
  <b:Source>
    <b:Tag>Cal20</b:Tag>
    <b:SourceType>InternetSite</b:SourceType>
    <b:Guid>{A30DB823-77D1-4FFA-B841-A05AE0D969A6}</b:Guid>
    <b:Title>County lines and looked after children.</b:Title>
    <b:Year>2020</b:Year>
    <b:Author>
      <b:Author>
        <b:NameList>
          <b:Person>
            <b:Last>Caluori</b:Last>
            <b:First>J.,</b:First>
            <b:Middle>Corlett, D.M. and Stott, J</b:Middle>
          </b:Person>
        </b:NameList>
      </b:Author>
    </b:Author>
    <b:InternetSiteTitle>Crest</b:InternetSiteTitle>
    <b:URL>https://search.ebscohost.com/login.aspx?direct=true&amp;AuthType=shib&amp;db=cat04924a&amp;AN=npl.E7425&amp;site=eds-live&amp;scope=site</b:URL>
    <b:RefOrder>27</b:RefOrder>
  </b:Source>
  <b:Source>
    <b:Tag>Nac23</b:Tag>
    <b:SourceType>InternetSite</b:SourceType>
    <b:Guid>{60A982B1-3A78-4A14-BC08-D521BC6357C9}</b:Guid>
    <b:Author>
      <b:Author>
        <b:Corporate>Nacro</b:Corporate>
      </b:Author>
    </b:Author>
    <b:Title>Nacro</b:Title>
    <b:InternetSiteTitle>Advice for people under MAPPA</b:InternetSiteTitle>
    <b:Year>2023</b:Year>
    <b:URL>https://www.nacro.org.uk/nacro-services/advice/advice-for-individuals/sex-offences-shpo-mappa/advice-for-people-under-mappa/</b:URL>
    <b:RefOrder>28</b:RefOrder>
  </b:Source>
  <b:Source>
    <b:Tag>Haz10</b:Tag>
    <b:SourceType>JournalArticle</b:SourceType>
    <b:Guid>{B7CD4A34-6E7C-4640-8A40-E77B86F24F36}</b:Guid>
    <b:Title>‘The role of risk, needs and strengths assessment in improving the supervision'</b:Title>
    <b:Year>2010</b:Year>
    <b:Author>
      <b:Author>
        <b:NameList>
          <b:Person>
            <b:Last>Kemshall</b:Last>
            <b:First>Hazel</b:First>
          </b:Person>
        </b:NameList>
      </b:Author>
    </b:Author>
    <b:JournalName>Offender Supervision: New directions in theory, research and practice</b:JournalName>
    <b:RefOrder>29</b:RefOrder>
  </b:Source>
  <b:Source>
    <b:Tag>HMI22</b:Tag>
    <b:SourceType>Report</b:SourceType>
    <b:Guid>{F70440E1-465E-4C0D-AECE-243AEF68E814}</b:Guid>
    <b:Author>
      <b:Author>
        <b:Corporate>HM Inspectorate of Probation</b:Corporate>
      </b:Author>
    </b:Author>
    <b:Title>Twenty Years on, is MAPPA Acheiving its Objectives.</b:Title>
    <b:Year>2022</b:Year>
    <b:City>Manchester</b:City>
    <b:Publisher>Her Majesty's Inspectorate of Probation</b:Publisher>
    <b:RefOrder>30</b:RefOrder>
  </b:Source>
  <b:Source>
    <b:Tag>HMI11</b:Tag>
    <b:SourceType>Report</b:SourceType>
    <b:Guid>{AE863AF4-0699-434F-B389-968174D80ACC}</b:Guid>
    <b:Author>
      <b:Author>
        <b:Corporate>HM Inspectorates of Constabulary and Probation</b:Corporate>
      </b:Author>
    </b:Author>
    <b:Title>Putting the pieces together: An inspection of MAPPA </b:Title>
    <b:Year>2011</b:Year>
    <b:Publisher>HM Inspectorates of Constabulary and Probation</b:Publisher>
    <b:City>Manchester</b:City>
    <b:RefOrder>31</b:RefOrder>
  </b:Source>
  <b:Source>
    <b:Tag>HMI15</b:Tag>
    <b:SourceType>Report</b:SourceType>
    <b:Guid>{72D0EA65-FA9E-442F-95BE-D96B21A43948}</b:Guid>
    <b:Author>
      <b:Author>
        <b:Corporate>HM Inspectorates of Constabulary and Probation</b:Corporate>
      </b:Author>
    </b:Author>
    <b:Title>A follow-up inspection of MAPPA</b:Title>
    <b:Year>2015</b:Year>
    <b:Publisher>HM Inspectorates of Constabulary and Probation</b:Publisher>
    <b:City>Manchester</b:City>
    <b:RefOrder>32</b:RefOrder>
  </b:Source>
</b:Sources>
</file>

<file path=customXml/itemProps1.xml><?xml version="1.0" encoding="utf-8"?>
<ds:datastoreItem xmlns:ds="http://schemas.openxmlformats.org/officeDocument/2006/customXml" ds:itemID="{D55CF35A-092A-4BCA-A003-462266119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4028</Words>
  <Characters>22960</Characters>
  <Application>Microsoft Office Word</Application>
  <DocSecurity>0</DocSecurity>
  <Lines>191</Lines>
  <Paragraphs>53</Paragraphs>
  <ScaleCrop>false</ScaleCrop>
  <Company>Gwent Police</Company>
  <LinksUpToDate>false</LinksUpToDate>
  <CharactersWithSpaces>26935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Thoirs, Jayden</dc:creator>
  <cp:keywords/>
  <dc:description/>
  <cp:lastModifiedBy>Thoirs, Jayden</cp:lastModifiedBy>
  <cp:revision>1</cp:revision>
  <dcterms:created xsi:type="dcterms:W3CDTF">2024-01-15T23:37:00Z</dcterms:created>
  <dcterms:modified xsi:type="dcterms:W3CDTF">2024-01-15T23:46:00Z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2024-01-15T23:46:45Z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413537aa-8b1d-497c-abc1-98e0e93c8b3d</vt:lpwstr>
  </property>
  <property fmtid="{D5CDD505-2E9C-101B-9397-08002B2CF9AE}" pid="8" name="MSIP_Label_f2acd28b-79a3-4a0f-b0ff-4b75658b1549_ContentBits">
    <vt:lpwstr>0</vt:lpwstr>
  </property>
</Properties>
</file>