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ACF0A3" w14:textId="77777777" w:rsidR="00DA0C97" w:rsidRDefault="00DA0C97" w:rsidP="00DA0C97">
      <w:r w:rsidRPr="00DA0C97">
        <w:t> </w:t>
      </w:r>
    </w:p>
    <w:p w14:paraId="137F41BC" w14:textId="77777777" w:rsidR="004C06C3" w:rsidRDefault="004C06C3" w:rsidP="00DA0C97"/>
    <w:p w14:paraId="49B438BB" w14:textId="77777777" w:rsidR="004C06C3" w:rsidRDefault="004C06C3" w:rsidP="00DA0C97"/>
    <w:p w14:paraId="4128B3BE" w14:textId="77777777" w:rsidR="004C06C3" w:rsidRDefault="004C06C3" w:rsidP="00DA0C97"/>
    <w:p w14:paraId="5F9D4C41" w14:textId="77777777" w:rsidR="004C06C3" w:rsidRDefault="004C06C3" w:rsidP="00DA0C97"/>
    <w:p w14:paraId="370E7BA5" w14:textId="77777777" w:rsidR="004C06C3" w:rsidRDefault="004C06C3" w:rsidP="00DA0C97"/>
    <w:p w14:paraId="62707F93" w14:textId="77777777" w:rsidR="00775E0F" w:rsidRDefault="00775E0F" w:rsidP="00775E0F">
      <w:pPr>
        <w:spacing w:line="360" w:lineRule="auto"/>
        <w:jc w:val="center"/>
      </w:pPr>
    </w:p>
    <w:p w14:paraId="40B6C83C" w14:textId="77777777" w:rsidR="00775E0F" w:rsidRDefault="00775E0F" w:rsidP="00775E0F">
      <w:pPr>
        <w:spacing w:line="360" w:lineRule="auto"/>
        <w:jc w:val="center"/>
      </w:pPr>
    </w:p>
    <w:p w14:paraId="1504543B" w14:textId="10DB1B66" w:rsidR="004C06C3" w:rsidRPr="00145769" w:rsidRDefault="004C06C3" w:rsidP="00775E0F">
      <w:pPr>
        <w:spacing w:line="360" w:lineRule="auto"/>
        <w:jc w:val="center"/>
        <w:rPr>
          <w:rFonts w:asciiTheme="majorBidi" w:hAnsiTheme="majorBidi" w:cstheme="majorBidi"/>
        </w:rPr>
      </w:pPr>
      <w:r w:rsidRPr="00145769">
        <w:rPr>
          <w:rFonts w:asciiTheme="majorBidi" w:hAnsiTheme="majorBidi" w:cstheme="majorBidi"/>
          <w:b/>
        </w:rPr>
        <w:t>Artificial Intelligence and Risk Management in Multinational Corporations</w:t>
      </w:r>
    </w:p>
    <w:p w14:paraId="62200EE9" w14:textId="4758F1C0" w:rsidR="004C06C3" w:rsidRPr="00145769" w:rsidRDefault="004C06C3" w:rsidP="001C53A3">
      <w:pPr>
        <w:spacing w:line="360" w:lineRule="auto"/>
        <w:jc w:val="center"/>
        <w:rPr>
          <w:rFonts w:asciiTheme="majorBidi" w:hAnsiTheme="majorBidi" w:cstheme="majorBidi"/>
        </w:rPr>
      </w:pPr>
      <w:r w:rsidRPr="00145769">
        <w:rPr>
          <w:rFonts w:asciiTheme="majorBidi" w:hAnsiTheme="majorBidi" w:cstheme="majorBidi"/>
          <w:b/>
        </w:rPr>
        <w:t xml:space="preserve">A Comparative Analysis of Google (Alphabet) in the United Kingdom </w:t>
      </w:r>
      <w:r w:rsidR="001C53A3">
        <w:rPr>
          <w:rFonts w:asciiTheme="majorBidi" w:hAnsiTheme="majorBidi" w:cstheme="majorBidi"/>
          <w:b/>
        </w:rPr>
        <w:t xml:space="preserve">and </w:t>
      </w:r>
      <w:r w:rsidRPr="00145769">
        <w:rPr>
          <w:rFonts w:asciiTheme="majorBidi" w:hAnsiTheme="majorBidi" w:cstheme="majorBidi"/>
          <w:b/>
        </w:rPr>
        <w:t xml:space="preserve">European </w:t>
      </w:r>
      <w:r w:rsidR="001C53A3">
        <w:rPr>
          <w:rFonts w:asciiTheme="majorBidi" w:hAnsiTheme="majorBidi" w:cstheme="majorBidi"/>
          <w:b/>
        </w:rPr>
        <w:t>Union</w:t>
      </w:r>
    </w:p>
    <w:p w14:paraId="02E8DDD2" w14:textId="05E9D430" w:rsidR="004C06C3" w:rsidRPr="00145769" w:rsidRDefault="004C06C3" w:rsidP="004C06C3">
      <w:pPr>
        <w:spacing w:line="360" w:lineRule="auto"/>
        <w:jc w:val="center"/>
        <w:rPr>
          <w:rFonts w:asciiTheme="majorBidi" w:hAnsiTheme="majorBidi" w:cstheme="majorBidi"/>
        </w:rPr>
      </w:pPr>
      <w:r w:rsidRPr="00145769">
        <w:rPr>
          <w:rFonts w:asciiTheme="majorBidi" w:hAnsiTheme="majorBidi" w:cstheme="majorBidi"/>
        </w:rPr>
        <w:t xml:space="preserve">Global </w:t>
      </w:r>
      <w:r w:rsidR="00E57691">
        <w:rPr>
          <w:rFonts w:asciiTheme="majorBidi" w:hAnsiTheme="majorBidi" w:cstheme="majorBidi"/>
        </w:rPr>
        <w:t>Business</w:t>
      </w:r>
      <w:r w:rsidRPr="00145769">
        <w:rPr>
          <w:rFonts w:asciiTheme="majorBidi" w:hAnsiTheme="majorBidi" w:cstheme="majorBidi"/>
        </w:rPr>
        <w:t xml:space="preserve"> Challenges</w:t>
      </w:r>
      <w:r w:rsidR="0016781B">
        <w:rPr>
          <w:rFonts w:asciiTheme="majorBidi" w:hAnsiTheme="majorBidi" w:cstheme="majorBidi"/>
        </w:rPr>
        <w:t xml:space="preserve"> (</w:t>
      </w:r>
      <w:r w:rsidR="001C53A3">
        <w:rPr>
          <w:rFonts w:asciiTheme="majorBidi" w:hAnsiTheme="majorBidi" w:cstheme="majorBidi"/>
        </w:rPr>
        <w:t>BMMB7006)</w:t>
      </w:r>
    </w:p>
    <w:p w14:paraId="3A9282ED"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br w:type="page"/>
      </w:r>
    </w:p>
    <w:p w14:paraId="211403AE" w14:textId="77777777" w:rsidR="00343A30" w:rsidRDefault="00343A30" w:rsidP="004C06C3">
      <w:pPr>
        <w:pStyle w:val="Heading1"/>
        <w:spacing w:line="360" w:lineRule="auto"/>
        <w:jc w:val="both"/>
        <w:rPr>
          <w:rFonts w:asciiTheme="majorBidi" w:hAnsiTheme="majorBidi"/>
          <w:color w:val="auto"/>
          <w:sz w:val="24"/>
          <w:szCs w:val="24"/>
        </w:rPr>
        <w:sectPr w:rsidR="00343A30" w:rsidSect="00343A30">
          <w:footerReference w:type="default" r:id="rId7"/>
          <w:footerReference w:type="first" r:id="rId8"/>
          <w:pgSz w:w="11906" w:h="16838"/>
          <w:pgMar w:top="1440" w:right="1440" w:bottom="1440" w:left="1440" w:header="708" w:footer="708" w:gutter="0"/>
          <w:pgNumType w:start="1"/>
          <w:cols w:space="708"/>
          <w:docGrid w:linePitch="360"/>
        </w:sectPr>
      </w:pPr>
    </w:p>
    <w:p w14:paraId="21B59C70" w14:textId="1B19F2CD" w:rsidR="004C06C3" w:rsidRPr="00145769" w:rsidRDefault="004C06C3" w:rsidP="004C06C3">
      <w:pPr>
        <w:pStyle w:val="Heading1"/>
        <w:spacing w:line="360" w:lineRule="auto"/>
        <w:jc w:val="both"/>
        <w:rPr>
          <w:rFonts w:asciiTheme="majorBidi" w:hAnsiTheme="majorBidi"/>
          <w:color w:val="auto"/>
          <w:sz w:val="24"/>
          <w:szCs w:val="24"/>
        </w:rPr>
      </w:pPr>
      <w:bookmarkStart w:id="0" w:name="_Toc242440440"/>
      <w:r w:rsidRPr="00145769">
        <w:rPr>
          <w:rFonts w:asciiTheme="majorBidi" w:hAnsiTheme="majorBidi"/>
          <w:color w:val="auto"/>
          <w:sz w:val="24"/>
          <w:szCs w:val="24"/>
        </w:rPr>
        <w:lastRenderedPageBreak/>
        <w:t>Executive Summary</w:t>
      </w:r>
      <w:bookmarkEnd w:id="0"/>
    </w:p>
    <w:p w14:paraId="4F3F331A"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This report provides strategy advice to RFD </w:t>
      </w:r>
      <w:proofErr w:type="spellStart"/>
      <w:r w:rsidRPr="00145769">
        <w:rPr>
          <w:rFonts w:asciiTheme="majorBidi" w:hAnsiTheme="majorBidi" w:cstheme="majorBidi"/>
        </w:rPr>
        <w:t>Global's</w:t>
      </w:r>
      <w:proofErr w:type="spellEnd"/>
      <w:r w:rsidRPr="00145769">
        <w:rPr>
          <w:rFonts w:asciiTheme="majorBidi" w:hAnsiTheme="majorBidi" w:cstheme="majorBidi"/>
        </w:rPr>
        <w:t xml:space="preserve"> client, Google (Alphabet Inc), regarding the risk-management strategies if the rate of AI adoption continues to go up in the UK and EU. AI both as a source of competitive value and a source of strategic, operational, ethical, legal and reputational exposure are </w:t>
      </w:r>
      <w:proofErr w:type="gramStart"/>
      <w:r w:rsidRPr="00145769">
        <w:rPr>
          <w:rFonts w:asciiTheme="majorBidi" w:hAnsiTheme="majorBidi" w:cstheme="majorBidi"/>
        </w:rPr>
        <w:t>taken into account</w:t>
      </w:r>
      <w:proofErr w:type="gramEnd"/>
      <w:r w:rsidRPr="00145769">
        <w:rPr>
          <w:rFonts w:asciiTheme="majorBidi" w:hAnsiTheme="majorBidi" w:cstheme="majorBidi"/>
        </w:rPr>
        <w:t xml:space="preserve">. It </w:t>
      </w:r>
      <w:proofErr w:type="gramStart"/>
      <w:r w:rsidRPr="00145769">
        <w:rPr>
          <w:rFonts w:asciiTheme="majorBidi" w:hAnsiTheme="majorBidi" w:cstheme="majorBidi"/>
        </w:rPr>
        <w:t>takes a look</w:t>
      </w:r>
      <w:proofErr w:type="gramEnd"/>
      <w:r w:rsidRPr="00145769">
        <w:rPr>
          <w:rFonts w:asciiTheme="majorBidi" w:hAnsiTheme="majorBidi" w:cstheme="majorBidi"/>
        </w:rPr>
        <w:t xml:space="preserve"> at macroeconomic and international business by looking at enterprise risk management, data governance, moral AI, regulatory compliance and customer trust.</w:t>
      </w:r>
    </w:p>
    <w:p w14:paraId="4698520C"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The analysis reveals that Google's AI risk will not be sufficiently reduced by (mainly) compliance and ethics measures. AI technology relies on intricate data, organisation and ongoing technological shifts. The UK and EU put on other institutional pressures as well. The overall framework of the UK environment is flexible with a regulator-led approach but needs coordination between regulators; EU sets integrated approach with AI Act alongside data and digital-market rules. In recent years, however, there have been interventions in the UK and EU in terms of Google Search which illustrates the intersection between AI and competition, data access and user choice.</w:t>
      </w:r>
    </w:p>
    <w:p w14:paraId="284C36C6" w14:textId="4D4E14A5" w:rsidR="00343A30" w:rsidRDefault="004C06C3" w:rsidP="004C06C3">
      <w:pPr>
        <w:spacing w:line="360" w:lineRule="auto"/>
        <w:jc w:val="both"/>
        <w:rPr>
          <w:rFonts w:asciiTheme="majorBidi" w:hAnsiTheme="majorBidi" w:cstheme="majorBidi"/>
        </w:rPr>
        <w:sectPr w:rsidR="00343A30" w:rsidSect="00343A30">
          <w:pgSz w:w="11906" w:h="16838"/>
          <w:pgMar w:top="1440" w:right="1440" w:bottom="1440" w:left="1440" w:header="708" w:footer="708" w:gutter="0"/>
          <w:pgNumType w:start="1"/>
          <w:cols w:space="708"/>
          <w:titlePg/>
          <w:docGrid w:linePitch="360"/>
        </w:sectPr>
      </w:pPr>
      <w:r w:rsidRPr="00145769">
        <w:rPr>
          <w:rFonts w:asciiTheme="majorBidi" w:hAnsiTheme="majorBidi" w:cstheme="majorBidi"/>
        </w:rPr>
        <w:t>Four Recommendations are proposed. Google needs to put in place an enterprise AI risk-governance architecture, lifecycle data and model assurance, ongoing UK/EU regulatory intelligence and control mapping, and make customer trust a measurable risk outcome. Responsibilities, KPIs and control mechanisms are included in a phased (18-month) plan for implementation. The report concludes that futureproofing doesn't mean that AI needs to be adopted at a slower pace. Rather, Google needs to make responsible governance a way of working across its organisation, and it needs to do this in ways that facilitate innovation and enhance its accountability, resilience and stakes.</w:t>
      </w:r>
      <w:r w:rsidR="00D81646">
        <w:rPr>
          <w:rFonts w:asciiTheme="majorBidi" w:hAnsiTheme="majorBidi" w:cstheme="majorBidi"/>
        </w:rPr>
        <w:t xml:space="preserve">   </w:t>
      </w:r>
      <w:proofErr w:type="spellStart"/>
      <w:r w:rsidR="002C20B8">
        <w:rPr>
          <w:rFonts w:asciiTheme="majorBidi" w:hAnsiTheme="majorBidi" w:cstheme="majorBidi"/>
        </w:rPr>
        <w:t>ssss</w:t>
      </w:r>
      <w:r w:rsidR="00AA547B">
        <w:rPr>
          <w:rFonts w:asciiTheme="majorBidi" w:hAnsiTheme="majorBidi" w:cstheme="majorBidi"/>
        </w:rPr>
        <w:t>ssss</w:t>
      </w:r>
      <w:proofErr w:type="spellEnd"/>
      <w:r w:rsidRPr="00145769">
        <w:rPr>
          <w:rFonts w:asciiTheme="majorBidi" w:hAnsiTheme="majorBidi" w:cstheme="majorBidi"/>
        </w:rPr>
        <w:br w:type="page"/>
      </w:r>
    </w:p>
    <w:p w14:paraId="5C907BE3" w14:textId="77777777" w:rsidR="004C06C3" w:rsidRPr="00145769" w:rsidRDefault="004C06C3" w:rsidP="004C06C3">
      <w:pPr>
        <w:spacing w:line="360" w:lineRule="auto"/>
        <w:jc w:val="both"/>
        <w:rPr>
          <w:rFonts w:asciiTheme="majorBidi" w:hAnsiTheme="majorBidi" w:cstheme="majorBidi"/>
        </w:rPr>
      </w:pPr>
    </w:p>
    <w:sdt>
      <w:sdtPr>
        <w:rPr>
          <w:rFonts w:asciiTheme="majorBidi" w:eastAsiaTheme="minorEastAsia" w:hAnsiTheme="majorBidi" w:cstheme="minorBidi"/>
          <w:b w:val="0"/>
          <w:bCs w:val="0"/>
          <w:color w:val="auto"/>
          <w:kern w:val="2"/>
          <w:sz w:val="24"/>
          <w:szCs w:val="24"/>
          <w:lang w:val="en-GB"/>
          <w14:ligatures w14:val="standardContextual"/>
        </w:rPr>
        <w:id w:val="-1585841805"/>
        <w:docPartObj>
          <w:docPartGallery w:val="Table of Contents"/>
          <w:docPartUnique/>
        </w:docPartObj>
      </w:sdtPr>
      <w:sdtEndPr>
        <w:rPr>
          <w:rFonts w:eastAsiaTheme="minorHAnsi"/>
          <w:noProof/>
        </w:rPr>
      </w:sdtEndPr>
      <w:sdtContent>
        <w:p w14:paraId="2DED9207" w14:textId="77777777" w:rsidR="004C06C3" w:rsidRPr="00145769" w:rsidRDefault="004C06C3" w:rsidP="004C06C3">
          <w:pPr>
            <w:pStyle w:val="TOCHeading"/>
            <w:spacing w:line="360" w:lineRule="auto"/>
            <w:jc w:val="both"/>
            <w:rPr>
              <w:rFonts w:asciiTheme="majorBidi" w:hAnsiTheme="majorBidi"/>
              <w:color w:val="auto"/>
              <w:sz w:val="32"/>
              <w:szCs w:val="32"/>
              <w:lang w:val="en-GB"/>
            </w:rPr>
          </w:pPr>
          <w:r w:rsidRPr="00145769">
            <w:rPr>
              <w:rFonts w:asciiTheme="majorBidi" w:hAnsiTheme="majorBidi"/>
              <w:color w:val="auto"/>
              <w:sz w:val="32"/>
              <w:szCs w:val="32"/>
              <w:lang w:val="en-GB"/>
            </w:rPr>
            <w:t>Contents</w:t>
          </w:r>
        </w:p>
        <w:p w14:paraId="5A34BA47" w14:textId="1AE89CA6" w:rsidR="00D81646" w:rsidRDefault="004C06C3">
          <w:pPr>
            <w:pStyle w:val="TOC1"/>
            <w:tabs>
              <w:tab w:val="right" w:leader="dot" w:pos="9016"/>
            </w:tabs>
            <w:rPr>
              <w:rFonts w:asciiTheme="minorHAnsi" w:hAnsiTheme="minorHAnsi"/>
              <w:noProof/>
              <w:kern w:val="2"/>
              <w:sz w:val="24"/>
              <w:szCs w:val="24"/>
              <w:lang w:val="en-GB" w:eastAsia="en-GB"/>
              <w14:ligatures w14:val="standardContextual"/>
            </w:rPr>
          </w:pPr>
          <w:r w:rsidRPr="00145769">
            <w:rPr>
              <w:rFonts w:asciiTheme="majorBidi" w:hAnsiTheme="majorBidi" w:cstheme="majorBidi"/>
              <w:sz w:val="24"/>
              <w:szCs w:val="24"/>
              <w:lang w:val="en-GB"/>
            </w:rPr>
            <w:fldChar w:fldCharType="begin"/>
          </w:r>
          <w:r w:rsidRPr="00145769">
            <w:rPr>
              <w:rFonts w:asciiTheme="majorBidi" w:hAnsiTheme="majorBidi" w:cstheme="majorBidi"/>
              <w:sz w:val="24"/>
              <w:szCs w:val="24"/>
              <w:lang w:val="en-GB"/>
            </w:rPr>
            <w:instrText xml:space="preserve"> TOC \o "1-3" \h \z \u </w:instrText>
          </w:r>
          <w:r w:rsidRPr="00145769">
            <w:rPr>
              <w:rFonts w:asciiTheme="majorBidi" w:hAnsiTheme="majorBidi" w:cstheme="majorBidi"/>
              <w:sz w:val="24"/>
              <w:szCs w:val="24"/>
              <w:lang w:val="en-GB"/>
            </w:rPr>
            <w:fldChar w:fldCharType="separate"/>
          </w:r>
          <w:hyperlink w:anchor="_Toc242440440" w:history="1">
            <w:r w:rsidR="00D81646" w:rsidRPr="00571A5A">
              <w:rPr>
                <w:rStyle w:val="Hyperlink"/>
                <w:rFonts w:asciiTheme="majorBidi" w:hAnsiTheme="majorBidi"/>
                <w:noProof/>
              </w:rPr>
              <w:t>Executive Summary</w:t>
            </w:r>
            <w:r w:rsidR="00D81646">
              <w:rPr>
                <w:noProof/>
                <w:webHidden/>
              </w:rPr>
              <w:tab/>
            </w:r>
            <w:r w:rsidR="00D81646">
              <w:rPr>
                <w:noProof/>
                <w:webHidden/>
              </w:rPr>
              <w:fldChar w:fldCharType="begin"/>
            </w:r>
            <w:r w:rsidR="00D81646">
              <w:rPr>
                <w:noProof/>
                <w:webHidden/>
              </w:rPr>
              <w:instrText xml:space="preserve"> PAGEREF _Toc242440440 \h </w:instrText>
            </w:r>
            <w:r w:rsidR="00D81646">
              <w:rPr>
                <w:noProof/>
                <w:webHidden/>
              </w:rPr>
            </w:r>
            <w:r w:rsidR="00D81646">
              <w:rPr>
                <w:noProof/>
                <w:webHidden/>
              </w:rPr>
              <w:fldChar w:fldCharType="separate"/>
            </w:r>
            <w:r w:rsidR="00D81646">
              <w:rPr>
                <w:noProof/>
                <w:webHidden/>
              </w:rPr>
              <w:t>1</w:t>
            </w:r>
            <w:r w:rsidR="00D81646">
              <w:rPr>
                <w:noProof/>
                <w:webHidden/>
              </w:rPr>
              <w:fldChar w:fldCharType="end"/>
            </w:r>
          </w:hyperlink>
        </w:p>
        <w:p w14:paraId="33DB2882" w14:textId="4B5AAE5D" w:rsidR="00D81646" w:rsidRDefault="00D81646">
          <w:pPr>
            <w:pStyle w:val="TOC1"/>
            <w:tabs>
              <w:tab w:val="right" w:leader="dot" w:pos="9016"/>
            </w:tabs>
            <w:rPr>
              <w:rFonts w:asciiTheme="minorHAnsi" w:hAnsiTheme="minorHAnsi"/>
              <w:noProof/>
              <w:kern w:val="2"/>
              <w:sz w:val="24"/>
              <w:szCs w:val="24"/>
              <w:lang w:val="en-GB" w:eastAsia="en-GB"/>
              <w14:ligatures w14:val="standardContextual"/>
            </w:rPr>
          </w:pPr>
          <w:hyperlink w:anchor="_Toc242440441" w:history="1">
            <w:r w:rsidRPr="00571A5A">
              <w:rPr>
                <w:rStyle w:val="Hyperlink"/>
                <w:rFonts w:asciiTheme="majorBidi" w:hAnsiTheme="majorBidi"/>
                <w:noProof/>
              </w:rPr>
              <w:t>1. Introduction</w:t>
            </w:r>
            <w:r>
              <w:rPr>
                <w:noProof/>
                <w:webHidden/>
              </w:rPr>
              <w:tab/>
            </w:r>
            <w:r>
              <w:rPr>
                <w:noProof/>
                <w:webHidden/>
              </w:rPr>
              <w:fldChar w:fldCharType="begin"/>
            </w:r>
            <w:r>
              <w:rPr>
                <w:noProof/>
                <w:webHidden/>
              </w:rPr>
              <w:instrText xml:space="preserve"> PAGEREF _Toc242440441 \h </w:instrText>
            </w:r>
            <w:r>
              <w:rPr>
                <w:noProof/>
                <w:webHidden/>
              </w:rPr>
            </w:r>
            <w:r>
              <w:rPr>
                <w:noProof/>
                <w:webHidden/>
              </w:rPr>
              <w:fldChar w:fldCharType="separate"/>
            </w:r>
            <w:r>
              <w:rPr>
                <w:noProof/>
                <w:webHidden/>
              </w:rPr>
              <w:t>2</w:t>
            </w:r>
            <w:r>
              <w:rPr>
                <w:noProof/>
                <w:webHidden/>
              </w:rPr>
              <w:fldChar w:fldCharType="end"/>
            </w:r>
          </w:hyperlink>
        </w:p>
        <w:p w14:paraId="79ADE096" w14:textId="5B7E38E2" w:rsidR="00D81646" w:rsidRDefault="00D81646">
          <w:pPr>
            <w:pStyle w:val="TOC1"/>
            <w:tabs>
              <w:tab w:val="right" w:leader="dot" w:pos="9016"/>
            </w:tabs>
            <w:rPr>
              <w:rFonts w:asciiTheme="minorHAnsi" w:hAnsiTheme="minorHAnsi"/>
              <w:noProof/>
              <w:kern w:val="2"/>
              <w:sz w:val="24"/>
              <w:szCs w:val="24"/>
              <w:lang w:val="en-GB" w:eastAsia="en-GB"/>
              <w14:ligatures w14:val="standardContextual"/>
            </w:rPr>
          </w:pPr>
          <w:hyperlink w:anchor="_Toc242440442" w:history="1">
            <w:r w:rsidRPr="00571A5A">
              <w:rPr>
                <w:rStyle w:val="Hyperlink"/>
                <w:rFonts w:asciiTheme="majorBidi" w:hAnsiTheme="majorBidi"/>
                <w:noProof/>
              </w:rPr>
              <w:t>Main body</w:t>
            </w:r>
            <w:r>
              <w:rPr>
                <w:noProof/>
                <w:webHidden/>
              </w:rPr>
              <w:tab/>
            </w:r>
            <w:r>
              <w:rPr>
                <w:noProof/>
                <w:webHidden/>
              </w:rPr>
              <w:fldChar w:fldCharType="begin"/>
            </w:r>
            <w:r>
              <w:rPr>
                <w:noProof/>
                <w:webHidden/>
              </w:rPr>
              <w:instrText xml:space="preserve"> PAGEREF _Toc242440442 \h </w:instrText>
            </w:r>
            <w:r>
              <w:rPr>
                <w:noProof/>
                <w:webHidden/>
              </w:rPr>
            </w:r>
            <w:r>
              <w:rPr>
                <w:noProof/>
                <w:webHidden/>
              </w:rPr>
              <w:fldChar w:fldCharType="separate"/>
            </w:r>
            <w:r>
              <w:rPr>
                <w:noProof/>
                <w:webHidden/>
              </w:rPr>
              <w:t>4</w:t>
            </w:r>
            <w:r>
              <w:rPr>
                <w:noProof/>
                <w:webHidden/>
              </w:rPr>
              <w:fldChar w:fldCharType="end"/>
            </w:r>
          </w:hyperlink>
        </w:p>
        <w:p w14:paraId="1E8DC0C6" w14:textId="39E1C9E9" w:rsidR="00D81646" w:rsidRDefault="00D81646">
          <w:pPr>
            <w:pStyle w:val="TOC1"/>
            <w:tabs>
              <w:tab w:val="right" w:leader="dot" w:pos="9016"/>
            </w:tabs>
            <w:rPr>
              <w:rFonts w:asciiTheme="minorHAnsi" w:hAnsiTheme="minorHAnsi"/>
              <w:noProof/>
              <w:kern w:val="2"/>
              <w:sz w:val="24"/>
              <w:szCs w:val="24"/>
              <w:lang w:val="en-GB" w:eastAsia="en-GB"/>
              <w14:ligatures w14:val="standardContextual"/>
            </w:rPr>
          </w:pPr>
          <w:hyperlink w:anchor="_Toc242440443" w:history="1">
            <w:r w:rsidRPr="00571A5A">
              <w:rPr>
                <w:rStyle w:val="Hyperlink"/>
                <w:rFonts w:asciiTheme="majorBidi" w:hAnsiTheme="majorBidi"/>
                <w:noProof/>
              </w:rPr>
              <w:t>2. AI and the International Business Environment</w:t>
            </w:r>
            <w:r>
              <w:rPr>
                <w:noProof/>
                <w:webHidden/>
              </w:rPr>
              <w:tab/>
            </w:r>
            <w:r>
              <w:rPr>
                <w:noProof/>
                <w:webHidden/>
              </w:rPr>
              <w:fldChar w:fldCharType="begin"/>
            </w:r>
            <w:r>
              <w:rPr>
                <w:noProof/>
                <w:webHidden/>
              </w:rPr>
              <w:instrText xml:space="preserve"> PAGEREF _Toc242440443 \h </w:instrText>
            </w:r>
            <w:r>
              <w:rPr>
                <w:noProof/>
                <w:webHidden/>
              </w:rPr>
            </w:r>
            <w:r>
              <w:rPr>
                <w:noProof/>
                <w:webHidden/>
              </w:rPr>
              <w:fldChar w:fldCharType="separate"/>
            </w:r>
            <w:r>
              <w:rPr>
                <w:noProof/>
                <w:webHidden/>
              </w:rPr>
              <w:t>4</w:t>
            </w:r>
            <w:r>
              <w:rPr>
                <w:noProof/>
                <w:webHidden/>
              </w:rPr>
              <w:fldChar w:fldCharType="end"/>
            </w:r>
          </w:hyperlink>
        </w:p>
        <w:p w14:paraId="3F291D28" w14:textId="2C0CB96E" w:rsidR="00D81646" w:rsidRDefault="00D81646">
          <w:pPr>
            <w:pStyle w:val="TOC1"/>
            <w:tabs>
              <w:tab w:val="right" w:leader="dot" w:pos="9016"/>
            </w:tabs>
            <w:rPr>
              <w:rFonts w:asciiTheme="minorHAnsi" w:hAnsiTheme="minorHAnsi"/>
              <w:noProof/>
              <w:kern w:val="2"/>
              <w:sz w:val="24"/>
              <w:szCs w:val="24"/>
              <w:lang w:val="en-GB" w:eastAsia="en-GB"/>
              <w14:ligatures w14:val="standardContextual"/>
            </w:rPr>
          </w:pPr>
          <w:hyperlink w:anchor="_Toc242440444" w:history="1">
            <w:r w:rsidRPr="00571A5A">
              <w:rPr>
                <w:rStyle w:val="Hyperlink"/>
                <w:rFonts w:asciiTheme="majorBidi" w:hAnsiTheme="majorBidi"/>
                <w:noProof/>
              </w:rPr>
              <w:t>3. AI and Risk Management at Google</w:t>
            </w:r>
            <w:r>
              <w:rPr>
                <w:noProof/>
                <w:webHidden/>
              </w:rPr>
              <w:tab/>
            </w:r>
            <w:r>
              <w:rPr>
                <w:noProof/>
                <w:webHidden/>
              </w:rPr>
              <w:fldChar w:fldCharType="begin"/>
            </w:r>
            <w:r>
              <w:rPr>
                <w:noProof/>
                <w:webHidden/>
              </w:rPr>
              <w:instrText xml:space="preserve"> PAGEREF _Toc242440444 \h </w:instrText>
            </w:r>
            <w:r>
              <w:rPr>
                <w:noProof/>
                <w:webHidden/>
              </w:rPr>
            </w:r>
            <w:r>
              <w:rPr>
                <w:noProof/>
                <w:webHidden/>
              </w:rPr>
              <w:fldChar w:fldCharType="separate"/>
            </w:r>
            <w:r>
              <w:rPr>
                <w:noProof/>
                <w:webHidden/>
              </w:rPr>
              <w:t>6</w:t>
            </w:r>
            <w:r>
              <w:rPr>
                <w:noProof/>
                <w:webHidden/>
              </w:rPr>
              <w:fldChar w:fldCharType="end"/>
            </w:r>
          </w:hyperlink>
        </w:p>
        <w:p w14:paraId="27506E56" w14:textId="4D6BD587" w:rsidR="00D81646" w:rsidRDefault="00D81646">
          <w:pPr>
            <w:pStyle w:val="TOC1"/>
            <w:tabs>
              <w:tab w:val="right" w:leader="dot" w:pos="9016"/>
            </w:tabs>
            <w:rPr>
              <w:rFonts w:asciiTheme="minorHAnsi" w:hAnsiTheme="minorHAnsi"/>
              <w:noProof/>
              <w:kern w:val="2"/>
              <w:sz w:val="24"/>
              <w:szCs w:val="24"/>
              <w:lang w:val="en-GB" w:eastAsia="en-GB"/>
              <w14:ligatures w14:val="standardContextual"/>
            </w:rPr>
          </w:pPr>
          <w:hyperlink w:anchor="_Toc242440445" w:history="1">
            <w:r w:rsidRPr="00571A5A">
              <w:rPr>
                <w:rStyle w:val="Hyperlink"/>
                <w:rFonts w:asciiTheme="majorBidi" w:hAnsiTheme="majorBidi"/>
                <w:noProof/>
              </w:rPr>
              <w:t>4. Data Governance and Ethical AI</w:t>
            </w:r>
            <w:r>
              <w:rPr>
                <w:noProof/>
                <w:webHidden/>
              </w:rPr>
              <w:tab/>
            </w:r>
            <w:r>
              <w:rPr>
                <w:noProof/>
                <w:webHidden/>
              </w:rPr>
              <w:fldChar w:fldCharType="begin"/>
            </w:r>
            <w:r>
              <w:rPr>
                <w:noProof/>
                <w:webHidden/>
              </w:rPr>
              <w:instrText xml:space="preserve"> PAGEREF _Toc242440445 \h </w:instrText>
            </w:r>
            <w:r>
              <w:rPr>
                <w:noProof/>
                <w:webHidden/>
              </w:rPr>
            </w:r>
            <w:r>
              <w:rPr>
                <w:noProof/>
                <w:webHidden/>
              </w:rPr>
              <w:fldChar w:fldCharType="separate"/>
            </w:r>
            <w:r>
              <w:rPr>
                <w:noProof/>
                <w:webHidden/>
              </w:rPr>
              <w:t>10</w:t>
            </w:r>
            <w:r>
              <w:rPr>
                <w:noProof/>
                <w:webHidden/>
              </w:rPr>
              <w:fldChar w:fldCharType="end"/>
            </w:r>
          </w:hyperlink>
        </w:p>
        <w:p w14:paraId="53A594CF" w14:textId="32329876" w:rsidR="00D81646" w:rsidRDefault="00D81646">
          <w:pPr>
            <w:pStyle w:val="TOC1"/>
            <w:tabs>
              <w:tab w:val="right" w:leader="dot" w:pos="9016"/>
            </w:tabs>
            <w:rPr>
              <w:rFonts w:asciiTheme="minorHAnsi" w:hAnsiTheme="minorHAnsi"/>
              <w:noProof/>
              <w:kern w:val="2"/>
              <w:sz w:val="24"/>
              <w:szCs w:val="24"/>
              <w:lang w:val="en-GB" w:eastAsia="en-GB"/>
              <w14:ligatures w14:val="standardContextual"/>
            </w:rPr>
          </w:pPr>
          <w:hyperlink w:anchor="_Toc242440446" w:history="1">
            <w:r w:rsidRPr="00571A5A">
              <w:rPr>
                <w:rStyle w:val="Hyperlink"/>
                <w:rFonts w:asciiTheme="majorBidi" w:hAnsiTheme="majorBidi"/>
                <w:noProof/>
              </w:rPr>
              <w:t>5. Comparative Regulatory Analysis: UK and EU</w:t>
            </w:r>
            <w:r>
              <w:rPr>
                <w:noProof/>
                <w:webHidden/>
              </w:rPr>
              <w:tab/>
            </w:r>
            <w:r>
              <w:rPr>
                <w:noProof/>
                <w:webHidden/>
              </w:rPr>
              <w:fldChar w:fldCharType="begin"/>
            </w:r>
            <w:r>
              <w:rPr>
                <w:noProof/>
                <w:webHidden/>
              </w:rPr>
              <w:instrText xml:space="preserve"> PAGEREF _Toc242440446 \h </w:instrText>
            </w:r>
            <w:r>
              <w:rPr>
                <w:noProof/>
                <w:webHidden/>
              </w:rPr>
            </w:r>
            <w:r>
              <w:rPr>
                <w:noProof/>
                <w:webHidden/>
              </w:rPr>
              <w:fldChar w:fldCharType="separate"/>
            </w:r>
            <w:r>
              <w:rPr>
                <w:noProof/>
                <w:webHidden/>
              </w:rPr>
              <w:t>13</w:t>
            </w:r>
            <w:r>
              <w:rPr>
                <w:noProof/>
                <w:webHidden/>
              </w:rPr>
              <w:fldChar w:fldCharType="end"/>
            </w:r>
          </w:hyperlink>
        </w:p>
        <w:p w14:paraId="124AB28D" w14:textId="282FFF23" w:rsidR="00D81646" w:rsidRDefault="00D81646">
          <w:pPr>
            <w:pStyle w:val="TOC1"/>
            <w:tabs>
              <w:tab w:val="right" w:leader="dot" w:pos="9016"/>
            </w:tabs>
            <w:rPr>
              <w:rFonts w:asciiTheme="minorHAnsi" w:hAnsiTheme="minorHAnsi"/>
              <w:noProof/>
              <w:kern w:val="2"/>
              <w:sz w:val="24"/>
              <w:szCs w:val="24"/>
              <w:lang w:val="en-GB" w:eastAsia="en-GB"/>
              <w14:ligatures w14:val="standardContextual"/>
            </w:rPr>
          </w:pPr>
          <w:hyperlink w:anchor="_Toc242440447" w:history="1">
            <w:r w:rsidRPr="00571A5A">
              <w:rPr>
                <w:rStyle w:val="Hyperlink"/>
                <w:rFonts w:asciiTheme="majorBidi" w:hAnsiTheme="majorBidi"/>
                <w:noProof/>
              </w:rPr>
              <w:t>6. Customer Trust and Competitive Advantage</w:t>
            </w:r>
            <w:r>
              <w:rPr>
                <w:noProof/>
                <w:webHidden/>
              </w:rPr>
              <w:tab/>
            </w:r>
            <w:r>
              <w:rPr>
                <w:noProof/>
                <w:webHidden/>
              </w:rPr>
              <w:fldChar w:fldCharType="begin"/>
            </w:r>
            <w:r>
              <w:rPr>
                <w:noProof/>
                <w:webHidden/>
              </w:rPr>
              <w:instrText xml:space="preserve"> PAGEREF _Toc242440447 \h </w:instrText>
            </w:r>
            <w:r>
              <w:rPr>
                <w:noProof/>
                <w:webHidden/>
              </w:rPr>
            </w:r>
            <w:r>
              <w:rPr>
                <w:noProof/>
                <w:webHidden/>
              </w:rPr>
              <w:fldChar w:fldCharType="separate"/>
            </w:r>
            <w:r>
              <w:rPr>
                <w:noProof/>
                <w:webHidden/>
              </w:rPr>
              <w:t>17</w:t>
            </w:r>
            <w:r>
              <w:rPr>
                <w:noProof/>
                <w:webHidden/>
              </w:rPr>
              <w:fldChar w:fldCharType="end"/>
            </w:r>
          </w:hyperlink>
        </w:p>
        <w:p w14:paraId="56B08D88" w14:textId="5A9F31A4" w:rsidR="00D81646" w:rsidRDefault="00D81646">
          <w:pPr>
            <w:pStyle w:val="TOC1"/>
            <w:tabs>
              <w:tab w:val="right" w:leader="dot" w:pos="9016"/>
            </w:tabs>
            <w:rPr>
              <w:rFonts w:asciiTheme="minorHAnsi" w:hAnsiTheme="minorHAnsi"/>
              <w:noProof/>
              <w:kern w:val="2"/>
              <w:sz w:val="24"/>
              <w:szCs w:val="24"/>
              <w:lang w:val="en-GB" w:eastAsia="en-GB"/>
              <w14:ligatures w14:val="standardContextual"/>
            </w:rPr>
          </w:pPr>
          <w:hyperlink w:anchor="_Toc242440448" w:history="1">
            <w:r w:rsidRPr="00571A5A">
              <w:rPr>
                <w:rStyle w:val="Hyperlink"/>
                <w:rFonts w:asciiTheme="majorBidi" w:hAnsiTheme="majorBidi"/>
                <w:noProof/>
              </w:rPr>
              <w:t>7. Strategic Recommendations</w:t>
            </w:r>
            <w:r>
              <w:rPr>
                <w:noProof/>
                <w:webHidden/>
              </w:rPr>
              <w:tab/>
            </w:r>
            <w:r>
              <w:rPr>
                <w:noProof/>
                <w:webHidden/>
              </w:rPr>
              <w:fldChar w:fldCharType="begin"/>
            </w:r>
            <w:r>
              <w:rPr>
                <w:noProof/>
                <w:webHidden/>
              </w:rPr>
              <w:instrText xml:space="preserve"> PAGEREF _Toc242440448 \h </w:instrText>
            </w:r>
            <w:r>
              <w:rPr>
                <w:noProof/>
                <w:webHidden/>
              </w:rPr>
            </w:r>
            <w:r>
              <w:rPr>
                <w:noProof/>
                <w:webHidden/>
              </w:rPr>
              <w:fldChar w:fldCharType="separate"/>
            </w:r>
            <w:r>
              <w:rPr>
                <w:noProof/>
                <w:webHidden/>
              </w:rPr>
              <w:t>19</w:t>
            </w:r>
            <w:r>
              <w:rPr>
                <w:noProof/>
                <w:webHidden/>
              </w:rPr>
              <w:fldChar w:fldCharType="end"/>
            </w:r>
          </w:hyperlink>
        </w:p>
        <w:p w14:paraId="4E329118" w14:textId="4524947D" w:rsidR="00D81646" w:rsidRDefault="00D81646">
          <w:pPr>
            <w:pStyle w:val="TOC1"/>
            <w:tabs>
              <w:tab w:val="right" w:leader="dot" w:pos="9016"/>
            </w:tabs>
            <w:rPr>
              <w:rFonts w:asciiTheme="minorHAnsi" w:hAnsiTheme="minorHAnsi"/>
              <w:noProof/>
              <w:kern w:val="2"/>
              <w:sz w:val="24"/>
              <w:szCs w:val="24"/>
              <w:lang w:val="en-GB" w:eastAsia="en-GB"/>
              <w14:ligatures w14:val="standardContextual"/>
            </w:rPr>
          </w:pPr>
          <w:hyperlink w:anchor="_Toc242440449" w:history="1">
            <w:r w:rsidRPr="00571A5A">
              <w:rPr>
                <w:rStyle w:val="Hyperlink"/>
                <w:rFonts w:asciiTheme="majorBidi" w:hAnsiTheme="majorBidi"/>
                <w:noProof/>
              </w:rPr>
              <w:t>8. Detailed Implementation Plan</w:t>
            </w:r>
            <w:r>
              <w:rPr>
                <w:noProof/>
                <w:webHidden/>
              </w:rPr>
              <w:tab/>
            </w:r>
            <w:r>
              <w:rPr>
                <w:noProof/>
                <w:webHidden/>
              </w:rPr>
              <w:fldChar w:fldCharType="begin"/>
            </w:r>
            <w:r>
              <w:rPr>
                <w:noProof/>
                <w:webHidden/>
              </w:rPr>
              <w:instrText xml:space="preserve"> PAGEREF _Toc242440449 \h </w:instrText>
            </w:r>
            <w:r>
              <w:rPr>
                <w:noProof/>
                <w:webHidden/>
              </w:rPr>
            </w:r>
            <w:r>
              <w:rPr>
                <w:noProof/>
                <w:webHidden/>
              </w:rPr>
              <w:fldChar w:fldCharType="separate"/>
            </w:r>
            <w:r>
              <w:rPr>
                <w:noProof/>
                <w:webHidden/>
              </w:rPr>
              <w:t>20</w:t>
            </w:r>
            <w:r>
              <w:rPr>
                <w:noProof/>
                <w:webHidden/>
              </w:rPr>
              <w:fldChar w:fldCharType="end"/>
            </w:r>
          </w:hyperlink>
        </w:p>
        <w:p w14:paraId="04F514C6" w14:textId="5CB53D67" w:rsidR="00D81646" w:rsidRDefault="00D81646">
          <w:pPr>
            <w:pStyle w:val="TOC1"/>
            <w:tabs>
              <w:tab w:val="right" w:leader="dot" w:pos="9016"/>
            </w:tabs>
            <w:rPr>
              <w:rFonts w:asciiTheme="minorHAnsi" w:hAnsiTheme="minorHAnsi"/>
              <w:noProof/>
              <w:kern w:val="2"/>
              <w:sz w:val="24"/>
              <w:szCs w:val="24"/>
              <w:lang w:val="en-GB" w:eastAsia="en-GB"/>
              <w14:ligatures w14:val="standardContextual"/>
            </w:rPr>
          </w:pPr>
          <w:hyperlink w:anchor="_Toc242440450" w:history="1">
            <w:r w:rsidRPr="00571A5A">
              <w:rPr>
                <w:rStyle w:val="Hyperlink"/>
                <w:rFonts w:asciiTheme="majorBidi" w:hAnsiTheme="majorBidi"/>
                <w:noProof/>
              </w:rPr>
              <w:t>9. Conclusion</w:t>
            </w:r>
            <w:r>
              <w:rPr>
                <w:noProof/>
                <w:webHidden/>
              </w:rPr>
              <w:tab/>
            </w:r>
            <w:r>
              <w:rPr>
                <w:noProof/>
                <w:webHidden/>
              </w:rPr>
              <w:fldChar w:fldCharType="begin"/>
            </w:r>
            <w:r>
              <w:rPr>
                <w:noProof/>
                <w:webHidden/>
              </w:rPr>
              <w:instrText xml:space="preserve"> PAGEREF _Toc242440450 \h </w:instrText>
            </w:r>
            <w:r>
              <w:rPr>
                <w:noProof/>
                <w:webHidden/>
              </w:rPr>
            </w:r>
            <w:r>
              <w:rPr>
                <w:noProof/>
                <w:webHidden/>
              </w:rPr>
              <w:fldChar w:fldCharType="separate"/>
            </w:r>
            <w:r>
              <w:rPr>
                <w:noProof/>
                <w:webHidden/>
              </w:rPr>
              <w:t>22</w:t>
            </w:r>
            <w:r>
              <w:rPr>
                <w:noProof/>
                <w:webHidden/>
              </w:rPr>
              <w:fldChar w:fldCharType="end"/>
            </w:r>
          </w:hyperlink>
        </w:p>
        <w:p w14:paraId="492A953E" w14:textId="45BF3AA9" w:rsidR="00D81646" w:rsidRDefault="00D81646">
          <w:pPr>
            <w:pStyle w:val="TOC1"/>
            <w:tabs>
              <w:tab w:val="right" w:leader="dot" w:pos="9016"/>
            </w:tabs>
            <w:rPr>
              <w:rFonts w:asciiTheme="minorHAnsi" w:hAnsiTheme="minorHAnsi"/>
              <w:noProof/>
              <w:kern w:val="2"/>
              <w:sz w:val="24"/>
              <w:szCs w:val="24"/>
              <w:lang w:val="en-GB" w:eastAsia="en-GB"/>
              <w14:ligatures w14:val="standardContextual"/>
            </w:rPr>
          </w:pPr>
          <w:hyperlink w:anchor="_Toc242440451" w:history="1">
            <w:r w:rsidRPr="00571A5A">
              <w:rPr>
                <w:rStyle w:val="Hyperlink"/>
                <w:rFonts w:asciiTheme="majorBidi" w:hAnsiTheme="majorBidi"/>
                <w:noProof/>
              </w:rPr>
              <w:t>References</w:t>
            </w:r>
            <w:r>
              <w:rPr>
                <w:noProof/>
                <w:webHidden/>
              </w:rPr>
              <w:tab/>
            </w:r>
            <w:r>
              <w:rPr>
                <w:noProof/>
                <w:webHidden/>
              </w:rPr>
              <w:fldChar w:fldCharType="begin"/>
            </w:r>
            <w:r>
              <w:rPr>
                <w:noProof/>
                <w:webHidden/>
              </w:rPr>
              <w:instrText xml:space="preserve"> PAGEREF _Toc242440451 \h </w:instrText>
            </w:r>
            <w:r>
              <w:rPr>
                <w:noProof/>
                <w:webHidden/>
              </w:rPr>
            </w:r>
            <w:r>
              <w:rPr>
                <w:noProof/>
                <w:webHidden/>
              </w:rPr>
              <w:fldChar w:fldCharType="separate"/>
            </w:r>
            <w:r>
              <w:rPr>
                <w:noProof/>
                <w:webHidden/>
              </w:rPr>
              <w:t>23</w:t>
            </w:r>
            <w:r>
              <w:rPr>
                <w:noProof/>
                <w:webHidden/>
              </w:rPr>
              <w:fldChar w:fldCharType="end"/>
            </w:r>
          </w:hyperlink>
        </w:p>
        <w:p w14:paraId="01AC56E6" w14:textId="5B1FA0E1" w:rsidR="00D81646" w:rsidRDefault="00D81646">
          <w:pPr>
            <w:pStyle w:val="TOC1"/>
            <w:tabs>
              <w:tab w:val="right" w:leader="dot" w:pos="9016"/>
            </w:tabs>
            <w:rPr>
              <w:rFonts w:asciiTheme="minorHAnsi" w:hAnsiTheme="minorHAnsi"/>
              <w:noProof/>
              <w:kern w:val="2"/>
              <w:sz w:val="24"/>
              <w:szCs w:val="24"/>
              <w:lang w:val="en-GB" w:eastAsia="en-GB"/>
              <w14:ligatures w14:val="standardContextual"/>
            </w:rPr>
          </w:pPr>
          <w:hyperlink w:anchor="_Toc242440452" w:history="1">
            <w:r w:rsidRPr="00571A5A">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_Toc242440452 \h </w:instrText>
            </w:r>
            <w:r>
              <w:rPr>
                <w:noProof/>
                <w:webHidden/>
              </w:rPr>
            </w:r>
            <w:r>
              <w:rPr>
                <w:noProof/>
                <w:webHidden/>
              </w:rPr>
              <w:fldChar w:fldCharType="separate"/>
            </w:r>
            <w:r>
              <w:rPr>
                <w:noProof/>
                <w:webHidden/>
              </w:rPr>
              <w:t>32</w:t>
            </w:r>
            <w:r>
              <w:rPr>
                <w:noProof/>
                <w:webHidden/>
              </w:rPr>
              <w:fldChar w:fldCharType="end"/>
            </w:r>
          </w:hyperlink>
        </w:p>
        <w:p w14:paraId="4B8E7432" w14:textId="2BB5F35A" w:rsidR="00D81646" w:rsidRDefault="00D81646">
          <w:pPr>
            <w:pStyle w:val="TOC2"/>
            <w:tabs>
              <w:tab w:val="right" w:leader="dot" w:pos="9016"/>
            </w:tabs>
            <w:rPr>
              <w:rFonts w:asciiTheme="minorHAnsi" w:hAnsiTheme="minorHAnsi"/>
              <w:noProof/>
              <w:kern w:val="2"/>
              <w:sz w:val="24"/>
              <w:szCs w:val="24"/>
              <w:lang w:val="en-GB" w:eastAsia="en-GB"/>
              <w14:ligatures w14:val="standardContextual"/>
            </w:rPr>
          </w:pPr>
          <w:hyperlink w:anchor="_Toc242440453" w:history="1">
            <w:r w:rsidRPr="00571A5A">
              <w:rPr>
                <w:rStyle w:val="Hyperlink"/>
                <w:rFonts w:asciiTheme="majorBidi" w:hAnsiTheme="majorBidi"/>
                <w:noProof/>
              </w:rPr>
              <w:t>Appendix A: UK–EU AI Risk and Regulatory Comparison</w:t>
            </w:r>
            <w:r>
              <w:rPr>
                <w:noProof/>
                <w:webHidden/>
              </w:rPr>
              <w:tab/>
            </w:r>
            <w:r>
              <w:rPr>
                <w:noProof/>
                <w:webHidden/>
              </w:rPr>
              <w:fldChar w:fldCharType="begin"/>
            </w:r>
            <w:r>
              <w:rPr>
                <w:noProof/>
                <w:webHidden/>
              </w:rPr>
              <w:instrText xml:space="preserve"> PAGEREF _Toc242440453 \h </w:instrText>
            </w:r>
            <w:r>
              <w:rPr>
                <w:noProof/>
                <w:webHidden/>
              </w:rPr>
            </w:r>
            <w:r>
              <w:rPr>
                <w:noProof/>
                <w:webHidden/>
              </w:rPr>
              <w:fldChar w:fldCharType="separate"/>
            </w:r>
            <w:r>
              <w:rPr>
                <w:noProof/>
                <w:webHidden/>
              </w:rPr>
              <w:t>32</w:t>
            </w:r>
            <w:r>
              <w:rPr>
                <w:noProof/>
                <w:webHidden/>
              </w:rPr>
              <w:fldChar w:fldCharType="end"/>
            </w:r>
          </w:hyperlink>
        </w:p>
        <w:p w14:paraId="330C7650" w14:textId="4AD41AD4" w:rsidR="00D81646" w:rsidRDefault="00D81646">
          <w:pPr>
            <w:pStyle w:val="TOC2"/>
            <w:tabs>
              <w:tab w:val="right" w:leader="dot" w:pos="9016"/>
            </w:tabs>
            <w:rPr>
              <w:rFonts w:asciiTheme="minorHAnsi" w:hAnsiTheme="minorHAnsi"/>
              <w:noProof/>
              <w:kern w:val="2"/>
              <w:sz w:val="24"/>
              <w:szCs w:val="24"/>
              <w:lang w:val="en-GB" w:eastAsia="en-GB"/>
              <w14:ligatures w14:val="standardContextual"/>
            </w:rPr>
          </w:pPr>
          <w:hyperlink w:anchor="_Toc242440454" w:history="1">
            <w:r w:rsidRPr="00571A5A">
              <w:rPr>
                <w:rStyle w:val="Hyperlink"/>
                <w:rFonts w:asciiTheme="majorBidi" w:hAnsiTheme="majorBidi"/>
                <w:noProof/>
              </w:rPr>
              <w:t>Appendix B: AI Risk Register for Google</w:t>
            </w:r>
            <w:r>
              <w:rPr>
                <w:noProof/>
                <w:webHidden/>
              </w:rPr>
              <w:tab/>
            </w:r>
            <w:r>
              <w:rPr>
                <w:noProof/>
                <w:webHidden/>
              </w:rPr>
              <w:fldChar w:fldCharType="begin"/>
            </w:r>
            <w:r>
              <w:rPr>
                <w:noProof/>
                <w:webHidden/>
              </w:rPr>
              <w:instrText xml:space="preserve"> PAGEREF _Toc242440454 \h </w:instrText>
            </w:r>
            <w:r>
              <w:rPr>
                <w:noProof/>
                <w:webHidden/>
              </w:rPr>
            </w:r>
            <w:r>
              <w:rPr>
                <w:noProof/>
                <w:webHidden/>
              </w:rPr>
              <w:fldChar w:fldCharType="separate"/>
            </w:r>
            <w:r>
              <w:rPr>
                <w:noProof/>
                <w:webHidden/>
              </w:rPr>
              <w:t>32</w:t>
            </w:r>
            <w:r>
              <w:rPr>
                <w:noProof/>
                <w:webHidden/>
              </w:rPr>
              <w:fldChar w:fldCharType="end"/>
            </w:r>
          </w:hyperlink>
        </w:p>
        <w:p w14:paraId="215ADE10" w14:textId="0023A4DF" w:rsidR="004C06C3" w:rsidRDefault="004C06C3" w:rsidP="004C06C3">
          <w:pPr>
            <w:spacing w:line="360" w:lineRule="auto"/>
            <w:jc w:val="both"/>
            <w:rPr>
              <w:noProof/>
            </w:rPr>
          </w:pPr>
          <w:r w:rsidRPr="00145769">
            <w:rPr>
              <w:rFonts w:asciiTheme="majorBidi" w:hAnsiTheme="majorBidi" w:cstheme="majorBidi"/>
              <w:b/>
              <w:bCs/>
              <w:noProof/>
            </w:rPr>
            <w:fldChar w:fldCharType="end"/>
          </w:r>
          <w:r>
            <w:rPr>
              <w:rFonts w:asciiTheme="majorBidi" w:hAnsiTheme="majorBidi" w:cstheme="majorBidi"/>
              <w:b/>
              <w:bCs/>
              <w:noProof/>
            </w:rPr>
            <w:fldChar w:fldCharType="begin"/>
          </w:r>
          <w:r>
            <w:rPr>
              <w:rFonts w:asciiTheme="majorBidi" w:hAnsiTheme="majorBidi" w:cstheme="majorBidi"/>
              <w:b/>
              <w:bCs/>
              <w:noProof/>
            </w:rPr>
            <w:instrText xml:space="preserve"> TOC \h \z \c "Table" </w:instrText>
          </w:r>
          <w:r>
            <w:rPr>
              <w:rFonts w:asciiTheme="majorBidi" w:hAnsiTheme="majorBidi" w:cstheme="majorBidi"/>
              <w:b/>
              <w:bCs/>
              <w:noProof/>
            </w:rPr>
            <w:fldChar w:fldCharType="separate"/>
          </w:r>
        </w:p>
        <w:p w14:paraId="3605CF2D" w14:textId="77777777" w:rsidR="004C06C3" w:rsidRDefault="004C06C3" w:rsidP="004C06C3">
          <w:pPr>
            <w:pStyle w:val="TableofFigures"/>
            <w:tabs>
              <w:tab w:val="right" w:leader="dot" w:pos="9782"/>
            </w:tabs>
            <w:rPr>
              <w:noProof/>
            </w:rPr>
          </w:pPr>
          <w:hyperlink w:anchor="_Toc241957309" w:history="1">
            <w:r w:rsidRPr="00A94E09">
              <w:rPr>
                <w:rStyle w:val="Hyperlink"/>
                <w:noProof/>
              </w:rPr>
              <w:t>Table 1 International business environment: external developments and management implications for Google.</w:t>
            </w:r>
            <w:r>
              <w:rPr>
                <w:noProof/>
                <w:webHidden/>
              </w:rPr>
              <w:tab/>
            </w:r>
            <w:r>
              <w:rPr>
                <w:noProof/>
                <w:webHidden/>
              </w:rPr>
              <w:fldChar w:fldCharType="begin"/>
            </w:r>
            <w:r>
              <w:rPr>
                <w:noProof/>
                <w:webHidden/>
              </w:rPr>
              <w:instrText xml:space="preserve"> PAGEREF _Toc241957309 \h </w:instrText>
            </w:r>
            <w:r>
              <w:rPr>
                <w:noProof/>
                <w:webHidden/>
              </w:rPr>
            </w:r>
            <w:r>
              <w:rPr>
                <w:noProof/>
                <w:webHidden/>
              </w:rPr>
              <w:fldChar w:fldCharType="separate"/>
            </w:r>
            <w:r>
              <w:rPr>
                <w:noProof/>
                <w:webHidden/>
              </w:rPr>
              <w:t>7</w:t>
            </w:r>
            <w:r>
              <w:rPr>
                <w:noProof/>
                <w:webHidden/>
              </w:rPr>
              <w:fldChar w:fldCharType="end"/>
            </w:r>
          </w:hyperlink>
        </w:p>
        <w:p w14:paraId="17E9B024" w14:textId="77777777" w:rsidR="004C06C3" w:rsidRDefault="004C06C3" w:rsidP="004C06C3">
          <w:pPr>
            <w:pStyle w:val="TableofFigures"/>
            <w:tabs>
              <w:tab w:val="right" w:leader="dot" w:pos="9782"/>
            </w:tabs>
            <w:rPr>
              <w:noProof/>
            </w:rPr>
          </w:pPr>
          <w:hyperlink w:anchor="_Toc241957310" w:history="1">
            <w:r w:rsidRPr="00A94E09">
              <w:rPr>
                <w:rStyle w:val="Hyperlink"/>
                <w:noProof/>
              </w:rPr>
              <w:t>Table 2 AI-related risk register: exposure, consequence and management response.</w:t>
            </w:r>
            <w:r>
              <w:rPr>
                <w:noProof/>
                <w:webHidden/>
              </w:rPr>
              <w:tab/>
            </w:r>
            <w:r>
              <w:rPr>
                <w:noProof/>
                <w:webHidden/>
              </w:rPr>
              <w:fldChar w:fldCharType="begin"/>
            </w:r>
            <w:r>
              <w:rPr>
                <w:noProof/>
                <w:webHidden/>
              </w:rPr>
              <w:instrText xml:space="preserve"> PAGEREF _Toc241957310 \h </w:instrText>
            </w:r>
            <w:r>
              <w:rPr>
                <w:noProof/>
                <w:webHidden/>
              </w:rPr>
            </w:r>
            <w:r>
              <w:rPr>
                <w:noProof/>
                <w:webHidden/>
              </w:rPr>
              <w:fldChar w:fldCharType="separate"/>
            </w:r>
            <w:r>
              <w:rPr>
                <w:noProof/>
                <w:webHidden/>
              </w:rPr>
              <w:t>10</w:t>
            </w:r>
            <w:r>
              <w:rPr>
                <w:noProof/>
                <w:webHidden/>
              </w:rPr>
              <w:fldChar w:fldCharType="end"/>
            </w:r>
          </w:hyperlink>
        </w:p>
        <w:p w14:paraId="7B1710CB" w14:textId="77777777" w:rsidR="004C06C3" w:rsidRDefault="004C06C3" w:rsidP="004C06C3">
          <w:pPr>
            <w:pStyle w:val="TableofFigures"/>
            <w:tabs>
              <w:tab w:val="right" w:leader="dot" w:pos="9782"/>
            </w:tabs>
            <w:rPr>
              <w:noProof/>
            </w:rPr>
          </w:pPr>
          <w:hyperlink w:anchor="_Toc241957311" w:history="1">
            <w:r w:rsidRPr="00A94E09">
              <w:rPr>
                <w:rStyle w:val="Hyperlink"/>
                <w:noProof/>
              </w:rPr>
              <w:t>Table 3 Data governance and ethical AI controls: questions, mechanisms and analytical implications.</w:t>
            </w:r>
            <w:r>
              <w:rPr>
                <w:noProof/>
                <w:webHidden/>
              </w:rPr>
              <w:tab/>
            </w:r>
            <w:r>
              <w:rPr>
                <w:noProof/>
                <w:webHidden/>
              </w:rPr>
              <w:fldChar w:fldCharType="begin"/>
            </w:r>
            <w:r>
              <w:rPr>
                <w:noProof/>
                <w:webHidden/>
              </w:rPr>
              <w:instrText xml:space="preserve"> PAGEREF _Toc241957311 \h </w:instrText>
            </w:r>
            <w:r>
              <w:rPr>
                <w:noProof/>
                <w:webHidden/>
              </w:rPr>
            </w:r>
            <w:r>
              <w:rPr>
                <w:noProof/>
                <w:webHidden/>
              </w:rPr>
              <w:fldChar w:fldCharType="separate"/>
            </w:r>
            <w:r>
              <w:rPr>
                <w:noProof/>
                <w:webHidden/>
              </w:rPr>
              <w:t>13</w:t>
            </w:r>
            <w:r>
              <w:rPr>
                <w:noProof/>
                <w:webHidden/>
              </w:rPr>
              <w:fldChar w:fldCharType="end"/>
            </w:r>
          </w:hyperlink>
        </w:p>
        <w:p w14:paraId="3EEC3308" w14:textId="77777777" w:rsidR="004C06C3" w:rsidRDefault="004C06C3" w:rsidP="004C06C3">
          <w:pPr>
            <w:pStyle w:val="TableofFigures"/>
            <w:tabs>
              <w:tab w:val="right" w:leader="dot" w:pos="9782"/>
            </w:tabs>
            <w:rPr>
              <w:noProof/>
            </w:rPr>
          </w:pPr>
          <w:hyperlink w:anchor="_Toc241957312" w:history="1">
            <w:r w:rsidRPr="00A94E09">
              <w:rPr>
                <w:rStyle w:val="Hyperlink"/>
                <w:noProof/>
              </w:rPr>
              <w:t>Table 4 UK–EU regulatory comparison: institutional differences and implications for Google.</w:t>
            </w:r>
            <w:r>
              <w:rPr>
                <w:noProof/>
                <w:webHidden/>
              </w:rPr>
              <w:tab/>
            </w:r>
            <w:r>
              <w:rPr>
                <w:noProof/>
                <w:webHidden/>
              </w:rPr>
              <w:fldChar w:fldCharType="begin"/>
            </w:r>
            <w:r>
              <w:rPr>
                <w:noProof/>
                <w:webHidden/>
              </w:rPr>
              <w:instrText xml:space="preserve"> PAGEREF _Toc241957312 \h </w:instrText>
            </w:r>
            <w:r>
              <w:rPr>
                <w:noProof/>
                <w:webHidden/>
              </w:rPr>
            </w:r>
            <w:r>
              <w:rPr>
                <w:noProof/>
                <w:webHidden/>
              </w:rPr>
              <w:fldChar w:fldCharType="separate"/>
            </w:r>
            <w:r>
              <w:rPr>
                <w:noProof/>
                <w:webHidden/>
              </w:rPr>
              <w:t>16</w:t>
            </w:r>
            <w:r>
              <w:rPr>
                <w:noProof/>
                <w:webHidden/>
              </w:rPr>
              <w:fldChar w:fldCharType="end"/>
            </w:r>
          </w:hyperlink>
        </w:p>
        <w:p w14:paraId="066E9A58" w14:textId="77777777" w:rsidR="004C06C3" w:rsidRDefault="004C06C3" w:rsidP="004C06C3">
          <w:pPr>
            <w:pStyle w:val="TableofFigures"/>
            <w:tabs>
              <w:tab w:val="right" w:leader="dot" w:pos="9782"/>
            </w:tabs>
            <w:rPr>
              <w:noProof/>
            </w:rPr>
          </w:pPr>
          <w:hyperlink w:anchor="_Toc241957313" w:history="1">
            <w:r w:rsidRPr="00A94E09">
              <w:rPr>
                <w:rStyle w:val="Hyperlink"/>
                <w:noProof/>
              </w:rPr>
              <w:t>Table 5 (EU Instant Payments Regulation and Unified Payments Interface (UPI): Reshaping the Payments Landscape | by Umesh Adhikari | Medium, no date).</w:t>
            </w:r>
            <w:r>
              <w:rPr>
                <w:noProof/>
                <w:webHidden/>
              </w:rPr>
              <w:tab/>
            </w:r>
            <w:r>
              <w:rPr>
                <w:noProof/>
                <w:webHidden/>
              </w:rPr>
              <w:fldChar w:fldCharType="begin"/>
            </w:r>
            <w:r>
              <w:rPr>
                <w:noProof/>
                <w:webHidden/>
              </w:rPr>
              <w:instrText xml:space="preserve"> PAGEREF _Toc241957313 \h </w:instrText>
            </w:r>
            <w:r>
              <w:rPr>
                <w:noProof/>
                <w:webHidden/>
              </w:rPr>
            </w:r>
            <w:r>
              <w:rPr>
                <w:noProof/>
                <w:webHidden/>
              </w:rPr>
              <w:fldChar w:fldCharType="separate"/>
            </w:r>
            <w:r>
              <w:rPr>
                <w:noProof/>
                <w:webHidden/>
              </w:rPr>
              <w:t>18</w:t>
            </w:r>
            <w:r>
              <w:rPr>
                <w:noProof/>
                <w:webHidden/>
              </w:rPr>
              <w:fldChar w:fldCharType="end"/>
            </w:r>
          </w:hyperlink>
        </w:p>
        <w:p w14:paraId="5C23CCAD" w14:textId="77777777" w:rsidR="004C06C3" w:rsidRDefault="004C06C3" w:rsidP="004C06C3">
          <w:pPr>
            <w:pStyle w:val="TableofFigures"/>
            <w:tabs>
              <w:tab w:val="right" w:leader="dot" w:pos="9782"/>
            </w:tabs>
            <w:rPr>
              <w:noProof/>
            </w:rPr>
          </w:pPr>
          <w:hyperlink w:anchor="_Toc241957314" w:history="1">
            <w:r w:rsidRPr="00A94E09">
              <w:rPr>
                <w:rStyle w:val="Hyperlink"/>
                <w:noProof/>
              </w:rPr>
              <w:t>Table 6 Phased implementation plan: ownership, performance measures and controls.</w:t>
            </w:r>
            <w:r>
              <w:rPr>
                <w:noProof/>
                <w:webHidden/>
              </w:rPr>
              <w:tab/>
            </w:r>
            <w:r>
              <w:rPr>
                <w:noProof/>
                <w:webHidden/>
              </w:rPr>
              <w:fldChar w:fldCharType="begin"/>
            </w:r>
            <w:r>
              <w:rPr>
                <w:noProof/>
                <w:webHidden/>
              </w:rPr>
              <w:instrText xml:space="preserve"> PAGEREF _Toc241957314 \h </w:instrText>
            </w:r>
            <w:r>
              <w:rPr>
                <w:noProof/>
                <w:webHidden/>
              </w:rPr>
            </w:r>
            <w:r>
              <w:rPr>
                <w:noProof/>
                <w:webHidden/>
              </w:rPr>
              <w:fldChar w:fldCharType="separate"/>
            </w:r>
            <w:r>
              <w:rPr>
                <w:noProof/>
                <w:webHidden/>
              </w:rPr>
              <w:t>20</w:t>
            </w:r>
            <w:r>
              <w:rPr>
                <w:noProof/>
                <w:webHidden/>
              </w:rPr>
              <w:fldChar w:fldCharType="end"/>
            </w:r>
          </w:hyperlink>
        </w:p>
        <w:p w14:paraId="646FF737" w14:textId="77777777" w:rsidR="004C06C3" w:rsidRDefault="004C06C3" w:rsidP="004C06C3">
          <w:pPr>
            <w:pStyle w:val="TableofFigures"/>
            <w:tabs>
              <w:tab w:val="right" w:leader="dot" w:pos="9782"/>
            </w:tabs>
            <w:rPr>
              <w:noProof/>
            </w:rPr>
          </w:pPr>
          <w:hyperlink w:anchor="_Toc241957315" w:history="1">
            <w:r w:rsidRPr="00A94E09">
              <w:rPr>
                <w:rStyle w:val="Hyperlink"/>
                <w:noProof/>
              </w:rPr>
              <w:t>Table 7 Table A1. Supporting UK–EU regulatory and risk comparison.</w:t>
            </w:r>
            <w:r>
              <w:rPr>
                <w:noProof/>
                <w:webHidden/>
              </w:rPr>
              <w:tab/>
            </w:r>
            <w:r>
              <w:rPr>
                <w:noProof/>
                <w:webHidden/>
              </w:rPr>
              <w:fldChar w:fldCharType="begin"/>
            </w:r>
            <w:r>
              <w:rPr>
                <w:noProof/>
                <w:webHidden/>
              </w:rPr>
              <w:instrText xml:space="preserve"> PAGEREF _Toc241957315 \h </w:instrText>
            </w:r>
            <w:r>
              <w:rPr>
                <w:noProof/>
                <w:webHidden/>
              </w:rPr>
            </w:r>
            <w:r>
              <w:rPr>
                <w:noProof/>
                <w:webHidden/>
              </w:rPr>
              <w:fldChar w:fldCharType="separate"/>
            </w:r>
            <w:r>
              <w:rPr>
                <w:noProof/>
                <w:webHidden/>
              </w:rPr>
              <w:t>34</w:t>
            </w:r>
            <w:r>
              <w:rPr>
                <w:noProof/>
                <w:webHidden/>
              </w:rPr>
              <w:fldChar w:fldCharType="end"/>
            </w:r>
          </w:hyperlink>
        </w:p>
        <w:p w14:paraId="366BE82D" w14:textId="77777777" w:rsidR="004C06C3" w:rsidRDefault="004C06C3" w:rsidP="004C06C3">
          <w:pPr>
            <w:pStyle w:val="TableofFigures"/>
            <w:tabs>
              <w:tab w:val="right" w:leader="dot" w:pos="9782"/>
            </w:tabs>
            <w:rPr>
              <w:noProof/>
            </w:rPr>
          </w:pPr>
          <w:hyperlink w:anchor="_Toc241957316" w:history="1">
            <w:r w:rsidRPr="00A94E09">
              <w:rPr>
                <w:rStyle w:val="Hyperlink"/>
                <w:noProof/>
              </w:rPr>
              <w:t>Table 8 Table B1. Supporting AI risk register and proposed controls.</w:t>
            </w:r>
            <w:r>
              <w:rPr>
                <w:noProof/>
                <w:webHidden/>
              </w:rPr>
              <w:tab/>
            </w:r>
            <w:r>
              <w:rPr>
                <w:noProof/>
                <w:webHidden/>
              </w:rPr>
              <w:fldChar w:fldCharType="begin"/>
            </w:r>
            <w:r>
              <w:rPr>
                <w:noProof/>
                <w:webHidden/>
              </w:rPr>
              <w:instrText xml:space="preserve"> PAGEREF _Toc241957316 \h </w:instrText>
            </w:r>
            <w:r>
              <w:rPr>
                <w:noProof/>
                <w:webHidden/>
              </w:rPr>
            </w:r>
            <w:r>
              <w:rPr>
                <w:noProof/>
                <w:webHidden/>
              </w:rPr>
              <w:fldChar w:fldCharType="separate"/>
            </w:r>
            <w:r>
              <w:rPr>
                <w:noProof/>
                <w:webHidden/>
              </w:rPr>
              <w:t>36</w:t>
            </w:r>
            <w:r>
              <w:rPr>
                <w:noProof/>
                <w:webHidden/>
              </w:rPr>
              <w:fldChar w:fldCharType="end"/>
            </w:r>
          </w:hyperlink>
        </w:p>
        <w:p w14:paraId="64B6CF1A" w14:textId="77777777" w:rsidR="004C06C3" w:rsidRDefault="004C06C3" w:rsidP="004C06C3">
          <w:pPr>
            <w:pStyle w:val="TableofFigures"/>
            <w:tabs>
              <w:tab w:val="right" w:leader="dot" w:pos="9782"/>
            </w:tabs>
            <w:rPr>
              <w:noProof/>
            </w:rPr>
          </w:pPr>
          <w:hyperlink w:anchor="_Toc241957317" w:history="1">
            <w:r w:rsidRPr="00A94E09">
              <w:rPr>
                <w:rStyle w:val="Hyperlink"/>
                <w:noProof/>
              </w:rPr>
              <w:t>Table 9 Table C1. Implementation dashboard for monitoring delivery and accountability.</w:t>
            </w:r>
            <w:r>
              <w:rPr>
                <w:noProof/>
                <w:webHidden/>
              </w:rPr>
              <w:tab/>
            </w:r>
            <w:r>
              <w:rPr>
                <w:noProof/>
                <w:webHidden/>
              </w:rPr>
              <w:fldChar w:fldCharType="begin"/>
            </w:r>
            <w:r>
              <w:rPr>
                <w:noProof/>
                <w:webHidden/>
              </w:rPr>
              <w:instrText xml:space="preserve"> PAGEREF _Toc241957317 \h </w:instrText>
            </w:r>
            <w:r>
              <w:rPr>
                <w:noProof/>
                <w:webHidden/>
              </w:rPr>
            </w:r>
            <w:r>
              <w:rPr>
                <w:noProof/>
                <w:webHidden/>
              </w:rPr>
              <w:fldChar w:fldCharType="separate"/>
            </w:r>
            <w:r>
              <w:rPr>
                <w:noProof/>
                <w:webHidden/>
              </w:rPr>
              <w:t>36</w:t>
            </w:r>
            <w:r>
              <w:rPr>
                <w:noProof/>
                <w:webHidden/>
              </w:rPr>
              <w:fldChar w:fldCharType="end"/>
            </w:r>
          </w:hyperlink>
        </w:p>
        <w:p w14:paraId="54340098" w14:textId="77777777" w:rsidR="004C06C3" w:rsidRDefault="004C06C3" w:rsidP="004C06C3">
          <w:pPr>
            <w:spacing w:line="360" w:lineRule="auto"/>
            <w:jc w:val="both"/>
            <w:rPr>
              <w:noProof/>
            </w:rPr>
          </w:pPr>
          <w:r>
            <w:rPr>
              <w:rFonts w:asciiTheme="majorBidi" w:hAnsiTheme="majorBidi" w:cstheme="majorBidi"/>
              <w:b/>
              <w:bCs/>
              <w:noProof/>
            </w:rPr>
            <w:fldChar w:fldCharType="end"/>
          </w:r>
          <w:r>
            <w:rPr>
              <w:rFonts w:asciiTheme="majorBidi" w:hAnsiTheme="majorBidi" w:cstheme="majorBidi"/>
              <w:b/>
              <w:bCs/>
              <w:noProof/>
            </w:rPr>
            <w:fldChar w:fldCharType="begin"/>
          </w:r>
          <w:r>
            <w:rPr>
              <w:rFonts w:asciiTheme="majorBidi" w:hAnsiTheme="majorBidi" w:cstheme="majorBidi"/>
              <w:b/>
              <w:bCs/>
              <w:noProof/>
            </w:rPr>
            <w:instrText xml:space="preserve"> TOC \h \z \c "Figure" </w:instrText>
          </w:r>
          <w:r>
            <w:rPr>
              <w:rFonts w:asciiTheme="majorBidi" w:hAnsiTheme="majorBidi" w:cstheme="majorBidi"/>
              <w:b/>
              <w:bCs/>
              <w:noProof/>
            </w:rPr>
            <w:fldChar w:fldCharType="separate"/>
          </w:r>
        </w:p>
        <w:p w14:paraId="6A07B37D" w14:textId="77777777" w:rsidR="004C06C3" w:rsidRDefault="004C06C3" w:rsidP="004C06C3">
          <w:pPr>
            <w:pStyle w:val="TableofFigures"/>
            <w:tabs>
              <w:tab w:val="right" w:leader="dot" w:pos="9782"/>
            </w:tabs>
            <w:rPr>
              <w:rFonts w:asciiTheme="minorHAnsi" w:hAnsiTheme="minorHAnsi"/>
              <w:noProof/>
              <w:kern w:val="2"/>
              <w:sz w:val="24"/>
              <w:szCs w:val="24"/>
              <w14:ligatures w14:val="standardContextual"/>
            </w:rPr>
          </w:pPr>
          <w:hyperlink w:anchor="_Toc241957318" w:history="1">
            <w:r w:rsidRPr="00B13885">
              <w:rPr>
                <w:rStyle w:val="Hyperlink"/>
                <w:noProof/>
              </w:rPr>
              <w:t>Figure 1 (Artificial Intelligence (AI) Market Companies, Size and Trends 2026-2035, no date).</w:t>
            </w:r>
            <w:r>
              <w:rPr>
                <w:noProof/>
                <w:webHidden/>
              </w:rPr>
              <w:tab/>
            </w:r>
            <w:r>
              <w:rPr>
                <w:noProof/>
                <w:webHidden/>
              </w:rPr>
              <w:fldChar w:fldCharType="begin"/>
            </w:r>
            <w:r>
              <w:rPr>
                <w:noProof/>
                <w:webHidden/>
              </w:rPr>
              <w:instrText xml:space="preserve"> PAGEREF _Toc241957318 \h </w:instrText>
            </w:r>
            <w:r>
              <w:rPr>
                <w:noProof/>
                <w:webHidden/>
              </w:rPr>
            </w:r>
            <w:r>
              <w:rPr>
                <w:noProof/>
                <w:webHidden/>
              </w:rPr>
              <w:fldChar w:fldCharType="separate"/>
            </w:r>
            <w:r>
              <w:rPr>
                <w:noProof/>
                <w:webHidden/>
              </w:rPr>
              <w:t>6</w:t>
            </w:r>
            <w:r>
              <w:rPr>
                <w:noProof/>
                <w:webHidden/>
              </w:rPr>
              <w:fldChar w:fldCharType="end"/>
            </w:r>
          </w:hyperlink>
        </w:p>
        <w:p w14:paraId="447DAE4F" w14:textId="77777777" w:rsidR="004C06C3" w:rsidRDefault="004C06C3" w:rsidP="004C06C3">
          <w:pPr>
            <w:pStyle w:val="TableofFigures"/>
            <w:tabs>
              <w:tab w:val="right" w:leader="dot" w:pos="9782"/>
            </w:tabs>
            <w:rPr>
              <w:rFonts w:asciiTheme="minorHAnsi" w:hAnsiTheme="minorHAnsi"/>
              <w:noProof/>
              <w:kern w:val="2"/>
              <w:sz w:val="24"/>
              <w:szCs w:val="24"/>
              <w14:ligatures w14:val="standardContextual"/>
            </w:rPr>
          </w:pPr>
          <w:hyperlink w:anchor="_Toc241957319" w:history="1">
            <w:r w:rsidRPr="00B13885">
              <w:rPr>
                <w:rStyle w:val="Hyperlink"/>
                <w:noProof/>
              </w:rPr>
              <w:t>Figure 2 AI, international business environment (Moharrak, Nguyen and Mogaji, 2024).</w:t>
            </w:r>
            <w:r>
              <w:rPr>
                <w:noProof/>
                <w:webHidden/>
              </w:rPr>
              <w:tab/>
            </w:r>
            <w:r>
              <w:rPr>
                <w:noProof/>
                <w:webHidden/>
              </w:rPr>
              <w:fldChar w:fldCharType="begin"/>
            </w:r>
            <w:r>
              <w:rPr>
                <w:noProof/>
                <w:webHidden/>
              </w:rPr>
              <w:instrText xml:space="preserve"> PAGEREF _Toc241957319 \h </w:instrText>
            </w:r>
            <w:r>
              <w:rPr>
                <w:noProof/>
                <w:webHidden/>
              </w:rPr>
            </w:r>
            <w:r>
              <w:rPr>
                <w:noProof/>
                <w:webHidden/>
              </w:rPr>
              <w:fldChar w:fldCharType="separate"/>
            </w:r>
            <w:r>
              <w:rPr>
                <w:noProof/>
                <w:webHidden/>
              </w:rPr>
              <w:t>6</w:t>
            </w:r>
            <w:r>
              <w:rPr>
                <w:noProof/>
                <w:webHidden/>
              </w:rPr>
              <w:fldChar w:fldCharType="end"/>
            </w:r>
          </w:hyperlink>
        </w:p>
        <w:p w14:paraId="2494D5C2" w14:textId="77777777" w:rsidR="004C06C3" w:rsidRDefault="004C06C3" w:rsidP="004C06C3">
          <w:pPr>
            <w:pStyle w:val="TableofFigures"/>
            <w:tabs>
              <w:tab w:val="right" w:leader="dot" w:pos="9782"/>
            </w:tabs>
            <w:rPr>
              <w:rFonts w:asciiTheme="minorHAnsi" w:hAnsiTheme="minorHAnsi"/>
              <w:noProof/>
              <w:kern w:val="2"/>
              <w:sz w:val="24"/>
              <w:szCs w:val="24"/>
              <w14:ligatures w14:val="standardContextual"/>
            </w:rPr>
          </w:pPr>
          <w:hyperlink w:anchor="_Toc241957320" w:history="1">
            <w:r w:rsidRPr="00B13885">
              <w:rPr>
                <w:rStyle w:val="Hyperlink"/>
                <w:noProof/>
              </w:rPr>
              <w:t>Figure 3 AI, International Business Environment and Risk Drivers for Google (Menzies et al., 2024).</w:t>
            </w:r>
            <w:r>
              <w:rPr>
                <w:noProof/>
                <w:webHidden/>
              </w:rPr>
              <w:tab/>
            </w:r>
            <w:r>
              <w:rPr>
                <w:noProof/>
                <w:webHidden/>
              </w:rPr>
              <w:fldChar w:fldCharType="begin"/>
            </w:r>
            <w:r>
              <w:rPr>
                <w:noProof/>
                <w:webHidden/>
              </w:rPr>
              <w:instrText xml:space="preserve"> PAGEREF _Toc241957320 \h </w:instrText>
            </w:r>
            <w:r>
              <w:rPr>
                <w:noProof/>
                <w:webHidden/>
              </w:rPr>
            </w:r>
            <w:r>
              <w:rPr>
                <w:noProof/>
                <w:webHidden/>
              </w:rPr>
              <w:fldChar w:fldCharType="separate"/>
            </w:r>
            <w:r>
              <w:rPr>
                <w:noProof/>
                <w:webHidden/>
              </w:rPr>
              <w:t>7</w:t>
            </w:r>
            <w:r>
              <w:rPr>
                <w:noProof/>
                <w:webHidden/>
              </w:rPr>
              <w:fldChar w:fldCharType="end"/>
            </w:r>
          </w:hyperlink>
        </w:p>
        <w:p w14:paraId="7CD92AC5" w14:textId="77777777" w:rsidR="004C06C3" w:rsidRDefault="004C06C3" w:rsidP="004C06C3">
          <w:pPr>
            <w:pStyle w:val="TableofFigures"/>
            <w:tabs>
              <w:tab w:val="right" w:leader="dot" w:pos="9782"/>
            </w:tabs>
            <w:rPr>
              <w:rFonts w:asciiTheme="minorHAnsi" w:hAnsiTheme="minorHAnsi"/>
              <w:noProof/>
              <w:kern w:val="2"/>
              <w:sz w:val="24"/>
              <w:szCs w:val="24"/>
              <w14:ligatures w14:val="standardContextual"/>
            </w:rPr>
          </w:pPr>
          <w:hyperlink w:anchor="_Toc241957321" w:history="1">
            <w:r w:rsidRPr="00B13885">
              <w:rPr>
                <w:rStyle w:val="Hyperlink"/>
                <w:noProof/>
              </w:rPr>
              <w:t>Figure 4 AI enterprise risk-management cycle for Google: identify, assess, control, monitor and learn Source: Adapted from Tabassi (2023).</w:t>
            </w:r>
            <w:r>
              <w:rPr>
                <w:noProof/>
                <w:webHidden/>
              </w:rPr>
              <w:tab/>
            </w:r>
            <w:r>
              <w:rPr>
                <w:noProof/>
                <w:webHidden/>
              </w:rPr>
              <w:fldChar w:fldCharType="begin"/>
            </w:r>
            <w:r>
              <w:rPr>
                <w:noProof/>
                <w:webHidden/>
              </w:rPr>
              <w:instrText xml:space="preserve"> PAGEREF _Toc241957321 \h </w:instrText>
            </w:r>
            <w:r>
              <w:rPr>
                <w:noProof/>
                <w:webHidden/>
              </w:rPr>
            </w:r>
            <w:r>
              <w:rPr>
                <w:noProof/>
                <w:webHidden/>
              </w:rPr>
              <w:fldChar w:fldCharType="separate"/>
            </w:r>
            <w:r>
              <w:rPr>
                <w:noProof/>
                <w:webHidden/>
              </w:rPr>
              <w:t>11</w:t>
            </w:r>
            <w:r>
              <w:rPr>
                <w:noProof/>
                <w:webHidden/>
              </w:rPr>
              <w:fldChar w:fldCharType="end"/>
            </w:r>
          </w:hyperlink>
        </w:p>
        <w:p w14:paraId="324AC9B8" w14:textId="77777777" w:rsidR="004C06C3" w:rsidRDefault="004C06C3" w:rsidP="004C06C3">
          <w:pPr>
            <w:pStyle w:val="TableofFigures"/>
            <w:tabs>
              <w:tab w:val="right" w:leader="dot" w:pos="9782"/>
            </w:tabs>
            <w:rPr>
              <w:rFonts w:asciiTheme="minorHAnsi" w:hAnsiTheme="minorHAnsi"/>
              <w:noProof/>
              <w:kern w:val="2"/>
              <w:sz w:val="24"/>
              <w:szCs w:val="24"/>
              <w14:ligatures w14:val="standardContextual"/>
            </w:rPr>
          </w:pPr>
          <w:hyperlink w:anchor="_Toc241957322" w:history="1">
            <w:r w:rsidRPr="00B13885">
              <w:rPr>
                <w:rStyle w:val="Hyperlink"/>
                <w:noProof/>
              </w:rPr>
              <w:t>Figure 5 Data Governance and Ethical AI (Fraz, 2025).</w:t>
            </w:r>
            <w:r>
              <w:rPr>
                <w:noProof/>
                <w:webHidden/>
              </w:rPr>
              <w:tab/>
            </w:r>
            <w:r>
              <w:rPr>
                <w:noProof/>
                <w:webHidden/>
              </w:rPr>
              <w:fldChar w:fldCharType="begin"/>
            </w:r>
            <w:r>
              <w:rPr>
                <w:noProof/>
                <w:webHidden/>
              </w:rPr>
              <w:instrText xml:space="preserve"> PAGEREF _Toc241957322 \h </w:instrText>
            </w:r>
            <w:r>
              <w:rPr>
                <w:noProof/>
                <w:webHidden/>
              </w:rPr>
            </w:r>
            <w:r>
              <w:rPr>
                <w:noProof/>
                <w:webHidden/>
              </w:rPr>
              <w:fldChar w:fldCharType="separate"/>
            </w:r>
            <w:r>
              <w:rPr>
                <w:noProof/>
                <w:webHidden/>
              </w:rPr>
              <w:t>12</w:t>
            </w:r>
            <w:r>
              <w:rPr>
                <w:noProof/>
                <w:webHidden/>
              </w:rPr>
              <w:fldChar w:fldCharType="end"/>
            </w:r>
          </w:hyperlink>
        </w:p>
        <w:p w14:paraId="7A295EF3" w14:textId="77777777" w:rsidR="004C06C3" w:rsidRDefault="004C06C3" w:rsidP="004C06C3">
          <w:pPr>
            <w:pStyle w:val="TableofFigures"/>
            <w:tabs>
              <w:tab w:val="right" w:leader="dot" w:pos="9782"/>
            </w:tabs>
            <w:rPr>
              <w:rFonts w:asciiTheme="minorHAnsi" w:hAnsiTheme="minorHAnsi"/>
              <w:noProof/>
              <w:kern w:val="2"/>
              <w:sz w:val="24"/>
              <w:szCs w:val="24"/>
              <w14:ligatures w14:val="standardContextual"/>
            </w:rPr>
          </w:pPr>
          <w:hyperlink w:anchor="_Toc241957323" w:history="1">
            <w:r w:rsidRPr="00B13885">
              <w:rPr>
                <w:rStyle w:val="Hyperlink"/>
                <w:noProof/>
              </w:rPr>
              <w:t>Figure 6 Data-to-deployment ethical AI control chain for Google.</w:t>
            </w:r>
            <w:r>
              <w:rPr>
                <w:noProof/>
                <w:webHidden/>
              </w:rPr>
              <w:tab/>
            </w:r>
            <w:r>
              <w:rPr>
                <w:noProof/>
                <w:webHidden/>
              </w:rPr>
              <w:fldChar w:fldCharType="begin"/>
            </w:r>
            <w:r>
              <w:rPr>
                <w:noProof/>
                <w:webHidden/>
              </w:rPr>
              <w:instrText xml:space="preserve"> PAGEREF _Toc241957323 \h </w:instrText>
            </w:r>
            <w:r>
              <w:rPr>
                <w:noProof/>
                <w:webHidden/>
              </w:rPr>
            </w:r>
            <w:r>
              <w:rPr>
                <w:noProof/>
                <w:webHidden/>
              </w:rPr>
              <w:fldChar w:fldCharType="separate"/>
            </w:r>
            <w:r>
              <w:rPr>
                <w:noProof/>
                <w:webHidden/>
              </w:rPr>
              <w:t>15</w:t>
            </w:r>
            <w:r>
              <w:rPr>
                <w:noProof/>
                <w:webHidden/>
              </w:rPr>
              <w:fldChar w:fldCharType="end"/>
            </w:r>
          </w:hyperlink>
        </w:p>
        <w:p w14:paraId="202C7894" w14:textId="77777777" w:rsidR="004C06C3" w:rsidRPr="00145769" w:rsidRDefault="004C06C3" w:rsidP="004C06C3">
          <w:pPr>
            <w:spacing w:line="360" w:lineRule="auto"/>
            <w:jc w:val="both"/>
            <w:rPr>
              <w:rFonts w:asciiTheme="majorBidi" w:hAnsiTheme="majorBidi" w:cstheme="majorBidi"/>
            </w:rPr>
          </w:pPr>
          <w:r>
            <w:rPr>
              <w:rFonts w:asciiTheme="majorBidi" w:hAnsiTheme="majorBidi" w:cstheme="majorBidi"/>
              <w:b/>
              <w:bCs/>
              <w:noProof/>
            </w:rPr>
            <w:fldChar w:fldCharType="end"/>
          </w:r>
        </w:p>
      </w:sdtContent>
    </w:sdt>
    <w:p w14:paraId="565F46F0" w14:textId="77777777" w:rsidR="00343A30" w:rsidRDefault="004C06C3" w:rsidP="004C06C3">
      <w:pPr>
        <w:spacing w:line="360" w:lineRule="auto"/>
        <w:jc w:val="both"/>
        <w:rPr>
          <w:rFonts w:asciiTheme="majorBidi" w:hAnsiTheme="majorBidi" w:cstheme="majorBidi"/>
        </w:rPr>
        <w:sectPr w:rsidR="00343A30" w:rsidSect="00343A30">
          <w:pgSz w:w="11906" w:h="16838"/>
          <w:pgMar w:top="1440" w:right="1440" w:bottom="1440" w:left="1440" w:header="708" w:footer="708" w:gutter="0"/>
          <w:pgNumType w:start="1"/>
          <w:cols w:space="708"/>
          <w:docGrid w:linePitch="360"/>
        </w:sectPr>
      </w:pPr>
      <w:r w:rsidRPr="00145769">
        <w:rPr>
          <w:rFonts w:asciiTheme="majorBidi" w:hAnsiTheme="majorBidi" w:cstheme="majorBidi"/>
        </w:rPr>
        <w:br w:type="page"/>
      </w:r>
    </w:p>
    <w:p w14:paraId="651A999C" w14:textId="77777777" w:rsidR="004C06C3" w:rsidRPr="00145769" w:rsidRDefault="004C06C3" w:rsidP="004C06C3">
      <w:pPr>
        <w:spacing w:line="360" w:lineRule="auto"/>
        <w:jc w:val="both"/>
        <w:rPr>
          <w:rFonts w:asciiTheme="majorBidi" w:hAnsiTheme="majorBidi" w:cstheme="majorBidi"/>
        </w:rPr>
      </w:pPr>
    </w:p>
    <w:p w14:paraId="4883D954" w14:textId="77777777" w:rsidR="004C06C3" w:rsidRPr="00145769" w:rsidRDefault="004C06C3" w:rsidP="004C06C3">
      <w:pPr>
        <w:pStyle w:val="Heading1"/>
        <w:spacing w:line="360" w:lineRule="auto"/>
        <w:jc w:val="both"/>
        <w:rPr>
          <w:rFonts w:asciiTheme="majorBidi" w:hAnsiTheme="majorBidi"/>
          <w:color w:val="auto"/>
          <w:sz w:val="24"/>
          <w:szCs w:val="24"/>
        </w:rPr>
      </w:pPr>
      <w:bookmarkStart w:id="1" w:name="_Toc242440441"/>
      <w:r w:rsidRPr="00145769">
        <w:rPr>
          <w:rFonts w:asciiTheme="majorBidi" w:hAnsiTheme="majorBidi"/>
          <w:color w:val="auto"/>
          <w:sz w:val="24"/>
          <w:szCs w:val="24"/>
        </w:rPr>
        <w:t>1. Introduction</w:t>
      </w:r>
      <w:bookmarkEnd w:id="1"/>
    </w:p>
    <w:p w14:paraId="05353553"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Multinational corporations have gone from the "new tech challenge" zone to the "strategic" zone when it comes to artificial intelligence (AI). Google's change is significant due to its integration of AI across search, advertising, cloud solutions, consumer products and in the entire Gemini eco-system. However, the literature about Google's advertising products showed that while AI can enhance existing personalization and analytics, it might lead to measurement inaccuracies due to the lack of industry-specific considerations in the application of generic algorithms (</w:t>
      </w:r>
      <w:proofErr w:type="spellStart"/>
      <w:r w:rsidRPr="00145769">
        <w:rPr>
          <w:rFonts w:asciiTheme="majorBidi" w:hAnsiTheme="majorBidi" w:cstheme="majorBidi"/>
        </w:rPr>
        <w:t>Chukurna</w:t>
      </w:r>
      <w:proofErr w:type="spellEnd"/>
      <w:r w:rsidRPr="00145769">
        <w:rPr>
          <w:rFonts w:asciiTheme="majorBidi" w:hAnsiTheme="majorBidi" w:cstheme="majorBidi"/>
        </w:rPr>
        <w:t xml:space="preserve"> et al., 2024). More generally, the ability of artificial intelligence is not a function only of the algorithms, but also of data, technology, skills and coordination/organisation capacity (</w:t>
      </w:r>
      <w:proofErr w:type="spellStart"/>
      <w:r w:rsidRPr="00145769">
        <w:rPr>
          <w:rFonts w:asciiTheme="majorBidi" w:hAnsiTheme="majorBidi" w:cstheme="majorBidi"/>
        </w:rPr>
        <w:t>Mikalef</w:t>
      </w:r>
      <w:proofErr w:type="spellEnd"/>
      <w:r w:rsidRPr="00145769">
        <w:rPr>
          <w:rFonts w:asciiTheme="majorBidi" w:hAnsiTheme="majorBidi" w:cstheme="majorBidi"/>
        </w:rPr>
        <w:t xml:space="preserve"> and Gupta, 2021). Hence, the central management challenges are not about having to adopt AI, but how Google can leverage the scaling of AI and manage risk in tandem with the scaling.</w:t>
      </w:r>
    </w:p>
    <w:p w14:paraId="654B6167"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This report has been created for RFD Global and advises Google (Alphabet Inc.) on AI risk management in the United Kingdom (UK) and European Union (EU). Data governance, ethical AI, regulatory compliance and customer trust are the four challenges analysed, as outlined by the brief. It also </w:t>
      </w:r>
      <w:proofErr w:type="gramStart"/>
      <w:r w:rsidRPr="00145769">
        <w:rPr>
          <w:rFonts w:asciiTheme="majorBidi" w:hAnsiTheme="majorBidi" w:cstheme="majorBidi"/>
        </w:rPr>
        <w:t>takes into account</w:t>
      </w:r>
      <w:proofErr w:type="gramEnd"/>
      <w:r w:rsidRPr="00145769">
        <w:rPr>
          <w:rFonts w:asciiTheme="majorBidi" w:hAnsiTheme="majorBidi" w:cstheme="majorBidi"/>
        </w:rPr>
        <w:t xml:space="preserve"> macro-economic, political and technological circumstances; the investment in AI impacts productivity, employment, competitiveness and the allocation of resources. However, as Acemoglu (2025) warns, effects of AI at the macro level depend on the extent and the nature of the tasks impacted and the magnitude of the gains in task productivity. Brynjolfsson, Li and Raymond (2025) present further evidence that generative AI boosts the productivity of workers, which varies by task and person. As a result, the report considers AI to be a source of value, as well as a new risk exposure.</w:t>
      </w:r>
    </w:p>
    <w:p w14:paraId="17E4ABB9"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noProof/>
        </w:rPr>
        <w:lastRenderedPageBreak/>
        <w:drawing>
          <wp:inline distT="0" distB="0" distL="0" distR="0" wp14:anchorId="1BA90C48" wp14:editId="3F48E94B">
            <wp:extent cx="5752818" cy="2839720"/>
            <wp:effectExtent l="0" t="0" r="635" b="0"/>
            <wp:docPr id="11194115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2022" cy="2844263"/>
                    </a:xfrm>
                    <a:prstGeom prst="rect">
                      <a:avLst/>
                    </a:prstGeom>
                    <a:noFill/>
                  </pic:spPr>
                </pic:pic>
              </a:graphicData>
            </a:graphic>
          </wp:inline>
        </w:drawing>
      </w:r>
    </w:p>
    <w:p w14:paraId="3A9CA2FC" w14:textId="77777777" w:rsidR="004C06C3" w:rsidRPr="00145769" w:rsidRDefault="004C06C3" w:rsidP="004C06C3">
      <w:pPr>
        <w:pStyle w:val="Caption"/>
        <w:rPr>
          <w:rFonts w:asciiTheme="majorBidi" w:hAnsiTheme="majorBidi" w:cstheme="majorBidi"/>
          <w:color w:val="auto"/>
          <w:sz w:val="24"/>
          <w:szCs w:val="24"/>
          <w:lang w:val="en-GB"/>
        </w:rPr>
      </w:pPr>
      <w:r>
        <w:t xml:space="preserve">Table </w:t>
      </w:r>
      <w:r>
        <w:fldChar w:fldCharType="begin"/>
      </w:r>
      <w:r>
        <w:instrText xml:space="preserve"> SEQ Table \* ARABIC </w:instrText>
      </w:r>
      <w:r>
        <w:fldChar w:fldCharType="separate"/>
      </w:r>
      <w:r>
        <w:rPr>
          <w:noProof/>
        </w:rPr>
        <w:t>1</w:t>
      </w:r>
      <w:r>
        <w:rPr>
          <w:noProof/>
        </w:rPr>
        <w:fldChar w:fldCharType="end"/>
      </w:r>
      <w:r>
        <w:t xml:space="preserve"> </w:t>
      </w:r>
      <w:r w:rsidRPr="00C82E54">
        <w:t>(Artificial Intelligence (AI) Market Companies, Size and Trends 2026-2035, no date).</w:t>
      </w:r>
    </w:p>
    <w:p w14:paraId="26258207"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There are Institutional expectation differences across different jurisdictions; therefore, the importance of doing a UK/EU comparison. AI governance has been compared across countries, and there are significant differences in who (the government or private actors) is given the 'governance' role (Djeffal, Siewert and Wurster, 2022). The report weighs the applicability of regulatory provisions in the context of decision-making, practices with data, accountability and trust. Dwivedi et al. (2023) also demonstrate that the advent of generative AI brings along both opportunities and risks as well as policy challenges.</w:t>
      </w:r>
    </w:p>
    <w:p w14:paraId="07FA1047"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Google should do integrated AI risk management instead of compliance, ethics and cybersecurity controls, the report states. The model assessments, data governance, regulatory monitoring and oversight, with human oversight and engagement and stakeholder communication, should be interconnected with each other as a future-proof approach. Actions recommended thus include risk focussed governance structure; improved model documentation and audit; UK/EU regulatory intelligence; and tangible measures of trust controls.</w:t>
      </w:r>
    </w:p>
    <w:p w14:paraId="1F4F1D15" w14:textId="77777777" w:rsidR="004C06C3" w:rsidRPr="00145769" w:rsidRDefault="004C06C3" w:rsidP="004C06C3">
      <w:pPr>
        <w:pStyle w:val="Heading1"/>
        <w:spacing w:line="360" w:lineRule="auto"/>
        <w:jc w:val="both"/>
        <w:rPr>
          <w:rFonts w:asciiTheme="majorBidi" w:hAnsiTheme="majorBidi"/>
          <w:color w:val="auto"/>
          <w:sz w:val="24"/>
          <w:szCs w:val="24"/>
        </w:rPr>
      </w:pPr>
      <w:bookmarkStart w:id="2" w:name="_Toc242440442"/>
      <w:r w:rsidRPr="00145769">
        <w:rPr>
          <w:rFonts w:asciiTheme="majorBidi" w:hAnsiTheme="majorBidi"/>
          <w:color w:val="auto"/>
          <w:sz w:val="24"/>
          <w:szCs w:val="24"/>
        </w:rPr>
        <w:lastRenderedPageBreak/>
        <w:t>Main body</w:t>
      </w:r>
      <w:bookmarkEnd w:id="2"/>
    </w:p>
    <w:p w14:paraId="391B6554" w14:textId="77777777" w:rsidR="004C06C3" w:rsidRPr="00145769" w:rsidRDefault="004C06C3" w:rsidP="004C06C3">
      <w:pPr>
        <w:pStyle w:val="Heading1"/>
        <w:spacing w:line="360" w:lineRule="auto"/>
        <w:jc w:val="both"/>
        <w:rPr>
          <w:rFonts w:asciiTheme="majorBidi" w:hAnsiTheme="majorBidi"/>
          <w:color w:val="auto"/>
          <w:sz w:val="24"/>
          <w:szCs w:val="24"/>
        </w:rPr>
      </w:pPr>
      <w:bookmarkStart w:id="3" w:name="_Toc242440443"/>
      <w:r w:rsidRPr="00145769">
        <w:rPr>
          <w:rFonts w:asciiTheme="majorBidi" w:hAnsiTheme="majorBidi"/>
          <w:color w:val="auto"/>
          <w:sz w:val="24"/>
          <w:szCs w:val="24"/>
        </w:rPr>
        <w:t>2. AI and the International Business Environment</w:t>
      </w:r>
      <w:bookmarkEnd w:id="3"/>
    </w:p>
    <w:p w14:paraId="6B0B11EB"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noProof/>
        </w:rPr>
        <w:drawing>
          <wp:inline distT="0" distB="0" distL="0" distR="0" wp14:anchorId="6B2AB27E" wp14:editId="5845D3BE">
            <wp:extent cx="5873895" cy="3385575"/>
            <wp:effectExtent l="0" t="0" r="0" b="5715"/>
            <wp:docPr id="1418561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81087" cy="3389720"/>
                    </a:xfrm>
                    <a:prstGeom prst="rect">
                      <a:avLst/>
                    </a:prstGeom>
                    <a:noFill/>
                  </pic:spPr>
                </pic:pic>
              </a:graphicData>
            </a:graphic>
          </wp:inline>
        </w:drawing>
      </w:r>
    </w:p>
    <w:p w14:paraId="22BB4C60" w14:textId="77777777" w:rsidR="004C06C3" w:rsidRPr="00145769" w:rsidRDefault="004C06C3" w:rsidP="004C06C3">
      <w:pPr>
        <w:pStyle w:val="Caption"/>
        <w:rPr>
          <w:rFonts w:asciiTheme="majorBidi" w:hAnsiTheme="majorBidi" w:cstheme="majorBidi"/>
          <w:color w:val="auto"/>
          <w:sz w:val="24"/>
          <w:szCs w:val="24"/>
          <w:lang w:val="en-GB"/>
        </w:rPr>
      </w:pPr>
      <w:r>
        <w:t xml:space="preserve">Table </w:t>
      </w:r>
      <w:r>
        <w:fldChar w:fldCharType="begin"/>
      </w:r>
      <w:r>
        <w:instrText xml:space="preserve"> SEQ Table \* ARABIC </w:instrText>
      </w:r>
      <w:r>
        <w:fldChar w:fldCharType="separate"/>
      </w:r>
      <w:r>
        <w:rPr>
          <w:noProof/>
        </w:rPr>
        <w:t>2</w:t>
      </w:r>
      <w:r>
        <w:rPr>
          <w:noProof/>
        </w:rPr>
        <w:fldChar w:fldCharType="end"/>
      </w:r>
      <w:r>
        <w:t xml:space="preserve"> </w:t>
      </w:r>
      <w:r w:rsidRPr="00610A12">
        <w:t>AI, international business environment (</w:t>
      </w:r>
      <w:proofErr w:type="spellStart"/>
      <w:r w:rsidRPr="00610A12">
        <w:t>Moharrak</w:t>
      </w:r>
      <w:proofErr w:type="spellEnd"/>
      <w:r w:rsidRPr="00610A12">
        <w:t xml:space="preserve">, Nguyen and </w:t>
      </w:r>
      <w:proofErr w:type="spellStart"/>
      <w:r w:rsidRPr="00610A12">
        <w:t>Mogaji</w:t>
      </w:r>
      <w:proofErr w:type="spellEnd"/>
      <w:r w:rsidRPr="00610A12">
        <w:t>, 2024).</w:t>
      </w:r>
    </w:p>
    <w:p w14:paraId="066DB6DA"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At macro level, AI can impact on productivity, capital investments and demand for labour; its magnitude will depend on the implementation and task substitution. The size of the aggregate productivity gains depends on the fraction of tasks that are affected, and the cost savings from task level, as argued by Acemoglu (2025) (Challenge et al., 2024). Brynjolfsson, Li and Raymond (2025) present evidence of the potential of generative AI to boost productivity in customer-support jobs and point out heterogeneities among workers. The context here is that, at least for Google, the investment in AI cannot be called a productivity investment per se. Senior management should assess the nature of any change – such as tasks that are automated, quality – and economic benefit.</w:t>
      </w:r>
    </w:p>
    <w:p w14:paraId="3A0C709C"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Meanwhile, the digitalisation research is focused on advanced technology and financial and operational benefits while highlighting governance and rules (Bisht et al., 2022). Infrastructure and innovation and risk management (in the case of Google, Abi-Raad and </w:t>
      </w:r>
      <w:proofErr w:type="spellStart"/>
      <w:r w:rsidRPr="00145769">
        <w:rPr>
          <w:rFonts w:asciiTheme="majorBidi" w:hAnsiTheme="majorBidi" w:cstheme="majorBidi"/>
        </w:rPr>
        <w:t>Odhabi</w:t>
      </w:r>
      <w:proofErr w:type="spellEnd"/>
      <w:r w:rsidRPr="00145769">
        <w:rPr>
          <w:rFonts w:asciiTheme="majorBidi" w:hAnsiTheme="majorBidi" w:cstheme="majorBidi"/>
        </w:rPr>
        <w:t xml:space="preserve"> 2024).</w:t>
      </w:r>
    </w:p>
    <w:p w14:paraId="0A48D8FB"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Comparative studies reveal that different governments favour one or another type of AI governance (market-led, entrepreneurial and regulation) (Djeffal, Siewert and Wurster, 2022). </w:t>
      </w:r>
      <w:r w:rsidRPr="00145769">
        <w:rPr>
          <w:rFonts w:asciiTheme="majorBidi" w:hAnsiTheme="majorBidi" w:cstheme="majorBidi"/>
        </w:rPr>
        <w:lastRenderedPageBreak/>
        <w:t xml:space="preserve">But there are differences in the approaches and the capacity to implement those policies (EU Policy research), as </w:t>
      </w:r>
      <w:proofErr w:type="spellStart"/>
      <w:r w:rsidRPr="00145769">
        <w:rPr>
          <w:rFonts w:asciiTheme="majorBidi" w:hAnsiTheme="majorBidi" w:cstheme="majorBidi"/>
        </w:rPr>
        <w:t>Woszczyna</w:t>
      </w:r>
      <w:proofErr w:type="spellEnd"/>
      <w:r w:rsidRPr="00145769">
        <w:rPr>
          <w:rFonts w:asciiTheme="majorBidi" w:hAnsiTheme="majorBidi" w:cstheme="majorBidi"/>
        </w:rPr>
        <w:t xml:space="preserve"> and Mania (2023) and Stan et al. (2025) found.</w:t>
      </w:r>
    </w:p>
    <w:p w14:paraId="2548C69D" w14:textId="77777777" w:rsidR="0066235A" w:rsidRDefault="0066235A" w:rsidP="004C06C3">
      <w:pPr>
        <w:spacing w:line="360" w:lineRule="auto"/>
        <w:jc w:val="both"/>
        <w:rPr>
          <w:rFonts w:asciiTheme="majorBidi" w:hAnsiTheme="majorBidi" w:cstheme="majorBidi"/>
        </w:rPr>
      </w:pPr>
      <w:r>
        <w:rPr>
          <w:rFonts w:asciiTheme="majorBidi" w:hAnsiTheme="majorBidi" w:cstheme="majorBidi"/>
        </w:rPr>
        <w:t>\</w:t>
      </w:r>
    </w:p>
    <w:p w14:paraId="129E769C" w14:textId="77777777" w:rsidR="0066235A" w:rsidRDefault="0066235A" w:rsidP="004C06C3">
      <w:pPr>
        <w:spacing w:line="360" w:lineRule="auto"/>
        <w:jc w:val="both"/>
        <w:rPr>
          <w:rFonts w:asciiTheme="majorBidi" w:hAnsiTheme="majorBidi" w:cstheme="majorBidi"/>
        </w:rPr>
      </w:pPr>
    </w:p>
    <w:p w14:paraId="78666532" w14:textId="77777777" w:rsidR="0066235A" w:rsidRDefault="0066235A" w:rsidP="004C06C3">
      <w:pPr>
        <w:spacing w:line="360" w:lineRule="auto"/>
        <w:jc w:val="both"/>
        <w:rPr>
          <w:rFonts w:asciiTheme="majorBidi" w:hAnsiTheme="majorBidi" w:cstheme="majorBidi"/>
        </w:rPr>
      </w:pPr>
    </w:p>
    <w:p w14:paraId="78DDB364" w14:textId="77777777" w:rsidR="0066235A" w:rsidRDefault="0066235A" w:rsidP="004C06C3">
      <w:pPr>
        <w:spacing w:line="360" w:lineRule="auto"/>
        <w:jc w:val="both"/>
        <w:rPr>
          <w:rFonts w:asciiTheme="majorBidi" w:hAnsiTheme="majorBidi" w:cstheme="majorBidi"/>
        </w:rPr>
      </w:pPr>
    </w:p>
    <w:p w14:paraId="27B8D387" w14:textId="0B4533B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noProof/>
        </w:rPr>
        <w:drawing>
          <wp:inline distT="0" distB="0" distL="0" distR="0" wp14:anchorId="2673864B" wp14:editId="38F3BDD1">
            <wp:extent cx="4122420" cy="3435350"/>
            <wp:effectExtent l="0" t="0" r="0" b="0"/>
            <wp:docPr id="11990837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812117" name="Picture 1465812117"/>
                    <pic:cNvPicPr/>
                  </pic:nvPicPr>
                  <pic:blipFill>
                    <a:blip r:embed="rId11"/>
                    <a:stretch>
                      <a:fillRect/>
                    </a:stretch>
                  </pic:blipFill>
                  <pic:spPr>
                    <a:xfrm>
                      <a:off x="0" y="0"/>
                      <a:ext cx="4122420" cy="3435350"/>
                    </a:xfrm>
                    <a:prstGeom prst="rect">
                      <a:avLst/>
                    </a:prstGeom>
                  </pic:spPr>
                </pic:pic>
              </a:graphicData>
            </a:graphic>
          </wp:inline>
        </w:drawing>
      </w:r>
    </w:p>
    <w:p w14:paraId="3B932E16" w14:textId="77777777" w:rsidR="0066235A" w:rsidRDefault="0066235A" w:rsidP="004C06C3">
      <w:pPr>
        <w:pStyle w:val="Caption"/>
      </w:pPr>
    </w:p>
    <w:p w14:paraId="18E4B6D8" w14:textId="77777777" w:rsidR="0066235A" w:rsidRDefault="0066235A" w:rsidP="004C06C3">
      <w:pPr>
        <w:pStyle w:val="Caption"/>
      </w:pPr>
    </w:p>
    <w:p w14:paraId="5D295003" w14:textId="77777777" w:rsidR="0066235A" w:rsidRDefault="0066235A" w:rsidP="004C06C3">
      <w:pPr>
        <w:pStyle w:val="Caption"/>
      </w:pPr>
    </w:p>
    <w:p w14:paraId="411FC1DA" w14:textId="77777777" w:rsidR="0066235A" w:rsidRDefault="0066235A" w:rsidP="004C06C3">
      <w:pPr>
        <w:pStyle w:val="Caption"/>
      </w:pPr>
    </w:p>
    <w:p w14:paraId="4FDAB844" w14:textId="77777777" w:rsidR="0066235A" w:rsidRDefault="0066235A" w:rsidP="004C06C3">
      <w:pPr>
        <w:pStyle w:val="Caption"/>
      </w:pPr>
    </w:p>
    <w:p w14:paraId="553521A5" w14:textId="77777777" w:rsidR="0066235A" w:rsidRDefault="0066235A" w:rsidP="004C06C3">
      <w:pPr>
        <w:pStyle w:val="Caption"/>
      </w:pPr>
    </w:p>
    <w:p w14:paraId="4E60302B" w14:textId="77777777" w:rsidR="0066235A" w:rsidRDefault="0066235A" w:rsidP="004C06C3">
      <w:pPr>
        <w:pStyle w:val="Caption"/>
      </w:pPr>
    </w:p>
    <w:p w14:paraId="2B0A719C" w14:textId="77777777" w:rsidR="0066235A" w:rsidRDefault="0066235A" w:rsidP="004C06C3">
      <w:pPr>
        <w:pStyle w:val="Caption"/>
      </w:pPr>
    </w:p>
    <w:p w14:paraId="25D611AA" w14:textId="77777777" w:rsidR="0066235A" w:rsidRDefault="0066235A" w:rsidP="004C06C3">
      <w:pPr>
        <w:pStyle w:val="Caption"/>
      </w:pPr>
    </w:p>
    <w:p w14:paraId="11D7FABF" w14:textId="77777777" w:rsidR="0066235A" w:rsidRDefault="0066235A" w:rsidP="004C06C3">
      <w:pPr>
        <w:pStyle w:val="Caption"/>
      </w:pPr>
    </w:p>
    <w:p w14:paraId="19D22952" w14:textId="77777777" w:rsidR="0066235A" w:rsidRDefault="0066235A" w:rsidP="004C06C3">
      <w:pPr>
        <w:pStyle w:val="Caption"/>
      </w:pPr>
    </w:p>
    <w:p w14:paraId="2D3125B0" w14:textId="77777777" w:rsidR="0066235A" w:rsidRDefault="0066235A" w:rsidP="004C06C3">
      <w:pPr>
        <w:pStyle w:val="Caption"/>
      </w:pPr>
    </w:p>
    <w:p w14:paraId="282F3855" w14:textId="77777777" w:rsidR="0066235A" w:rsidRDefault="0066235A" w:rsidP="004C06C3">
      <w:pPr>
        <w:pStyle w:val="Caption"/>
      </w:pPr>
    </w:p>
    <w:p w14:paraId="6CC78CB1" w14:textId="77777777" w:rsidR="0066235A" w:rsidRDefault="0066235A" w:rsidP="004C06C3">
      <w:pPr>
        <w:pStyle w:val="Caption"/>
      </w:pPr>
    </w:p>
    <w:p w14:paraId="03801699" w14:textId="77777777" w:rsidR="0066235A" w:rsidRDefault="0066235A" w:rsidP="004C06C3">
      <w:pPr>
        <w:pStyle w:val="Caption"/>
      </w:pPr>
    </w:p>
    <w:p w14:paraId="78979A50" w14:textId="3E6D55C4" w:rsidR="004C06C3" w:rsidRPr="00145769" w:rsidRDefault="004C06C3" w:rsidP="004C06C3">
      <w:pPr>
        <w:pStyle w:val="Caption"/>
        <w:rPr>
          <w:rFonts w:asciiTheme="majorBidi" w:hAnsiTheme="majorBidi" w:cstheme="majorBidi"/>
          <w:color w:val="auto"/>
          <w:sz w:val="24"/>
          <w:szCs w:val="24"/>
          <w:lang w:val="en-GB"/>
        </w:rPr>
      </w:pPr>
      <w:r>
        <w:lastRenderedPageBreak/>
        <w:t xml:space="preserve">Table </w:t>
      </w:r>
      <w:r>
        <w:fldChar w:fldCharType="begin"/>
      </w:r>
      <w:r>
        <w:instrText xml:space="preserve"> SEQ Table \* ARABIC </w:instrText>
      </w:r>
      <w:r>
        <w:fldChar w:fldCharType="separate"/>
      </w:r>
      <w:r>
        <w:rPr>
          <w:noProof/>
        </w:rPr>
        <w:t>3</w:t>
      </w:r>
      <w:r>
        <w:rPr>
          <w:noProof/>
        </w:rPr>
        <w:fldChar w:fldCharType="end"/>
      </w:r>
      <w:r>
        <w:t xml:space="preserve"> </w:t>
      </w:r>
      <w:r w:rsidRPr="00972EDD">
        <w:t>AI, International Business Environment and Risk Drivers for Google (Menzies et al., 2024).</w:t>
      </w:r>
    </w:p>
    <w:p w14:paraId="6B07D8B6" w14:textId="77777777" w:rsidR="004C06C3" w:rsidRPr="00145769" w:rsidRDefault="004C06C3" w:rsidP="004C06C3">
      <w:pPr>
        <w:pStyle w:val="Caption"/>
        <w:rPr>
          <w:rFonts w:asciiTheme="majorBidi" w:hAnsiTheme="majorBidi" w:cstheme="majorBidi"/>
          <w:b w:val="0"/>
          <w:color w:val="auto"/>
          <w:sz w:val="24"/>
          <w:szCs w:val="24"/>
          <w:lang w:val="en-GB"/>
        </w:rPr>
      </w:pPr>
      <w:r>
        <w:t xml:space="preserve">Table </w:t>
      </w:r>
      <w:r>
        <w:fldChar w:fldCharType="begin"/>
      </w:r>
      <w:r>
        <w:instrText xml:space="preserve"> SEQ Table \* ARABIC </w:instrText>
      </w:r>
      <w:r>
        <w:fldChar w:fldCharType="separate"/>
      </w:r>
      <w:r>
        <w:rPr>
          <w:noProof/>
        </w:rPr>
        <w:t>4</w:t>
      </w:r>
      <w:r>
        <w:rPr>
          <w:noProof/>
        </w:rPr>
        <w:fldChar w:fldCharType="end"/>
      </w:r>
      <w:r>
        <w:t xml:space="preserve"> </w:t>
      </w:r>
      <w:r w:rsidRPr="00534768">
        <w:t>International business environment: external developments and management implications for Google.</w:t>
      </w:r>
    </w:p>
    <w:p w14:paraId="27119C74"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noProof/>
        </w:rPr>
        <w:drawing>
          <wp:inline distT="0" distB="0" distL="0" distR="0" wp14:anchorId="79C5DB35" wp14:editId="367769C1">
            <wp:extent cx="6217920" cy="5598795"/>
            <wp:effectExtent l="0" t="0" r="0" b="1905"/>
            <wp:docPr id="17084147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alphaModFix amt="85000"/>
                      <a:extLst>
                        <a:ext uri="{28A0092B-C50C-407E-A947-70E740481C1C}">
                          <a14:useLocalDpi xmlns:a14="http://schemas.microsoft.com/office/drawing/2010/main" val="0"/>
                        </a:ext>
                      </a:extLst>
                    </a:blip>
                    <a:srcRect/>
                    <a:stretch>
                      <a:fillRect/>
                    </a:stretch>
                  </pic:blipFill>
                  <pic:spPr bwMode="auto">
                    <a:xfrm>
                      <a:off x="0" y="0"/>
                      <a:ext cx="6217920" cy="5598795"/>
                    </a:xfrm>
                    <a:prstGeom prst="rect">
                      <a:avLst/>
                    </a:prstGeom>
                    <a:noFill/>
                    <a:ln>
                      <a:noFill/>
                    </a:ln>
                  </pic:spPr>
                </pic:pic>
              </a:graphicData>
            </a:graphic>
          </wp:inline>
        </w:drawing>
      </w:r>
    </w:p>
    <w:p w14:paraId="69ABDBFD"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Compliance complexity is related to cross-border studies that centre around regulatory fragmentation (Sharma et al., 2021, Dong and Zhang, 2024, Celestin, 2025, Dako et al., 2022, Dumitru and </w:t>
      </w:r>
      <w:proofErr w:type="spellStart"/>
      <w:r w:rsidRPr="00145769">
        <w:rPr>
          <w:rFonts w:asciiTheme="majorBidi" w:hAnsiTheme="majorBidi" w:cstheme="majorBidi"/>
        </w:rPr>
        <w:t>Brînză</w:t>
      </w:r>
      <w:proofErr w:type="spellEnd"/>
      <w:r w:rsidRPr="00145769">
        <w:rPr>
          <w:rFonts w:asciiTheme="majorBidi" w:hAnsiTheme="majorBidi" w:cstheme="majorBidi"/>
        </w:rPr>
        <w:t>, 2025, Al-</w:t>
      </w:r>
      <w:proofErr w:type="spellStart"/>
      <w:r w:rsidRPr="00145769">
        <w:rPr>
          <w:rFonts w:asciiTheme="majorBidi" w:hAnsiTheme="majorBidi" w:cstheme="majorBidi"/>
        </w:rPr>
        <w:t>haimi</w:t>
      </w:r>
      <w:proofErr w:type="spellEnd"/>
      <w:r w:rsidRPr="00145769">
        <w:rPr>
          <w:rFonts w:asciiTheme="majorBidi" w:hAnsiTheme="majorBidi" w:cstheme="majorBidi"/>
        </w:rPr>
        <w:t xml:space="preserve"> and </w:t>
      </w:r>
      <w:proofErr w:type="spellStart"/>
      <w:r w:rsidRPr="00145769">
        <w:rPr>
          <w:rFonts w:asciiTheme="majorBidi" w:hAnsiTheme="majorBidi" w:cstheme="majorBidi"/>
        </w:rPr>
        <w:t>Chuanjie</w:t>
      </w:r>
      <w:proofErr w:type="spellEnd"/>
      <w:r w:rsidRPr="00145769">
        <w:rPr>
          <w:rFonts w:asciiTheme="majorBidi" w:hAnsiTheme="majorBidi" w:cstheme="majorBidi"/>
        </w:rPr>
        <w:t>, 2025).</w:t>
      </w:r>
    </w:p>
    <w:p w14:paraId="01236E8D" w14:textId="77777777" w:rsidR="004C06C3" w:rsidRPr="00145769" w:rsidRDefault="004C06C3" w:rsidP="004C06C3">
      <w:pPr>
        <w:pStyle w:val="Heading1"/>
        <w:spacing w:line="360" w:lineRule="auto"/>
        <w:jc w:val="both"/>
        <w:rPr>
          <w:rFonts w:asciiTheme="majorBidi" w:hAnsiTheme="majorBidi"/>
          <w:color w:val="auto"/>
          <w:sz w:val="24"/>
          <w:szCs w:val="24"/>
        </w:rPr>
      </w:pPr>
      <w:bookmarkStart w:id="4" w:name="_Toc242440444"/>
      <w:r w:rsidRPr="00145769">
        <w:rPr>
          <w:rFonts w:asciiTheme="majorBidi" w:hAnsiTheme="majorBidi"/>
          <w:color w:val="auto"/>
          <w:sz w:val="24"/>
          <w:szCs w:val="24"/>
        </w:rPr>
        <w:t>3. AI and Risk Management at Google</w:t>
      </w:r>
      <w:bookmarkEnd w:id="4"/>
    </w:p>
    <w:p w14:paraId="4754D171"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The use of AI alters the risk landscape for Google, as the systems that generate economic benefits can also produce legal and reputational risks and operational vulnerabilities. The advantage of Enterprise Risk Management is that it helps align the process of risk identification to the process of decision making – it addresses risk as discrete process instead of risk as just </w:t>
      </w:r>
      <w:r w:rsidRPr="00145769">
        <w:rPr>
          <w:rFonts w:asciiTheme="majorBidi" w:hAnsiTheme="majorBidi" w:cstheme="majorBidi"/>
        </w:rPr>
        <w:lastRenderedPageBreak/>
        <w:t>a control process. Risk-management research indicates risk processes when applied within decision making are more effective (</w:t>
      </w:r>
      <w:proofErr w:type="spellStart"/>
      <w:r w:rsidRPr="00145769">
        <w:rPr>
          <w:rFonts w:asciiTheme="majorBidi" w:hAnsiTheme="majorBidi" w:cstheme="majorBidi"/>
        </w:rPr>
        <w:t>Crovini</w:t>
      </w:r>
      <w:proofErr w:type="spellEnd"/>
      <w:r w:rsidRPr="00145769">
        <w:rPr>
          <w:rFonts w:asciiTheme="majorBidi" w:hAnsiTheme="majorBidi" w:cstheme="majorBidi"/>
        </w:rPr>
        <w:t>, Santoro and Ossola, 2021). While their study is focused upon SMEs, the principle is applicable to Google: AI risk needs to be a fleeting consideration at the outset of any product specifications, investment and deployment. Studies on enterprise risk management also provide evidence of correlation between structured risk management processes and firm's performance, but this correlation is dependent on the firm's resources and capabilities (Saeidi et al., 2021).</w:t>
      </w:r>
    </w:p>
    <w:p w14:paraId="1BF3BB10"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The first type of risk is a strategic risk. AI currently is altering arenas like search, ad, and consumer tech and there's pressure on Google to be more innovative and rapid. The exploration of today's companies reveals variations between Google and MSFT in terms of strategies, partnerships, infrastructure, and integration and risk management in terms of advanced AI (</w:t>
      </w:r>
      <w:proofErr w:type="spellStart"/>
      <w:r w:rsidRPr="00145769">
        <w:rPr>
          <w:rFonts w:asciiTheme="majorBidi" w:hAnsiTheme="majorBidi" w:cstheme="majorBidi"/>
        </w:rPr>
        <w:t>Odhabi</w:t>
      </w:r>
      <w:proofErr w:type="spellEnd"/>
      <w:r w:rsidRPr="00145769">
        <w:rPr>
          <w:rFonts w:asciiTheme="majorBidi" w:hAnsiTheme="majorBidi" w:cstheme="majorBidi"/>
        </w:rPr>
        <w:t xml:space="preserve"> and Abi-Raad, 2024). But AI investment doesn't translate to a competitive advantage. This is because the value is increasingly dependent on complementary organisational capabilities, which can be transformed by AI in accordance with the argument of Krakowski, Luger and Raisch (2023). Data, technology, human skill and organisational coordination are the other components of AI capability identified by </w:t>
      </w:r>
      <w:proofErr w:type="spellStart"/>
      <w:r w:rsidRPr="00145769">
        <w:rPr>
          <w:rFonts w:asciiTheme="majorBidi" w:hAnsiTheme="majorBidi" w:cstheme="majorBidi"/>
        </w:rPr>
        <w:t>Mikalef</w:t>
      </w:r>
      <w:proofErr w:type="spellEnd"/>
      <w:r w:rsidRPr="00145769">
        <w:rPr>
          <w:rFonts w:asciiTheme="majorBidi" w:hAnsiTheme="majorBidi" w:cstheme="majorBidi"/>
        </w:rPr>
        <w:t xml:space="preserve"> and Gupta (2021). The underlying message is that capacity of good governance is itself can be a strategic resource.</w:t>
      </w:r>
    </w:p>
    <w:p w14:paraId="705C200A"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The second are called operational and model risk. AI systems can produce unreliable and inconsistent outputs, which can be biased and error-prone, especially when operating outside their context of use. Weidinger et al. (2022) have given a categorisation of the many hazards associated with the use and deployment of language models, such as discrimination, misinformation, privacy and malicious use. Bender et al. (2021) also warn about the potential for big language models to perpetuate undesirable patterns from their training data, which are not effectively addressed by scaling the models up. Thus, there is a need for risk assessment at model/product, as well as use-case level on Google. The advertising business makes a good point: </w:t>
      </w:r>
      <w:proofErr w:type="spellStart"/>
      <w:r w:rsidRPr="00145769">
        <w:rPr>
          <w:rFonts w:asciiTheme="majorBidi" w:hAnsiTheme="majorBidi" w:cstheme="majorBidi"/>
        </w:rPr>
        <w:t>Chukurna</w:t>
      </w:r>
      <w:proofErr w:type="spellEnd"/>
      <w:r w:rsidRPr="00145769">
        <w:rPr>
          <w:rFonts w:asciiTheme="majorBidi" w:hAnsiTheme="majorBidi" w:cstheme="majorBidi"/>
        </w:rPr>
        <w:t xml:space="preserve"> et al. (2024) found that significant measurement differences can occur for AI-supported evaluations due to little to no contextual adaptations with generic approaches.</w:t>
      </w:r>
    </w:p>
    <w:p w14:paraId="19460790"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Significant financial and compliance risks also exist. Having AI-driven risk assessments can enhance monitoring and streamline the analysis process, however, research about financial operations cautions that AI replace the human element under the guard of corporate governance (Adekunle et al., 2023; Faisal, Khan and Ishrat, 2025; Malik et al., 2025). In the operational risk research, the benefits from the technological innovation are depicted as delivering more </w:t>
      </w:r>
      <w:r w:rsidRPr="00145769">
        <w:rPr>
          <w:rFonts w:asciiTheme="majorBidi" w:hAnsiTheme="majorBidi" w:cstheme="majorBidi"/>
        </w:rPr>
        <w:lastRenderedPageBreak/>
        <w:t>effectiveness for monitoring, and the burden of some new dependencies and newly required control functions (</w:t>
      </w:r>
      <w:proofErr w:type="spellStart"/>
      <w:r w:rsidRPr="00145769">
        <w:rPr>
          <w:rFonts w:asciiTheme="majorBidi" w:hAnsiTheme="majorBidi" w:cstheme="majorBidi"/>
        </w:rPr>
        <w:t>Santorry</w:t>
      </w:r>
      <w:proofErr w:type="spellEnd"/>
      <w:r w:rsidRPr="00145769">
        <w:rPr>
          <w:rFonts w:asciiTheme="majorBidi" w:hAnsiTheme="majorBidi" w:cstheme="majorBidi"/>
        </w:rPr>
        <w:t xml:space="preserve">, 2024; </w:t>
      </w:r>
      <w:proofErr w:type="spellStart"/>
      <w:r w:rsidRPr="00145769">
        <w:rPr>
          <w:rFonts w:asciiTheme="majorBidi" w:hAnsiTheme="majorBidi" w:cstheme="majorBidi"/>
        </w:rPr>
        <w:t>Sozonovitch</w:t>
      </w:r>
      <w:proofErr w:type="spellEnd"/>
      <w:r w:rsidRPr="00145769">
        <w:rPr>
          <w:rFonts w:asciiTheme="majorBidi" w:hAnsiTheme="majorBidi" w:cstheme="majorBidi"/>
        </w:rPr>
        <w:t xml:space="preserve">, </w:t>
      </w:r>
      <w:proofErr w:type="spellStart"/>
      <w:r w:rsidRPr="00145769">
        <w:rPr>
          <w:rFonts w:asciiTheme="majorBidi" w:hAnsiTheme="majorBidi" w:cstheme="majorBidi"/>
        </w:rPr>
        <w:t>Buikin</w:t>
      </w:r>
      <w:proofErr w:type="spellEnd"/>
      <w:r w:rsidRPr="00145769">
        <w:rPr>
          <w:rFonts w:asciiTheme="majorBidi" w:hAnsiTheme="majorBidi" w:cstheme="majorBidi"/>
        </w:rPr>
        <w:t xml:space="preserve"> and </w:t>
      </w:r>
      <w:proofErr w:type="spellStart"/>
      <w:r w:rsidRPr="00145769">
        <w:rPr>
          <w:rFonts w:asciiTheme="majorBidi" w:hAnsiTheme="majorBidi" w:cstheme="majorBidi"/>
        </w:rPr>
        <w:t>Pitelinskiy</w:t>
      </w:r>
      <w:proofErr w:type="spellEnd"/>
      <w:r w:rsidRPr="00145769">
        <w:rPr>
          <w:rFonts w:asciiTheme="majorBidi" w:hAnsiTheme="majorBidi" w:cstheme="majorBidi"/>
        </w:rPr>
        <w:t>, 2021). Thus, risk representation can be shaped up like this.</w:t>
      </w:r>
    </w:p>
    <w:p w14:paraId="2E9CD064" w14:textId="77777777" w:rsidR="004C06C3" w:rsidRPr="00145769" w:rsidRDefault="004C06C3" w:rsidP="004C06C3">
      <w:pPr>
        <w:pStyle w:val="Caption"/>
        <w:rPr>
          <w:rFonts w:asciiTheme="majorBidi" w:hAnsiTheme="majorBidi" w:cstheme="majorBidi"/>
          <w:color w:val="auto"/>
          <w:sz w:val="24"/>
          <w:szCs w:val="24"/>
          <w:lang w:val="en-GB"/>
        </w:rPr>
      </w:pPr>
      <w:r>
        <w:t xml:space="preserve">Table </w:t>
      </w:r>
      <w:r>
        <w:fldChar w:fldCharType="begin"/>
      </w:r>
      <w:r>
        <w:instrText xml:space="preserve"> SEQ Table \* ARABIC </w:instrText>
      </w:r>
      <w:r>
        <w:fldChar w:fldCharType="separate"/>
      </w:r>
      <w:r>
        <w:rPr>
          <w:noProof/>
        </w:rPr>
        <w:t>5</w:t>
      </w:r>
      <w:r>
        <w:rPr>
          <w:noProof/>
        </w:rPr>
        <w:fldChar w:fldCharType="end"/>
      </w:r>
      <w:r>
        <w:t xml:space="preserve"> </w:t>
      </w:r>
      <w:r w:rsidRPr="00E27A58">
        <w:t>AI-related risk register: exposure, consequence and management response.</w:t>
      </w:r>
    </w:p>
    <w:p w14:paraId="50F36531" w14:textId="77777777" w:rsidR="004C06C3" w:rsidRPr="00145769" w:rsidRDefault="004C06C3" w:rsidP="004C06C3">
      <w:pPr>
        <w:spacing w:line="360" w:lineRule="auto"/>
        <w:jc w:val="both"/>
        <w:rPr>
          <w:rFonts w:asciiTheme="majorBidi" w:hAnsiTheme="majorBidi" w:cstheme="majorBidi"/>
        </w:rPr>
      </w:pPr>
    </w:p>
    <w:p w14:paraId="247DF2FA"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noProof/>
        </w:rPr>
        <w:drawing>
          <wp:inline distT="0" distB="0" distL="0" distR="0" wp14:anchorId="1E20E15D" wp14:editId="6E7274DD">
            <wp:extent cx="6217920" cy="4562475"/>
            <wp:effectExtent l="0" t="0" r="0" b="9525"/>
            <wp:docPr id="1012011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alphaModFix amt="85000"/>
                      <a:extLst>
                        <a:ext uri="{28A0092B-C50C-407E-A947-70E740481C1C}">
                          <a14:useLocalDpi xmlns:a14="http://schemas.microsoft.com/office/drawing/2010/main" val="0"/>
                        </a:ext>
                      </a:extLst>
                    </a:blip>
                    <a:srcRect/>
                    <a:stretch>
                      <a:fillRect/>
                    </a:stretch>
                  </pic:blipFill>
                  <pic:spPr bwMode="auto">
                    <a:xfrm>
                      <a:off x="0" y="0"/>
                      <a:ext cx="6217920" cy="4562475"/>
                    </a:xfrm>
                    <a:prstGeom prst="rect">
                      <a:avLst/>
                    </a:prstGeom>
                    <a:noFill/>
                    <a:ln>
                      <a:noFill/>
                    </a:ln>
                  </pic:spPr>
                </pic:pic>
              </a:graphicData>
            </a:graphic>
          </wp:inline>
        </w:drawing>
      </w:r>
    </w:p>
    <w:p w14:paraId="0EDF230F"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Taking Cyber &amp; Supply chain is another concern. Thus, digital transformation can lead to greater interdependence between data sources and clouds, software and external vendors, </w:t>
      </w:r>
      <w:proofErr w:type="gramStart"/>
      <w:r w:rsidRPr="00145769">
        <w:rPr>
          <w:rFonts w:asciiTheme="majorBidi" w:hAnsiTheme="majorBidi" w:cstheme="majorBidi"/>
        </w:rPr>
        <w:t>and also</w:t>
      </w:r>
      <w:proofErr w:type="gramEnd"/>
      <w:r w:rsidRPr="00145769">
        <w:rPr>
          <w:rFonts w:asciiTheme="majorBidi" w:hAnsiTheme="majorBidi" w:cstheme="majorBidi"/>
        </w:rPr>
        <w:t xml:space="preserve"> apply to strategic planning with the help of AI-driven analytics (Rane et al., 2024; Schmitt, 2023). According to the research on supply chain, the Digital transformation can bring new visibility and new vulnerabilities to the chain (</w:t>
      </w:r>
      <w:proofErr w:type="spellStart"/>
      <w:r w:rsidRPr="00145769">
        <w:rPr>
          <w:rFonts w:asciiTheme="majorBidi" w:hAnsiTheme="majorBidi" w:cstheme="majorBidi"/>
        </w:rPr>
        <w:t>Rauniyar</w:t>
      </w:r>
      <w:proofErr w:type="spellEnd"/>
      <w:r w:rsidRPr="00145769">
        <w:rPr>
          <w:rFonts w:asciiTheme="majorBidi" w:hAnsiTheme="majorBidi" w:cstheme="majorBidi"/>
        </w:rPr>
        <w:t xml:space="preserve"> et al., 2023). Likewise, cross-border governance research also sees the existence of interdependence between the two aspects, that is, between policy and compliance on the one hand and cyber risk on the other (Sharma et al., 2021). Google should therefore review AI systems throughout their entire lifecycle involving third-party models and data sets, API's and downstream users.</w:t>
      </w:r>
    </w:p>
    <w:p w14:paraId="2150BFCE"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lastRenderedPageBreak/>
        <w:t>AI risk assessment should be integrated into the AI products development, investment approval and post-deployment monitoring for future security. These studies highlight the importance of attitudes to risks for organizational choices (Dvorsky et al., 2021) and call for a better coordination and integration between risks management and decision making (</w:t>
      </w:r>
      <w:proofErr w:type="spellStart"/>
      <w:r w:rsidRPr="00145769">
        <w:rPr>
          <w:rFonts w:asciiTheme="majorBidi" w:hAnsiTheme="majorBidi" w:cstheme="majorBidi"/>
        </w:rPr>
        <w:t>Crovini</w:t>
      </w:r>
      <w:proofErr w:type="spellEnd"/>
      <w:r w:rsidRPr="00145769">
        <w:rPr>
          <w:rFonts w:asciiTheme="majorBidi" w:hAnsiTheme="majorBidi" w:cstheme="majorBidi"/>
        </w:rPr>
        <w:t xml:space="preserve">, Santoro and Ossola, 2021). For Google, this has meant that any risk data that is given to top company executives should look </w:t>
      </w:r>
      <w:proofErr w:type="gramStart"/>
      <w:r w:rsidRPr="00145769">
        <w:rPr>
          <w:rFonts w:asciiTheme="majorBidi" w:hAnsiTheme="majorBidi" w:cstheme="majorBidi"/>
        </w:rPr>
        <w:t>similar to</w:t>
      </w:r>
      <w:proofErr w:type="gramEnd"/>
      <w:r w:rsidRPr="00145769">
        <w:rPr>
          <w:rFonts w:asciiTheme="majorBidi" w:hAnsiTheme="majorBidi" w:cstheme="majorBidi"/>
        </w:rPr>
        <w:t xml:space="preserve"> performance data. Only introduce AI where benefit/value can be seen, together with the residual risk and accountability.</w:t>
      </w:r>
    </w:p>
    <w:p w14:paraId="31DB1502" w14:textId="77777777" w:rsidR="004C06C3" w:rsidRPr="00145769" w:rsidRDefault="004C06C3" w:rsidP="004C06C3">
      <w:pPr>
        <w:spacing w:line="360" w:lineRule="auto"/>
        <w:jc w:val="both"/>
        <w:rPr>
          <w:rFonts w:asciiTheme="majorBidi" w:hAnsiTheme="majorBidi" w:cstheme="majorBidi"/>
          <w:b/>
        </w:rPr>
      </w:pPr>
      <w:r w:rsidRPr="00145769">
        <w:rPr>
          <w:rFonts w:asciiTheme="majorBidi" w:hAnsiTheme="majorBidi" w:cstheme="majorBidi"/>
          <w:b/>
          <w:noProof/>
        </w:rPr>
        <w:drawing>
          <wp:inline distT="0" distB="0" distL="0" distR="0" wp14:anchorId="37FA3873" wp14:editId="5B68A319">
            <wp:extent cx="5905500" cy="3937000"/>
            <wp:effectExtent l="0" t="0" r="0" b="6350"/>
            <wp:docPr id="12254166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05500" cy="3937000"/>
                    </a:xfrm>
                    <a:prstGeom prst="rect">
                      <a:avLst/>
                    </a:prstGeom>
                    <a:noFill/>
                  </pic:spPr>
                </pic:pic>
              </a:graphicData>
            </a:graphic>
          </wp:inline>
        </w:drawing>
      </w:r>
    </w:p>
    <w:p w14:paraId="3CC1B908" w14:textId="48677147" w:rsidR="004C06C3" w:rsidRPr="00145769" w:rsidRDefault="004C06C3" w:rsidP="0066235A">
      <w:pPr>
        <w:pStyle w:val="Caption"/>
        <w:jc w:val="center"/>
        <w:rPr>
          <w:rFonts w:asciiTheme="majorBidi" w:hAnsiTheme="majorBidi" w:cstheme="majorBidi"/>
          <w:color w:val="auto"/>
          <w:sz w:val="24"/>
          <w:szCs w:val="24"/>
          <w:lang w:val="en-GB"/>
        </w:rPr>
      </w:pPr>
      <w:r>
        <w:t xml:space="preserve">Table </w:t>
      </w:r>
      <w:r>
        <w:fldChar w:fldCharType="begin"/>
      </w:r>
      <w:r>
        <w:instrText xml:space="preserve"> SEQ Table \* ARABIC </w:instrText>
      </w:r>
      <w:r>
        <w:fldChar w:fldCharType="separate"/>
      </w:r>
      <w:r>
        <w:rPr>
          <w:noProof/>
        </w:rPr>
        <w:t>6</w:t>
      </w:r>
      <w:r>
        <w:rPr>
          <w:noProof/>
        </w:rPr>
        <w:fldChar w:fldCharType="end"/>
      </w:r>
      <w:r>
        <w:t xml:space="preserve"> </w:t>
      </w:r>
      <w:r w:rsidRPr="00F53E64">
        <w:t>AI enterprise risk-management cycle for Google: identify, assess, control, monitor and learn Source: Adapted from Tabassi (2023).</w:t>
      </w:r>
    </w:p>
    <w:p w14:paraId="6EE4306F" w14:textId="77777777" w:rsidR="004C06C3" w:rsidRPr="00145769" w:rsidRDefault="004C06C3" w:rsidP="004C06C3">
      <w:pPr>
        <w:pStyle w:val="Heading1"/>
        <w:spacing w:line="360" w:lineRule="auto"/>
        <w:jc w:val="both"/>
        <w:rPr>
          <w:rFonts w:asciiTheme="majorBidi" w:hAnsiTheme="majorBidi"/>
          <w:color w:val="auto"/>
          <w:sz w:val="24"/>
          <w:szCs w:val="24"/>
        </w:rPr>
      </w:pPr>
      <w:bookmarkStart w:id="5" w:name="_Toc242440445"/>
      <w:r w:rsidRPr="00145769">
        <w:rPr>
          <w:rFonts w:asciiTheme="majorBidi" w:hAnsiTheme="majorBidi"/>
          <w:color w:val="auto"/>
          <w:sz w:val="24"/>
          <w:szCs w:val="24"/>
        </w:rPr>
        <w:lastRenderedPageBreak/>
        <w:t>4. Data Governance and Ethical AI</w:t>
      </w:r>
      <w:bookmarkEnd w:id="5"/>
    </w:p>
    <w:p w14:paraId="43230BEF" w14:textId="77777777" w:rsidR="004C06C3" w:rsidRPr="00145769" w:rsidRDefault="004C06C3" w:rsidP="004C06C3">
      <w:pPr>
        <w:spacing w:line="360" w:lineRule="auto"/>
        <w:jc w:val="center"/>
        <w:rPr>
          <w:rFonts w:asciiTheme="majorBidi" w:hAnsiTheme="majorBidi" w:cstheme="majorBidi"/>
        </w:rPr>
      </w:pPr>
      <w:r w:rsidRPr="00145769">
        <w:rPr>
          <w:rFonts w:asciiTheme="majorBidi" w:hAnsiTheme="majorBidi" w:cstheme="majorBidi"/>
          <w:noProof/>
        </w:rPr>
        <w:drawing>
          <wp:inline distT="0" distB="0" distL="0" distR="0" wp14:anchorId="5FD37C8A" wp14:editId="17CE2B87">
            <wp:extent cx="5007660" cy="4892947"/>
            <wp:effectExtent l="0" t="0" r="2540" b="3175"/>
            <wp:docPr id="13187160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023007" cy="4907943"/>
                    </a:xfrm>
                    <a:prstGeom prst="rect">
                      <a:avLst/>
                    </a:prstGeom>
                    <a:noFill/>
                  </pic:spPr>
                </pic:pic>
              </a:graphicData>
            </a:graphic>
          </wp:inline>
        </w:drawing>
      </w:r>
    </w:p>
    <w:p w14:paraId="328DA22C" w14:textId="77777777" w:rsidR="004C06C3" w:rsidRPr="00145769" w:rsidRDefault="004C06C3" w:rsidP="0066235A">
      <w:pPr>
        <w:pStyle w:val="Caption"/>
        <w:jc w:val="center"/>
        <w:rPr>
          <w:rFonts w:asciiTheme="majorBidi" w:hAnsiTheme="majorBidi" w:cstheme="majorBidi"/>
          <w:color w:val="auto"/>
          <w:sz w:val="24"/>
          <w:szCs w:val="24"/>
          <w:lang w:val="en-GB"/>
        </w:rPr>
      </w:pPr>
      <w:r>
        <w:t xml:space="preserve">Table </w:t>
      </w:r>
      <w:r>
        <w:fldChar w:fldCharType="begin"/>
      </w:r>
      <w:r>
        <w:instrText xml:space="preserve"> SEQ Table \* ARABIC </w:instrText>
      </w:r>
      <w:r>
        <w:fldChar w:fldCharType="separate"/>
      </w:r>
      <w:r>
        <w:rPr>
          <w:noProof/>
        </w:rPr>
        <w:t>7</w:t>
      </w:r>
      <w:r>
        <w:rPr>
          <w:noProof/>
        </w:rPr>
        <w:fldChar w:fldCharType="end"/>
      </w:r>
      <w:r>
        <w:t xml:space="preserve"> </w:t>
      </w:r>
      <w:r w:rsidRPr="00CF50D3">
        <w:t>Data Governance and Ethical AI (Fraz, 2025).</w:t>
      </w:r>
    </w:p>
    <w:p w14:paraId="7E933D5C"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Data-driven is an integral part of Google's strategy and could also pose risk. So, data governance plays a crucial role in the process of AI risk management. Abraham, Schneider and </w:t>
      </w:r>
      <w:proofErr w:type="spellStart"/>
      <w:r w:rsidRPr="00145769">
        <w:rPr>
          <w:rFonts w:asciiTheme="majorBidi" w:hAnsiTheme="majorBidi" w:cstheme="majorBidi"/>
        </w:rPr>
        <w:t>vom</w:t>
      </w:r>
      <w:proofErr w:type="spellEnd"/>
      <w:r w:rsidRPr="00145769">
        <w:rPr>
          <w:rFonts w:asciiTheme="majorBidi" w:hAnsiTheme="majorBidi" w:cstheme="majorBidi"/>
        </w:rPr>
        <w:t xml:space="preserve"> Brocke (2019) define data governance as the task of exercising authority and control over data to control and increase its value while at the same time lower cost and risk associated with data. Their model can also be applied to Google, as AI systems require complex sets of data. Governance will include aspects that apply to ownership, access, quality, security, lineage, retention and beyond privacy permitted use.</w:t>
      </w:r>
    </w:p>
    <w:p w14:paraId="71A5E848"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The studies indicate that healthcare services are utilized to the greatest extent when search results are presented to them more closely. The studies suggest that AI-based personalization and search optimization integrations can be correlated to real-time data and user profiling, with noted concerns of privacy and ethics (</w:t>
      </w:r>
      <w:proofErr w:type="spellStart"/>
      <w:r w:rsidRPr="00145769">
        <w:rPr>
          <w:rFonts w:asciiTheme="majorBidi" w:hAnsiTheme="majorBidi" w:cstheme="majorBidi"/>
        </w:rPr>
        <w:t>Bonthu</w:t>
      </w:r>
      <w:proofErr w:type="spellEnd"/>
      <w:r w:rsidRPr="00145769">
        <w:rPr>
          <w:rFonts w:asciiTheme="majorBidi" w:hAnsiTheme="majorBidi" w:cstheme="majorBidi"/>
        </w:rPr>
        <w:t xml:space="preserve">, 2025). A formal "compliance" approach can be </w:t>
      </w:r>
      <w:r w:rsidRPr="00145769">
        <w:rPr>
          <w:rFonts w:asciiTheme="majorBidi" w:hAnsiTheme="majorBidi" w:cstheme="majorBidi"/>
        </w:rPr>
        <w:lastRenderedPageBreak/>
        <w:t>successful in meeting the compliance requirement but unable to offer information to users about what data is being used to support AI services.</w:t>
      </w:r>
    </w:p>
    <w:p w14:paraId="04CD07B9"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A third data-governance problem is the EU's environment. The Digital Markets Act (DMA) has spurred the European Commission to seek action that would mandate the provision of anonymous search data from Google Search to other search engines that meet the criteria, such as AI search services, as implemented by Alphabet. In July 2026, the Commission made a final Specification decision (European Commission, 2026b). This was a classic governance dilemma: Data can be a competitive company asset, a </w:t>
      </w:r>
      <w:proofErr w:type="gramStart"/>
      <w:r w:rsidRPr="00145769">
        <w:rPr>
          <w:rFonts w:asciiTheme="majorBidi" w:hAnsiTheme="majorBidi" w:cstheme="majorBidi"/>
        </w:rPr>
        <w:t>regulatory sources</w:t>
      </w:r>
      <w:proofErr w:type="gramEnd"/>
      <w:r w:rsidRPr="00145769">
        <w:rPr>
          <w:rFonts w:asciiTheme="majorBidi" w:hAnsiTheme="majorBidi" w:cstheme="majorBidi"/>
        </w:rPr>
        <w:t>, as well as a privacy issue. Google needs to be able to tell the difference between information that it can share and information that shouldn't be exposed, and stick to technical controls and auditable decisions rules.</w:t>
      </w:r>
    </w:p>
    <w:p w14:paraId="48ADF788"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An ethical AI related problem arises. Despite similarities in embracing shared ideas of transparency, fairness, responsibility and privacy, Jobin, Ienca and </w:t>
      </w:r>
      <w:proofErr w:type="spellStart"/>
      <w:r w:rsidRPr="00145769">
        <w:rPr>
          <w:rFonts w:asciiTheme="majorBidi" w:hAnsiTheme="majorBidi" w:cstheme="majorBidi"/>
        </w:rPr>
        <w:t>Vayena</w:t>
      </w:r>
      <w:proofErr w:type="spellEnd"/>
      <w:r w:rsidRPr="00145769">
        <w:rPr>
          <w:rFonts w:asciiTheme="majorBidi" w:hAnsiTheme="majorBidi" w:cstheme="majorBidi"/>
        </w:rPr>
        <w:t xml:space="preserve"> (2019) concluded that there is a significant lack of agreement on both the definition and application of these principles. The bias and fairness issues also continue to be concerns with AI, as stated by Eyo-Udo et al., (2025), </w:t>
      </w:r>
      <w:proofErr w:type="spellStart"/>
      <w:r w:rsidRPr="00145769">
        <w:rPr>
          <w:rFonts w:asciiTheme="majorBidi" w:hAnsiTheme="majorBidi" w:cstheme="majorBidi"/>
        </w:rPr>
        <w:t>Oyeniran</w:t>
      </w:r>
      <w:proofErr w:type="spellEnd"/>
      <w:r w:rsidRPr="00145769">
        <w:rPr>
          <w:rFonts w:asciiTheme="majorBidi" w:hAnsiTheme="majorBidi" w:cstheme="majorBidi"/>
        </w:rPr>
        <w:t xml:space="preserve"> et al., (2022) and Patel (2021). More thorough studies reveal that there is no single statistical definition of fairness, as such definitions must necessarily </w:t>
      </w:r>
      <w:proofErr w:type="gramStart"/>
      <w:r w:rsidRPr="00145769">
        <w:rPr>
          <w:rFonts w:asciiTheme="majorBidi" w:hAnsiTheme="majorBidi" w:cstheme="majorBidi"/>
        </w:rPr>
        <w:t>take into account</w:t>
      </w:r>
      <w:proofErr w:type="gramEnd"/>
      <w:r w:rsidRPr="00145769">
        <w:rPr>
          <w:rFonts w:asciiTheme="majorBidi" w:hAnsiTheme="majorBidi" w:cstheme="majorBidi"/>
        </w:rPr>
        <w:t xml:space="preserve"> the type of fairness at stake and the target group(s) involved (Giovanola and Tiribelli, 2023). Even in the healthcare field, evidence shows that mitigation cannot be solved with just one corrective measure, but rather a multitude of elements, many of them pertaining to data and design and evaluation of the model need to be paid attention to (Perez-Downes et al., 2024; Hanna et al., 2025). These studies are NOT GOOGLE specific, but rather ones that could be transferred to governance. </w:t>
      </w:r>
      <w:proofErr w:type="spellStart"/>
      <w:r w:rsidRPr="00145769">
        <w:rPr>
          <w:rFonts w:asciiTheme="majorBidi" w:hAnsiTheme="majorBidi" w:cstheme="majorBidi"/>
        </w:rPr>
        <w:t>Venkatasubbu</w:t>
      </w:r>
      <w:proofErr w:type="spellEnd"/>
      <w:r w:rsidRPr="00145769">
        <w:rPr>
          <w:rFonts w:asciiTheme="majorBidi" w:hAnsiTheme="majorBidi" w:cstheme="majorBidi"/>
        </w:rPr>
        <w:t>, Krishnamoorthy (2022) also highlight the issues of bias and fairness as governance concerns.</w:t>
      </w:r>
    </w:p>
    <w:p w14:paraId="54FE0681"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The problem with ethics in governance can be broken down and charted as such.</w:t>
      </w:r>
    </w:p>
    <w:p w14:paraId="6F843A0D" w14:textId="77777777" w:rsidR="0066235A" w:rsidRDefault="0066235A" w:rsidP="004C06C3">
      <w:pPr>
        <w:pStyle w:val="Caption"/>
      </w:pPr>
    </w:p>
    <w:p w14:paraId="1C056039" w14:textId="77777777" w:rsidR="0066235A" w:rsidRDefault="0066235A" w:rsidP="004C06C3">
      <w:pPr>
        <w:pStyle w:val="Caption"/>
      </w:pPr>
    </w:p>
    <w:p w14:paraId="32C9CF38" w14:textId="77777777" w:rsidR="0066235A" w:rsidRDefault="0066235A" w:rsidP="004C06C3">
      <w:pPr>
        <w:pStyle w:val="Caption"/>
      </w:pPr>
    </w:p>
    <w:p w14:paraId="66EFD922" w14:textId="77777777" w:rsidR="0066235A" w:rsidRDefault="0066235A" w:rsidP="004C06C3">
      <w:pPr>
        <w:pStyle w:val="Caption"/>
      </w:pPr>
    </w:p>
    <w:p w14:paraId="6B7AF864" w14:textId="77777777" w:rsidR="0066235A" w:rsidRDefault="0066235A" w:rsidP="004C06C3">
      <w:pPr>
        <w:pStyle w:val="Caption"/>
      </w:pPr>
    </w:p>
    <w:p w14:paraId="4C702428" w14:textId="77777777" w:rsidR="0066235A" w:rsidRDefault="0066235A" w:rsidP="004C06C3">
      <w:pPr>
        <w:pStyle w:val="Caption"/>
      </w:pPr>
    </w:p>
    <w:p w14:paraId="6AD14595" w14:textId="77777777" w:rsidR="0066235A" w:rsidRDefault="0066235A" w:rsidP="004C06C3">
      <w:pPr>
        <w:pStyle w:val="Caption"/>
      </w:pPr>
    </w:p>
    <w:p w14:paraId="720BD6B1" w14:textId="77777777" w:rsidR="0066235A" w:rsidRDefault="0066235A" w:rsidP="004C06C3">
      <w:pPr>
        <w:pStyle w:val="Caption"/>
      </w:pPr>
    </w:p>
    <w:p w14:paraId="495B1297" w14:textId="77777777" w:rsidR="0066235A" w:rsidRDefault="0066235A" w:rsidP="004C06C3">
      <w:pPr>
        <w:pStyle w:val="Caption"/>
      </w:pPr>
    </w:p>
    <w:p w14:paraId="304C647F" w14:textId="4B384926" w:rsidR="004C06C3" w:rsidRPr="00145769" w:rsidRDefault="004C06C3" w:rsidP="004C06C3">
      <w:pPr>
        <w:pStyle w:val="Caption"/>
        <w:rPr>
          <w:rFonts w:asciiTheme="majorBidi" w:hAnsiTheme="majorBidi" w:cstheme="majorBidi"/>
          <w:color w:val="auto"/>
          <w:sz w:val="24"/>
          <w:szCs w:val="24"/>
          <w:lang w:val="en-GB"/>
        </w:rPr>
      </w:pPr>
      <w:r>
        <w:lastRenderedPageBreak/>
        <w:t xml:space="preserve">Table </w:t>
      </w:r>
      <w:r>
        <w:fldChar w:fldCharType="begin"/>
      </w:r>
      <w:r>
        <w:instrText xml:space="preserve"> SEQ Table \* ARABIC </w:instrText>
      </w:r>
      <w:r>
        <w:fldChar w:fldCharType="separate"/>
      </w:r>
      <w:r>
        <w:rPr>
          <w:noProof/>
        </w:rPr>
        <w:t>8</w:t>
      </w:r>
      <w:r>
        <w:rPr>
          <w:noProof/>
        </w:rPr>
        <w:fldChar w:fldCharType="end"/>
      </w:r>
      <w:r>
        <w:t xml:space="preserve"> </w:t>
      </w:r>
      <w:r w:rsidRPr="00F32709">
        <w:t>Data governance and ethical AI controls: questions, mechanisms and analytical implications.</w:t>
      </w:r>
    </w:p>
    <w:p w14:paraId="16B209DB" w14:textId="77777777" w:rsidR="0066235A" w:rsidRDefault="0066235A" w:rsidP="004C06C3">
      <w:pPr>
        <w:spacing w:after="200" w:line="360" w:lineRule="auto"/>
        <w:jc w:val="both"/>
        <w:rPr>
          <w:rFonts w:asciiTheme="majorBidi" w:hAnsiTheme="majorBidi" w:cstheme="majorBidi"/>
          <w:noProof/>
        </w:rPr>
      </w:pPr>
    </w:p>
    <w:p w14:paraId="46F49872" w14:textId="77777777" w:rsidR="0066235A" w:rsidRDefault="0066235A" w:rsidP="0066235A">
      <w:pPr>
        <w:spacing w:after="200" w:line="360" w:lineRule="auto"/>
        <w:jc w:val="both"/>
        <w:rPr>
          <w:rFonts w:asciiTheme="majorBidi" w:hAnsiTheme="majorBidi" w:cstheme="majorBidi"/>
          <w:b/>
        </w:rPr>
      </w:pPr>
      <w:r w:rsidRPr="00145769">
        <w:rPr>
          <w:rFonts w:asciiTheme="majorBidi" w:hAnsiTheme="majorBidi" w:cstheme="majorBidi"/>
          <w:noProof/>
        </w:rPr>
        <w:drawing>
          <wp:inline distT="0" distB="0" distL="0" distR="0" wp14:anchorId="1D345220" wp14:editId="00E8D158">
            <wp:extent cx="5731510" cy="3192145"/>
            <wp:effectExtent l="0" t="0" r="2540" b="8255"/>
            <wp:docPr id="614982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alphaModFix amt="85000"/>
                      <a:extLst>
                        <a:ext uri="{28A0092B-C50C-407E-A947-70E740481C1C}">
                          <a14:useLocalDpi xmlns:a14="http://schemas.microsoft.com/office/drawing/2010/main" val="0"/>
                        </a:ext>
                      </a:extLst>
                    </a:blip>
                    <a:srcRect/>
                    <a:stretch>
                      <a:fillRect/>
                    </a:stretch>
                  </pic:blipFill>
                  <pic:spPr bwMode="auto">
                    <a:xfrm>
                      <a:off x="0" y="0"/>
                      <a:ext cx="5731510" cy="3192145"/>
                    </a:xfrm>
                    <a:prstGeom prst="rect">
                      <a:avLst/>
                    </a:prstGeom>
                    <a:noFill/>
                    <a:ln>
                      <a:noFill/>
                    </a:ln>
                  </pic:spPr>
                </pic:pic>
              </a:graphicData>
            </a:graphic>
          </wp:inline>
        </w:drawing>
      </w:r>
    </w:p>
    <w:p w14:paraId="1BB057E3" w14:textId="77777777" w:rsidR="0066235A" w:rsidRDefault="0066235A" w:rsidP="0066235A">
      <w:pPr>
        <w:spacing w:after="200" w:line="360" w:lineRule="auto"/>
        <w:jc w:val="both"/>
        <w:rPr>
          <w:rFonts w:asciiTheme="majorBidi" w:hAnsiTheme="majorBidi" w:cstheme="majorBidi"/>
          <w:b/>
        </w:rPr>
      </w:pPr>
    </w:p>
    <w:p w14:paraId="49D2C7E6" w14:textId="30893B2F" w:rsidR="004C06C3" w:rsidRPr="0066235A" w:rsidRDefault="004C06C3" w:rsidP="0066235A">
      <w:pPr>
        <w:spacing w:after="200" w:line="360" w:lineRule="auto"/>
        <w:jc w:val="both"/>
        <w:rPr>
          <w:rFonts w:asciiTheme="majorBidi" w:hAnsiTheme="majorBidi" w:cstheme="majorBidi"/>
          <w:b/>
        </w:rPr>
      </w:pPr>
      <w:r w:rsidRPr="00145769">
        <w:rPr>
          <w:rFonts w:asciiTheme="majorBidi" w:hAnsiTheme="majorBidi" w:cstheme="majorBidi"/>
        </w:rPr>
        <w:t xml:space="preserve">Mitchell et al. (2019) (not just Google researchers) created model cards to record the attributes of models, its uses and limits of usefulness. Raji et al. (2020) with the involvement of Google researchers, recommends end-to-end internal algorithmic auditing to fill the gaps of accountability. These are valuable contributions in that they articulate ethical principles in terms of organisational practices. </w:t>
      </w:r>
      <w:proofErr w:type="gramStart"/>
      <w:r w:rsidRPr="00145769">
        <w:rPr>
          <w:rFonts w:asciiTheme="majorBidi" w:hAnsiTheme="majorBidi" w:cstheme="majorBidi"/>
        </w:rPr>
        <w:t>But,</w:t>
      </w:r>
      <w:proofErr w:type="gramEnd"/>
      <w:r w:rsidRPr="00145769">
        <w:rPr>
          <w:rFonts w:asciiTheme="majorBidi" w:hAnsiTheme="majorBidi" w:cstheme="majorBidi"/>
        </w:rPr>
        <w:t xml:space="preserve"> having tools doesn't necessarily mean that governance is in place. AI governance, say </w:t>
      </w:r>
      <w:proofErr w:type="spellStart"/>
      <w:r w:rsidRPr="00145769">
        <w:rPr>
          <w:rFonts w:asciiTheme="majorBidi" w:hAnsiTheme="majorBidi" w:cstheme="majorBidi"/>
        </w:rPr>
        <w:t>Mäntymäki</w:t>
      </w:r>
      <w:proofErr w:type="spellEnd"/>
      <w:r w:rsidRPr="00145769">
        <w:rPr>
          <w:rFonts w:asciiTheme="majorBidi" w:hAnsiTheme="majorBidi" w:cstheme="majorBidi"/>
        </w:rPr>
        <w:t xml:space="preserve"> et al. (2022), needs to be attached to and integrated with corporate, IT and data governance, and not stand on its own as a sort of ethics programme.</w:t>
      </w:r>
    </w:p>
    <w:p w14:paraId="364B8FCF"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This finding is corroborated with recent research on responsible-AI. Responsible AI principles and the governance processes to implement them are two distinct things, as </w:t>
      </w:r>
      <w:proofErr w:type="spellStart"/>
      <w:r w:rsidRPr="00145769">
        <w:rPr>
          <w:rFonts w:asciiTheme="majorBidi" w:hAnsiTheme="majorBidi" w:cstheme="majorBidi"/>
        </w:rPr>
        <w:t>Papagiannidis</w:t>
      </w:r>
      <w:proofErr w:type="spellEnd"/>
      <w:r w:rsidRPr="00145769">
        <w:rPr>
          <w:rFonts w:asciiTheme="majorBidi" w:hAnsiTheme="majorBidi" w:cstheme="majorBidi"/>
        </w:rPr>
        <w:t xml:space="preserve">, </w:t>
      </w:r>
      <w:proofErr w:type="spellStart"/>
      <w:r w:rsidRPr="00145769">
        <w:rPr>
          <w:rFonts w:asciiTheme="majorBidi" w:hAnsiTheme="majorBidi" w:cstheme="majorBidi"/>
        </w:rPr>
        <w:t>Mikalef</w:t>
      </w:r>
      <w:proofErr w:type="spellEnd"/>
      <w:r w:rsidRPr="00145769">
        <w:rPr>
          <w:rFonts w:asciiTheme="majorBidi" w:hAnsiTheme="majorBidi" w:cstheme="majorBidi"/>
        </w:rPr>
        <w:t xml:space="preserve"> and Conboy (2025) argue that we need to separate these. However, Ghoshal (2025) highlights the crucial role of consistency across borders, both legally and ethically, albeit in a different legal technology context than Google. What it means in practice is that Google needs to have a common AI control framework, with modules for the various jurisdictions. Projects should not only rely on labels for conducting an ethical review; it should be called for by the level of risk.</w:t>
      </w:r>
    </w:p>
    <w:p w14:paraId="0BD8B618" w14:textId="77777777" w:rsidR="004C06C3" w:rsidRPr="00145769" w:rsidRDefault="004C06C3" w:rsidP="004C06C3">
      <w:pPr>
        <w:spacing w:line="360" w:lineRule="auto"/>
        <w:jc w:val="center"/>
        <w:rPr>
          <w:rFonts w:asciiTheme="majorBidi" w:hAnsiTheme="majorBidi" w:cstheme="majorBidi"/>
          <w:i/>
        </w:rPr>
      </w:pPr>
      <w:r w:rsidRPr="00145769">
        <w:rPr>
          <w:rFonts w:asciiTheme="majorBidi" w:hAnsiTheme="majorBidi" w:cstheme="majorBidi"/>
          <w:i/>
          <w:noProof/>
        </w:rPr>
        <w:lastRenderedPageBreak/>
        <w:drawing>
          <wp:inline distT="0" distB="0" distL="0" distR="0" wp14:anchorId="7BC3C4A9" wp14:editId="5860E215">
            <wp:extent cx="5713143" cy="2847109"/>
            <wp:effectExtent l="0" t="0" r="1905" b="0"/>
            <wp:docPr id="12668958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a:stretch>
                      <a:fillRect/>
                    </a:stretch>
                  </pic:blipFill>
                  <pic:spPr bwMode="auto">
                    <a:xfrm>
                      <a:off x="0" y="0"/>
                      <a:ext cx="5725346" cy="2853190"/>
                    </a:xfrm>
                    <a:prstGeom prst="rect">
                      <a:avLst/>
                    </a:prstGeom>
                    <a:noFill/>
                    <a:ln>
                      <a:noFill/>
                    </a:ln>
                    <a:extLst>
                      <a:ext uri="{53640926-AAD7-44D8-BBD7-CCE9431645EC}">
                        <a14:shadowObscured xmlns:a14="http://schemas.microsoft.com/office/drawing/2010/main"/>
                      </a:ext>
                    </a:extLst>
                  </pic:spPr>
                </pic:pic>
              </a:graphicData>
            </a:graphic>
          </wp:inline>
        </w:drawing>
      </w:r>
    </w:p>
    <w:p w14:paraId="13CE6B8C" w14:textId="77777777" w:rsidR="004C06C3" w:rsidRPr="00145769" w:rsidRDefault="004C06C3" w:rsidP="0066235A">
      <w:pPr>
        <w:pStyle w:val="Caption"/>
        <w:jc w:val="center"/>
        <w:rPr>
          <w:rFonts w:asciiTheme="majorBidi" w:hAnsiTheme="majorBidi" w:cstheme="majorBidi"/>
          <w:color w:val="auto"/>
          <w:sz w:val="24"/>
          <w:szCs w:val="24"/>
          <w:lang w:val="en-GB"/>
        </w:rPr>
      </w:pPr>
      <w:r>
        <w:t xml:space="preserve">Table </w:t>
      </w:r>
      <w:r>
        <w:fldChar w:fldCharType="begin"/>
      </w:r>
      <w:r>
        <w:instrText xml:space="preserve"> SEQ Table \* ARABIC </w:instrText>
      </w:r>
      <w:r>
        <w:fldChar w:fldCharType="separate"/>
      </w:r>
      <w:r>
        <w:rPr>
          <w:noProof/>
        </w:rPr>
        <w:t>9</w:t>
      </w:r>
      <w:r>
        <w:rPr>
          <w:noProof/>
        </w:rPr>
        <w:fldChar w:fldCharType="end"/>
      </w:r>
      <w:r>
        <w:t xml:space="preserve"> </w:t>
      </w:r>
      <w:r w:rsidRPr="004F13A4">
        <w:t>Data-to-deployment ethical AI control chain for Google.</w:t>
      </w:r>
    </w:p>
    <w:p w14:paraId="71008F81"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Source: Author's synthesis based on Jobin et al. (2019), Mitchell et al. (2019), Raji et al. (2020) and Weidinger et al. (2022).</w:t>
      </w:r>
    </w:p>
    <w:p w14:paraId="3D8E4A2A"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Three lines of structure might be able to separate product ownership and specialist risk review and independent assurance. This would translate ethical responsibilities into routinized actions in an organization and provide evidence for evidence-based regulation, of to the senior management and concerned stakeholders.</w:t>
      </w:r>
    </w:p>
    <w:p w14:paraId="16C0024E" w14:textId="77777777" w:rsidR="004C06C3" w:rsidRPr="00145769" w:rsidRDefault="004C06C3" w:rsidP="004C06C3">
      <w:pPr>
        <w:pStyle w:val="Heading1"/>
        <w:spacing w:line="360" w:lineRule="auto"/>
        <w:jc w:val="both"/>
        <w:rPr>
          <w:rFonts w:asciiTheme="majorBidi" w:hAnsiTheme="majorBidi"/>
          <w:color w:val="auto"/>
          <w:sz w:val="24"/>
          <w:szCs w:val="24"/>
        </w:rPr>
      </w:pPr>
      <w:bookmarkStart w:id="6" w:name="_Toc242440446"/>
      <w:r w:rsidRPr="00145769">
        <w:rPr>
          <w:rFonts w:asciiTheme="majorBidi" w:hAnsiTheme="majorBidi"/>
          <w:color w:val="auto"/>
          <w:sz w:val="24"/>
          <w:szCs w:val="24"/>
        </w:rPr>
        <w:t>5. Comparative Regulatory Analysis: UK and EU</w:t>
      </w:r>
      <w:bookmarkEnd w:id="6"/>
    </w:p>
    <w:p w14:paraId="5F252407"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The UK and EU offer an instructive comparison to illustrate both aim to achieve trusted AI, as well as differences in regulatory architecture. In general, the UK has evolved a new agile approach to regulators, where regulators who already operate within each sector </w:t>
      </w:r>
      <w:proofErr w:type="gramStart"/>
      <w:r w:rsidRPr="00145769">
        <w:rPr>
          <w:rFonts w:asciiTheme="majorBidi" w:hAnsiTheme="majorBidi" w:cstheme="majorBidi"/>
        </w:rPr>
        <w:t>have the ability to</w:t>
      </w:r>
      <w:proofErr w:type="gramEnd"/>
      <w:r w:rsidRPr="00145769">
        <w:rPr>
          <w:rFonts w:asciiTheme="majorBidi" w:hAnsiTheme="majorBidi" w:cstheme="majorBidi"/>
        </w:rPr>
        <w:t xml:space="preserve"> do so in the spirit of the Agile principles, with a central government coordination mechanism. As such, Roberts et al., (2023), regard it as a path towards governance and global leadership, while Akinola and </w:t>
      </w:r>
      <w:proofErr w:type="spellStart"/>
      <w:r w:rsidRPr="00145769">
        <w:rPr>
          <w:rFonts w:asciiTheme="majorBidi" w:hAnsiTheme="majorBidi" w:cstheme="majorBidi"/>
        </w:rPr>
        <w:t>Tunbosun</w:t>
      </w:r>
      <w:proofErr w:type="spellEnd"/>
      <w:r w:rsidRPr="00145769">
        <w:rPr>
          <w:rFonts w:asciiTheme="majorBidi" w:hAnsiTheme="majorBidi" w:cstheme="majorBidi"/>
        </w:rPr>
        <w:t xml:space="preserve"> and Oladapo (2022) reveal that regulation of AI is gradually becoming a business as usual using data, consumer and competition laws. Differences between the approach of the UK, EU and US in AI are also highlighted by </w:t>
      </w:r>
      <w:proofErr w:type="spellStart"/>
      <w:r w:rsidRPr="00145769">
        <w:rPr>
          <w:rFonts w:asciiTheme="majorBidi" w:hAnsiTheme="majorBidi" w:cstheme="majorBidi"/>
        </w:rPr>
        <w:t>Montasari</w:t>
      </w:r>
      <w:proofErr w:type="spellEnd"/>
      <w:r w:rsidRPr="00145769">
        <w:rPr>
          <w:rFonts w:asciiTheme="majorBidi" w:hAnsiTheme="majorBidi" w:cstheme="majorBidi"/>
        </w:rPr>
        <w:t xml:space="preserve"> (2023). Flexibility can be provided with the UK model although flexibility can enhance uncertainties in interpretation as firms need to interpret expectations in </w:t>
      </w:r>
      <w:proofErr w:type="gramStart"/>
      <w:r w:rsidRPr="00145769">
        <w:rPr>
          <w:rFonts w:asciiTheme="majorBidi" w:hAnsiTheme="majorBidi" w:cstheme="majorBidi"/>
        </w:rPr>
        <w:t>a number of</w:t>
      </w:r>
      <w:proofErr w:type="gramEnd"/>
      <w:r w:rsidRPr="00145769">
        <w:rPr>
          <w:rFonts w:asciiTheme="majorBidi" w:hAnsiTheme="majorBidi" w:cstheme="majorBidi"/>
        </w:rPr>
        <w:t xml:space="preserve"> regulatory spheres.</w:t>
      </w:r>
    </w:p>
    <w:p w14:paraId="2EE41B80"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lastRenderedPageBreak/>
        <w:t>In Google's eyes, the UK's digital-market regulations are particularly vital. In October 2025 the Competition and Markets Authority declared Google as 'strategically important' in two areas: general search and search advertising. The CMA had by 2026 put in place conduct provisions for publisher content, fair ranking and data portability and was consulting on user choice. the CMA's approach explicitly incorporates AI Overviews and AI Mode into considerations of the criterion for a fair ranking (CMA 2026). This is significant because, AI alters the very search product, allowing for some overlap of competition and consumer choice risks with AI governance risks.</w:t>
      </w:r>
    </w:p>
    <w:p w14:paraId="7FFFDA1C"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The EU has officially embraced a more horizontal approach with the AI Act(s) as well as the GDPR and DAM. The AI Act came into force in August 2024 and will have a wide scope with </w:t>
      </w:r>
      <w:proofErr w:type="gramStart"/>
      <w:r w:rsidRPr="00145769">
        <w:rPr>
          <w:rFonts w:asciiTheme="majorBidi" w:hAnsiTheme="majorBidi" w:cstheme="majorBidi"/>
        </w:rPr>
        <w:t>a number of</w:t>
      </w:r>
      <w:proofErr w:type="gramEnd"/>
      <w:r w:rsidRPr="00145769">
        <w:rPr>
          <w:rFonts w:asciiTheme="majorBidi" w:hAnsiTheme="majorBidi" w:cstheme="majorBidi"/>
        </w:rPr>
        <w:t xml:space="preserve"> exceptions and transition periods (European Commission, 2026a) beginning on 2 August 2026. It is risk-centric in nature, meaning that it imposes more responsibilities concerning prohibited practices, AI literacy, general purpose AI and high-risk systems. Schuett (2024) provides a detailed discussion of risk management in the Act since it is central to the Act and requires structured risk processes. Over the Counter (OTC) products rely on risk-based considerations to determine whether they are safe for consumers to use, whereas Veale and Zuiderveen </w:t>
      </w:r>
      <w:proofErr w:type="spellStart"/>
      <w:r w:rsidRPr="00145769">
        <w:rPr>
          <w:rFonts w:asciiTheme="majorBidi" w:hAnsiTheme="majorBidi" w:cstheme="majorBidi"/>
        </w:rPr>
        <w:t>Borgesius</w:t>
      </w:r>
      <w:proofErr w:type="spellEnd"/>
      <w:r w:rsidRPr="00145769">
        <w:rPr>
          <w:rFonts w:asciiTheme="majorBidi" w:hAnsiTheme="majorBidi" w:cstheme="majorBidi"/>
        </w:rPr>
        <w:t xml:space="preserve"> (2021) underline how, in the realm of the EU, the idea of risk is translated to enforceable requirements for products, whilst Laux, Wachter and Mittelstadt (2024) warn that the legal concept of trustworthiness cannot simply be equated with the acceptability of risk.</w:t>
      </w:r>
    </w:p>
    <w:p w14:paraId="155F517F"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Nevertheless, there is an additional layer with the EU’s DMA. Google Search data will be made available to eligible competitors under FORD reasonable and fair terms regarding its July 2026 response to the Commission's decision. This has strategic implications – data is used for creating products of quality and developing AI. The requirement thus sets up a clear governance challenge, as Google is required to make the data accessible to regulators, in a way that doesn't compromise privacy, security and commercial interests.</w:t>
      </w:r>
    </w:p>
    <w:p w14:paraId="04C62937"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The position of the comparative can be summarised as follows.</w:t>
      </w:r>
    </w:p>
    <w:p w14:paraId="43641DCE" w14:textId="77777777" w:rsidR="0066235A" w:rsidRDefault="0066235A" w:rsidP="004C06C3">
      <w:pPr>
        <w:pStyle w:val="Caption"/>
      </w:pPr>
      <w:bookmarkStart w:id="7" w:name="_Toc241957312"/>
    </w:p>
    <w:p w14:paraId="6E988D4B" w14:textId="77777777" w:rsidR="0066235A" w:rsidRDefault="0066235A" w:rsidP="004C06C3">
      <w:pPr>
        <w:pStyle w:val="Caption"/>
      </w:pPr>
    </w:p>
    <w:p w14:paraId="3017225C" w14:textId="77777777" w:rsidR="0066235A" w:rsidRDefault="0066235A" w:rsidP="004C06C3">
      <w:pPr>
        <w:pStyle w:val="Caption"/>
      </w:pPr>
    </w:p>
    <w:p w14:paraId="1A9BD7A3" w14:textId="77777777" w:rsidR="0066235A" w:rsidRDefault="0066235A" w:rsidP="004C06C3">
      <w:pPr>
        <w:pStyle w:val="Caption"/>
      </w:pPr>
    </w:p>
    <w:p w14:paraId="581B7FB6" w14:textId="77777777" w:rsidR="0066235A" w:rsidRDefault="0066235A" w:rsidP="004C06C3">
      <w:pPr>
        <w:pStyle w:val="Caption"/>
      </w:pPr>
    </w:p>
    <w:p w14:paraId="2C41F9F1" w14:textId="77777777" w:rsidR="0066235A" w:rsidRDefault="0066235A" w:rsidP="004C06C3">
      <w:pPr>
        <w:pStyle w:val="Caption"/>
      </w:pPr>
    </w:p>
    <w:p w14:paraId="774EA241" w14:textId="77777777" w:rsidR="0066235A" w:rsidRDefault="0066235A" w:rsidP="004C06C3">
      <w:pPr>
        <w:pStyle w:val="Caption"/>
      </w:pPr>
    </w:p>
    <w:p w14:paraId="4127DFAC" w14:textId="7A1E4BCB" w:rsidR="004C06C3" w:rsidRPr="00145769" w:rsidRDefault="004C06C3" w:rsidP="004C06C3">
      <w:pPr>
        <w:pStyle w:val="Caption"/>
        <w:rPr>
          <w:rFonts w:asciiTheme="majorBidi" w:hAnsiTheme="majorBidi" w:cstheme="majorBidi"/>
          <w:color w:val="auto"/>
          <w:sz w:val="24"/>
          <w:szCs w:val="24"/>
          <w:lang w:val="en-GB"/>
        </w:rPr>
      </w:pPr>
      <w:r>
        <w:t xml:space="preserve">Table </w:t>
      </w:r>
      <w:r>
        <w:fldChar w:fldCharType="begin"/>
      </w:r>
      <w:r>
        <w:instrText xml:space="preserve"> SEQ Table \* ARABIC </w:instrText>
      </w:r>
      <w:r>
        <w:fldChar w:fldCharType="separate"/>
      </w:r>
      <w:r>
        <w:rPr>
          <w:noProof/>
        </w:rPr>
        <w:t>10</w:t>
      </w:r>
      <w:r>
        <w:rPr>
          <w:noProof/>
        </w:rPr>
        <w:fldChar w:fldCharType="end"/>
      </w:r>
      <w:r>
        <w:t xml:space="preserve"> </w:t>
      </w:r>
      <w:r w:rsidRPr="005B0C32">
        <w:t>UK–EU regulatory comparison: institutional differences and implications for Google.</w:t>
      </w:r>
      <w:bookmarkEnd w:id="7"/>
    </w:p>
    <w:p w14:paraId="31BCA845"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noProof/>
        </w:rPr>
        <w:drawing>
          <wp:inline distT="0" distB="0" distL="0" distR="0" wp14:anchorId="156C7121" wp14:editId="7C3CC1AC">
            <wp:extent cx="6217920" cy="4346575"/>
            <wp:effectExtent l="0" t="0" r="0" b="0"/>
            <wp:docPr id="90049176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alphaModFix amt="85000"/>
                      <a:extLst>
                        <a:ext uri="{28A0092B-C50C-407E-A947-70E740481C1C}">
                          <a14:useLocalDpi xmlns:a14="http://schemas.microsoft.com/office/drawing/2010/main" val="0"/>
                        </a:ext>
                      </a:extLst>
                    </a:blip>
                    <a:srcRect/>
                    <a:stretch>
                      <a:fillRect/>
                    </a:stretch>
                  </pic:blipFill>
                  <pic:spPr bwMode="auto">
                    <a:xfrm>
                      <a:off x="0" y="0"/>
                      <a:ext cx="6217920" cy="4346575"/>
                    </a:xfrm>
                    <a:prstGeom prst="rect">
                      <a:avLst/>
                    </a:prstGeom>
                    <a:noFill/>
                    <a:ln>
                      <a:noFill/>
                    </a:ln>
                  </pic:spPr>
                </pic:pic>
              </a:graphicData>
            </a:graphic>
          </wp:inline>
        </w:drawing>
      </w:r>
    </w:p>
    <w:p w14:paraId="2D90304A"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To address this, the difference can be explained with the aid of Institutional theory: Multinational firms are in place in more than one institutional environment, they are reactive to formal rules, expectations of regulators and norms of stakeholders. Governments adopt different modes of governance as shown by Djeffal, Siewert and Wurster (2022) and experience data governance and AI policy in different patterns as found by Bisson, Giron and Verin (2023). Relevant is also Bradford's (2020) Brussels Effect as EU rules can impact the behaviour of companies beyond the EU's borders, where international companies would prefer to keep a consistent set of systems rather than multiple ones.</w:t>
      </w:r>
    </w:p>
    <w:p w14:paraId="0F995CD4"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There are differences between states in their readiness—whether in terms of skills, adoption and capacity—as addressed in EU (Stan et al., 2025; </w:t>
      </w:r>
      <w:proofErr w:type="spellStart"/>
      <w:r w:rsidRPr="00145769">
        <w:rPr>
          <w:rFonts w:asciiTheme="majorBidi" w:hAnsiTheme="majorBidi" w:cstheme="majorBidi"/>
        </w:rPr>
        <w:t>Woszczyna</w:t>
      </w:r>
      <w:proofErr w:type="spellEnd"/>
      <w:r w:rsidRPr="00145769">
        <w:rPr>
          <w:rFonts w:asciiTheme="majorBidi" w:hAnsiTheme="majorBidi" w:cstheme="majorBidi"/>
        </w:rPr>
        <w:t xml:space="preserve"> and Mania, 2023; Manninen and Eskelinen, 2024). Google is advised to bring together the common standards and local capacity.</w:t>
      </w:r>
    </w:p>
    <w:p w14:paraId="098AF19C"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It is important that this should be backed up with ongoing scan. Evidence from cross-border compliance studies reveals that compliance complexity and requiring a structured monitoring </w:t>
      </w:r>
      <w:r w:rsidRPr="00145769">
        <w:rPr>
          <w:rFonts w:asciiTheme="majorBidi" w:hAnsiTheme="majorBidi" w:cstheme="majorBidi"/>
        </w:rPr>
        <w:lastRenderedPageBreak/>
        <w:t>are emerging characteristics of regulatory fragmentation (Dong and Zhang, 2024; Sharma et al., 2021). Regarding foreign business law, there is also evidence that puts the importance of harmonized internal procedures in the foreground in the context of inconsistent legal requirements (Celestin, 2025). New rules will need to be translated into the product-level controls, training requirement and documentation and escalation thresholds for Google, via a central regulatory office.</w:t>
      </w:r>
    </w:p>
    <w:p w14:paraId="326390D0" w14:textId="77777777" w:rsidR="004C06C3" w:rsidRPr="00145769" w:rsidRDefault="004C06C3" w:rsidP="004C06C3">
      <w:pPr>
        <w:spacing w:line="360" w:lineRule="auto"/>
        <w:jc w:val="center"/>
        <w:rPr>
          <w:rFonts w:asciiTheme="majorBidi" w:hAnsiTheme="majorBidi" w:cstheme="majorBidi"/>
        </w:rPr>
      </w:pPr>
      <w:r w:rsidRPr="00145769">
        <w:rPr>
          <w:rFonts w:asciiTheme="majorBidi" w:hAnsiTheme="majorBidi" w:cstheme="majorBidi"/>
          <w:noProof/>
        </w:rPr>
        <w:drawing>
          <wp:inline distT="0" distB="0" distL="0" distR="0" wp14:anchorId="41DED6A6" wp14:editId="1CDD7F30">
            <wp:extent cx="5535088" cy="4787900"/>
            <wp:effectExtent l="0" t="0" r="8890" b="0"/>
            <wp:docPr id="5069053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48032" cy="4799097"/>
                    </a:xfrm>
                    <a:prstGeom prst="rect">
                      <a:avLst/>
                    </a:prstGeom>
                    <a:noFill/>
                  </pic:spPr>
                </pic:pic>
              </a:graphicData>
            </a:graphic>
          </wp:inline>
        </w:drawing>
      </w:r>
    </w:p>
    <w:p w14:paraId="30B75CAC" w14:textId="77777777" w:rsidR="004C06C3" w:rsidRDefault="004C06C3" w:rsidP="004C06C3">
      <w:pPr>
        <w:pStyle w:val="Caption"/>
      </w:pPr>
      <w:r>
        <w:t xml:space="preserve">Table </w:t>
      </w:r>
      <w:r>
        <w:fldChar w:fldCharType="begin"/>
      </w:r>
      <w:r>
        <w:instrText xml:space="preserve"> SEQ Table \* ARABIC </w:instrText>
      </w:r>
      <w:r>
        <w:fldChar w:fldCharType="separate"/>
      </w:r>
      <w:r>
        <w:rPr>
          <w:noProof/>
        </w:rPr>
        <w:t>11</w:t>
      </w:r>
      <w:r>
        <w:rPr>
          <w:noProof/>
        </w:rPr>
        <w:fldChar w:fldCharType="end"/>
      </w:r>
      <w:r>
        <w:t xml:space="preserve">: </w:t>
      </w:r>
      <w:r w:rsidRPr="007121F0">
        <w:t>(EU Instant Payments Regulation and Unified Payments Interface (UPI): Reshaping the Payments Landscape | by Umesh Adhikari | Medium, no date).</w:t>
      </w:r>
    </w:p>
    <w:p w14:paraId="056AF58D" w14:textId="77777777" w:rsidR="004C06C3" w:rsidRDefault="004C06C3" w:rsidP="004C06C3">
      <w:pPr>
        <w:pStyle w:val="Caption"/>
      </w:pPr>
      <w:r>
        <w:t xml:space="preserve">Table </w:t>
      </w:r>
      <w:r>
        <w:fldChar w:fldCharType="begin"/>
      </w:r>
      <w:r>
        <w:instrText xml:space="preserve"> SEQ Table \* ARABIC </w:instrText>
      </w:r>
      <w:r>
        <w:fldChar w:fldCharType="separate"/>
      </w:r>
      <w:r>
        <w:rPr>
          <w:noProof/>
        </w:rPr>
        <w:t>12</w:t>
      </w:r>
      <w:r>
        <w:rPr>
          <w:noProof/>
        </w:rPr>
        <w:fldChar w:fldCharType="end"/>
      </w:r>
      <w:r>
        <w:t xml:space="preserve">: </w:t>
      </w:r>
      <w:r w:rsidRPr="00D80EE0">
        <w:t>UK–EU regulatory architecture affecting Google’s international AI governance.</w:t>
      </w:r>
    </w:p>
    <w:p w14:paraId="735AC523" w14:textId="77777777" w:rsidR="004C06C3" w:rsidRDefault="004C06C3" w:rsidP="004C06C3"/>
    <w:p w14:paraId="7C49C247" w14:textId="77777777" w:rsidR="004C06C3" w:rsidRPr="002E0E19" w:rsidRDefault="004C06C3" w:rsidP="004C06C3">
      <w:r w:rsidRPr="002E0E19">
        <w:rPr>
          <w:noProof/>
        </w:rPr>
        <w:lastRenderedPageBreak/>
        <w:drawing>
          <wp:inline distT="0" distB="0" distL="0" distR="0" wp14:anchorId="786528F4" wp14:editId="5BE114A5">
            <wp:extent cx="6217920" cy="3345180"/>
            <wp:effectExtent l="0" t="0" r="0" b="7620"/>
            <wp:docPr id="1917532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alphaModFix amt="85000"/>
                      <a:extLst>
                        <a:ext uri="{28A0092B-C50C-407E-A947-70E740481C1C}">
                          <a14:useLocalDpi xmlns:a14="http://schemas.microsoft.com/office/drawing/2010/main" val="0"/>
                        </a:ext>
                      </a:extLst>
                    </a:blip>
                    <a:srcRect/>
                    <a:stretch>
                      <a:fillRect/>
                    </a:stretch>
                  </pic:blipFill>
                  <pic:spPr bwMode="auto">
                    <a:xfrm>
                      <a:off x="0" y="0"/>
                      <a:ext cx="6217920" cy="3345180"/>
                    </a:xfrm>
                    <a:prstGeom prst="rect">
                      <a:avLst/>
                    </a:prstGeom>
                    <a:noFill/>
                    <a:ln>
                      <a:noFill/>
                    </a:ln>
                  </pic:spPr>
                </pic:pic>
              </a:graphicData>
            </a:graphic>
          </wp:inline>
        </w:drawing>
      </w:r>
    </w:p>
    <w:p w14:paraId="34AF13A8" w14:textId="77777777" w:rsidR="004C06C3" w:rsidRPr="00145769" w:rsidRDefault="004C06C3" w:rsidP="004C06C3">
      <w:pPr>
        <w:pStyle w:val="Heading1"/>
        <w:spacing w:line="360" w:lineRule="auto"/>
        <w:jc w:val="both"/>
        <w:rPr>
          <w:rFonts w:asciiTheme="majorBidi" w:hAnsiTheme="majorBidi"/>
          <w:color w:val="auto"/>
          <w:sz w:val="24"/>
          <w:szCs w:val="24"/>
        </w:rPr>
      </w:pPr>
      <w:bookmarkStart w:id="8" w:name="_Toc242440447"/>
      <w:r w:rsidRPr="00145769">
        <w:rPr>
          <w:rFonts w:asciiTheme="majorBidi" w:hAnsiTheme="majorBidi"/>
          <w:color w:val="auto"/>
          <w:sz w:val="24"/>
          <w:szCs w:val="24"/>
        </w:rPr>
        <w:t>6. Customer Trust and Competitive Advantage</w:t>
      </w:r>
      <w:bookmarkEnd w:id="8"/>
    </w:p>
    <w:p w14:paraId="3B91E33B"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The commercial aspect is exemplified by Google's advert and search businesses. However, while AI offers possibilities for enhancing personalisation and optimisation, which could boost value to both advertisers and users, there are potential issues with accuracy in measuring such results, as well as ‘dark ranking’ effects which could erode trust (</w:t>
      </w:r>
      <w:proofErr w:type="spellStart"/>
      <w:r w:rsidRPr="00145769">
        <w:rPr>
          <w:rFonts w:asciiTheme="majorBidi" w:hAnsiTheme="majorBidi" w:cstheme="majorBidi"/>
        </w:rPr>
        <w:t>Chukurna</w:t>
      </w:r>
      <w:proofErr w:type="spellEnd"/>
      <w:r w:rsidRPr="00145769">
        <w:rPr>
          <w:rFonts w:asciiTheme="majorBidi" w:hAnsiTheme="majorBidi" w:cstheme="majorBidi"/>
        </w:rPr>
        <w:t xml:space="preserve"> et al., 2024; </w:t>
      </w:r>
      <w:proofErr w:type="spellStart"/>
      <w:r w:rsidRPr="00145769">
        <w:rPr>
          <w:rFonts w:asciiTheme="majorBidi" w:hAnsiTheme="majorBidi" w:cstheme="majorBidi"/>
        </w:rPr>
        <w:t>Bonthu</w:t>
      </w:r>
      <w:proofErr w:type="spellEnd"/>
      <w:r w:rsidRPr="00145769">
        <w:rPr>
          <w:rFonts w:asciiTheme="majorBidi" w:hAnsiTheme="majorBidi" w:cstheme="majorBidi"/>
        </w:rPr>
        <w:t xml:space="preserve">, 2025; </w:t>
      </w:r>
      <w:proofErr w:type="spellStart"/>
      <w:r w:rsidRPr="00145769">
        <w:rPr>
          <w:rFonts w:asciiTheme="majorBidi" w:hAnsiTheme="majorBidi" w:cstheme="majorBidi"/>
        </w:rPr>
        <w:t>Glikson</w:t>
      </w:r>
      <w:proofErr w:type="spellEnd"/>
      <w:r w:rsidRPr="00145769">
        <w:rPr>
          <w:rFonts w:asciiTheme="majorBidi" w:hAnsiTheme="majorBidi" w:cstheme="majorBidi"/>
        </w:rPr>
        <w:t xml:space="preserve"> and Woolley, 2020). Trust then should be regarded as an operational indicator; in this sense indicators like complaint patterns, error rate, time of corrections and/or quality of disclosure and stakeholder feedback.</w:t>
      </w:r>
    </w:p>
    <w:p w14:paraId="66C7280C"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Stakeholder Theory can be applied for Google's AI decisions to </w:t>
      </w:r>
      <w:proofErr w:type="gramStart"/>
      <w:r w:rsidRPr="00145769">
        <w:rPr>
          <w:rFonts w:asciiTheme="majorBidi" w:hAnsiTheme="majorBidi" w:cstheme="majorBidi"/>
        </w:rPr>
        <w:t>take into account</w:t>
      </w:r>
      <w:proofErr w:type="gramEnd"/>
      <w:r w:rsidRPr="00145769">
        <w:rPr>
          <w:rFonts w:asciiTheme="majorBidi" w:hAnsiTheme="majorBidi" w:cstheme="majorBidi"/>
        </w:rPr>
        <w:t xml:space="preserve"> the impact on more than just direct users. Consumers, advertisers, publishers, employees, regulators, and developers and business customers are all important stakeholders. Ethical issues thus turn into governance issues where the cost of one stakeholders' benefit goes to the detriment of another. Jobin et al. (2019) distinguish four ethical principles that are continually restated: responsibility, fairness, privacy and transparency, while Novelli et al. (2024) highlight AI responsibility as a means of assigning responsibilities to AI systems.</w:t>
      </w:r>
    </w:p>
    <w:p w14:paraId="0158377E"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Whereas, Responsible AI can play a role towards a competitive advantage, which comes on condition. Krakowski, Luger and Raisch (2023) propose that AI alters the way the sources of advantage are realized as "complementary organisational capabilities are more crucial. The same pattern can be seen in the research of </w:t>
      </w:r>
      <w:proofErr w:type="spellStart"/>
      <w:r w:rsidRPr="00145769">
        <w:rPr>
          <w:rFonts w:asciiTheme="majorBidi" w:hAnsiTheme="majorBidi" w:cstheme="majorBidi"/>
        </w:rPr>
        <w:t>Mikalef</w:t>
      </w:r>
      <w:proofErr w:type="spellEnd"/>
      <w:r w:rsidRPr="00145769">
        <w:rPr>
          <w:rFonts w:asciiTheme="majorBidi" w:hAnsiTheme="majorBidi" w:cstheme="majorBidi"/>
        </w:rPr>
        <w:t xml:space="preserve"> and Gupta (2021) that associates AI ability </w:t>
      </w:r>
      <w:r w:rsidRPr="00145769">
        <w:rPr>
          <w:rFonts w:asciiTheme="majorBidi" w:hAnsiTheme="majorBidi" w:cstheme="majorBidi"/>
        </w:rPr>
        <w:lastRenderedPageBreak/>
        <w:t>with organisational creativity and firm performance. Thus, Google will be able to add the governing of AI to its Capabilities Base. This means, however, that governance should be manifested in outcomes (products) and not only through principles.</w:t>
      </w:r>
    </w:p>
    <w:p w14:paraId="30559C2A"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Thus, a practical “trust” model is recommended instead of a promotional one. Google should reveal significant AI restrictions, include opportunities for challenge, publish documentation of AI models or systems, as appropriate, and monitor indicators of user impact and report on remediation outcomes. A way to communicate intended uses and limitations are through model cards (Mitchell et al., 2019). Internal algorithmic auditing is another way to enable pre- and post-deployment detection of harms (Raji et al., 2020).</w:t>
      </w:r>
    </w:p>
    <w:p w14:paraId="5F54C45C" w14:textId="77777777" w:rsidR="004C06C3" w:rsidRDefault="004C06C3" w:rsidP="004C06C3">
      <w:pPr>
        <w:spacing w:line="360" w:lineRule="auto"/>
        <w:jc w:val="center"/>
        <w:rPr>
          <w:rFonts w:asciiTheme="majorBidi" w:hAnsiTheme="majorBidi" w:cstheme="majorBidi"/>
          <w:b/>
        </w:rPr>
      </w:pPr>
      <w:r>
        <w:rPr>
          <w:rFonts w:asciiTheme="majorBidi" w:hAnsiTheme="majorBidi" w:cstheme="majorBidi"/>
          <w:b/>
          <w:noProof/>
        </w:rPr>
        <w:drawing>
          <wp:inline distT="0" distB="0" distL="0" distR="0" wp14:anchorId="64E1EF75" wp14:editId="4AAC3C76">
            <wp:extent cx="5090160" cy="4939394"/>
            <wp:effectExtent l="0" t="0" r="0" b="0"/>
            <wp:docPr id="8413137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094408" cy="4943516"/>
                    </a:xfrm>
                    <a:prstGeom prst="rect">
                      <a:avLst/>
                    </a:prstGeom>
                    <a:noFill/>
                  </pic:spPr>
                </pic:pic>
              </a:graphicData>
            </a:graphic>
          </wp:inline>
        </w:drawing>
      </w:r>
    </w:p>
    <w:p w14:paraId="51FDDF3D" w14:textId="77777777" w:rsidR="004C06C3" w:rsidRDefault="004C06C3" w:rsidP="0066235A">
      <w:pPr>
        <w:pStyle w:val="Caption"/>
        <w:jc w:val="center"/>
        <w:rPr>
          <w:rFonts w:asciiTheme="majorBidi" w:hAnsiTheme="majorBidi" w:cstheme="majorBidi"/>
          <w:b w:val="0"/>
          <w:sz w:val="24"/>
          <w:szCs w:val="24"/>
          <w:lang w:val="en-GB"/>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fldChar w:fldCharType="begin"/>
      </w:r>
      <w:r>
        <w:instrText xml:space="preserve"> ADDIN ZOTERO_ITEM CSL_CITATION {"citationID":"B5m670ps","properties":{"unsorted":false,"formattedCitation":"({\\i{}AI and the Future of Human-Machine Interaction}, no date)","plainCitation":"(AI and the Future of Human-Machine Interaction, no date)","noteIndex":0},"citationItems":[{"id":1389,"uris":["http://zotero.org/users/local/tRuoqBhx/items/93Z4KTHS"],"itemData":{"id":1389,"type":"webpage","language":"en","title":"AI and the Future of Human-Machine Interaction","URL":"https://www.sidetool.co/post/ai-and-the-future-of-human-machine-interaction/","accessed":{"date-parts":[["2026",10,4]]}}}],"schema":"https://github.com/citation-style-language/schema/raw/master/csl-citation.json"} </w:instrText>
      </w:r>
      <w:r>
        <w:fldChar w:fldCharType="separate"/>
      </w:r>
      <w:r w:rsidRPr="002D5247">
        <w:rPr>
          <w:rFonts w:cs="Arial"/>
        </w:rPr>
        <w:t>(</w:t>
      </w:r>
      <w:r w:rsidRPr="002D5247">
        <w:rPr>
          <w:rFonts w:cs="Arial"/>
          <w:i/>
          <w:iCs/>
        </w:rPr>
        <w:t>AI and the Future of Human-Machine Interaction</w:t>
      </w:r>
      <w:r w:rsidRPr="002D5247">
        <w:rPr>
          <w:rFonts w:cs="Arial"/>
        </w:rPr>
        <w:t>, no date)</w:t>
      </w:r>
      <w:r>
        <w:fldChar w:fldCharType="end"/>
      </w:r>
      <w:r>
        <w:t>.</w:t>
      </w:r>
    </w:p>
    <w:p w14:paraId="136A1934"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Thus, trust is based on proportionality, accuracy, and accountability which can be shown.  The difference matters because an AI service should be equipped to make its user aware of when </w:t>
      </w:r>
      <w:r w:rsidRPr="00145769">
        <w:rPr>
          <w:rFonts w:asciiTheme="majorBidi" w:hAnsiTheme="majorBidi" w:cstheme="majorBidi"/>
        </w:rPr>
        <w:lastRenderedPageBreak/>
        <w:t>and when not it should be used; the right time for their human decision making should be preserved.</w:t>
      </w:r>
    </w:p>
    <w:p w14:paraId="6855A4E6" w14:textId="77777777" w:rsidR="004C06C3" w:rsidRPr="00145769" w:rsidRDefault="004C06C3" w:rsidP="004C06C3">
      <w:pPr>
        <w:pStyle w:val="Heading1"/>
        <w:spacing w:line="360" w:lineRule="auto"/>
        <w:jc w:val="both"/>
        <w:rPr>
          <w:rFonts w:asciiTheme="majorBidi" w:hAnsiTheme="majorBidi"/>
          <w:color w:val="auto"/>
          <w:sz w:val="24"/>
          <w:szCs w:val="24"/>
        </w:rPr>
      </w:pPr>
      <w:bookmarkStart w:id="9" w:name="_Toc242440448"/>
      <w:r w:rsidRPr="00145769">
        <w:rPr>
          <w:rFonts w:asciiTheme="majorBidi" w:hAnsiTheme="majorBidi"/>
          <w:color w:val="auto"/>
          <w:sz w:val="24"/>
          <w:szCs w:val="24"/>
        </w:rPr>
        <w:t>7. Strategic Recommendations</w:t>
      </w:r>
      <w:bookmarkEnd w:id="9"/>
    </w:p>
    <w:p w14:paraId="38A3F08F"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Based on the analysis, the following four recommendations are made, all of which are related. Firstly, Google needs to create an enterprise AI risk-governance framework which connects product, law, data, cybersecurity and ethics teams. AI governance should not be a standalone system of governance, but should intertwine with the existing corporate, IT and data governance (</w:t>
      </w:r>
      <w:proofErr w:type="spellStart"/>
      <w:r w:rsidRPr="00145769">
        <w:rPr>
          <w:rFonts w:asciiTheme="majorBidi" w:hAnsiTheme="majorBidi" w:cstheme="majorBidi"/>
        </w:rPr>
        <w:t>Mäntymäki</w:t>
      </w:r>
      <w:proofErr w:type="spellEnd"/>
      <w:r w:rsidRPr="00145769">
        <w:rPr>
          <w:rFonts w:asciiTheme="majorBidi" w:hAnsiTheme="majorBidi" w:cstheme="majorBidi"/>
        </w:rPr>
        <w:t xml:space="preserve"> et al., 2022). High Impact systems to be approved by Central AI Risk Committee with the requirement of evidence prior to deployment with the establishment of escalation thresholds. The committee should take a common risk metrics approach using strategic, operational, legal, data and ethical and reputational exposure.</w:t>
      </w:r>
    </w:p>
    <w:p w14:paraId="04507219"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Secondly, Google needs to improve its lifecycle information and model validation. All material AI systems are required to have an owner, line of sight to the dataset, purpose statement, a simple benchmark to track performance, along with any known limitations and a post-deployment monitoring plan. A backing documentation mechanism like model cards can be used in a practical way (Mitchell et al., 2019) and algorithmic auditing can be used to provide end-to-end assurance (Raji et al., 2020). This should be a risk-based recommendation as all low-risk systems do not need the same controls thus introducing unnecessary costs.</w:t>
      </w:r>
    </w:p>
    <w:p w14:paraId="1D35DBE3"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Thirdly, there should be a regulatory intelligence and control-mapping function at Google for the UK/EU region. The function should keep a record of the AI, competition, data and consumer requirements and convert these into product controls. The goal is to be able to watch </w:t>
      </w:r>
      <w:proofErr w:type="gramStart"/>
      <w:r w:rsidRPr="00145769">
        <w:rPr>
          <w:rFonts w:asciiTheme="majorBidi" w:hAnsiTheme="majorBidi" w:cstheme="majorBidi"/>
        </w:rPr>
        <w:t>legislation, and</w:t>
      </w:r>
      <w:proofErr w:type="gramEnd"/>
      <w:r w:rsidRPr="00145769">
        <w:rPr>
          <w:rFonts w:asciiTheme="majorBidi" w:hAnsiTheme="majorBidi" w:cstheme="majorBidi"/>
        </w:rPr>
        <w:t xml:space="preserve"> find out the repercussions for Google's operations early on. This is specifically significant as the structures and timing of the UK and EU approaches differ. A </w:t>
      </w:r>
      <w:proofErr w:type="gramStart"/>
      <w:r w:rsidRPr="00145769">
        <w:rPr>
          <w:rFonts w:asciiTheme="majorBidi" w:hAnsiTheme="majorBidi" w:cstheme="majorBidi"/>
        </w:rPr>
        <w:t>live obligations</w:t>
      </w:r>
      <w:proofErr w:type="gramEnd"/>
      <w:r w:rsidRPr="00145769">
        <w:rPr>
          <w:rFonts w:asciiTheme="majorBidi" w:hAnsiTheme="majorBidi" w:cstheme="majorBidi"/>
        </w:rPr>
        <w:t xml:space="preserve"> register to be maintained and a corresponding test to check compliance should be provided in the function when the product changes.</w:t>
      </w:r>
    </w:p>
    <w:p w14:paraId="36414CC9"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Fourth, Google needs to make trust "measurable". CIIs should be added to AI risk dashboards, in addition to technical and financial measures. Material error rates, complaints, remediation time, disclosure quality, outcomes of fairness findings and any stalled stakeholder concerns should be indicators. This would shift the goal of customers' trust from a communications goal to a governance outcome. Research </w:t>
      </w:r>
      <w:proofErr w:type="gramStart"/>
      <w:r w:rsidRPr="00145769">
        <w:rPr>
          <w:rFonts w:asciiTheme="majorBidi" w:hAnsiTheme="majorBidi" w:cstheme="majorBidi"/>
        </w:rPr>
        <w:t>in the area of</w:t>
      </w:r>
      <w:proofErr w:type="gramEnd"/>
      <w:r w:rsidRPr="00145769">
        <w:rPr>
          <w:rFonts w:asciiTheme="majorBidi" w:hAnsiTheme="majorBidi" w:cstheme="majorBidi"/>
        </w:rPr>
        <w:t xml:space="preserve"> responsible AI governance fosters this shift from principles to running processes (</w:t>
      </w:r>
      <w:proofErr w:type="spellStart"/>
      <w:r w:rsidRPr="00145769">
        <w:rPr>
          <w:rFonts w:asciiTheme="majorBidi" w:hAnsiTheme="majorBidi" w:cstheme="majorBidi"/>
        </w:rPr>
        <w:t>Papagiannidis</w:t>
      </w:r>
      <w:proofErr w:type="spellEnd"/>
      <w:r w:rsidRPr="00145769">
        <w:rPr>
          <w:rFonts w:asciiTheme="majorBidi" w:hAnsiTheme="majorBidi" w:cstheme="majorBidi"/>
        </w:rPr>
        <w:t xml:space="preserve">, </w:t>
      </w:r>
      <w:proofErr w:type="spellStart"/>
      <w:r w:rsidRPr="00145769">
        <w:rPr>
          <w:rFonts w:asciiTheme="majorBidi" w:hAnsiTheme="majorBidi" w:cstheme="majorBidi"/>
        </w:rPr>
        <w:t>Mikalef</w:t>
      </w:r>
      <w:proofErr w:type="spellEnd"/>
      <w:r w:rsidRPr="00145769">
        <w:rPr>
          <w:rFonts w:asciiTheme="majorBidi" w:hAnsiTheme="majorBidi" w:cstheme="majorBidi"/>
        </w:rPr>
        <w:t xml:space="preserve"> and Conboy 2025, Yanney 2025).</w:t>
      </w:r>
    </w:p>
    <w:p w14:paraId="022B9324" w14:textId="77777777" w:rsidR="004C06C3" w:rsidRPr="00145769" w:rsidRDefault="004C06C3" w:rsidP="004C06C3">
      <w:pPr>
        <w:pStyle w:val="Heading1"/>
        <w:spacing w:line="360" w:lineRule="auto"/>
        <w:jc w:val="both"/>
        <w:rPr>
          <w:rFonts w:asciiTheme="majorBidi" w:hAnsiTheme="majorBidi"/>
          <w:color w:val="auto"/>
          <w:sz w:val="24"/>
          <w:szCs w:val="24"/>
        </w:rPr>
      </w:pPr>
      <w:bookmarkStart w:id="10" w:name="_Toc242440449"/>
      <w:r w:rsidRPr="00145769">
        <w:rPr>
          <w:rFonts w:asciiTheme="majorBidi" w:hAnsiTheme="majorBidi"/>
          <w:color w:val="auto"/>
          <w:sz w:val="24"/>
          <w:szCs w:val="24"/>
        </w:rPr>
        <w:lastRenderedPageBreak/>
        <w:t>8. Detailed Implementation Plan</w:t>
      </w:r>
      <w:bookmarkEnd w:id="10"/>
    </w:p>
    <w:p w14:paraId="5CB87091" w14:textId="77777777" w:rsidR="004C06C3" w:rsidRDefault="004C06C3" w:rsidP="004C06C3">
      <w:pPr>
        <w:spacing w:line="360" w:lineRule="auto"/>
        <w:jc w:val="both"/>
        <w:rPr>
          <w:rFonts w:asciiTheme="majorBidi" w:hAnsiTheme="majorBidi" w:cstheme="majorBidi"/>
        </w:rPr>
      </w:pPr>
      <w:r w:rsidRPr="00145769">
        <w:rPr>
          <w:rFonts w:asciiTheme="majorBidi" w:hAnsiTheme="majorBidi" w:cstheme="majorBidi"/>
        </w:rPr>
        <w:t>It is recommended that the implementation take place within four phases on a time course of 18 months, with a review of the process along the way. The recommendations are turned into operational actions in the plan below.</w:t>
      </w:r>
    </w:p>
    <w:p w14:paraId="2AC35620" w14:textId="77777777" w:rsidR="004C06C3" w:rsidRDefault="004C06C3" w:rsidP="004C06C3">
      <w:pPr>
        <w:spacing w:line="360" w:lineRule="auto"/>
        <w:jc w:val="both"/>
        <w:rPr>
          <w:rFonts w:asciiTheme="majorBidi" w:hAnsiTheme="majorBidi" w:cstheme="majorBidi"/>
        </w:rPr>
      </w:pPr>
      <w:r>
        <w:rPr>
          <w:rFonts w:asciiTheme="majorBidi" w:hAnsiTheme="majorBidi" w:cstheme="majorBidi"/>
          <w:noProof/>
        </w:rPr>
        <w:drawing>
          <wp:inline distT="0" distB="0" distL="0" distR="0" wp14:anchorId="4C98565B" wp14:editId="285ED011">
            <wp:extent cx="5993765" cy="3196764"/>
            <wp:effectExtent l="0" t="0" r="6985" b="3810"/>
            <wp:docPr id="4335416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014308" cy="3207721"/>
                    </a:xfrm>
                    <a:prstGeom prst="rect">
                      <a:avLst/>
                    </a:prstGeom>
                    <a:noFill/>
                  </pic:spPr>
                </pic:pic>
              </a:graphicData>
            </a:graphic>
          </wp:inline>
        </w:drawing>
      </w:r>
    </w:p>
    <w:p w14:paraId="22CBE63D" w14:textId="77777777" w:rsidR="004C06C3" w:rsidRPr="00145769" w:rsidRDefault="004C06C3" w:rsidP="0066235A">
      <w:pPr>
        <w:pStyle w:val="Caption"/>
        <w:jc w:val="center"/>
        <w:rPr>
          <w:rFonts w:asciiTheme="majorBidi" w:hAnsiTheme="majorBidi" w:cstheme="majorBidi"/>
          <w:sz w:val="24"/>
          <w:szCs w:val="24"/>
          <w:lang w:val="en-GB"/>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D9711D">
        <w:t>18-month implementation Gantt chart for Google's integrated AI risk-management strategy.</w:t>
      </w:r>
    </w:p>
    <w:p w14:paraId="034C791F" w14:textId="77777777" w:rsidR="004C06C3" w:rsidRPr="00145769" w:rsidRDefault="004C06C3" w:rsidP="004C06C3">
      <w:pPr>
        <w:pStyle w:val="Caption"/>
        <w:rPr>
          <w:rFonts w:asciiTheme="majorBidi" w:hAnsiTheme="majorBidi" w:cstheme="majorBidi"/>
          <w:color w:val="auto"/>
          <w:sz w:val="24"/>
          <w:szCs w:val="24"/>
          <w:lang w:val="en-GB"/>
        </w:rPr>
      </w:pPr>
      <w:bookmarkStart w:id="11" w:name="_Toc241957314"/>
      <w:r>
        <w:t xml:space="preserve">Table </w:t>
      </w:r>
      <w:r>
        <w:fldChar w:fldCharType="begin"/>
      </w:r>
      <w:r>
        <w:instrText xml:space="preserve"> SEQ Table \* ARABIC </w:instrText>
      </w:r>
      <w:r>
        <w:fldChar w:fldCharType="separate"/>
      </w:r>
      <w:r>
        <w:rPr>
          <w:noProof/>
        </w:rPr>
        <w:t>13</w:t>
      </w:r>
      <w:r>
        <w:rPr>
          <w:noProof/>
        </w:rPr>
        <w:fldChar w:fldCharType="end"/>
      </w:r>
      <w:r>
        <w:t xml:space="preserve"> </w:t>
      </w:r>
      <w:r w:rsidRPr="00E369B3">
        <w:t>Phased implementation plan: ownership, performance measures and controls.</w:t>
      </w:r>
      <w:bookmarkEnd w:id="11"/>
    </w:p>
    <w:tbl>
      <w:tblPr>
        <w:tblStyle w:val="TableGrid"/>
        <w:tblW w:w="0" w:type="auto"/>
        <w:jc w:val="center"/>
        <w:tblLook w:val="04A0" w:firstRow="1" w:lastRow="0" w:firstColumn="1" w:lastColumn="0" w:noHBand="0" w:noVBand="1"/>
      </w:tblPr>
      <w:tblGrid>
        <w:gridCol w:w="2183"/>
        <w:gridCol w:w="2267"/>
        <w:gridCol w:w="2297"/>
        <w:gridCol w:w="2269"/>
      </w:tblGrid>
      <w:tr w:rsidR="004C06C3" w:rsidRPr="00145769" w14:paraId="43D0B104" w14:textId="77777777" w:rsidTr="00232E73">
        <w:trPr>
          <w:jc w:val="center"/>
        </w:trPr>
        <w:tc>
          <w:tcPr>
            <w:tcW w:w="2448" w:type="dxa"/>
          </w:tcPr>
          <w:p w14:paraId="27CF4E44"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Phase</w:t>
            </w:r>
          </w:p>
        </w:tc>
        <w:tc>
          <w:tcPr>
            <w:tcW w:w="2448" w:type="dxa"/>
          </w:tcPr>
          <w:p w14:paraId="56FA3C6E"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Action and owner</w:t>
            </w:r>
          </w:p>
        </w:tc>
        <w:tc>
          <w:tcPr>
            <w:tcW w:w="2448" w:type="dxa"/>
          </w:tcPr>
          <w:p w14:paraId="58ED1B81"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KPI</w:t>
            </w:r>
          </w:p>
        </w:tc>
        <w:tc>
          <w:tcPr>
            <w:tcW w:w="2448" w:type="dxa"/>
          </w:tcPr>
          <w:p w14:paraId="1B451203"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Risk/control</w:t>
            </w:r>
          </w:p>
        </w:tc>
      </w:tr>
      <w:tr w:rsidR="004C06C3" w:rsidRPr="00145769" w14:paraId="6D2D78AE" w14:textId="77777777" w:rsidTr="00232E73">
        <w:trPr>
          <w:jc w:val="center"/>
        </w:trPr>
        <w:tc>
          <w:tcPr>
            <w:tcW w:w="2448" w:type="dxa"/>
          </w:tcPr>
          <w:p w14:paraId="3823BB93"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0–3 months</w:t>
            </w:r>
          </w:p>
        </w:tc>
        <w:tc>
          <w:tcPr>
            <w:tcW w:w="2448" w:type="dxa"/>
          </w:tcPr>
          <w:p w14:paraId="4DDFB711"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Establish AI Risk Committee; Legal maps UK/EU obligations</w:t>
            </w:r>
          </w:p>
        </w:tc>
        <w:tc>
          <w:tcPr>
            <w:tcW w:w="2448" w:type="dxa"/>
          </w:tcPr>
          <w:p w14:paraId="1A7ED7A7"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Committee operational; 100% priority obligations assigned</w:t>
            </w:r>
          </w:p>
        </w:tc>
        <w:tc>
          <w:tcPr>
            <w:tcW w:w="2448" w:type="dxa"/>
          </w:tcPr>
          <w:p w14:paraId="0F23D84B"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Duplication; integrate with existing governance</w:t>
            </w:r>
          </w:p>
        </w:tc>
      </w:tr>
      <w:tr w:rsidR="004C06C3" w:rsidRPr="00145769" w14:paraId="306DBF8D" w14:textId="77777777" w:rsidTr="00232E73">
        <w:trPr>
          <w:jc w:val="center"/>
        </w:trPr>
        <w:tc>
          <w:tcPr>
            <w:tcW w:w="2448" w:type="dxa"/>
          </w:tcPr>
          <w:p w14:paraId="047B9756"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3–6 months</w:t>
            </w:r>
          </w:p>
        </w:tc>
        <w:tc>
          <w:tcPr>
            <w:tcW w:w="2448" w:type="dxa"/>
          </w:tcPr>
          <w:p w14:paraId="146975EB"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Data and AI teams create system inventory, lineage and risk tiers</w:t>
            </w:r>
          </w:p>
        </w:tc>
        <w:tc>
          <w:tcPr>
            <w:tcW w:w="2448" w:type="dxa"/>
          </w:tcPr>
          <w:p w14:paraId="2CDD6A46"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100% high-impact systems inventoried</w:t>
            </w:r>
          </w:p>
        </w:tc>
        <w:tc>
          <w:tcPr>
            <w:tcW w:w="2448" w:type="dxa"/>
          </w:tcPr>
          <w:p w14:paraId="4542D838"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Incomplete inventory; executive sign-off</w:t>
            </w:r>
          </w:p>
        </w:tc>
      </w:tr>
      <w:tr w:rsidR="004C06C3" w:rsidRPr="00145769" w14:paraId="3E25A1C1" w14:textId="77777777" w:rsidTr="00232E73">
        <w:trPr>
          <w:jc w:val="center"/>
        </w:trPr>
        <w:tc>
          <w:tcPr>
            <w:tcW w:w="2448" w:type="dxa"/>
          </w:tcPr>
          <w:p w14:paraId="7D5A4A94"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6–12 months</w:t>
            </w:r>
          </w:p>
        </w:tc>
        <w:tc>
          <w:tcPr>
            <w:tcW w:w="2448" w:type="dxa"/>
          </w:tcPr>
          <w:p w14:paraId="0BEBFF1D"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Independent assurance conducts model audits and stress tests</w:t>
            </w:r>
          </w:p>
        </w:tc>
        <w:tc>
          <w:tcPr>
            <w:tcW w:w="2448" w:type="dxa"/>
          </w:tcPr>
          <w:p w14:paraId="77A6AC03"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High-risk systems independently reviewed</w:t>
            </w:r>
          </w:p>
        </w:tc>
        <w:tc>
          <w:tcPr>
            <w:tcW w:w="2448" w:type="dxa"/>
          </w:tcPr>
          <w:p w14:paraId="5021DCEF"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Audit bottlenecks; risk-based scheduling</w:t>
            </w:r>
          </w:p>
        </w:tc>
      </w:tr>
      <w:tr w:rsidR="004C06C3" w:rsidRPr="00145769" w14:paraId="6D77F69D" w14:textId="77777777" w:rsidTr="00232E73">
        <w:trPr>
          <w:jc w:val="center"/>
        </w:trPr>
        <w:tc>
          <w:tcPr>
            <w:tcW w:w="2448" w:type="dxa"/>
          </w:tcPr>
          <w:p w14:paraId="44BB364A"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lastRenderedPageBreak/>
              <w:t>12–18 months</w:t>
            </w:r>
          </w:p>
        </w:tc>
        <w:tc>
          <w:tcPr>
            <w:tcW w:w="2448" w:type="dxa"/>
          </w:tcPr>
          <w:p w14:paraId="5D1E922B"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Product teams embed trust metrics and regulatory controls</w:t>
            </w:r>
          </w:p>
        </w:tc>
        <w:tc>
          <w:tcPr>
            <w:tcW w:w="2448" w:type="dxa"/>
          </w:tcPr>
          <w:p w14:paraId="78DA5AED"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Trust dashboard active; remediation SLAs met</w:t>
            </w:r>
          </w:p>
        </w:tc>
        <w:tc>
          <w:tcPr>
            <w:tcW w:w="2448" w:type="dxa"/>
          </w:tcPr>
          <w:p w14:paraId="6BDF3819"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Metric gaming; independent validation</w:t>
            </w:r>
          </w:p>
        </w:tc>
      </w:tr>
    </w:tbl>
    <w:p w14:paraId="2E3CD5A7" w14:textId="77777777" w:rsidR="004C06C3" w:rsidRPr="00145769" w:rsidRDefault="004C06C3" w:rsidP="004C06C3">
      <w:pPr>
        <w:spacing w:line="360" w:lineRule="auto"/>
        <w:jc w:val="both"/>
        <w:rPr>
          <w:rFonts w:asciiTheme="majorBidi" w:hAnsiTheme="majorBidi" w:cstheme="majorBidi"/>
        </w:rPr>
      </w:pPr>
    </w:p>
    <w:p w14:paraId="6EDD41CE"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here should be governance and accountability established in phase one. High-level leadership and product, engineering, legal, privacy, security, and other related expertise on compliance and responsible-AI should all be represented on the AI Risk Committee. The first job of its would be to set limits of risk appetite and minimum controls. Tolerance and assurance should be lower for high impact services.</w:t>
      </w:r>
    </w:p>
    <w:p w14:paraId="39326962"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Phase two should be to build the visibility. Google needs to have an enterprise AI inventory with respect to models that it has developed, and third-party models as well as material datasets and high impact models use cases. The level of potential user harm, regulatory exposure, size and independence/reversibility should be used to determine a risk classification for each system. Data lineage should be documented for high-risk systems including documented controls for access, retention and the use of that data. Evident in that is a form of data-governance where there is a focus on authority, control and risk reduction (Abraham et al., 2019).</w:t>
      </w:r>
    </w:p>
    <w:p w14:paraId="5E019DA8"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The independent assurance should take place in phase three. Testing, adversarial evaluation, bias evaluation, and privacy and legal review should be done prior to deployment for high-risk systems. Model performance may vary as the data, users and system conditions vary and there is a need for post deployment monitoring. Independent assurance is significant as internal teams could self-evaluate their own controls, which may not be challenging enough.</w:t>
      </w:r>
    </w:p>
    <w:p w14:paraId="7F0A13B0"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In phase four, customers' trust and regulatory performance should be connected. Matrices should include technical performance metrics and complaints, incidents and remediation time and regulatory findings. There should be a quarterly risk report to senior leaders informed of AI risks and immediate escalation of the material incidents. Control mappings should be updated as the requirements change - this is the role of the UK/EU regulatory function. The ongoing change of the controls based on future changing technology and regulation supports a future proofer model.</w:t>
      </w:r>
    </w:p>
    <w:p w14:paraId="40A24917"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Capability development should be a component of the plan. AI natives are needed for procurement and development of AI, deployment and supervision of AI. The EU AI-act also </w:t>
      </w:r>
      <w:r w:rsidRPr="00145769">
        <w:rPr>
          <w:rFonts w:asciiTheme="majorBidi" w:hAnsiTheme="majorBidi" w:cstheme="majorBidi"/>
        </w:rPr>
        <w:lastRenderedPageBreak/>
        <w:t>focuses on AI-literate requirements, and the responsible-AI research domain also focuses on organisational governance (principles) (</w:t>
      </w:r>
      <w:proofErr w:type="spellStart"/>
      <w:r w:rsidRPr="00145769">
        <w:rPr>
          <w:rFonts w:asciiTheme="majorBidi" w:hAnsiTheme="majorBidi" w:cstheme="majorBidi"/>
        </w:rPr>
        <w:t>Papagiannidis</w:t>
      </w:r>
      <w:proofErr w:type="spellEnd"/>
      <w:r w:rsidRPr="00145769">
        <w:rPr>
          <w:rFonts w:asciiTheme="majorBidi" w:hAnsiTheme="majorBidi" w:cstheme="majorBidi"/>
        </w:rPr>
        <w:t xml:space="preserve">, </w:t>
      </w:r>
      <w:proofErr w:type="spellStart"/>
      <w:r w:rsidRPr="00145769">
        <w:rPr>
          <w:rFonts w:asciiTheme="majorBidi" w:hAnsiTheme="majorBidi" w:cstheme="majorBidi"/>
        </w:rPr>
        <w:t>Mikalef</w:t>
      </w:r>
      <w:proofErr w:type="spellEnd"/>
      <w:r w:rsidRPr="00145769">
        <w:rPr>
          <w:rFonts w:asciiTheme="majorBidi" w:hAnsiTheme="majorBidi" w:cstheme="majorBidi"/>
        </w:rPr>
        <w:t xml:space="preserve"> and Conboy 2025).</w:t>
      </w:r>
    </w:p>
    <w:p w14:paraId="2CDABE77"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Governance is the governance as a learning process. Model reviews, data decisions and product controls should be based on incidents, complaints, audit findings and regulatory enquiries which feed back into the model.</w:t>
      </w:r>
    </w:p>
    <w:p w14:paraId="5EC99D2A"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Management should quarterly assess indicators to realign with risk </w:t>
      </w:r>
      <w:proofErr w:type="gramStart"/>
      <w:r w:rsidRPr="00145769">
        <w:rPr>
          <w:rFonts w:asciiTheme="majorBidi" w:hAnsiTheme="majorBidi" w:cstheme="majorBidi"/>
        </w:rPr>
        <w:t>appetite</w:t>
      </w:r>
      <w:proofErr w:type="gramEnd"/>
      <w:r w:rsidRPr="00145769">
        <w:rPr>
          <w:rFonts w:asciiTheme="majorBidi" w:hAnsiTheme="majorBidi" w:cstheme="majorBidi"/>
        </w:rPr>
        <w:t xml:space="preserve"> and controls should be adapting when evidence shows there are material changes in model performance, regulation, user behaviour and/or stakeholder expectations.</w:t>
      </w:r>
    </w:p>
    <w:p w14:paraId="779F4E76" w14:textId="77777777" w:rsidR="004C06C3" w:rsidRPr="00145769" w:rsidRDefault="004C06C3" w:rsidP="004C06C3">
      <w:pPr>
        <w:pStyle w:val="Heading1"/>
        <w:spacing w:line="360" w:lineRule="auto"/>
        <w:jc w:val="both"/>
        <w:rPr>
          <w:rFonts w:asciiTheme="majorBidi" w:hAnsiTheme="majorBidi"/>
          <w:color w:val="auto"/>
          <w:sz w:val="24"/>
          <w:szCs w:val="24"/>
        </w:rPr>
      </w:pPr>
      <w:bookmarkStart w:id="12" w:name="_Toc242440450"/>
      <w:r w:rsidRPr="00145769">
        <w:rPr>
          <w:rFonts w:asciiTheme="majorBidi" w:hAnsiTheme="majorBidi"/>
          <w:color w:val="auto"/>
          <w:sz w:val="24"/>
          <w:szCs w:val="24"/>
        </w:rPr>
        <w:t>9. Conclusion</w:t>
      </w:r>
      <w:bookmarkEnd w:id="12"/>
    </w:p>
    <w:p w14:paraId="35920EE3"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It may be a strategic opportunity for Google, but competitive advantage and risk-governance go hand in hand with AI. While AI can advance productivity, personalisation and innovation, the same technologies can lead to facing unreliable results, improper use of data, potential regulatory pressures and reputational damage. However, rather than shunning AI, the right way to manage the deployment is to do so in a way which is commensurate with risk, evidence of impact and stakeholders.</w:t>
      </w:r>
    </w:p>
    <w:p w14:paraId="3F51E46B"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The UK and EU comparison illustrates the uselessness of any legal starting-point in multinational governance of AI. There are two types of compliance routes: the UK regulator-led environment versus the EU more formal approach to AI and the Digital Market. Google thus must have a jurisdictionally level baseline regulated with jurisdiction-specific controls, regulatory monitoring, documented accountability.</w:t>
      </w:r>
    </w:p>
    <w:p w14:paraId="43B4C16D" w14:textId="77777777" w:rsidR="004C06C3" w:rsidRDefault="004C06C3" w:rsidP="004C06C3">
      <w:pPr>
        <w:spacing w:line="360" w:lineRule="auto"/>
        <w:jc w:val="both"/>
        <w:rPr>
          <w:rFonts w:asciiTheme="majorBidi" w:hAnsiTheme="majorBidi" w:cstheme="majorBidi"/>
        </w:rPr>
      </w:pPr>
      <w:r w:rsidRPr="00145769">
        <w:rPr>
          <w:rFonts w:asciiTheme="majorBidi" w:hAnsiTheme="majorBidi" w:cstheme="majorBidi"/>
        </w:rPr>
        <w:t>Google requires evolving controls over AI technologies to an integrated enterprise risk governance strategy. Recommended architecture is a combination of senior oversight, lifecycle data and model assurance, ongoing UK/EU regulatory intelligence and tangible customer-trust controls. This will maintain innovation whilst also ensuring a more consistent process of risk decisions, and more audibility.</w:t>
      </w:r>
    </w:p>
    <w:p w14:paraId="086D434D" w14:textId="77777777" w:rsidR="004C06C3" w:rsidRDefault="004C06C3" w:rsidP="004C06C3">
      <w:pPr>
        <w:spacing w:after="200"/>
        <w:rPr>
          <w:rFonts w:asciiTheme="majorBidi" w:hAnsiTheme="majorBidi" w:cstheme="majorBidi"/>
        </w:rPr>
      </w:pPr>
      <w:r>
        <w:rPr>
          <w:rFonts w:asciiTheme="majorBidi" w:hAnsiTheme="majorBidi" w:cstheme="majorBidi"/>
        </w:rPr>
        <w:br w:type="page"/>
      </w:r>
    </w:p>
    <w:bookmarkStart w:id="13" w:name="_Toc242440451" w:displacedByCustomXml="next"/>
    <w:sdt>
      <w:sdtPr>
        <w:rPr>
          <w:rFonts w:asciiTheme="majorBidi" w:eastAsiaTheme="minorEastAsia" w:hAnsiTheme="majorBidi" w:cstheme="minorBidi"/>
          <w:b/>
          <w:bCs/>
          <w:color w:val="auto"/>
          <w:sz w:val="24"/>
          <w:szCs w:val="24"/>
        </w:rPr>
        <w:id w:val="2071378540"/>
        <w:docPartObj>
          <w:docPartGallery w:val="Bibliographies"/>
          <w:docPartUnique/>
        </w:docPartObj>
      </w:sdtPr>
      <w:sdtEndPr>
        <w:rPr>
          <w:rFonts w:eastAsiaTheme="minorHAnsi"/>
          <w:b w:val="0"/>
          <w:bCs w:val="0"/>
        </w:rPr>
      </w:sdtEndPr>
      <w:sdtContent>
        <w:p w14:paraId="62BB8623" w14:textId="77777777" w:rsidR="004C06C3" w:rsidRPr="00145769" w:rsidRDefault="004C06C3" w:rsidP="004C06C3">
          <w:pPr>
            <w:pStyle w:val="Heading1"/>
            <w:spacing w:line="360" w:lineRule="auto"/>
            <w:ind w:left="720" w:hanging="720"/>
            <w:jc w:val="both"/>
            <w:rPr>
              <w:rFonts w:asciiTheme="majorBidi" w:hAnsiTheme="majorBidi"/>
              <w:color w:val="auto"/>
              <w:sz w:val="32"/>
              <w:szCs w:val="32"/>
            </w:rPr>
          </w:pPr>
          <w:r w:rsidRPr="00145769">
            <w:rPr>
              <w:rFonts w:asciiTheme="majorBidi" w:hAnsiTheme="majorBidi"/>
              <w:color w:val="auto"/>
              <w:sz w:val="32"/>
              <w:szCs w:val="32"/>
            </w:rPr>
            <w:t>References</w:t>
          </w:r>
          <w:bookmarkEnd w:id="13"/>
        </w:p>
        <w:sdt>
          <w:sdtPr>
            <w:rPr>
              <w:rFonts w:asciiTheme="majorBidi" w:hAnsiTheme="majorBidi" w:cstheme="majorBidi"/>
            </w:rPr>
            <w:id w:val="-573587230"/>
            <w:bibliography/>
          </w:sdtPr>
          <w:sdtEndPr/>
          <w:sdtContent>
            <w:p w14:paraId="4F15CA26"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 xml:space="preserve">Abraham, R., Schneider, J. and </w:t>
              </w:r>
              <w:proofErr w:type="spellStart"/>
              <w:r w:rsidRPr="00145769">
                <w:rPr>
                  <w:rFonts w:asciiTheme="majorBidi" w:hAnsiTheme="majorBidi" w:cstheme="majorBidi"/>
                </w:rPr>
                <w:t>vom</w:t>
              </w:r>
              <w:proofErr w:type="spellEnd"/>
              <w:r w:rsidRPr="00145769">
                <w:rPr>
                  <w:rFonts w:asciiTheme="majorBidi" w:hAnsiTheme="majorBidi" w:cstheme="majorBidi"/>
                </w:rPr>
                <w:t xml:space="preserve"> Brocke, J. (2019) 'Data governance: a conceptual framework, structured review, and research agenda', International Journal of Information Management, 49, pp. 424–438. Available at: https://doi.org/10.1016/j.ijinfomgt.2019.07.008</w:t>
              </w:r>
            </w:p>
            <w:p w14:paraId="11F9010E"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Acemoglu, D. (2025) 'The simple macroeconomics of AI', Economic Policy, 40(121), pp. 13–58. Available at: https://doi.org/10.1093/epolic/eiae042</w:t>
              </w:r>
            </w:p>
            <w:p w14:paraId="18AA231F"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Adekunle, B.I., Chukwuma-Eke, E.C., Balogun, E.D. and Ogunsola, K.O. (2023) 'Integrating AI-driven risk assessment frameworks in financial operations: A model for enhanced corporate governance', International Journal of Scientific Research in Computer Science, Engineering and Information Technology, 9(6), pp. 445–464. Available at: https://scholar.google.com/scholar?q=Integrating%20AI-driven%20risk%20assessment%20frameworks%20in%20financial%20operations%20Adekunle%202023</w:t>
              </w:r>
            </w:p>
            <w:p w14:paraId="5212161B" w14:textId="77777777" w:rsidR="004C06C3" w:rsidRPr="00145769" w:rsidRDefault="004C06C3" w:rsidP="004C06C3">
              <w:pPr>
                <w:spacing w:line="360" w:lineRule="auto"/>
                <w:ind w:left="720" w:hanging="720"/>
                <w:jc w:val="both"/>
                <w:rPr>
                  <w:rFonts w:asciiTheme="majorBidi" w:hAnsiTheme="majorBidi" w:cstheme="majorBidi"/>
                </w:rPr>
              </w:pPr>
              <w:proofErr w:type="spellStart"/>
              <w:r w:rsidRPr="00145769">
                <w:rPr>
                  <w:rFonts w:asciiTheme="majorBidi" w:hAnsiTheme="majorBidi" w:cstheme="majorBidi"/>
                </w:rPr>
                <w:t>Ajuwon</w:t>
              </w:r>
              <w:proofErr w:type="spellEnd"/>
              <w:r w:rsidRPr="00145769">
                <w:rPr>
                  <w:rFonts w:asciiTheme="majorBidi" w:hAnsiTheme="majorBidi" w:cstheme="majorBidi"/>
                </w:rPr>
                <w:t xml:space="preserve">, A., Oladuji, T.J., </w:t>
              </w:r>
              <w:proofErr w:type="spellStart"/>
              <w:r w:rsidRPr="00145769">
                <w:rPr>
                  <w:rFonts w:asciiTheme="majorBidi" w:hAnsiTheme="majorBidi" w:cstheme="majorBidi"/>
                </w:rPr>
                <w:t>Akintobi</w:t>
              </w:r>
              <w:proofErr w:type="spellEnd"/>
              <w:r w:rsidRPr="00145769">
                <w:rPr>
                  <w:rFonts w:asciiTheme="majorBidi" w:hAnsiTheme="majorBidi" w:cstheme="majorBidi"/>
                </w:rPr>
                <w:t>, A.O. and Onifade, O. (2025) 'AI-Powered Transformations in Financial Services: Automation and Innovation in Investment and Risk Models', Engineering and Technology Journal, 10(6), pp. 5397–5415. Available at: https://doi.org/10.5281/zenodo.15631204</w:t>
              </w:r>
            </w:p>
            <w:p w14:paraId="1AE6EC58"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 xml:space="preserve">Akinola, O., </w:t>
              </w:r>
              <w:proofErr w:type="spellStart"/>
              <w:r w:rsidRPr="00145769">
                <w:rPr>
                  <w:rFonts w:asciiTheme="majorBidi" w:hAnsiTheme="majorBidi" w:cstheme="majorBidi"/>
                </w:rPr>
                <w:t>Tunbosun</w:t>
              </w:r>
              <w:proofErr w:type="spellEnd"/>
              <w:r w:rsidRPr="00145769">
                <w:rPr>
                  <w:rFonts w:asciiTheme="majorBidi" w:hAnsiTheme="majorBidi" w:cstheme="majorBidi"/>
                </w:rPr>
                <w:t>, O.A. and Oladapo, B. (2022) 'Comparative Analysis Regulatory of AI and Algorithm in UK, EU and USA'. Available at: https://papers.ssrn.com/sol3/papers.cfm?abstract_id=4212588</w:t>
              </w:r>
            </w:p>
            <w:p w14:paraId="280599FA"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Al-</w:t>
              </w:r>
              <w:proofErr w:type="spellStart"/>
              <w:r w:rsidRPr="00145769">
                <w:rPr>
                  <w:rFonts w:asciiTheme="majorBidi" w:hAnsiTheme="majorBidi" w:cstheme="majorBidi"/>
                </w:rPr>
                <w:t>haimi</w:t>
              </w:r>
              <w:proofErr w:type="spellEnd"/>
              <w:r w:rsidRPr="00145769">
                <w:rPr>
                  <w:rFonts w:asciiTheme="majorBidi" w:hAnsiTheme="majorBidi" w:cstheme="majorBidi"/>
                </w:rPr>
                <w:t xml:space="preserve">, B. and </w:t>
              </w:r>
              <w:proofErr w:type="spellStart"/>
              <w:r w:rsidRPr="00145769">
                <w:rPr>
                  <w:rFonts w:asciiTheme="majorBidi" w:hAnsiTheme="majorBidi" w:cstheme="majorBidi"/>
                </w:rPr>
                <w:t>Chuanjie</w:t>
              </w:r>
              <w:proofErr w:type="spellEnd"/>
              <w:r w:rsidRPr="00145769">
                <w:rPr>
                  <w:rFonts w:asciiTheme="majorBidi" w:hAnsiTheme="majorBidi" w:cstheme="majorBidi"/>
                </w:rPr>
                <w:t>, Z. (2025) 'Artificial intelligence in cross-border e-commerce: From value chain optimization to compliance-as-a-service'. Available at: https://papers.ssrn.com/</w:t>
              </w:r>
            </w:p>
            <w:p w14:paraId="79F0D386"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Alphabet Inc. (2026) Investor relations. Available at: https://abc.xyz/investor/</w:t>
              </w:r>
            </w:p>
            <w:p w14:paraId="26EFB55D"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 xml:space="preserve">Bender, E.M., Gebru, T., McMillan-Major, A. and </w:t>
              </w:r>
              <w:proofErr w:type="spellStart"/>
              <w:r w:rsidRPr="00145769">
                <w:rPr>
                  <w:rFonts w:asciiTheme="majorBidi" w:hAnsiTheme="majorBidi" w:cstheme="majorBidi"/>
                </w:rPr>
                <w:t>Shmitchell</w:t>
              </w:r>
              <w:proofErr w:type="spellEnd"/>
              <w:r w:rsidRPr="00145769">
                <w:rPr>
                  <w:rFonts w:asciiTheme="majorBidi" w:hAnsiTheme="majorBidi" w:cstheme="majorBidi"/>
                </w:rPr>
                <w:t>, S. (2021) 'On the dangers of stochastic parrots: can language models be too big?', Proceedings of the 2021 ACM Conference on Fairness, Accountability, and Transparency, pp. 610–623. Available at: https://doi.org/10.1145/3442188.3445922</w:t>
              </w:r>
            </w:p>
            <w:p w14:paraId="550D8A06"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lastRenderedPageBreak/>
                <w:t>Bisht, D., Singh, R., Gehlot, A., Akram, S.V., Singh, A., Montero, E.C., Priyadarshi, N. and Twala, B. (2022) 'Imperative role of integrating digitalization in the firms finance: a technological perspective', Electronics, 11(19), 3252. Available at: https://doi.org/10.3390/electronics11193252</w:t>
              </w:r>
            </w:p>
            <w:p w14:paraId="0374EED6"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Bisson, C., Giron, A. and Verin, G. (2023) 'A comparative analysis with machine learning of public data governance and AI policies in the European Union, United States, and China', Journal of Intelligence Studies in Business, 13(2), pp. 61–74. Available at: https://doi.org/10.37380/jisib.v13i2.1084</w:t>
              </w:r>
            </w:p>
            <w:p w14:paraId="37FB3560" w14:textId="77777777" w:rsidR="004C06C3" w:rsidRPr="00145769" w:rsidRDefault="004C06C3" w:rsidP="004C06C3">
              <w:pPr>
                <w:spacing w:line="360" w:lineRule="auto"/>
                <w:ind w:left="720" w:hanging="720"/>
                <w:jc w:val="both"/>
                <w:rPr>
                  <w:rFonts w:asciiTheme="majorBidi" w:hAnsiTheme="majorBidi" w:cstheme="majorBidi"/>
                </w:rPr>
              </w:pPr>
              <w:proofErr w:type="spellStart"/>
              <w:r w:rsidRPr="00145769">
                <w:rPr>
                  <w:rFonts w:asciiTheme="majorBidi" w:hAnsiTheme="majorBidi" w:cstheme="majorBidi"/>
                </w:rPr>
                <w:t>Bonthu</w:t>
              </w:r>
              <w:proofErr w:type="spellEnd"/>
              <w:r w:rsidRPr="00145769">
                <w:rPr>
                  <w:rFonts w:asciiTheme="majorBidi" w:hAnsiTheme="majorBidi" w:cstheme="majorBidi"/>
                </w:rPr>
                <w:t>, C. (2025) 'Machine learning and AI innovations for personalization and search optimization', International Journal of Applied Mathematics, 38(10s), pp. 2462–2486. Available at: https://doi.org/10.12732/ijam.v38i10s.1136</w:t>
              </w:r>
            </w:p>
            <w:p w14:paraId="3B3B6F1B"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Bradford, A. (2020) The Brussels Effect: How the European Union Rules the World. New York: Oxford University Press. Available at: https://doi.org/10.1093/oso/9780190088583.001.0001</w:t>
              </w:r>
            </w:p>
            <w:p w14:paraId="7222205E"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Brynjolfsson, E., Li, D. and Raymond, L. (2025) 'Generative AI at work', The Quarterly Journal of Economics, 140(2), pp. 889–942. Available at: https://doi.org/10.1093/qje/qjae044</w:t>
              </w:r>
            </w:p>
            <w:p w14:paraId="2240B3E1"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Celestin, M. (2025) 'The Role of International Business Law in Regulating Cross-Border Mergers and Acquisitions: Challenges and Opportunities for Global Corporations'. Available at: https://uarpublisher.com/the-role-of-international-business-law-in-regulating-cross-border-mergers-and-acquisitions-challenges-and-opportunities-for-global-corporations/</w:t>
              </w:r>
            </w:p>
            <w:p w14:paraId="274190C9" w14:textId="77777777" w:rsidR="004C06C3" w:rsidRPr="00145769" w:rsidRDefault="004C06C3" w:rsidP="004C06C3">
              <w:pPr>
                <w:spacing w:line="360" w:lineRule="auto"/>
                <w:ind w:left="720" w:hanging="720"/>
                <w:jc w:val="both"/>
                <w:rPr>
                  <w:rFonts w:asciiTheme="majorBidi" w:hAnsiTheme="majorBidi" w:cstheme="majorBidi"/>
                </w:rPr>
              </w:pPr>
              <w:proofErr w:type="spellStart"/>
              <w:r w:rsidRPr="00145769">
                <w:rPr>
                  <w:rFonts w:asciiTheme="majorBidi" w:hAnsiTheme="majorBidi" w:cstheme="majorBidi"/>
                </w:rPr>
                <w:t>Challoumis</w:t>
              </w:r>
              <w:proofErr w:type="spellEnd"/>
              <w:r w:rsidRPr="00145769">
                <w:rPr>
                  <w:rFonts w:asciiTheme="majorBidi" w:hAnsiTheme="majorBidi" w:cstheme="majorBidi"/>
                </w:rPr>
                <w:t>, C. (2024) 'From automation to innovation-the financial benefits of AI in business', XVI International Scientific Conference, Philadelphia, pp. 258–292. Available at: https://scholar.google.com/scholar?q=From%20automation%20to%20innovation%20the%20financial%20benefits%20of%20AI%20in%20business%20Challoumis%202024</w:t>
              </w:r>
            </w:p>
            <w:p w14:paraId="195C44E4" w14:textId="77777777" w:rsidR="004C06C3" w:rsidRPr="00145769" w:rsidRDefault="004C06C3" w:rsidP="004C06C3">
              <w:pPr>
                <w:spacing w:line="360" w:lineRule="auto"/>
                <w:ind w:left="720" w:hanging="720"/>
                <w:jc w:val="both"/>
                <w:rPr>
                  <w:rFonts w:asciiTheme="majorBidi" w:hAnsiTheme="majorBidi" w:cstheme="majorBidi"/>
                </w:rPr>
              </w:pPr>
              <w:proofErr w:type="spellStart"/>
              <w:r w:rsidRPr="00145769">
                <w:rPr>
                  <w:rFonts w:asciiTheme="majorBidi" w:hAnsiTheme="majorBidi" w:cstheme="majorBidi"/>
                </w:rPr>
                <w:t>Chukurna</w:t>
              </w:r>
              <w:proofErr w:type="spellEnd"/>
              <w:r w:rsidRPr="00145769">
                <w:rPr>
                  <w:rFonts w:asciiTheme="majorBidi" w:hAnsiTheme="majorBidi" w:cstheme="majorBidi"/>
                </w:rPr>
                <w:t xml:space="preserve">, O., </w:t>
              </w:r>
              <w:proofErr w:type="spellStart"/>
              <w:r w:rsidRPr="00145769">
                <w:rPr>
                  <w:rFonts w:asciiTheme="majorBidi" w:hAnsiTheme="majorBidi" w:cstheme="majorBidi"/>
                </w:rPr>
                <w:t>Tardaskina</w:t>
              </w:r>
              <w:proofErr w:type="spellEnd"/>
              <w:r w:rsidRPr="00145769">
                <w:rPr>
                  <w:rFonts w:asciiTheme="majorBidi" w:hAnsiTheme="majorBidi" w:cstheme="majorBidi"/>
                </w:rPr>
                <w:t xml:space="preserve">, T., Tereshko, Y., </w:t>
              </w:r>
              <w:proofErr w:type="spellStart"/>
              <w:r w:rsidRPr="00145769">
                <w:rPr>
                  <w:rFonts w:asciiTheme="majorBidi" w:hAnsiTheme="majorBidi" w:cstheme="majorBidi"/>
                </w:rPr>
                <w:t>Kholostenko</w:t>
              </w:r>
              <w:proofErr w:type="spellEnd"/>
              <w:r w:rsidRPr="00145769">
                <w:rPr>
                  <w:rFonts w:asciiTheme="majorBidi" w:hAnsiTheme="majorBidi" w:cstheme="majorBidi"/>
                </w:rPr>
                <w:t xml:space="preserve">, E., Kofman, V. and </w:t>
              </w:r>
              <w:proofErr w:type="spellStart"/>
              <w:r w:rsidRPr="00145769">
                <w:rPr>
                  <w:rFonts w:asciiTheme="majorBidi" w:hAnsiTheme="majorBidi" w:cstheme="majorBidi"/>
                </w:rPr>
                <w:t>Pankovets</w:t>
              </w:r>
              <w:proofErr w:type="spellEnd"/>
              <w:r w:rsidRPr="00145769">
                <w:rPr>
                  <w:rFonts w:asciiTheme="majorBidi" w:hAnsiTheme="majorBidi" w:cstheme="majorBidi"/>
                </w:rPr>
                <w:t>, L. (2024) 'Evaluation of the effectiveness of implementing artificial intelligence in the Google Advertising service', Journal of Information Technology Management, 16(4), pp. 79–99. Available at: https://doi.org/10.22059/jitm.2024.99052</w:t>
              </w:r>
            </w:p>
            <w:p w14:paraId="03CB9874"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lastRenderedPageBreak/>
                <w:t>Competition and Markets Authority (CMA) (2026) Google's general search and search advertising services. Available at: https://www.gov.uk/cma-cases/googles-general-search-and-search-advertising-services</w:t>
              </w:r>
            </w:p>
            <w:p w14:paraId="34A44167" w14:textId="77777777" w:rsidR="004C06C3" w:rsidRPr="00145769" w:rsidRDefault="004C06C3" w:rsidP="004C06C3">
              <w:pPr>
                <w:spacing w:line="360" w:lineRule="auto"/>
                <w:ind w:left="720" w:hanging="720"/>
                <w:jc w:val="both"/>
                <w:rPr>
                  <w:rFonts w:asciiTheme="majorBidi" w:hAnsiTheme="majorBidi" w:cstheme="majorBidi"/>
                </w:rPr>
              </w:pPr>
              <w:proofErr w:type="spellStart"/>
              <w:r w:rsidRPr="00145769">
                <w:rPr>
                  <w:rFonts w:asciiTheme="majorBidi" w:hAnsiTheme="majorBidi" w:cstheme="majorBidi"/>
                </w:rPr>
                <w:t>Crovini</w:t>
              </w:r>
              <w:proofErr w:type="spellEnd"/>
              <w:r w:rsidRPr="00145769">
                <w:rPr>
                  <w:rFonts w:asciiTheme="majorBidi" w:hAnsiTheme="majorBidi" w:cstheme="majorBidi"/>
                </w:rPr>
                <w:t>, C., Santoro, G. and Ossola, G. (2021) 'Rethinking risk management in entrepreneurial SMEs: towards the integration with the decision-making process', Management Decision, 59(5), pp. 1085–1113. Available at: https://doi.org/10.1108/MD-10-2019-1402</w:t>
              </w:r>
            </w:p>
            <w:p w14:paraId="1C6DED27"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 xml:space="preserve">Dako, O.F., </w:t>
              </w:r>
              <w:proofErr w:type="spellStart"/>
              <w:r w:rsidRPr="00145769">
                <w:rPr>
                  <w:rFonts w:asciiTheme="majorBidi" w:hAnsiTheme="majorBidi" w:cstheme="majorBidi"/>
                </w:rPr>
                <w:t>Onalaja</w:t>
              </w:r>
              <w:proofErr w:type="spellEnd"/>
              <w:r w:rsidRPr="00145769">
                <w:rPr>
                  <w:rFonts w:asciiTheme="majorBidi" w:hAnsiTheme="majorBidi" w:cstheme="majorBidi"/>
                </w:rPr>
                <w:t>, T.A., Nwachukwu, P.S., Bankole, F.A. and Lateefat, T. (2022) 'Cross-Border Taxation and Compliance Strategies Addressing Multinational Organizations’ Operational Complexity and Regulatory Demands'. Available at: https://scholar.google.com/scholar?q=Cross-Border%20Taxation%20and%20Compliance%20Strategies%20Addressing%20Multinational%20Organizations%20Operational%20Complexity%20and%20Regulatory%20Demands</w:t>
              </w:r>
            </w:p>
            <w:p w14:paraId="402FB7C0"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Djeffal, C., Siewert, M.B. and Wurster, S. (2022) 'Role of the state and responsibility in governing artificial intelligence: a comparative analysis of AI strategies', Journal of European Public Policy, 29(11), pp. 1799–1821. Available at: https://doi.org/10.1080/13501763.2022.2094987</w:t>
              </w:r>
            </w:p>
            <w:p w14:paraId="01A91EA4"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Dong, B. and Zhang, Z. (2024) 'AI-driven framework for compliance risk assessment in cross-border payments: Multi-jurisdictional challenges and response strategies', Spectrum of Research, 4(2). Available at: https://scholar.google.com/scholar?q=AI-driven%20framework%20for%20compliance%20risk%20assessment%20in%20cross-border%20payments%20Dong%20Zhang%202024</w:t>
              </w:r>
            </w:p>
            <w:p w14:paraId="50091D8B"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DUMITRU, M.I. and BRÎNZĂ, D.E. (2025) 'Cross-border challenges of financial control: an international perspective', Scientific Bulletin-Economic Sciences, 23. Available at: https://scholar.google.com/scholar?q=Cross-border%20challenges%20of%20financial%20control%20Dumitru%20Brinza%202025</w:t>
              </w:r>
            </w:p>
            <w:p w14:paraId="08BF3E88"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 xml:space="preserve">Dvorsky, J., Belas, J., </w:t>
              </w:r>
              <w:proofErr w:type="spellStart"/>
              <w:r w:rsidRPr="00145769">
                <w:rPr>
                  <w:rFonts w:asciiTheme="majorBidi" w:hAnsiTheme="majorBidi" w:cstheme="majorBidi"/>
                </w:rPr>
                <w:t>Gavurova</w:t>
              </w:r>
              <w:proofErr w:type="spellEnd"/>
              <w:r w:rsidRPr="00145769">
                <w:rPr>
                  <w:rFonts w:asciiTheme="majorBidi" w:hAnsiTheme="majorBidi" w:cstheme="majorBidi"/>
                </w:rPr>
                <w:t>, B. and Brabenec, T. (2021) 'Business risk management in the context of small and medium-sized enterprises', Economic Research-</w:t>
              </w:r>
              <w:proofErr w:type="spellStart"/>
              <w:r w:rsidRPr="00145769">
                <w:rPr>
                  <w:rFonts w:asciiTheme="majorBidi" w:hAnsiTheme="majorBidi" w:cstheme="majorBidi"/>
                </w:rPr>
                <w:t>Ekonomska</w:t>
              </w:r>
              <w:proofErr w:type="spellEnd"/>
              <w:r w:rsidRPr="00145769">
                <w:rPr>
                  <w:rFonts w:asciiTheme="majorBidi" w:hAnsiTheme="majorBidi" w:cstheme="majorBidi"/>
                </w:rPr>
                <w:t xml:space="preserve"> </w:t>
              </w:r>
              <w:proofErr w:type="spellStart"/>
              <w:r w:rsidRPr="00145769">
                <w:rPr>
                  <w:rFonts w:asciiTheme="majorBidi" w:hAnsiTheme="majorBidi" w:cstheme="majorBidi"/>
                </w:rPr>
                <w:lastRenderedPageBreak/>
                <w:t>Istraživanja</w:t>
              </w:r>
              <w:proofErr w:type="spellEnd"/>
              <w:r w:rsidRPr="00145769">
                <w:rPr>
                  <w:rFonts w:asciiTheme="majorBidi" w:hAnsiTheme="majorBidi" w:cstheme="majorBidi"/>
                </w:rPr>
                <w:t>, 34(1), pp. 1690–1708. Available at: https://doi.org/10.1080/1331677X.2020.1844588</w:t>
              </w:r>
            </w:p>
            <w:p w14:paraId="2BCEAEF7"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Dwivedi, Y.K. et al. (2023) 'So what if ChatGPT wrote it? Multidisciplinary perspectives on opportunities, challenges and implications of generative conversational AI for research, practice and policy', International Journal of Information Management, 71, 102642. Available at: https://doi.org/10.1016/j.ijinfomgt.2023.102642</w:t>
              </w:r>
            </w:p>
            <w:p w14:paraId="331AFF1D"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European Commission (2026a) AI Act: Shaping Europe’s digital future. Available at: https://digital-strategy.ec.europa.eu/en/policies/regulatory-framework-ai</w:t>
              </w:r>
            </w:p>
            <w:p w14:paraId="2DB9DD05"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European Commission (2026b) Alphabet specification proceedings: Sharing of Google Search data under the Digital Markets Act. Available at: https://digital-markets-act.ec.europa.eu/businesses-portal/data-access/alphabet-specification-proceedings-sharing-google-search-data_en</w:t>
              </w:r>
            </w:p>
            <w:p w14:paraId="4E60C85B"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 xml:space="preserve">Eyo-Udo, N.L., </w:t>
              </w:r>
              <w:proofErr w:type="spellStart"/>
              <w:r w:rsidRPr="00145769">
                <w:rPr>
                  <w:rFonts w:asciiTheme="majorBidi" w:hAnsiTheme="majorBidi" w:cstheme="majorBidi"/>
                </w:rPr>
                <w:t>Apeh</w:t>
              </w:r>
              <w:proofErr w:type="spellEnd"/>
              <w:r w:rsidRPr="00145769">
                <w:rPr>
                  <w:rFonts w:asciiTheme="majorBidi" w:hAnsiTheme="majorBidi" w:cstheme="majorBidi"/>
                </w:rPr>
                <w:t>, C.E., Bristol-</w:t>
              </w:r>
              <w:proofErr w:type="spellStart"/>
              <w:r w:rsidRPr="00145769">
                <w:rPr>
                  <w:rFonts w:asciiTheme="majorBidi" w:hAnsiTheme="majorBidi" w:cstheme="majorBidi"/>
                </w:rPr>
                <w:t>Alagbariya</w:t>
              </w:r>
              <w:proofErr w:type="spellEnd"/>
              <w:r w:rsidRPr="00145769">
                <w:rPr>
                  <w:rFonts w:asciiTheme="majorBidi" w:hAnsiTheme="majorBidi" w:cstheme="majorBidi"/>
                </w:rPr>
                <w:t xml:space="preserve">, B., Udeh, C.A. and </w:t>
              </w:r>
              <w:proofErr w:type="spellStart"/>
              <w:r w:rsidRPr="00145769">
                <w:rPr>
                  <w:rFonts w:asciiTheme="majorBidi" w:hAnsiTheme="majorBidi" w:cstheme="majorBidi"/>
                </w:rPr>
                <w:t>Ewim</w:t>
              </w:r>
              <w:proofErr w:type="spellEnd"/>
              <w:r w:rsidRPr="00145769">
                <w:rPr>
                  <w:rFonts w:asciiTheme="majorBidi" w:hAnsiTheme="majorBidi" w:cstheme="majorBidi"/>
                </w:rPr>
                <w:t>, C.P.M. (2025) 'Review of ethical considerations and dilemmas in the field of AI and machine learning', International Journal of Multidisciplinary Research and Growth Evaluation, 6(1), pp. 827–834. Available at: https://doi.org/10.54660/.IJMRGE.2025.6.1.827-834</w:t>
              </w:r>
            </w:p>
            <w:p w14:paraId="71F32618"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Faisal, S.M., Khan, W. and Ishrat, M. (2025) 'AI and financial risk management: Transforming risk mitigation with AI-driven insights and automation', in Artificial Intelligence for Financial Risk Management and Analysis, pp. 281–306. Hershey: IGI Global Scientific Publishing. Available at: https://scholar.google.com/scholar?q=AI%20and%20financial%20risk%20management%20Transforming%20risk%20mitigation%20with%20AI-driven%20insights%20and%20automation%20Faisal%20Khan%20Ishrat</w:t>
              </w:r>
            </w:p>
            <w:p w14:paraId="18095B29"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Ghoshal, R. (2025) 'Cross-border AI governance for legal tech: Standardizing ethical and legal norms in access to justice', International Journal of Law Justice and Jurisprudence, 5(1), pp. 186–194. Available at: https://scholar.google.com/scholar?q=Cross-border%20AI%20governance%20for%20legal%20tech%20Ghoshal%202025</w:t>
              </w:r>
            </w:p>
            <w:p w14:paraId="39FAF1DC"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 xml:space="preserve">Giovanola, B. and </w:t>
              </w:r>
              <w:proofErr w:type="spellStart"/>
              <w:r w:rsidRPr="00145769">
                <w:rPr>
                  <w:rFonts w:asciiTheme="majorBidi" w:hAnsiTheme="majorBidi" w:cstheme="majorBidi"/>
                </w:rPr>
                <w:t>Tiribelli</w:t>
              </w:r>
              <w:proofErr w:type="spellEnd"/>
              <w:r w:rsidRPr="00145769">
                <w:rPr>
                  <w:rFonts w:asciiTheme="majorBidi" w:hAnsiTheme="majorBidi" w:cstheme="majorBidi"/>
                </w:rPr>
                <w:t>, S. (2023) 'Beyond bias and discrimination: redefining the AI ethics principle of fairness in healthcare machine-learning algorithms', AI &amp; Society, 38(2), pp. 549–563. Available at: https://doi.org/10.1007/s00146-021-01335-5</w:t>
              </w:r>
            </w:p>
            <w:p w14:paraId="6B1D6713"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lastRenderedPageBreak/>
                <w:t>Glikson, E. and Woolley, A.W. (2020) 'Human trust in artificial intelligence: review of empirical research', Academy of Management Annals, 14(2), pp. 627–660. Available at: https://doi.org/10.5465/annals.2018.0057</w:t>
              </w:r>
            </w:p>
            <w:p w14:paraId="62084228"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 xml:space="preserve">Hanna, M.G., </w:t>
              </w:r>
              <w:proofErr w:type="spellStart"/>
              <w:r w:rsidRPr="00145769">
                <w:rPr>
                  <w:rFonts w:asciiTheme="majorBidi" w:hAnsiTheme="majorBidi" w:cstheme="majorBidi"/>
                </w:rPr>
                <w:t>Pantanowitz</w:t>
              </w:r>
              <w:proofErr w:type="spellEnd"/>
              <w:r w:rsidRPr="00145769">
                <w:rPr>
                  <w:rFonts w:asciiTheme="majorBidi" w:hAnsiTheme="majorBidi" w:cstheme="majorBidi"/>
                </w:rPr>
                <w:t xml:space="preserve">, L., Jackson, B., Palmer, O., Visweswaran, S., </w:t>
              </w:r>
              <w:proofErr w:type="spellStart"/>
              <w:r w:rsidRPr="00145769">
                <w:rPr>
                  <w:rFonts w:asciiTheme="majorBidi" w:hAnsiTheme="majorBidi" w:cstheme="majorBidi"/>
                </w:rPr>
                <w:t>Pantanowitz</w:t>
              </w:r>
              <w:proofErr w:type="spellEnd"/>
              <w:r w:rsidRPr="00145769">
                <w:rPr>
                  <w:rFonts w:asciiTheme="majorBidi" w:hAnsiTheme="majorBidi" w:cstheme="majorBidi"/>
                </w:rPr>
                <w:t xml:space="preserve">, J., </w:t>
              </w:r>
              <w:proofErr w:type="spellStart"/>
              <w:r w:rsidRPr="00145769">
                <w:rPr>
                  <w:rFonts w:asciiTheme="majorBidi" w:hAnsiTheme="majorBidi" w:cstheme="majorBidi"/>
                </w:rPr>
                <w:t>Deebajah</w:t>
              </w:r>
              <w:proofErr w:type="spellEnd"/>
              <w:r w:rsidRPr="00145769">
                <w:rPr>
                  <w:rFonts w:asciiTheme="majorBidi" w:hAnsiTheme="majorBidi" w:cstheme="majorBidi"/>
                </w:rPr>
                <w:t>, M. and Rashidi, H.H. (2025) 'Ethical and bias considerations in artificial intelligence/machine learning', Modern Pathology, 38(3), 100686. Available at: https://scholar.google.com/scholar?q=Ethical%20and%20bias%20considerations%20in%20artificial%20intelligence%20machine%20learning%20Hanna%202025</w:t>
              </w:r>
            </w:p>
            <w:p w14:paraId="71DED4EA"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 xml:space="preserve">Jobin, A., Ienca, M. and </w:t>
              </w:r>
              <w:proofErr w:type="spellStart"/>
              <w:r w:rsidRPr="00145769">
                <w:rPr>
                  <w:rFonts w:asciiTheme="majorBidi" w:hAnsiTheme="majorBidi" w:cstheme="majorBidi"/>
                </w:rPr>
                <w:t>Vayena</w:t>
              </w:r>
              <w:proofErr w:type="spellEnd"/>
              <w:r w:rsidRPr="00145769">
                <w:rPr>
                  <w:rFonts w:asciiTheme="majorBidi" w:hAnsiTheme="majorBidi" w:cstheme="majorBidi"/>
                </w:rPr>
                <w:t>, E. (2019) 'The global landscape of AI ethics guidelines', Nature Machine Intelligence, 1(9), pp. 389–399. Available at: https://doi.org/10.1038/s42256-019-0088-2</w:t>
              </w:r>
            </w:p>
            <w:p w14:paraId="0C9B13CA"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Krakowski, S., Luger, J. and Raisch, S. (2023) 'Artificial intelligence and the changing sources of competitive advantage', Strategic Management Journal, 44(6), pp. 1425–1452. Available at: https://doi.org/10.1002/smj.3387</w:t>
              </w:r>
            </w:p>
            <w:p w14:paraId="3452ECBF"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Laux, J., Wachter, S. and Mittelstadt, B. (2024) 'Trustworthy artificial intelligence and the European Union AI Act: on the conflation of trustworthiness and acceptability of risk', Regulation &amp; Governance, 18(1), pp. 3–32. Available at: https://doi.org/10.1111/rego.12512</w:t>
              </w:r>
            </w:p>
            <w:p w14:paraId="6C513659"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Malik, M.Z.A., Akbar, L., Khan, N.F., Akbar, T. and Zahid, M.O.B. (2025) 'AI-Driven Business Analytics in Financial Risk Management: Key Insights from the Banking and Insurance Sectors', The Critical Review of Social Sciences Studies, 3(3), pp. 2956–2967. Available at: https://scholar.google.com/scholar?q=AI-Driven%20Business%20Analytics%20in%20Financial%20Risk%20Management%20Malik%20Akbar%20Khan%202025</w:t>
              </w:r>
            </w:p>
            <w:p w14:paraId="029EE1CE"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Manninen, V. and Eskelinen, L. (2024) 'A Comparative Analysis of AI: a SWOT analysis of Germany, France and the United Kingdom'. Available at: https://scholar.google.com/scholar?q=A%20Comparative%20Analysis%20of%20AI%20a%20SWOT%20analysis%20of%20Germany%20France%20and%20the%20United%20Kingdom%20Manninen%20Eskelinen</w:t>
              </w:r>
            </w:p>
            <w:p w14:paraId="24495DDA" w14:textId="77777777" w:rsidR="004C06C3" w:rsidRPr="00145769" w:rsidRDefault="004C06C3" w:rsidP="004C06C3">
              <w:pPr>
                <w:spacing w:line="360" w:lineRule="auto"/>
                <w:ind w:left="720" w:hanging="720"/>
                <w:jc w:val="both"/>
                <w:rPr>
                  <w:rFonts w:asciiTheme="majorBidi" w:hAnsiTheme="majorBidi" w:cstheme="majorBidi"/>
                </w:rPr>
              </w:pPr>
              <w:proofErr w:type="spellStart"/>
              <w:r w:rsidRPr="00145769">
                <w:rPr>
                  <w:rFonts w:asciiTheme="majorBidi" w:hAnsiTheme="majorBidi" w:cstheme="majorBidi"/>
                </w:rPr>
                <w:t>Mikalef</w:t>
              </w:r>
              <w:proofErr w:type="spellEnd"/>
              <w:r w:rsidRPr="00145769">
                <w:rPr>
                  <w:rFonts w:asciiTheme="majorBidi" w:hAnsiTheme="majorBidi" w:cstheme="majorBidi"/>
                </w:rPr>
                <w:t xml:space="preserve">, P. and Gupta, M. (2021) 'Artificial intelligence capability: conceptualization, measurement calibration, and empirical study on its impact on organizational creativity </w:t>
              </w:r>
              <w:r w:rsidRPr="00145769">
                <w:rPr>
                  <w:rFonts w:asciiTheme="majorBidi" w:hAnsiTheme="majorBidi" w:cstheme="majorBidi"/>
                </w:rPr>
                <w:lastRenderedPageBreak/>
                <w:t>and firm performance', Information &amp; Management, 58(3), 103434. Available at: https://doi.org/10.1016/j.im.2021.103434</w:t>
              </w:r>
            </w:p>
            <w:p w14:paraId="2DA228A6"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Mitchell, M. et al. (2019) 'Model cards for model reporting', Proceedings of the Conference on Fairness, Accountability, and Transparency, pp. 220–229. Available at: https://doi.org/10.1145/3287560.3287596</w:t>
              </w:r>
            </w:p>
            <w:p w14:paraId="40FE387A" w14:textId="77777777" w:rsidR="004C06C3" w:rsidRPr="00145769" w:rsidRDefault="004C06C3" w:rsidP="004C06C3">
              <w:pPr>
                <w:spacing w:line="360" w:lineRule="auto"/>
                <w:ind w:left="720" w:hanging="720"/>
                <w:jc w:val="both"/>
                <w:rPr>
                  <w:rFonts w:asciiTheme="majorBidi" w:hAnsiTheme="majorBidi" w:cstheme="majorBidi"/>
                </w:rPr>
              </w:pPr>
              <w:proofErr w:type="spellStart"/>
              <w:r w:rsidRPr="00145769">
                <w:rPr>
                  <w:rFonts w:asciiTheme="majorBidi" w:hAnsiTheme="majorBidi" w:cstheme="majorBidi"/>
                </w:rPr>
                <w:t>Montasari</w:t>
              </w:r>
              <w:proofErr w:type="spellEnd"/>
              <w:r w:rsidRPr="00145769">
                <w:rPr>
                  <w:rFonts w:asciiTheme="majorBidi" w:hAnsiTheme="majorBidi" w:cstheme="majorBidi"/>
                </w:rPr>
                <w:t>, R. (2023) 'National artificial intelligence strategies: a comparison of the UK, EU and US approaches with those adopted by state adversaries', in Countering Cyberterrorism: The Confluence of Artificial Intelligence, Cyber Forensics and Digital Policing in US and UK National Cybersecurity, pp. 139–164. Cham: Springer. Available at: https://scholar.google.com/scholar?q=National%20artificial%20intelligence%20strategies%20comparison%20UK%20EU%20US%20Montasari%202023</w:t>
              </w:r>
            </w:p>
            <w:p w14:paraId="73C987CB" w14:textId="77777777" w:rsidR="004C06C3" w:rsidRPr="00145769" w:rsidRDefault="004C06C3" w:rsidP="004C06C3">
              <w:pPr>
                <w:spacing w:line="360" w:lineRule="auto"/>
                <w:ind w:left="720" w:hanging="720"/>
                <w:jc w:val="both"/>
                <w:rPr>
                  <w:rFonts w:asciiTheme="majorBidi" w:hAnsiTheme="majorBidi" w:cstheme="majorBidi"/>
                </w:rPr>
              </w:pPr>
              <w:proofErr w:type="spellStart"/>
              <w:r w:rsidRPr="00145769">
                <w:rPr>
                  <w:rFonts w:asciiTheme="majorBidi" w:hAnsiTheme="majorBidi" w:cstheme="majorBidi"/>
                </w:rPr>
                <w:t>Mäntymäki</w:t>
              </w:r>
              <w:proofErr w:type="spellEnd"/>
              <w:r w:rsidRPr="00145769">
                <w:rPr>
                  <w:rFonts w:asciiTheme="majorBidi" w:hAnsiTheme="majorBidi" w:cstheme="majorBidi"/>
                </w:rPr>
                <w:t xml:space="preserve">, M., Minkkinen, M., </w:t>
              </w:r>
              <w:proofErr w:type="spellStart"/>
              <w:r w:rsidRPr="00145769">
                <w:rPr>
                  <w:rFonts w:asciiTheme="majorBidi" w:hAnsiTheme="majorBidi" w:cstheme="majorBidi"/>
                </w:rPr>
                <w:t>Birkstedt</w:t>
              </w:r>
              <w:proofErr w:type="spellEnd"/>
              <w:r w:rsidRPr="00145769">
                <w:rPr>
                  <w:rFonts w:asciiTheme="majorBidi" w:hAnsiTheme="majorBidi" w:cstheme="majorBidi"/>
                </w:rPr>
                <w:t>, T. and Viljanen, M. (2022) 'Defining organizational AI governance', AI and Ethics, 2(4), pp. 603–609. Available at: https://doi.org/10.1007/s43681-022-00143-x</w:t>
              </w:r>
            </w:p>
            <w:p w14:paraId="156B7108"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 xml:space="preserve">Novelli, C., Taddeo, M. and </w:t>
              </w:r>
              <w:proofErr w:type="spellStart"/>
              <w:r w:rsidRPr="00145769">
                <w:rPr>
                  <w:rFonts w:asciiTheme="majorBidi" w:hAnsiTheme="majorBidi" w:cstheme="majorBidi"/>
                </w:rPr>
                <w:t>Floridi</w:t>
              </w:r>
              <w:proofErr w:type="spellEnd"/>
              <w:r w:rsidRPr="00145769">
                <w:rPr>
                  <w:rFonts w:asciiTheme="majorBidi" w:hAnsiTheme="majorBidi" w:cstheme="majorBidi"/>
                </w:rPr>
                <w:t>, L. (2024) 'Accountability in artificial intelligence: what it is and how it works', AI &amp; Society, 39(4), pp. 1871–1882. Available at: https://doi.org/10.1007/s00146-023-01635-y</w:t>
              </w:r>
            </w:p>
            <w:p w14:paraId="55DC042A" w14:textId="77777777" w:rsidR="004C06C3" w:rsidRPr="00145769" w:rsidRDefault="004C06C3" w:rsidP="004C06C3">
              <w:pPr>
                <w:spacing w:line="360" w:lineRule="auto"/>
                <w:ind w:left="720" w:hanging="720"/>
                <w:jc w:val="both"/>
                <w:rPr>
                  <w:rFonts w:asciiTheme="majorBidi" w:hAnsiTheme="majorBidi" w:cstheme="majorBidi"/>
                </w:rPr>
              </w:pPr>
              <w:proofErr w:type="spellStart"/>
              <w:r w:rsidRPr="00145769">
                <w:rPr>
                  <w:rFonts w:asciiTheme="majorBidi" w:hAnsiTheme="majorBidi" w:cstheme="majorBidi"/>
                </w:rPr>
                <w:t>Odhabi</w:t>
              </w:r>
              <w:proofErr w:type="spellEnd"/>
              <w:r w:rsidRPr="00145769">
                <w:rPr>
                  <w:rFonts w:asciiTheme="majorBidi" w:hAnsiTheme="majorBidi" w:cstheme="majorBidi"/>
                </w:rPr>
                <w:t>, H. and Abi-Raad, M. (2024) 'Comparative Analysis of Microsoft and Google's Strategies in the Era of Advanced Artificial Intelligence Technologies', IBIMA Conference on Artificial intelligence and Machine Learning, pp. 30–43. Available at: https://ibima.org/accepted-paper/comparative-analysis-of-microsoft-and-googles-strategies-in-the-era-of-advanced-artificial-intelligence-technologies/</w:t>
              </w:r>
            </w:p>
            <w:p w14:paraId="7498AB4D" w14:textId="77777777" w:rsidR="004C06C3" w:rsidRPr="00145769" w:rsidRDefault="004C06C3" w:rsidP="004C06C3">
              <w:pPr>
                <w:spacing w:line="360" w:lineRule="auto"/>
                <w:ind w:left="720" w:hanging="720"/>
                <w:jc w:val="both"/>
                <w:rPr>
                  <w:rFonts w:asciiTheme="majorBidi" w:hAnsiTheme="majorBidi" w:cstheme="majorBidi"/>
                </w:rPr>
              </w:pPr>
              <w:proofErr w:type="spellStart"/>
              <w:r w:rsidRPr="00145769">
                <w:rPr>
                  <w:rFonts w:asciiTheme="majorBidi" w:hAnsiTheme="majorBidi" w:cstheme="majorBidi"/>
                </w:rPr>
                <w:t>Oyeniran</w:t>
              </w:r>
              <w:proofErr w:type="spellEnd"/>
              <w:r w:rsidRPr="00145769">
                <w:rPr>
                  <w:rFonts w:asciiTheme="majorBidi" w:hAnsiTheme="majorBidi" w:cstheme="majorBidi"/>
                </w:rPr>
                <w:t xml:space="preserve">, C.O., Adewusi, A.O., Adeleke, A.G., </w:t>
              </w:r>
              <w:proofErr w:type="spellStart"/>
              <w:r w:rsidRPr="00145769">
                <w:rPr>
                  <w:rFonts w:asciiTheme="majorBidi" w:hAnsiTheme="majorBidi" w:cstheme="majorBidi"/>
                </w:rPr>
                <w:t>Akwawa</w:t>
              </w:r>
              <w:proofErr w:type="spellEnd"/>
              <w:r w:rsidRPr="00145769">
                <w:rPr>
                  <w:rFonts w:asciiTheme="majorBidi" w:hAnsiTheme="majorBidi" w:cstheme="majorBidi"/>
                </w:rPr>
                <w:t xml:space="preserve">, L.A. and </w:t>
              </w:r>
              <w:proofErr w:type="spellStart"/>
              <w:r w:rsidRPr="00145769">
                <w:rPr>
                  <w:rFonts w:asciiTheme="majorBidi" w:hAnsiTheme="majorBidi" w:cstheme="majorBidi"/>
                </w:rPr>
                <w:t>Azubuko</w:t>
              </w:r>
              <w:proofErr w:type="spellEnd"/>
              <w:r w:rsidRPr="00145769">
                <w:rPr>
                  <w:rFonts w:asciiTheme="majorBidi" w:hAnsiTheme="majorBidi" w:cstheme="majorBidi"/>
                </w:rPr>
                <w:t>, C.F. (2022) 'Ethical AI: Addressing bias in machine learning models and software applications', Computer Science &amp; IT Research Journal, 3(3), pp. 115–126. Available at: https://scholar.google.com/scholar?q=Ethical%20AI%20Addressing%20bias%20in%20machine%20learning%20models%20and%20software%20applications%20Oyeniran%202022</w:t>
              </w:r>
            </w:p>
            <w:p w14:paraId="1FF0A654" w14:textId="77777777" w:rsidR="004C06C3" w:rsidRPr="00145769" w:rsidRDefault="004C06C3" w:rsidP="004C06C3">
              <w:pPr>
                <w:spacing w:line="360" w:lineRule="auto"/>
                <w:ind w:left="720" w:hanging="720"/>
                <w:jc w:val="both"/>
                <w:rPr>
                  <w:rFonts w:asciiTheme="majorBidi" w:hAnsiTheme="majorBidi" w:cstheme="majorBidi"/>
                </w:rPr>
              </w:pPr>
              <w:proofErr w:type="spellStart"/>
              <w:r w:rsidRPr="00145769">
                <w:rPr>
                  <w:rFonts w:asciiTheme="majorBidi" w:hAnsiTheme="majorBidi" w:cstheme="majorBidi"/>
                </w:rPr>
                <w:lastRenderedPageBreak/>
                <w:t>Papagiannidis</w:t>
              </w:r>
              <w:proofErr w:type="spellEnd"/>
              <w:r w:rsidRPr="00145769">
                <w:rPr>
                  <w:rFonts w:asciiTheme="majorBidi" w:hAnsiTheme="majorBidi" w:cstheme="majorBidi"/>
                </w:rPr>
                <w:t xml:space="preserve">, E., </w:t>
              </w:r>
              <w:proofErr w:type="spellStart"/>
              <w:r w:rsidRPr="00145769">
                <w:rPr>
                  <w:rFonts w:asciiTheme="majorBidi" w:hAnsiTheme="majorBidi" w:cstheme="majorBidi"/>
                </w:rPr>
                <w:t>Mikalef</w:t>
              </w:r>
              <w:proofErr w:type="spellEnd"/>
              <w:r w:rsidRPr="00145769">
                <w:rPr>
                  <w:rFonts w:asciiTheme="majorBidi" w:hAnsiTheme="majorBidi" w:cstheme="majorBidi"/>
                </w:rPr>
                <w:t>, P. and Conboy, K. (2025) 'Responsible artificial intelligence governance: a review and research framework', The Journal of Strategic Information Systems, 34(2), 101885. Available at: https://doi.org/10.1016/j.jsis.2024.101885</w:t>
              </w:r>
            </w:p>
            <w:p w14:paraId="6E29BA02"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Patel, D.B. (2021) 'Ethical AI: Addressing Bias and Fairness in Machine Learning Models for Decision-making', Journal of Computer Science and Technology Studies, 3(1), pp. 13–17. Available at: https://scholar.google.com/scholar?q=Ethical%20AI%20Addressing%20Bias%20and%20Fairness%20in%20Machine%20Learning%20Models%20for%20Decision-making%20Patel%202021</w:t>
              </w:r>
            </w:p>
            <w:p w14:paraId="51D1C23B"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Perez-Downes, J.C. et al. (2024) 'Mitigating bias in clinical machine learning models', Current Treatment Options in Cardiovascular Medicine, 26(3), pp. 29–45. Available at: https://scholar.google.com/scholar?q=Mitigating%20bias%20in%20clinical%20machine%20learning%20models%20Perez-Downes%202024</w:t>
              </w:r>
            </w:p>
            <w:p w14:paraId="771533A9"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Raji, I.D. et al. (2020) 'Closing the AI accountability gap: defining an end-to-end framework for internal algorithmic auditing', Proceedings of the 2020 Conference on Fairness, Accountability, and Transparency, pp. 33–44. Available at: https://doi.org/10.1145/3351095.3372873</w:t>
              </w:r>
            </w:p>
            <w:p w14:paraId="036BDF9F"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Rane, N.L., Paramesha, M., Choudhary, S.P. and Rane, J. (2024) 'Artificial intelligence, machine learning, and deep learning for advanced business strategies: a review', Partners Universal International Innovation Journal, 2(3), pp. 147–171. Available at: https://scholar.google.com/scholar?q=Artificial%20intelligence%20machine%20learning%20and%20deep%20learning%20for%20advanced%20business%20strategies%20Rane%202024</w:t>
              </w:r>
            </w:p>
            <w:p w14:paraId="5C6E88BD" w14:textId="77777777" w:rsidR="004C06C3" w:rsidRPr="00145769" w:rsidRDefault="004C06C3" w:rsidP="004C06C3">
              <w:pPr>
                <w:spacing w:line="360" w:lineRule="auto"/>
                <w:ind w:left="720" w:hanging="720"/>
                <w:jc w:val="both"/>
                <w:rPr>
                  <w:rFonts w:asciiTheme="majorBidi" w:hAnsiTheme="majorBidi" w:cstheme="majorBidi"/>
                </w:rPr>
              </w:pPr>
              <w:proofErr w:type="spellStart"/>
              <w:r w:rsidRPr="00145769">
                <w:rPr>
                  <w:rFonts w:asciiTheme="majorBidi" w:hAnsiTheme="majorBidi" w:cstheme="majorBidi"/>
                </w:rPr>
                <w:t>Rauniyar</w:t>
              </w:r>
              <w:proofErr w:type="spellEnd"/>
              <w:r w:rsidRPr="00145769">
                <w:rPr>
                  <w:rFonts w:asciiTheme="majorBidi" w:hAnsiTheme="majorBidi" w:cstheme="majorBidi"/>
                </w:rPr>
                <w:t>, K., Wu, X., Gupta, S., Modgil, S. and Lopes de Sousa Jabbour, A.B. (2023) 'Risk management of supply chains in the digital transformation era: contribution and challenges of blockchain technology', Industrial Management &amp; Data Systems, 123(1), pp. 253–277. Available at: https://scholar.google.com/scholar?q=Risk%20management%20of%20supply%20chains%20in%20the%20digital%20transformation%20era%20Rauniyar%202023</w:t>
              </w:r>
            </w:p>
            <w:p w14:paraId="17809A6C"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 xml:space="preserve">Roberts, H., </w:t>
              </w:r>
              <w:proofErr w:type="spellStart"/>
              <w:r w:rsidRPr="00145769">
                <w:rPr>
                  <w:rFonts w:asciiTheme="majorBidi" w:hAnsiTheme="majorBidi" w:cstheme="majorBidi"/>
                </w:rPr>
                <w:t>Babuta</w:t>
              </w:r>
              <w:proofErr w:type="spellEnd"/>
              <w:r w:rsidRPr="00145769">
                <w:rPr>
                  <w:rFonts w:asciiTheme="majorBidi" w:hAnsiTheme="majorBidi" w:cstheme="majorBidi"/>
                </w:rPr>
                <w:t xml:space="preserve">, A., Morley, J., Thomas, C., Taddeo, M. and </w:t>
              </w:r>
              <w:proofErr w:type="spellStart"/>
              <w:r w:rsidRPr="00145769">
                <w:rPr>
                  <w:rFonts w:asciiTheme="majorBidi" w:hAnsiTheme="majorBidi" w:cstheme="majorBidi"/>
                </w:rPr>
                <w:t>Floridi</w:t>
              </w:r>
              <w:proofErr w:type="spellEnd"/>
              <w:r w:rsidRPr="00145769">
                <w:rPr>
                  <w:rFonts w:asciiTheme="majorBidi" w:hAnsiTheme="majorBidi" w:cstheme="majorBidi"/>
                </w:rPr>
                <w:t xml:space="preserve">, L. (2023) 'Artificial intelligence regulation in the United Kingdom: a path to good governance and global </w:t>
              </w:r>
              <w:r w:rsidRPr="00145769">
                <w:rPr>
                  <w:rFonts w:asciiTheme="majorBidi" w:hAnsiTheme="majorBidi" w:cstheme="majorBidi"/>
                </w:rPr>
                <w:lastRenderedPageBreak/>
                <w:t>leadership?', Internet Policy Review, 12(2). Available at: https://doi.org/10.14763/2023.2.1709</w:t>
              </w:r>
            </w:p>
            <w:p w14:paraId="3BB0D9F5"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 xml:space="preserve">Saeidi, P., Saeidi, S.P., Gutierrez, L., </w:t>
              </w:r>
              <w:proofErr w:type="spellStart"/>
              <w:r w:rsidRPr="00145769">
                <w:rPr>
                  <w:rFonts w:asciiTheme="majorBidi" w:hAnsiTheme="majorBidi" w:cstheme="majorBidi"/>
                </w:rPr>
                <w:t>Streimikiene</w:t>
              </w:r>
              <w:proofErr w:type="spellEnd"/>
              <w:r w:rsidRPr="00145769">
                <w:rPr>
                  <w:rFonts w:asciiTheme="majorBidi" w:hAnsiTheme="majorBidi" w:cstheme="majorBidi"/>
                </w:rPr>
                <w:t xml:space="preserve">, D., </w:t>
              </w:r>
              <w:proofErr w:type="spellStart"/>
              <w:r w:rsidRPr="00145769">
                <w:rPr>
                  <w:rFonts w:asciiTheme="majorBidi" w:hAnsiTheme="majorBidi" w:cstheme="majorBidi"/>
                </w:rPr>
                <w:t>Alrasheedi</w:t>
              </w:r>
              <w:proofErr w:type="spellEnd"/>
              <w:r w:rsidRPr="00145769">
                <w:rPr>
                  <w:rFonts w:asciiTheme="majorBidi" w:hAnsiTheme="majorBidi" w:cstheme="majorBidi"/>
                </w:rPr>
                <w:t>, M., Saeidi, S.P. and Mardani, A. (2021) 'The influence of enterprise risk management on firm performance with the moderating effect of intellectual capital dimensions', Economic Research-</w:t>
              </w:r>
              <w:proofErr w:type="spellStart"/>
              <w:r w:rsidRPr="00145769">
                <w:rPr>
                  <w:rFonts w:asciiTheme="majorBidi" w:hAnsiTheme="majorBidi" w:cstheme="majorBidi"/>
                </w:rPr>
                <w:t>Ekonomska</w:t>
              </w:r>
              <w:proofErr w:type="spellEnd"/>
              <w:r w:rsidRPr="00145769">
                <w:rPr>
                  <w:rFonts w:asciiTheme="majorBidi" w:hAnsiTheme="majorBidi" w:cstheme="majorBidi"/>
                </w:rPr>
                <w:t xml:space="preserve"> </w:t>
              </w:r>
              <w:proofErr w:type="spellStart"/>
              <w:r w:rsidRPr="00145769">
                <w:rPr>
                  <w:rFonts w:asciiTheme="majorBidi" w:hAnsiTheme="majorBidi" w:cstheme="majorBidi"/>
                </w:rPr>
                <w:t>Istraživanja</w:t>
              </w:r>
              <w:proofErr w:type="spellEnd"/>
              <w:r w:rsidRPr="00145769">
                <w:rPr>
                  <w:rFonts w:asciiTheme="majorBidi" w:hAnsiTheme="majorBidi" w:cstheme="majorBidi"/>
                </w:rPr>
                <w:t>, 34(1), pp. 122–151. Available at: https://scholar.google.com/scholar?q=The%20influence%20of%20enterprise%20risk%20management%20on%20firm%20performance%20Saeidi%202021</w:t>
              </w:r>
            </w:p>
            <w:p w14:paraId="0AA652BD" w14:textId="77777777" w:rsidR="004C06C3" w:rsidRPr="00145769" w:rsidRDefault="004C06C3" w:rsidP="004C06C3">
              <w:pPr>
                <w:spacing w:line="360" w:lineRule="auto"/>
                <w:ind w:left="720" w:hanging="720"/>
                <w:jc w:val="both"/>
                <w:rPr>
                  <w:rFonts w:asciiTheme="majorBidi" w:hAnsiTheme="majorBidi" w:cstheme="majorBidi"/>
                </w:rPr>
              </w:pPr>
              <w:proofErr w:type="spellStart"/>
              <w:r w:rsidRPr="00145769">
                <w:rPr>
                  <w:rFonts w:asciiTheme="majorBidi" w:hAnsiTheme="majorBidi" w:cstheme="majorBidi"/>
                </w:rPr>
                <w:t>Santorry</w:t>
              </w:r>
              <w:proofErr w:type="spellEnd"/>
              <w:r w:rsidRPr="00145769">
                <w:rPr>
                  <w:rFonts w:asciiTheme="majorBidi" w:hAnsiTheme="majorBidi" w:cstheme="majorBidi"/>
                </w:rPr>
                <w:t>, S. (2024) 'Evaluating the Impact of Technological Innovations on Operational Risk Management in Financial Institutions', The Journal of Academic Science, 1(6), pp. 762–776. Available at: https://scholar.google.com/scholar?q=Evaluating%20the%20Impact%20of%20Technological%20Innovations%20on%20Operational%20Risk%20Management%20in%20Financial%20Institutions%20Santorry%202024</w:t>
              </w:r>
            </w:p>
            <w:p w14:paraId="29C0E21F"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Schmitt, M. (2023) 'Automated machine learning: AI-driven decision making in business analytics', Intelligent Systems with Applications, 18, 200188. Available at: https://scholar.google.com/scholar?q=Automated%20machine%20learning%20AI-driven%20decision%20making%20in%20business%20analytics%20Schmitt%202023</w:t>
              </w:r>
            </w:p>
            <w:p w14:paraId="67AF8159"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Schuett, J. (2024) 'Risk management in the Artificial Intelligence Act', European Journal of Risk Regulation, 15(2), pp. 367–385. Available at: https://doi.org/10.1017/err.2023.1</w:t>
              </w:r>
            </w:p>
            <w:p w14:paraId="5302151D"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 xml:space="preserve">Sharma, A., Adekunle, B.I., </w:t>
              </w:r>
              <w:proofErr w:type="spellStart"/>
              <w:r w:rsidRPr="00145769">
                <w:rPr>
                  <w:rFonts w:asciiTheme="majorBidi" w:hAnsiTheme="majorBidi" w:cstheme="majorBidi"/>
                </w:rPr>
                <w:t>Ogeawuchi</w:t>
              </w:r>
              <w:proofErr w:type="spellEnd"/>
              <w:r w:rsidRPr="00145769">
                <w:rPr>
                  <w:rFonts w:asciiTheme="majorBidi" w:hAnsiTheme="majorBidi" w:cstheme="majorBidi"/>
                </w:rPr>
                <w:t>, J.C., Abayomi, A.A. and Onifade, O. (2021) 'Governance challenges in cross-border fintech operations: Policy, compliance, and cyber risk management in the digital age', IRE Journals, 4(9), pp. 1–8. Available at: https://scholar.google.com/scholar?q=Governance%20challenges%20in%20cross-border%20fintech%20operations%20Policy%20compliance%20cyber%20risk%20management%20Sharma%202021</w:t>
              </w:r>
            </w:p>
            <w:p w14:paraId="11F0D4F3" w14:textId="77777777" w:rsidR="004C06C3" w:rsidRPr="00145769" w:rsidRDefault="004C06C3" w:rsidP="004C06C3">
              <w:pPr>
                <w:spacing w:line="360" w:lineRule="auto"/>
                <w:ind w:left="720" w:hanging="720"/>
                <w:jc w:val="both"/>
                <w:rPr>
                  <w:rFonts w:asciiTheme="majorBidi" w:hAnsiTheme="majorBidi" w:cstheme="majorBidi"/>
                </w:rPr>
              </w:pPr>
              <w:proofErr w:type="spellStart"/>
              <w:r w:rsidRPr="00145769">
                <w:rPr>
                  <w:rFonts w:asciiTheme="majorBidi" w:hAnsiTheme="majorBidi" w:cstheme="majorBidi"/>
                </w:rPr>
                <w:t>Sozonovitch</w:t>
              </w:r>
              <w:proofErr w:type="spellEnd"/>
              <w:r w:rsidRPr="00145769">
                <w:rPr>
                  <w:rFonts w:asciiTheme="majorBidi" w:hAnsiTheme="majorBidi" w:cstheme="majorBidi"/>
                </w:rPr>
                <w:t xml:space="preserve">, A.S.B., </w:t>
              </w:r>
              <w:proofErr w:type="spellStart"/>
              <w:r w:rsidRPr="00145769">
                <w:rPr>
                  <w:rFonts w:asciiTheme="majorBidi" w:hAnsiTheme="majorBidi" w:cstheme="majorBidi"/>
                </w:rPr>
                <w:t>Buikin</w:t>
              </w:r>
              <w:proofErr w:type="spellEnd"/>
              <w:r w:rsidRPr="00145769">
                <w:rPr>
                  <w:rFonts w:asciiTheme="majorBidi" w:hAnsiTheme="majorBidi" w:cstheme="majorBidi"/>
                </w:rPr>
                <w:t xml:space="preserve">, A.Y. and </w:t>
              </w:r>
              <w:proofErr w:type="spellStart"/>
              <w:r w:rsidRPr="00145769">
                <w:rPr>
                  <w:rFonts w:asciiTheme="majorBidi" w:hAnsiTheme="majorBidi" w:cstheme="majorBidi"/>
                </w:rPr>
                <w:t>Pitelinskiy</w:t>
              </w:r>
              <w:proofErr w:type="spellEnd"/>
              <w:r w:rsidRPr="00145769">
                <w:rPr>
                  <w:rFonts w:asciiTheme="majorBidi" w:hAnsiTheme="majorBidi" w:cstheme="majorBidi"/>
                </w:rPr>
                <w:t xml:space="preserve">, K.V. (2021) 'Features of enterprise risk management associated with operational risks', Revista Amazonia </w:t>
              </w:r>
              <w:proofErr w:type="spellStart"/>
              <w:r w:rsidRPr="00145769">
                <w:rPr>
                  <w:rFonts w:asciiTheme="majorBidi" w:hAnsiTheme="majorBidi" w:cstheme="majorBidi"/>
                </w:rPr>
                <w:t>Investiga</w:t>
              </w:r>
              <w:proofErr w:type="spellEnd"/>
              <w:r w:rsidRPr="00145769">
                <w:rPr>
                  <w:rFonts w:asciiTheme="majorBidi" w:hAnsiTheme="majorBidi" w:cstheme="majorBidi"/>
                </w:rPr>
                <w:t>, 10(46), pp. 9–19. Available at: https://scholar.google.com/scholar?q=Features%20of%20enterprise%20risk%20management%20associated%20with%20operational%20risks%20Sozonovitch%202021</w:t>
              </w:r>
            </w:p>
            <w:p w14:paraId="5F2638D4"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lastRenderedPageBreak/>
                <w:t xml:space="preserve">Stan, M., </w:t>
              </w:r>
              <w:proofErr w:type="spellStart"/>
              <w:r w:rsidRPr="00145769">
                <w:rPr>
                  <w:rFonts w:asciiTheme="majorBidi" w:hAnsiTheme="majorBidi" w:cstheme="majorBidi"/>
                </w:rPr>
                <w:t>Ciobotea</w:t>
              </w:r>
              <w:proofErr w:type="spellEnd"/>
              <w:r w:rsidRPr="00145769">
                <w:rPr>
                  <w:rFonts w:asciiTheme="majorBidi" w:hAnsiTheme="majorBidi" w:cstheme="majorBidi"/>
                </w:rPr>
                <w:t>, M., Voda, A.M. and Badea, D.L. (2025) 'Artificial Intelligence Landscape in the European Union. A Comparative Study', Proceedings of the International Conference on Business Excellence, 19(1), pp. 3432–3445. Available at: https://doi.org/10.2478/picbe-2025-0262</w:t>
              </w:r>
            </w:p>
            <w:p w14:paraId="585F12F4"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Veale, M. and Zuiderveen Borgesius, F. (2021) 'Demystifying the Draft EU Artificial Intelligence Act', Computer Law Review International, 22(4), pp. 97–112. Available at: https://doi.org/10.9785/cri-2021-220402</w:t>
              </w:r>
            </w:p>
            <w:p w14:paraId="5266F0BC" w14:textId="77777777" w:rsidR="004C06C3" w:rsidRPr="00145769" w:rsidRDefault="004C06C3" w:rsidP="004C06C3">
              <w:pPr>
                <w:spacing w:line="360" w:lineRule="auto"/>
                <w:ind w:left="720" w:hanging="720"/>
                <w:jc w:val="both"/>
                <w:rPr>
                  <w:rFonts w:asciiTheme="majorBidi" w:hAnsiTheme="majorBidi" w:cstheme="majorBidi"/>
                </w:rPr>
              </w:pPr>
              <w:proofErr w:type="spellStart"/>
              <w:r w:rsidRPr="00145769">
                <w:rPr>
                  <w:rFonts w:asciiTheme="majorBidi" w:hAnsiTheme="majorBidi" w:cstheme="majorBidi"/>
                </w:rPr>
                <w:t>Venkatasubbu</w:t>
              </w:r>
              <w:proofErr w:type="spellEnd"/>
              <w:r w:rsidRPr="00145769">
                <w:rPr>
                  <w:rFonts w:asciiTheme="majorBidi" w:hAnsiTheme="majorBidi" w:cstheme="majorBidi"/>
                </w:rPr>
                <w:t>, S. and Krishnamoorthy, G. (2022) 'Ethical considerations in AI addressing bias and fairness in machine learning models', Journal of Knowledge Learning and Science Technology, 1(1), pp. 130–138. Available at: https://scholar.google.com/scholar?q=Ethical%20considerations%20in%20AI%20addressing%20bias%20and%20fairness%20in%20machine%20learning%20models%20Venkatasubbu%20Krishnamoorthy%202022</w:t>
              </w:r>
            </w:p>
            <w:p w14:paraId="522E2AD2"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Weidinger, L. et al. (2022) 'Taxonomy of risks posed by language models', Proceedings of the 2022 ACM Conference on Fairness, Accountability, and Transparency, pp. 214–229. Available at: https://doi.org/10.1145/3531146.3533088</w:t>
              </w:r>
            </w:p>
            <w:p w14:paraId="502DA1EA" w14:textId="77777777" w:rsidR="004C06C3" w:rsidRPr="00145769" w:rsidRDefault="004C06C3" w:rsidP="004C06C3">
              <w:pPr>
                <w:spacing w:line="360" w:lineRule="auto"/>
                <w:ind w:left="720" w:hanging="720"/>
                <w:jc w:val="both"/>
                <w:rPr>
                  <w:rFonts w:asciiTheme="majorBidi" w:hAnsiTheme="majorBidi" w:cstheme="majorBidi"/>
                </w:rPr>
              </w:pPr>
              <w:proofErr w:type="spellStart"/>
              <w:r w:rsidRPr="00145769">
                <w:rPr>
                  <w:rFonts w:asciiTheme="majorBidi" w:hAnsiTheme="majorBidi" w:cstheme="majorBidi"/>
                </w:rPr>
                <w:t>Woszczyna</w:t>
              </w:r>
              <w:proofErr w:type="spellEnd"/>
              <w:r w:rsidRPr="00145769">
                <w:rPr>
                  <w:rFonts w:asciiTheme="majorBidi" w:hAnsiTheme="majorBidi" w:cstheme="majorBidi"/>
                </w:rPr>
                <w:t>, K. and Mania, K. (2023) 'The European map of artificial intelligence development policies: a comparative analysis', International Journal of Contemporary Management, 59(3), pp. 78–87. Available at: https://doi.org/10.2478/ijcm-2023-0002</w:t>
              </w:r>
            </w:p>
            <w:p w14:paraId="01A96FDE" w14:textId="77777777" w:rsidR="004C06C3" w:rsidRPr="00145769" w:rsidRDefault="004C06C3" w:rsidP="004C06C3">
              <w:pPr>
                <w:spacing w:line="360" w:lineRule="auto"/>
                <w:ind w:left="720" w:hanging="720"/>
                <w:jc w:val="both"/>
                <w:rPr>
                  <w:rFonts w:asciiTheme="majorBidi" w:hAnsiTheme="majorBidi" w:cstheme="majorBidi"/>
                </w:rPr>
              </w:pPr>
              <w:r w:rsidRPr="00145769">
                <w:rPr>
                  <w:rFonts w:asciiTheme="majorBidi" w:hAnsiTheme="majorBidi" w:cstheme="majorBidi"/>
                </w:rPr>
                <w:t>Yanney, A.A.S. (2025) 'Redefining corporate financial governance through AI-Powered predictive models for global business risk management', International Journal of Research Publication and Reviews, 2(6), pp. 25–49. Available at: https://scholar.google.com/scholar?q=Redefining%20corporate%20financial%20governance%20through%20AI-Powered%20predictive%20models%20for%20global%20business%20risk%20management%20Yanney%202025.</w:t>
              </w:r>
            </w:p>
            <w:p w14:paraId="5C3553AA" w14:textId="77777777" w:rsidR="004C06C3" w:rsidRPr="00145769" w:rsidRDefault="001E577C" w:rsidP="004C06C3">
              <w:pPr>
                <w:spacing w:line="360" w:lineRule="auto"/>
                <w:ind w:left="720" w:hanging="720"/>
                <w:jc w:val="both"/>
                <w:rPr>
                  <w:rFonts w:asciiTheme="majorBidi" w:hAnsiTheme="majorBidi" w:cstheme="majorBidi"/>
                </w:rPr>
              </w:pPr>
            </w:p>
          </w:sdtContent>
        </w:sdt>
      </w:sdtContent>
    </w:sdt>
    <w:p w14:paraId="04D78D8F"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br w:type="page"/>
      </w:r>
    </w:p>
    <w:p w14:paraId="5C5E5BFF" w14:textId="77777777" w:rsidR="004C06C3" w:rsidRPr="004D4EBB" w:rsidRDefault="004C06C3" w:rsidP="004C06C3">
      <w:pPr>
        <w:pStyle w:val="Heading1"/>
        <w:rPr>
          <w:rFonts w:ascii="Times New Roman" w:hAnsi="Times New Roman" w:cs="Times New Roman"/>
          <w:color w:val="000000" w:themeColor="text1"/>
          <w:sz w:val="24"/>
          <w:szCs w:val="24"/>
        </w:rPr>
      </w:pPr>
      <w:bookmarkStart w:id="14" w:name="_Toc242440452"/>
      <w:r w:rsidRPr="004D4EBB">
        <w:rPr>
          <w:rFonts w:ascii="Times New Roman" w:hAnsi="Times New Roman" w:cs="Times New Roman"/>
          <w:color w:val="000000" w:themeColor="text1"/>
          <w:sz w:val="24"/>
          <w:szCs w:val="24"/>
        </w:rPr>
        <w:lastRenderedPageBreak/>
        <w:t>Appendices</w:t>
      </w:r>
      <w:bookmarkEnd w:id="14"/>
    </w:p>
    <w:p w14:paraId="2AFC368E" w14:textId="77777777" w:rsidR="004C06C3" w:rsidRPr="00145769" w:rsidRDefault="004C06C3" w:rsidP="004C06C3">
      <w:pPr>
        <w:spacing w:line="360" w:lineRule="auto"/>
        <w:jc w:val="both"/>
        <w:rPr>
          <w:rFonts w:asciiTheme="majorBidi" w:hAnsiTheme="majorBidi" w:cstheme="majorBidi"/>
        </w:rPr>
      </w:pPr>
      <w:r w:rsidRPr="00145769">
        <w:rPr>
          <w:rFonts w:asciiTheme="majorBidi" w:hAnsiTheme="majorBidi" w:cstheme="majorBidi"/>
        </w:rPr>
        <w:t xml:space="preserve">The appendices provide supporting analytical material for the consultancy report. </w:t>
      </w:r>
    </w:p>
    <w:p w14:paraId="28C5B529" w14:textId="77777777" w:rsidR="004C06C3" w:rsidRPr="00145769" w:rsidRDefault="004C06C3" w:rsidP="004C06C3">
      <w:pPr>
        <w:pStyle w:val="Heading2"/>
        <w:spacing w:line="360" w:lineRule="auto"/>
        <w:jc w:val="both"/>
        <w:rPr>
          <w:rFonts w:asciiTheme="majorBidi" w:hAnsiTheme="majorBidi"/>
          <w:color w:val="auto"/>
          <w:sz w:val="24"/>
          <w:szCs w:val="24"/>
        </w:rPr>
      </w:pPr>
      <w:bookmarkStart w:id="15" w:name="_Toc242440453"/>
      <w:r w:rsidRPr="00145769">
        <w:rPr>
          <w:rFonts w:asciiTheme="majorBidi" w:hAnsiTheme="majorBidi"/>
          <w:color w:val="auto"/>
          <w:sz w:val="24"/>
          <w:szCs w:val="24"/>
        </w:rPr>
        <w:t>Appendix A: UK–EU AI Risk and Regulatory Comparison</w:t>
      </w:r>
      <w:bookmarkEnd w:id="15"/>
    </w:p>
    <w:tbl>
      <w:tblPr>
        <w:tblStyle w:val="TableGrid"/>
        <w:tblW w:w="0" w:type="auto"/>
        <w:tblLook w:val="04A0" w:firstRow="1" w:lastRow="0" w:firstColumn="1" w:lastColumn="0" w:noHBand="0" w:noVBand="1"/>
      </w:tblPr>
      <w:tblGrid>
        <w:gridCol w:w="2053"/>
        <w:gridCol w:w="2330"/>
        <w:gridCol w:w="2411"/>
        <w:gridCol w:w="2222"/>
      </w:tblGrid>
      <w:tr w:rsidR="004C06C3" w:rsidRPr="004D4EBB" w14:paraId="5F5E6ABB" w14:textId="77777777" w:rsidTr="00232E73">
        <w:tc>
          <w:tcPr>
            <w:tcW w:w="2160" w:type="dxa"/>
          </w:tcPr>
          <w:p w14:paraId="43C3BBFD" w14:textId="77777777" w:rsidR="004C06C3" w:rsidRPr="004D4EBB" w:rsidRDefault="004C06C3" w:rsidP="00232E73">
            <w:pPr>
              <w:spacing w:line="360" w:lineRule="auto"/>
              <w:jc w:val="both"/>
              <w:rPr>
                <w:rFonts w:asciiTheme="majorBidi" w:hAnsiTheme="majorBidi" w:cstheme="majorBidi"/>
                <w:b/>
                <w:bCs/>
                <w:lang w:val="en-GB"/>
              </w:rPr>
            </w:pPr>
            <w:r w:rsidRPr="004D4EBB">
              <w:rPr>
                <w:rFonts w:asciiTheme="majorBidi" w:hAnsiTheme="majorBidi" w:cstheme="majorBidi"/>
                <w:b/>
                <w:bCs/>
                <w:lang w:val="en-GB"/>
              </w:rPr>
              <w:t>Issue</w:t>
            </w:r>
          </w:p>
        </w:tc>
        <w:tc>
          <w:tcPr>
            <w:tcW w:w="2425" w:type="dxa"/>
          </w:tcPr>
          <w:p w14:paraId="470FA76F" w14:textId="77777777" w:rsidR="004C06C3" w:rsidRPr="004D4EBB" w:rsidRDefault="004C06C3" w:rsidP="00232E73">
            <w:pPr>
              <w:spacing w:line="360" w:lineRule="auto"/>
              <w:jc w:val="both"/>
              <w:rPr>
                <w:rFonts w:asciiTheme="majorBidi" w:hAnsiTheme="majorBidi" w:cstheme="majorBidi"/>
                <w:b/>
                <w:bCs/>
                <w:lang w:val="en-GB"/>
              </w:rPr>
            </w:pPr>
            <w:r w:rsidRPr="004D4EBB">
              <w:rPr>
                <w:rFonts w:asciiTheme="majorBidi" w:hAnsiTheme="majorBidi" w:cstheme="majorBidi"/>
                <w:b/>
                <w:bCs/>
                <w:lang w:val="en-GB"/>
              </w:rPr>
              <w:t>United Kingdom</w:t>
            </w:r>
          </w:p>
        </w:tc>
        <w:tc>
          <w:tcPr>
            <w:tcW w:w="2520" w:type="dxa"/>
          </w:tcPr>
          <w:p w14:paraId="3E9734F3" w14:textId="77777777" w:rsidR="004C06C3" w:rsidRPr="004D4EBB" w:rsidRDefault="004C06C3" w:rsidP="00232E73">
            <w:pPr>
              <w:spacing w:line="360" w:lineRule="auto"/>
              <w:jc w:val="both"/>
              <w:rPr>
                <w:rFonts w:asciiTheme="majorBidi" w:hAnsiTheme="majorBidi" w:cstheme="majorBidi"/>
                <w:b/>
                <w:bCs/>
                <w:lang w:val="en-GB"/>
              </w:rPr>
            </w:pPr>
            <w:r w:rsidRPr="004D4EBB">
              <w:rPr>
                <w:rFonts w:asciiTheme="majorBidi" w:hAnsiTheme="majorBidi" w:cstheme="majorBidi"/>
                <w:b/>
                <w:bCs/>
                <w:lang w:val="en-GB"/>
              </w:rPr>
              <w:t>European Union</w:t>
            </w:r>
          </w:p>
        </w:tc>
        <w:tc>
          <w:tcPr>
            <w:tcW w:w="2340" w:type="dxa"/>
          </w:tcPr>
          <w:p w14:paraId="49D73022" w14:textId="77777777" w:rsidR="004C06C3" w:rsidRPr="004D4EBB" w:rsidRDefault="004C06C3" w:rsidP="00232E73">
            <w:pPr>
              <w:spacing w:line="360" w:lineRule="auto"/>
              <w:jc w:val="both"/>
              <w:rPr>
                <w:rFonts w:asciiTheme="majorBidi" w:hAnsiTheme="majorBidi" w:cstheme="majorBidi"/>
                <w:b/>
                <w:bCs/>
                <w:lang w:val="en-GB"/>
              </w:rPr>
            </w:pPr>
            <w:r w:rsidRPr="004D4EBB">
              <w:rPr>
                <w:rFonts w:asciiTheme="majorBidi" w:hAnsiTheme="majorBidi" w:cstheme="majorBidi"/>
                <w:b/>
                <w:bCs/>
                <w:lang w:val="en-GB"/>
              </w:rPr>
              <w:t>Implication for Google</w:t>
            </w:r>
          </w:p>
        </w:tc>
      </w:tr>
      <w:tr w:rsidR="004C06C3" w:rsidRPr="004D4EBB" w14:paraId="63B0A3B3" w14:textId="77777777" w:rsidTr="00232E73">
        <w:tc>
          <w:tcPr>
            <w:tcW w:w="2160" w:type="dxa"/>
          </w:tcPr>
          <w:p w14:paraId="443174BB" w14:textId="77777777" w:rsidR="004C06C3" w:rsidRPr="004D4EBB" w:rsidRDefault="004C06C3" w:rsidP="00232E73">
            <w:pPr>
              <w:spacing w:line="360" w:lineRule="auto"/>
              <w:jc w:val="both"/>
              <w:rPr>
                <w:rFonts w:asciiTheme="majorBidi" w:hAnsiTheme="majorBidi" w:cstheme="majorBidi"/>
                <w:lang w:val="en-GB"/>
              </w:rPr>
            </w:pPr>
            <w:r w:rsidRPr="004D4EBB">
              <w:rPr>
                <w:rFonts w:asciiTheme="majorBidi" w:hAnsiTheme="majorBidi" w:cstheme="majorBidi"/>
                <w:lang w:val="en-GB"/>
              </w:rPr>
              <w:t>AI governance</w:t>
            </w:r>
          </w:p>
        </w:tc>
        <w:tc>
          <w:tcPr>
            <w:tcW w:w="2425" w:type="dxa"/>
          </w:tcPr>
          <w:p w14:paraId="3857F9E2" w14:textId="77777777" w:rsidR="004C06C3" w:rsidRPr="004D4EBB" w:rsidRDefault="004C06C3" w:rsidP="00232E73">
            <w:pPr>
              <w:spacing w:line="360" w:lineRule="auto"/>
              <w:jc w:val="both"/>
              <w:rPr>
                <w:rFonts w:asciiTheme="majorBidi" w:hAnsiTheme="majorBidi" w:cstheme="majorBidi"/>
                <w:lang w:val="en-GB"/>
              </w:rPr>
            </w:pPr>
            <w:r w:rsidRPr="004D4EBB">
              <w:rPr>
                <w:rFonts w:asciiTheme="majorBidi" w:hAnsiTheme="majorBidi" w:cstheme="majorBidi"/>
                <w:lang w:val="en-GB"/>
              </w:rPr>
              <w:t>Principles-based, regulator-led development with sector responsibilities.</w:t>
            </w:r>
          </w:p>
        </w:tc>
        <w:tc>
          <w:tcPr>
            <w:tcW w:w="2520" w:type="dxa"/>
          </w:tcPr>
          <w:p w14:paraId="221A25AD" w14:textId="77777777" w:rsidR="004C06C3" w:rsidRPr="004D4EBB" w:rsidRDefault="004C06C3" w:rsidP="00232E73">
            <w:pPr>
              <w:spacing w:line="360" w:lineRule="auto"/>
              <w:jc w:val="both"/>
              <w:rPr>
                <w:rFonts w:asciiTheme="majorBidi" w:hAnsiTheme="majorBidi" w:cstheme="majorBidi"/>
                <w:lang w:val="en-GB"/>
              </w:rPr>
            </w:pPr>
            <w:r w:rsidRPr="004D4EBB">
              <w:rPr>
                <w:rFonts w:asciiTheme="majorBidi" w:hAnsiTheme="majorBidi" w:cstheme="majorBidi"/>
                <w:lang w:val="en-GB"/>
              </w:rPr>
              <w:t>Horizontal risk-based AI Act alongside existing digital and data rules.</w:t>
            </w:r>
          </w:p>
        </w:tc>
        <w:tc>
          <w:tcPr>
            <w:tcW w:w="2340" w:type="dxa"/>
          </w:tcPr>
          <w:p w14:paraId="602417C4" w14:textId="77777777" w:rsidR="004C06C3" w:rsidRPr="004D4EBB" w:rsidRDefault="004C06C3" w:rsidP="00232E73">
            <w:pPr>
              <w:spacing w:line="360" w:lineRule="auto"/>
              <w:jc w:val="both"/>
              <w:rPr>
                <w:rFonts w:asciiTheme="majorBidi" w:hAnsiTheme="majorBidi" w:cstheme="majorBidi"/>
                <w:lang w:val="en-GB"/>
              </w:rPr>
            </w:pPr>
            <w:r w:rsidRPr="004D4EBB">
              <w:rPr>
                <w:rFonts w:asciiTheme="majorBidi" w:hAnsiTheme="majorBidi" w:cstheme="majorBidi"/>
                <w:lang w:val="en-GB"/>
              </w:rPr>
              <w:t>Use a common global baseline with local legal-control modules and evidence packs.</w:t>
            </w:r>
          </w:p>
        </w:tc>
      </w:tr>
      <w:tr w:rsidR="004C06C3" w:rsidRPr="004D4EBB" w14:paraId="5A83B6A2" w14:textId="77777777" w:rsidTr="00232E73">
        <w:tc>
          <w:tcPr>
            <w:tcW w:w="2160" w:type="dxa"/>
          </w:tcPr>
          <w:p w14:paraId="0A8500A4" w14:textId="77777777" w:rsidR="004C06C3" w:rsidRPr="004D4EBB" w:rsidRDefault="004C06C3" w:rsidP="00232E73">
            <w:pPr>
              <w:spacing w:line="360" w:lineRule="auto"/>
              <w:jc w:val="both"/>
              <w:rPr>
                <w:rFonts w:asciiTheme="majorBidi" w:hAnsiTheme="majorBidi" w:cstheme="majorBidi"/>
                <w:lang w:val="en-GB"/>
              </w:rPr>
            </w:pPr>
            <w:r w:rsidRPr="004D4EBB">
              <w:rPr>
                <w:rFonts w:asciiTheme="majorBidi" w:hAnsiTheme="majorBidi" w:cstheme="majorBidi"/>
                <w:lang w:val="en-GB"/>
              </w:rPr>
              <w:t>Search and AI features</w:t>
            </w:r>
          </w:p>
        </w:tc>
        <w:tc>
          <w:tcPr>
            <w:tcW w:w="2425" w:type="dxa"/>
          </w:tcPr>
          <w:p w14:paraId="2B765BA9" w14:textId="77777777" w:rsidR="004C06C3" w:rsidRPr="004D4EBB" w:rsidRDefault="004C06C3" w:rsidP="00232E73">
            <w:pPr>
              <w:spacing w:line="360" w:lineRule="auto"/>
              <w:jc w:val="both"/>
              <w:rPr>
                <w:rFonts w:asciiTheme="majorBidi" w:hAnsiTheme="majorBidi" w:cstheme="majorBidi"/>
                <w:lang w:val="en-GB"/>
              </w:rPr>
            </w:pPr>
            <w:r w:rsidRPr="004D4EBB">
              <w:rPr>
                <w:rFonts w:asciiTheme="majorBidi" w:hAnsiTheme="majorBidi" w:cstheme="majorBidi"/>
                <w:lang w:val="en-GB"/>
              </w:rPr>
              <w:t>CMA conduct requirements address fair ranking, publisher controls and data portability.</w:t>
            </w:r>
          </w:p>
        </w:tc>
        <w:tc>
          <w:tcPr>
            <w:tcW w:w="2520" w:type="dxa"/>
          </w:tcPr>
          <w:p w14:paraId="76A73231" w14:textId="77777777" w:rsidR="004C06C3" w:rsidRPr="004D4EBB" w:rsidRDefault="004C06C3" w:rsidP="00232E73">
            <w:pPr>
              <w:spacing w:line="360" w:lineRule="auto"/>
              <w:jc w:val="both"/>
              <w:rPr>
                <w:rFonts w:asciiTheme="majorBidi" w:hAnsiTheme="majorBidi" w:cstheme="majorBidi"/>
                <w:lang w:val="en-GB"/>
              </w:rPr>
            </w:pPr>
            <w:r w:rsidRPr="004D4EBB">
              <w:rPr>
                <w:rFonts w:asciiTheme="majorBidi" w:hAnsiTheme="majorBidi" w:cstheme="majorBidi"/>
                <w:lang w:val="en-GB"/>
              </w:rPr>
              <w:t>DMA measures address search-data access and AI interoperability for competitors.</w:t>
            </w:r>
          </w:p>
        </w:tc>
        <w:tc>
          <w:tcPr>
            <w:tcW w:w="2340" w:type="dxa"/>
          </w:tcPr>
          <w:p w14:paraId="073D6CCD" w14:textId="77777777" w:rsidR="004C06C3" w:rsidRPr="004D4EBB" w:rsidRDefault="004C06C3" w:rsidP="00232E73">
            <w:pPr>
              <w:spacing w:line="360" w:lineRule="auto"/>
              <w:jc w:val="both"/>
              <w:rPr>
                <w:rFonts w:asciiTheme="majorBidi" w:hAnsiTheme="majorBidi" w:cstheme="majorBidi"/>
                <w:lang w:val="en-GB"/>
              </w:rPr>
            </w:pPr>
            <w:r w:rsidRPr="004D4EBB">
              <w:rPr>
                <w:rFonts w:asciiTheme="majorBidi" w:hAnsiTheme="majorBidi" w:cstheme="majorBidi"/>
                <w:lang w:val="en-GB"/>
              </w:rPr>
              <w:t>Product, competition, privacy and AI governance teams must coordinate before material changes.</w:t>
            </w:r>
          </w:p>
        </w:tc>
      </w:tr>
      <w:tr w:rsidR="004C06C3" w:rsidRPr="004D4EBB" w14:paraId="210A1EA2" w14:textId="77777777" w:rsidTr="00232E73">
        <w:tc>
          <w:tcPr>
            <w:tcW w:w="2160" w:type="dxa"/>
          </w:tcPr>
          <w:p w14:paraId="0A024D9B" w14:textId="77777777" w:rsidR="004C06C3" w:rsidRPr="004D4EBB" w:rsidRDefault="004C06C3" w:rsidP="00232E73">
            <w:pPr>
              <w:spacing w:line="360" w:lineRule="auto"/>
              <w:jc w:val="both"/>
              <w:rPr>
                <w:rFonts w:asciiTheme="majorBidi" w:hAnsiTheme="majorBidi" w:cstheme="majorBidi"/>
                <w:lang w:val="en-GB"/>
              </w:rPr>
            </w:pPr>
            <w:r w:rsidRPr="004D4EBB">
              <w:rPr>
                <w:rFonts w:asciiTheme="majorBidi" w:hAnsiTheme="majorBidi" w:cstheme="majorBidi"/>
                <w:lang w:val="en-GB"/>
              </w:rPr>
              <w:t>Data</w:t>
            </w:r>
          </w:p>
        </w:tc>
        <w:tc>
          <w:tcPr>
            <w:tcW w:w="2425" w:type="dxa"/>
          </w:tcPr>
          <w:p w14:paraId="1567E43D" w14:textId="77777777" w:rsidR="004C06C3" w:rsidRPr="004D4EBB" w:rsidRDefault="004C06C3" w:rsidP="00232E73">
            <w:pPr>
              <w:spacing w:line="360" w:lineRule="auto"/>
              <w:jc w:val="both"/>
              <w:rPr>
                <w:rFonts w:asciiTheme="majorBidi" w:hAnsiTheme="majorBidi" w:cstheme="majorBidi"/>
                <w:lang w:val="en-GB"/>
              </w:rPr>
            </w:pPr>
            <w:r w:rsidRPr="004D4EBB">
              <w:rPr>
                <w:rFonts w:asciiTheme="majorBidi" w:hAnsiTheme="majorBidi" w:cstheme="majorBidi"/>
                <w:lang w:val="en-GB"/>
              </w:rPr>
              <w:t>UK privacy, competition and digital-market requirements interact.</w:t>
            </w:r>
          </w:p>
        </w:tc>
        <w:tc>
          <w:tcPr>
            <w:tcW w:w="2520" w:type="dxa"/>
          </w:tcPr>
          <w:p w14:paraId="4DABC317" w14:textId="77777777" w:rsidR="004C06C3" w:rsidRPr="004D4EBB" w:rsidRDefault="004C06C3" w:rsidP="00232E73">
            <w:pPr>
              <w:spacing w:line="360" w:lineRule="auto"/>
              <w:jc w:val="both"/>
              <w:rPr>
                <w:rFonts w:asciiTheme="majorBidi" w:hAnsiTheme="majorBidi" w:cstheme="majorBidi"/>
                <w:lang w:val="en-GB"/>
              </w:rPr>
            </w:pPr>
            <w:r w:rsidRPr="004D4EBB">
              <w:rPr>
                <w:rFonts w:asciiTheme="majorBidi" w:hAnsiTheme="majorBidi" w:cstheme="majorBidi"/>
                <w:lang w:val="en-GB"/>
              </w:rPr>
              <w:t>GDPR and DMA obligations interact with anonymisation and access requirements.</w:t>
            </w:r>
          </w:p>
        </w:tc>
        <w:tc>
          <w:tcPr>
            <w:tcW w:w="2340" w:type="dxa"/>
          </w:tcPr>
          <w:p w14:paraId="51681568" w14:textId="77777777" w:rsidR="004C06C3" w:rsidRPr="004D4EBB" w:rsidRDefault="004C06C3" w:rsidP="00232E73">
            <w:pPr>
              <w:spacing w:line="360" w:lineRule="auto"/>
              <w:jc w:val="both"/>
              <w:rPr>
                <w:rFonts w:asciiTheme="majorBidi" w:hAnsiTheme="majorBidi" w:cstheme="majorBidi"/>
                <w:lang w:val="en-GB"/>
              </w:rPr>
            </w:pPr>
            <w:r w:rsidRPr="004D4EBB">
              <w:rPr>
                <w:rFonts w:asciiTheme="majorBidi" w:hAnsiTheme="majorBidi" w:cstheme="majorBidi"/>
                <w:lang w:val="en-GB"/>
              </w:rPr>
              <w:t>Separate privacy safeguards from data-access controls and document both decisions.</w:t>
            </w:r>
          </w:p>
        </w:tc>
      </w:tr>
      <w:tr w:rsidR="004C06C3" w:rsidRPr="004D4EBB" w14:paraId="65A6FBB5" w14:textId="77777777" w:rsidTr="00232E73">
        <w:tc>
          <w:tcPr>
            <w:tcW w:w="2160" w:type="dxa"/>
          </w:tcPr>
          <w:p w14:paraId="1C45FD41" w14:textId="77777777" w:rsidR="004C06C3" w:rsidRPr="004D4EBB" w:rsidRDefault="004C06C3" w:rsidP="00232E73">
            <w:pPr>
              <w:spacing w:line="360" w:lineRule="auto"/>
              <w:jc w:val="both"/>
              <w:rPr>
                <w:rFonts w:asciiTheme="majorBidi" w:hAnsiTheme="majorBidi" w:cstheme="majorBidi"/>
                <w:lang w:val="en-GB"/>
              </w:rPr>
            </w:pPr>
            <w:r w:rsidRPr="004D4EBB">
              <w:rPr>
                <w:rFonts w:asciiTheme="majorBidi" w:hAnsiTheme="majorBidi" w:cstheme="majorBidi"/>
                <w:lang w:val="en-GB"/>
              </w:rPr>
              <w:t>Trust</w:t>
            </w:r>
          </w:p>
        </w:tc>
        <w:tc>
          <w:tcPr>
            <w:tcW w:w="2425" w:type="dxa"/>
          </w:tcPr>
          <w:p w14:paraId="44115645" w14:textId="77777777" w:rsidR="004C06C3" w:rsidRPr="004D4EBB" w:rsidRDefault="004C06C3" w:rsidP="00232E73">
            <w:pPr>
              <w:spacing w:line="360" w:lineRule="auto"/>
              <w:jc w:val="both"/>
              <w:rPr>
                <w:rFonts w:asciiTheme="majorBidi" w:hAnsiTheme="majorBidi" w:cstheme="majorBidi"/>
                <w:lang w:val="en-GB"/>
              </w:rPr>
            </w:pPr>
            <w:r w:rsidRPr="004D4EBB">
              <w:rPr>
                <w:rFonts w:asciiTheme="majorBidi" w:hAnsiTheme="majorBidi" w:cstheme="majorBidi"/>
                <w:lang w:val="en-GB"/>
              </w:rPr>
              <w:t>Transparency and effective routes to challenge are increasingly important.</w:t>
            </w:r>
          </w:p>
        </w:tc>
        <w:tc>
          <w:tcPr>
            <w:tcW w:w="2520" w:type="dxa"/>
          </w:tcPr>
          <w:p w14:paraId="68275C9F" w14:textId="77777777" w:rsidR="004C06C3" w:rsidRPr="004D4EBB" w:rsidRDefault="004C06C3" w:rsidP="00232E73">
            <w:pPr>
              <w:spacing w:line="360" w:lineRule="auto"/>
              <w:jc w:val="both"/>
              <w:rPr>
                <w:rFonts w:asciiTheme="majorBidi" w:hAnsiTheme="majorBidi" w:cstheme="majorBidi"/>
                <w:lang w:val="en-GB"/>
              </w:rPr>
            </w:pPr>
            <w:r w:rsidRPr="004D4EBB">
              <w:rPr>
                <w:rFonts w:asciiTheme="majorBidi" w:hAnsiTheme="majorBidi" w:cstheme="majorBidi"/>
                <w:lang w:val="en-GB"/>
              </w:rPr>
              <w:t>Transparency, safety and fundamental-rights expectations are more explicitly embedded in AI governance.</w:t>
            </w:r>
          </w:p>
        </w:tc>
        <w:tc>
          <w:tcPr>
            <w:tcW w:w="2340" w:type="dxa"/>
          </w:tcPr>
          <w:p w14:paraId="49192B82" w14:textId="77777777" w:rsidR="004C06C3" w:rsidRPr="004D4EBB" w:rsidRDefault="004C06C3" w:rsidP="00232E73">
            <w:pPr>
              <w:spacing w:line="360" w:lineRule="auto"/>
              <w:jc w:val="both"/>
              <w:rPr>
                <w:rFonts w:asciiTheme="majorBidi" w:hAnsiTheme="majorBidi" w:cstheme="majorBidi"/>
                <w:lang w:val="en-GB"/>
              </w:rPr>
            </w:pPr>
            <w:r w:rsidRPr="004D4EBB">
              <w:rPr>
                <w:rFonts w:asciiTheme="majorBidi" w:hAnsiTheme="majorBidi" w:cstheme="majorBidi"/>
                <w:lang w:val="en-GB"/>
              </w:rPr>
              <w:t>Trust should be monitored through measurable user outcomes, incidents and remediation.</w:t>
            </w:r>
          </w:p>
        </w:tc>
      </w:tr>
    </w:tbl>
    <w:p w14:paraId="521334A8" w14:textId="32DD14FA" w:rsidR="004C06C3" w:rsidRDefault="004C06C3" w:rsidP="00343A30">
      <w:pPr>
        <w:pStyle w:val="Caption"/>
        <w:jc w:val="center"/>
      </w:pPr>
      <w:bookmarkStart w:id="16" w:name="_Toc241957315"/>
      <w:r>
        <w:t xml:space="preserve">Table </w:t>
      </w:r>
      <w:r>
        <w:fldChar w:fldCharType="begin"/>
      </w:r>
      <w:r>
        <w:instrText xml:space="preserve"> SEQ Table \* ARABIC </w:instrText>
      </w:r>
      <w:r>
        <w:fldChar w:fldCharType="separate"/>
      </w:r>
      <w:r>
        <w:rPr>
          <w:noProof/>
        </w:rPr>
        <w:t>14</w:t>
      </w:r>
      <w:r>
        <w:rPr>
          <w:noProof/>
        </w:rPr>
        <w:fldChar w:fldCharType="end"/>
      </w:r>
      <w:r>
        <w:t xml:space="preserve"> </w:t>
      </w:r>
      <w:r w:rsidRPr="004073E6">
        <w:t>Table A1. Supporting UK–EU regulatory and risk comparison.</w:t>
      </w:r>
      <w:bookmarkEnd w:id="16"/>
    </w:p>
    <w:p w14:paraId="58D60CE3" w14:textId="77777777" w:rsidR="00343A30" w:rsidRDefault="00343A30" w:rsidP="00343A30">
      <w:pPr>
        <w:rPr>
          <w:lang w:val="en-US"/>
        </w:rPr>
      </w:pPr>
    </w:p>
    <w:p w14:paraId="45D7EC12" w14:textId="71CDB2D2" w:rsidR="004C06C3" w:rsidRPr="00145769" w:rsidRDefault="004C06C3" w:rsidP="004C06C3">
      <w:pPr>
        <w:pStyle w:val="Heading2"/>
        <w:spacing w:line="360" w:lineRule="auto"/>
        <w:jc w:val="both"/>
        <w:rPr>
          <w:rFonts w:asciiTheme="majorBidi" w:hAnsiTheme="majorBidi"/>
          <w:color w:val="auto"/>
          <w:sz w:val="24"/>
          <w:szCs w:val="24"/>
        </w:rPr>
      </w:pPr>
      <w:bookmarkStart w:id="17" w:name="_Toc242440454"/>
      <w:r w:rsidRPr="00145769">
        <w:rPr>
          <w:rFonts w:asciiTheme="majorBidi" w:hAnsiTheme="majorBidi"/>
          <w:color w:val="auto"/>
          <w:sz w:val="24"/>
          <w:szCs w:val="24"/>
        </w:rPr>
        <w:t>Appendix B: AI Risk Register for Google</w:t>
      </w:r>
      <w:bookmarkEnd w:id="17"/>
    </w:p>
    <w:tbl>
      <w:tblPr>
        <w:tblStyle w:val="TableGrid"/>
        <w:tblW w:w="0" w:type="auto"/>
        <w:tblLook w:val="04A0" w:firstRow="1" w:lastRow="0" w:firstColumn="1" w:lastColumn="0" w:noHBand="0" w:noVBand="1"/>
      </w:tblPr>
      <w:tblGrid>
        <w:gridCol w:w="2160"/>
        <w:gridCol w:w="2160"/>
        <w:gridCol w:w="2160"/>
        <w:gridCol w:w="2160"/>
      </w:tblGrid>
      <w:tr w:rsidR="004C06C3" w:rsidRPr="00145769" w14:paraId="5FB257F5" w14:textId="77777777" w:rsidTr="00232E73">
        <w:tc>
          <w:tcPr>
            <w:tcW w:w="2160" w:type="dxa"/>
          </w:tcPr>
          <w:p w14:paraId="07883C9E"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Risk</w:t>
            </w:r>
          </w:p>
        </w:tc>
        <w:tc>
          <w:tcPr>
            <w:tcW w:w="2160" w:type="dxa"/>
          </w:tcPr>
          <w:p w14:paraId="108A3738"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Trigger / exposure</w:t>
            </w:r>
          </w:p>
        </w:tc>
        <w:tc>
          <w:tcPr>
            <w:tcW w:w="2160" w:type="dxa"/>
          </w:tcPr>
          <w:p w14:paraId="21750D34"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Potential impact</w:t>
            </w:r>
          </w:p>
        </w:tc>
        <w:tc>
          <w:tcPr>
            <w:tcW w:w="2160" w:type="dxa"/>
          </w:tcPr>
          <w:p w14:paraId="22883DAA"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Control and monitoring response</w:t>
            </w:r>
          </w:p>
        </w:tc>
      </w:tr>
      <w:tr w:rsidR="004C06C3" w:rsidRPr="00145769" w14:paraId="46C1DD66" w14:textId="77777777" w:rsidTr="00232E73">
        <w:tc>
          <w:tcPr>
            <w:tcW w:w="2160" w:type="dxa"/>
          </w:tcPr>
          <w:p w14:paraId="57E52A7E"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Model reliability</w:t>
            </w:r>
          </w:p>
        </w:tc>
        <w:tc>
          <w:tcPr>
            <w:tcW w:w="2160" w:type="dxa"/>
          </w:tcPr>
          <w:p w14:paraId="0D9C1179"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Hallucination, drift, weak evaluation or use outside intended context.</w:t>
            </w:r>
          </w:p>
        </w:tc>
        <w:tc>
          <w:tcPr>
            <w:tcW w:w="2160" w:type="dxa"/>
          </w:tcPr>
          <w:p w14:paraId="3756FF70"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Incorrect information, user harm, remediation cost and trust loss.</w:t>
            </w:r>
          </w:p>
        </w:tc>
        <w:tc>
          <w:tcPr>
            <w:tcW w:w="2160" w:type="dxa"/>
          </w:tcPr>
          <w:p w14:paraId="1F92332C"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 xml:space="preserve">Pre-deployment evaluation, post-deployment monitoring, </w:t>
            </w:r>
            <w:r w:rsidRPr="00145769">
              <w:rPr>
                <w:rFonts w:asciiTheme="majorBidi" w:hAnsiTheme="majorBidi" w:cstheme="majorBidi"/>
                <w:sz w:val="24"/>
                <w:szCs w:val="24"/>
                <w:lang w:val="en-GB"/>
              </w:rPr>
              <w:lastRenderedPageBreak/>
              <w:t>incident thresholds and rollback procedures.</w:t>
            </w:r>
          </w:p>
        </w:tc>
      </w:tr>
      <w:tr w:rsidR="004C06C3" w:rsidRPr="00145769" w14:paraId="01E09C97" w14:textId="77777777" w:rsidTr="00232E73">
        <w:tc>
          <w:tcPr>
            <w:tcW w:w="2160" w:type="dxa"/>
          </w:tcPr>
          <w:p w14:paraId="165777A9"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lastRenderedPageBreak/>
              <w:t>Data governance</w:t>
            </w:r>
          </w:p>
        </w:tc>
        <w:tc>
          <w:tcPr>
            <w:tcW w:w="2160" w:type="dxa"/>
          </w:tcPr>
          <w:p w14:paraId="34964D8F"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Unclear provenance, excessive access, poor lineage or re-identification risk.</w:t>
            </w:r>
          </w:p>
        </w:tc>
        <w:tc>
          <w:tcPr>
            <w:tcW w:w="2160" w:type="dxa"/>
          </w:tcPr>
          <w:p w14:paraId="052A4583"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Privacy breaches, regulatory action and weaker stakeholder confidence.</w:t>
            </w:r>
          </w:p>
        </w:tc>
        <w:tc>
          <w:tcPr>
            <w:tcW w:w="2160" w:type="dxa"/>
          </w:tcPr>
          <w:p w14:paraId="41B96EE8"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Dataset inventory, lineage records, access controls, privacy testing and audit trails.</w:t>
            </w:r>
          </w:p>
        </w:tc>
      </w:tr>
      <w:tr w:rsidR="004C06C3" w:rsidRPr="00145769" w14:paraId="46B25E91" w14:textId="77777777" w:rsidTr="00232E73">
        <w:tc>
          <w:tcPr>
            <w:tcW w:w="2160" w:type="dxa"/>
          </w:tcPr>
          <w:p w14:paraId="20E40C52"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Ethical bias</w:t>
            </w:r>
          </w:p>
        </w:tc>
        <w:tc>
          <w:tcPr>
            <w:tcW w:w="2160" w:type="dxa"/>
          </w:tcPr>
          <w:p w14:paraId="67B979DC"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 xml:space="preserve">Unequal model performance or harmful outcomes for </w:t>
            </w:r>
            <w:proofErr w:type="gramStart"/>
            <w:r w:rsidRPr="00145769">
              <w:rPr>
                <w:rFonts w:asciiTheme="majorBidi" w:hAnsiTheme="majorBidi" w:cstheme="majorBidi"/>
                <w:sz w:val="24"/>
                <w:szCs w:val="24"/>
                <w:lang w:val="en-GB"/>
              </w:rPr>
              <w:t>particular groups</w:t>
            </w:r>
            <w:proofErr w:type="gramEnd"/>
            <w:r w:rsidRPr="00145769">
              <w:rPr>
                <w:rFonts w:asciiTheme="majorBidi" w:hAnsiTheme="majorBidi" w:cstheme="majorBidi"/>
                <w:sz w:val="24"/>
                <w:szCs w:val="24"/>
                <w:lang w:val="en-GB"/>
              </w:rPr>
              <w:t>.</w:t>
            </w:r>
          </w:p>
        </w:tc>
        <w:tc>
          <w:tcPr>
            <w:tcW w:w="2160" w:type="dxa"/>
          </w:tcPr>
          <w:p w14:paraId="5184D61F"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Discrimination concerns, complaints, legal exposure and reputational damage.</w:t>
            </w:r>
          </w:p>
        </w:tc>
        <w:tc>
          <w:tcPr>
            <w:tcW w:w="2160" w:type="dxa"/>
          </w:tcPr>
          <w:p w14:paraId="70173DFF"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Context-specific fairness tests, human review, impact assessments and independent assurance.</w:t>
            </w:r>
          </w:p>
        </w:tc>
      </w:tr>
      <w:tr w:rsidR="004C06C3" w:rsidRPr="00145769" w14:paraId="4879D060" w14:textId="77777777" w:rsidTr="00232E73">
        <w:tc>
          <w:tcPr>
            <w:tcW w:w="2160" w:type="dxa"/>
          </w:tcPr>
          <w:p w14:paraId="43E2AF20"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Regulatory divergence</w:t>
            </w:r>
          </w:p>
        </w:tc>
        <w:tc>
          <w:tcPr>
            <w:tcW w:w="2160" w:type="dxa"/>
          </w:tcPr>
          <w:p w14:paraId="6A653F48"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UK/EU rules change or impose different operational requirements.</w:t>
            </w:r>
          </w:p>
        </w:tc>
        <w:tc>
          <w:tcPr>
            <w:tcW w:w="2160" w:type="dxa"/>
          </w:tcPr>
          <w:p w14:paraId="49399322"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Delayed launches, duplicated controls, enforcement costs and strategic uncertainty.</w:t>
            </w:r>
          </w:p>
        </w:tc>
        <w:tc>
          <w:tcPr>
            <w:tcW w:w="2160" w:type="dxa"/>
          </w:tcPr>
          <w:p w14:paraId="40CE615C"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Regulatory inventory, obligation-to-control mapping, named owners and quarterly review.</w:t>
            </w:r>
          </w:p>
        </w:tc>
      </w:tr>
      <w:tr w:rsidR="004C06C3" w:rsidRPr="00145769" w14:paraId="72BC5EDD" w14:textId="77777777" w:rsidTr="00232E73">
        <w:tc>
          <w:tcPr>
            <w:tcW w:w="2160" w:type="dxa"/>
          </w:tcPr>
          <w:p w14:paraId="043BD76F"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Customer trust</w:t>
            </w:r>
          </w:p>
        </w:tc>
        <w:tc>
          <w:tcPr>
            <w:tcW w:w="2160" w:type="dxa"/>
          </w:tcPr>
          <w:p w14:paraId="06C467AA"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Low transparency, inaccurate outputs or weak complaint handling.</w:t>
            </w:r>
          </w:p>
        </w:tc>
        <w:tc>
          <w:tcPr>
            <w:tcW w:w="2160" w:type="dxa"/>
          </w:tcPr>
          <w:p w14:paraId="37C989EC"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Reduced adoption, churn, negative publicity and stakeholder pressure.</w:t>
            </w:r>
          </w:p>
        </w:tc>
        <w:tc>
          <w:tcPr>
            <w:tcW w:w="2160" w:type="dxa"/>
          </w:tcPr>
          <w:p w14:paraId="49BD002B" w14:textId="77777777" w:rsidR="004C06C3" w:rsidRPr="00145769" w:rsidRDefault="004C06C3" w:rsidP="00232E73">
            <w:pPr>
              <w:spacing w:line="360" w:lineRule="auto"/>
              <w:jc w:val="both"/>
              <w:rPr>
                <w:rFonts w:asciiTheme="majorBidi" w:hAnsiTheme="majorBidi" w:cstheme="majorBidi"/>
                <w:sz w:val="24"/>
                <w:szCs w:val="24"/>
                <w:lang w:val="en-GB"/>
              </w:rPr>
            </w:pPr>
            <w:r w:rsidRPr="00145769">
              <w:rPr>
                <w:rFonts w:asciiTheme="majorBidi" w:hAnsiTheme="majorBidi" w:cstheme="majorBidi"/>
                <w:sz w:val="24"/>
                <w:szCs w:val="24"/>
                <w:lang w:val="en-GB"/>
              </w:rPr>
              <w:t>Trust dashboard, clear disclosures, feedback channels and remediation SLAs.</w:t>
            </w:r>
          </w:p>
        </w:tc>
      </w:tr>
    </w:tbl>
    <w:p w14:paraId="3F903E0B" w14:textId="77777777" w:rsidR="004C06C3" w:rsidRDefault="004C06C3" w:rsidP="00343A30">
      <w:pPr>
        <w:pStyle w:val="Caption"/>
        <w:jc w:val="center"/>
        <w:rPr>
          <w:rFonts w:asciiTheme="majorBidi" w:hAnsiTheme="majorBidi" w:cstheme="majorBidi"/>
          <w:sz w:val="24"/>
          <w:szCs w:val="24"/>
          <w:lang w:val="en-GB"/>
        </w:rPr>
      </w:pPr>
      <w:bookmarkStart w:id="18" w:name="_Toc241957316"/>
      <w:r>
        <w:t xml:space="preserve">Table </w:t>
      </w:r>
      <w:r>
        <w:fldChar w:fldCharType="begin"/>
      </w:r>
      <w:r>
        <w:instrText xml:space="preserve"> SEQ Table \* ARABIC </w:instrText>
      </w:r>
      <w:r>
        <w:fldChar w:fldCharType="separate"/>
      </w:r>
      <w:r>
        <w:rPr>
          <w:noProof/>
        </w:rPr>
        <w:t>15</w:t>
      </w:r>
      <w:r>
        <w:rPr>
          <w:noProof/>
        </w:rPr>
        <w:fldChar w:fldCharType="end"/>
      </w:r>
      <w:r>
        <w:t xml:space="preserve"> </w:t>
      </w:r>
      <w:r w:rsidRPr="000A6A48">
        <w:t>Table B1. Supporting AI risk register and proposed controls.</w:t>
      </w:r>
      <w:bookmarkEnd w:id="18"/>
    </w:p>
    <w:p w14:paraId="448AEC31" w14:textId="77777777" w:rsidR="004C06C3" w:rsidRDefault="004C06C3" w:rsidP="00DA0C97"/>
    <w:p w14:paraId="65896454" w14:textId="77777777" w:rsidR="004C06C3" w:rsidRDefault="004C06C3" w:rsidP="00DA0C97"/>
    <w:p w14:paraId="7DE24645" w14:textId="77777777" w:rsidR="004C06C3" w:rsidRDefault="004C06C3" w:rsidP="00DA0C97"/>
    <w:p w14:paraId="07851D3C" w14:textId="77777777" w:rsidR="004C06C3" w:rsidRDefault="004C06C3" w:rsidP="00DA0C97"/>
    <w:p w14:paraId="7A8A6857" w14:textId="77777777" w:rsidR="004C06C3" w:rsidRDefault="004C06C3" w:rsidP="00DA0C97"/>
    <w:p w14:paraId="4E7083B0" w14:textId="77777777" w:rsidR="004C06C3" w:rsidRDefault="004C06C3" w:rsidP="00DA0C97"/>
    <w:sectPr w:rsidR="004C06C3" w:rsidSect="00343A30">
      <w:footerReference w:type="default" r:id="rId23"/>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DDBCF" w14:textId="77777777" w:rsidR="001E577C" w:rsidRDefault="001E577C" w:rsidP="00343A30">
      <w:pPr>
        <w:spacing w:after="0" w:line="240" w:lineRule="auto"/>
      </w:pPr>
      <w:r>
        <w:separator/>
      </w:r>
    </w:p>
  </w:endnote>
  <w:endnote w:type="continuationSeparator" w:id="0">
    <w:p w14:paraId="3667230A" w14:textId="77777777" w:rsidR="001E577C" w:rsidRDefault="001E577C" w:rsidP="00343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7135AB" w14:textId="4110942A" w:rsidR="00343A30" w:rsidRDefault="00343A30">
    <w:pPr>
      <w:pStyle w:val="Footer"/>
      <w:jc w:val="center"/>
    </w:pPr>
  </w:p>
  <w:p w14:paraId="4C8B803B" w14:textId="11085876" w:rsidR="00343A30" w:rsidRDefault="00343A30" w:rsidP="00343A30">
    <w:pPr>
      <w:pStyle w:val="Footer"/>
      <w:tabs>
        <w:tab w:val="clear" w:pos="4513"/>
        <w:tab w:val="clear" w:pos="9026"/>
        <w:tab w:val="left" w:pos="2660"/>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6960161"/>
      <w:docPartObj>
        <w:docPartGallery w:val="Page Numbers (Bottom of Page)"/>
        <w:docPartUnique/>
      </w:docPartObj>
    </w:sdtPr>
    <w:sdtEndPr>
      <w:rPr>
        <w:noProof/>
      </w:rPr>
    </w:sdtEndPr>
    <w:sdtContent>
      <w:p w14:paraId="40451DBB" w14:textId="276BC0E4" w:rsidR="00343A30" w:rsidRDefault="00343A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5566D6" w14:textId="3BB1A23D" w:rsidR="00343A30" w:rsidRPr="00343A30" w:rsidRDefault="00343A30" w:rsidP="00343A30">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4911732"/>
      <w:docPartObj>
        <w:docPartGallery w:val="Page Numbers (Bottom of Page)"/>
        <w:docPartUnique/>
      </w:docPartObj>
    </w:sdtPr>
    <w:sdtEndPr>
      <w:rPr>
        <w:noProof/>
      </w:rPr>
    </w:sdtEndPr>
    <w:sdtContent>
      <w:p w14:paraId="5F1FE7FC" w14:textId="1694ED71" w:rsidR="00343A30" w:rsidRDefault="00343A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351A74" w14:textId="77777777" w:rsidR="00343A30" w:rsidRDefault="00343A30" w:rsidP="00343A30">
    <w:pPr>
      <w:pStyle w:val="Footer"/>
      <w:tabs>
        <w:tab w:val="clear" w:pos="4513"/>
        <w:tab w:val="clear" w:pos="9026"/>
        <w:tab w:val="left" w:pos="266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4C47ED" w14:textId="77777777" w:rsidR="001E577C" w:rsidRDefault="001E577C" w:rsidP="00343A30">
      <w:pPr>
        <w:spacing w:after="0" w:line="240" w:lineRule="auto"/>
      </w:pPr>
      <w:r>
        <w:separator/>
      </w:r>
    </w:p>
  </w:footnote>
  <w:footnote w:type="continuationSeparator" w:id="0">
    <w:p w14:paraId="209C85CC" w14:textId="77777777" w:rsidR="001E577C" w:rsidRDefault="001E577C" w:rsidP="00343A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C97"/>
    <w:rsid w:val="0005217B"/>
    <w:rsid w:val="0016781B"/>
    <w:rsid w:val="00190FA7"/>
    <w:rsid w:val="001C53A3"/>
    <w:rsid w:val="001E577C"/>
    <w:rsid w:val="002C20B8"/>
    <w:rsid w:val="00343A30"/>
    <w:rsid w:val="004160F4"/>
    <w:rsid w:val="004C06C3"/>
    <w:rsid w:val="00567C79"/>
    <w:rsid w:val="00631060"/>
    <w:rsid w:val="0066235A"/>
    <w:rsid w:val="00775E0F"/>
    <w:rsid w:val="00AA547B"/>
    <w:rsid w:val="00BD331D"/>
    <w:rsid w:val="00D32A87"/>
    <w:rsid w:val="00D81646"/>
    <w:rsid w:val="00DA0C97"/>
    <w:rsid w:val="00DA373E"/>
    <w:rsid w:val="00E45B3F"/>
    <w:rsid w:val="00E57691"/>
    <w:rsid w:val="00EE2CE4"/>
    <w:rsid w:val="00FD4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0C391"/>
  <w15:chartTrackingRefBased/>
  <w15:docId w15:val="{4D4E3D77-A60F-4BCB-9A91-CC48429DB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0C9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A0C9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A0C9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A0C9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A0C9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A0C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0C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0C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0C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0C9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A0C9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A0C9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A0C9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A0C9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A0C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0C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0C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0C97"/>
    <w:rPr>
      <w:rFonts w:eastAsiaTheme="majorEastAsia" w:cstheme="majorBidi"/>
      <w:color w:val="272727" w:themeColor="text1" w:themeTint="D8"/>
    </w:rPr>
  </w:style>
  <w:style w:type="paragraph" w:styleId="Title">
    <w:name w:val="Title"/>
    <w:basedOn w:val="Normal"/>
    <w:next w:val="Normal"/>
    <w:link w:val="TitleChar"/>
    <w:uiPriority w:val="10"/>
    <w:qFormat/>
    <w:rsid w:val="00DA0C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0C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0C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0C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0C97"/>
    <w:pPr>
      <w:spacing w:before="160"/>
      <w:jc w:val="center"/>
    </w:pPr>
    <w:rPr>
      <w:i/>
      <w:iCs/>
      <w:color w:val="404040" w:themeColor="text1" w:themeTint="BF"/>
    </w:rPr>
  </w:style>
  <w:style w:type="character" w:customStyle="1" w:styleId="QuoteChar">
    <w:name w:val="Quote Char"/>
    <w:basedOn w:val="DefaultParagraphFont"/>
    <w:link w:val="Quote"/>
    <w:uiPriority w:val="29"/>
    <w:rsid w:val="00DA0C97"/>
    <w:rPr>
      <w:i/>
      <w:iCs/>
      <w:color w:val="404040" w:themeColor="text1" w:themeTint="BF"/>
    </w:rPr>
  </w:style>
  <w:style w:type="paragraph" w:styleId="ListParagraph">
    <w:name w:val="List Paragraph"/>
    <w:basedOn w:val="Normal"/>
    <w:uiPriority w:val="34"/>
    <w:qFormat/>
    <w:rsid w:val="00DA0C97"/>
    <w:pPr>
      <w:ind w:left="720"/>
      <w:contextualSpacing/>
    </w:pPr>
  </w:style>
  <w:style w:type="character" w:styleId="IntenseEmphasis">
    <w:name w:val="Intense Emphasis"/>
    <w:basedOn w:val="DefaultParagraphFont"/>
    <w:uiPriority w:val="21"/>
    <w:qFormat/>
    <w:rsid w:val="00DA0C97"/>
    <w:rPr>
      <w:i/>
      <w:iCs/>
      <w:color w:val="2F5496" w:themeColor="accent1" w:themeShade="BF"/>
    </w:rPr>
  </w:style>
  <w:style w:type="paragraph" w:styleId="IntenseQuote">
    <w:name w:val="Intense Quote"/>
    <w:basedOn w:val="Normal"/>
    <w:next w:val="Normal"/>
    <w:link w:val="IntenseQuoteChar"/>
    <w:uiPriority w:val="30"/>
    <w:qFormat/>
    <w:rsid w:val="00DA0C9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A0C97"/>
    <w:rPr>
      <w:i/>
      <w:iCs/>
      <w:color w:val="2F5496" w:themeColor="accent1" w:themeShade="BF"/>
    </w:rPr>
  </w:style>
  <w:style w:type="character" w:styleId="IntenseReference">
    <w:name w:val="Intense Reference"/>
    <w:basedOn w:val="DefaultParagraphFont"/>
    <w:uiPriority w:val="32"/>
    <w:qFormat/>
    <w:rsid w:val="00DA0C97"/>
    <w:rPr>
      <w:b/>
      <w:bCs/>
      <w:smallCaps/>
      <w:color w:val="2F5496" w:themeColor="accent1" w:themeShade="BF"/>
      <w:spacing w:val="5"/>
    </w:rPr>
  </w:style>
  <w:style w:type="paragraph" w:styleId="Caption">
    <w:name w:val="caption"/>
    <w:basedOn w:val="Normal"/>
    <w:next w:val="Normal"/>
    <w:uiPriority w:val="35"/>
    <w:unhideWhenUsed/>
    <w:qFormat/>
    <w:rsid w:val="00D32A87"/>
    <w:pPr>
      <w:spacing w:after="120" w:line="240" w:lineRule="auto"/>
    </w:pPr>
    <w:rPr>
      <w:rFonts w:ascii="Arial" w:eastAsiaTheme="minorEastAsia" w:hAnsi="Arial"/>
      <w:b/>
      <w:bCs/>
      <w:color w:val="4472C4" w:themeColor="accent1"/>
      <w:kern w:val="0"/>
      <w:sz w:val="18"/>
      <w:szCs w:val="18"/>
      <w:lang w:val="en-US"/>
      <w14:ligatures w14:val="none"/>
    </w:rPr>
  </w:style>
  <w:style w:type="paragraph" w:styleId="TOCHeading">
    <w:name w:val="TOC Heading"/>
    <w:basedOn w:val="Heading1"/>
    <w:next w:val="Normal"/>
    <w:uiPriority w:val="39"/>
    <w:unhideWhenUsed/>
    <w:qFormat/>
    <w:rsid w:val="004C06C3"/>
    <w:pPr>
      <w:spacing w:before="480" w:after="0" w:line="276" w:lineRule="auto"/>
      <w:outlineLvl w:val="9"/>
    </w:pPr>
    <w:rPr>
      <w:b/>
      <w:bCs/>
      <w:kern w:val="0"/>
      <w:sz w:val="28"/>
      <w:szCs w:val="28"/>
      <w:lang w:val="en-US"/>
      <w14:ligatures w14:val="none"/>
    </w:rPr>
  </w:style>
  <w:style w:type="table" w:styleId="TableGrid">
    <w:name w:val="Table Grid"/>
    <w:basedOn w:val="TableNormal"/>
    <w:uiPriority w:val="59"/>
    <w:rsid w:val="004C06C3"/>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4C06C3"/>
    <w:pPr>
      <w:spacing w:after="100" w:line="276" w:lineRule="auto"/>
    </w:pPr>
    <w:rPr>
      <w:rFonts w:ascii="Arial" w:eastAsiaTheme="minorEastAsia" w:hAnsi="Arial"/>
      <w:kern w:val="0"/>
      <w:sz w:val="22"/>
      <w:szCs w:val="22"/>
      <w:lang w:val="en-US"/>
      <w14:ligatures w14:val="none"/>
    </w:rPr>
  </w:style>
  <w:style w:type="paragraph" w:styleId="TOC2">
    <w:name w:val="toc 2"/>
    <w:basedOn w:val="Normal"/>
    <w:next w:val="Normal"/>
    <w:autoRedefine/>
    <w:uiPriority w:val="39"/>
    <w:unhideWhenUsed/>
    <w:rsid w:val="004C06C3"/>
    <w:pPr>
      <w:spacing w:after="100" w:line="276" w:lineRule="auto"/>
      <w:ind w:left="220"/>
    </w:pPr>
    <w:rPr>
      <w:rFonts w:ascii="Arial" w:eastAsiaTheme="minorEastAsia" w:hAnsi="Arial"/>
      <w:kern w:val="0"/>
      <w:sz w:val="22"/>
      <w:szCs w:val="22"/>
      <w:lang w:val="en-US"/>
      <w14:ligatures w14:val="none"/>
    </w:rPr>
  </w:style>
  <w:style w:type="character" w:styleId="Hyperlink">
    <w:name w:val="Hyperlink"/>
    <w:basedOn w:val="DefaultParagraphFont"/>
    <w:uiPriority w:val="99"/>
    <w:unhideWhenUsed/>
    <w:rsid w:val="004C06C3"/>
    <w:rPr>
      <w:color w:val="0563C1" w:themeColor="hyperlink"/>
      <w:u w:val="single"/>
    </w:rPr>
  </w:style>
  <w:style w:type="paragraph" w:styleId="TableofFigures">
    <w:name w:val="table of figures"/>
    <w:basedOn w:val="Normal"/>
    <w:next w:val="Normal"/>
    <w:uiPriority w:val="99"/>
    <w:unhideWhenUsed/>
    <w:rsid w:val="004C06C3"/>
    <w:pPr>
      <w:spacing w:after="0" w:line="276" w:lineRule="auto"/>
    </w:pPr>
    <w:rPr>
      <w:rFonts w:ascii="Arial" w:eastAsiaTheme="minorEastAsia" w:hAnsi="Arial"/>
      <w:kern w:val="0"/>
      <w:sz w:val="22"/>
      <w:szCs w:val="22"/>
      <w:lang w:val="en-US"/>
      <w14:ligatures w14:val="none"/>
    </w:rPr>
  </w:style>
  <w:style w:type="paragraph" w:styleId="Header">
    <w:name w:val="header"/>
    <w:basedOn w:val="Normal"/>
    <w:link w:val="HeaderChar"/>
    <w:uiPriority w:val="99"/>
    <w:unhideWhenUsed/>
    <w:rsid w:val="00343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A30"/>
  </w:style>
  <w:style w:type="paragraph" w:styleId="Footer">
    <w:name w:val="footer"/>
    <w:basedOn w:val="Normal"/>
    <w:link w:val="FooterChar"/>
    <w:uiPriority w:val="99"/>
    <w:unhideWhenUsed/>
    <w:rsid w:val="00343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A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image" Target="media/image5.emf"/><Relationship Id="rId18" Type="http://schemas.openxmlformats.org/officeDocument/2006/relationships/image" Target="media/image10.emf"/><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footer" Target="footer1.xml"/><Relationship Id="rId12" Type="http://schemas.openxmlformats.org/officeDocument/2006/relationships/image" Target="media/image4.emf"/><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emf"/><Relationship Id="rId20"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DE1ED0-95A6-40CF-8669-9819A55D7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8932</Words>
  <Characters>50919</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MAAN PATEL</dc:creator>
  <cp:keywords/>
  <dc:description/>
  <cp:lastModifiedBy>MAAN PATEL</cp:lastModifiedBy>
  <cp:revision>2</cp:revision>
  <dcterms:created xsi:type="dcterms:W3CDTF">2026-10-09T11:30:00Z</dcterms:created>
  <dcterms:modified xsi:type="dcterms:W3CDTF">2026-10-09T11:30:00Z</dcterms:modified>
</cp:coreProperties>
</file>