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D38A1" w14:textId="311F1639" w:rsidR="007B5C58" w:rsidRDefault="00B927EB">
      <w:pPr>
        <w:spacing w:after="160" w:line="278" w:lineRule="auto"/>
        <w:jc w:val="left"/>
      </w:pPr>
      <w:r>
        <w:rPr>
          <w:noProof/>
        </w:rPr>
        <w:drawing>
          <wp:inline distT="0" distB="0" distL="0" distR="0" wp14:anchorId="43147B94" wp14:editId="77AB281C">
            <wp:extent cx="1419102" cy="788238"/>
            <wp:effectExtent l="0" t="0" r="0" b="0"/>
            <wp:docPr id="1643985587" name="Picture 3"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iversity-of-wales-trinity-saint-david-logo-vector | ESRC Wales Doctoral  Training Partnershi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7912" cy="798686"/>
                    </a:xfrm>
                    <a:prstGeom prst="rect">
                      <a:avLst/>
                    </a:prstGeom>
                    <a:noFill/>
                    <a:ln>
                      <a:noFill/>
                    </a:ln>
                  </pic:spPr>
                </pic:pic>
              </a:graphicData>
            </a:graphic>
          </wp:inline>
        </w:drawing>
      </w:r>
    </w:p>
    <w:p w14:paraId="69D85665" w14:textId="77777777" w:rsidR="007B5C58" w:rsidRDefault="007B5C58">
      <w:pPr>
        <w:spacing w:after="160" w:line="278" w:lineRule="auto"/>
        <w:jc w:val="left"/>
      </w:pPr>
    </w:p>
    <w:p w14:paraId="059E067D" w14:textId="1A6BAD00" w:rsidR="0028063E" w:rsidRDefault="0028063E" w:rsidP="0028063E">
      <w:pPr>
        <w:pStyle w:val="Title"/>
      </w:pPr>
      <w:r w:rsidRPr="007B5C58">
        <w:t>Introduction to Health and Social Care</w:t>
      </w:r>
    </w:p>
    <w:p w14:paraId="136A7B9E" w14:textId="77777777" w:rsidR="00E81479" w:rsidRPr="00E81479" w:rsidRDefault="00E81479" w:rsidP="00E81479"/>
    <w:p w14:paraId="64D3CDA3" w14:textId="2C84CC92" w:rsidR="000C03EB" w:rsidRPr="007B5C58" w:rsidRDefault="000C03EB" w:rsidP="000C03EB">
      <w:pPr>
        <w:pStyle w:val="Subtitle"/>
      </w:pPr>
      <w:r w:rsidRPr="007B5C58">
        <w:t>Written Assignment – Case Study on Mrs Mann</w:t>
      </w:r>
    </w:p>
    <w:p w14:paraId="6543995B" w14:textId="77777777" w:rsidR="0028063E" w:rsidRDefault="0028063E" w:rsidP="0028063E"/>
    <w:p w14:paraId="5B4F62F2" w14:textId="77777777" w:rsidR="00C00649" w:rsidRDefault="00C00649" w:rsidP="0028063E"/>
    <w:p w14:paraId="326D283C" w14:textId="77777777" w:rsidR="00C00649" w:rsidRDefault="00C00649" w:rsidP="0028063E"/>
    <w:p w14:paraId="31D9B453" w14:textId="77777777" w:rsidR="00C00649" w:rsidRDefault="00C00649" w:rsidP="0028063E"/>
    <w:p w14:paraId="5D5E42B4" w14:textId="77777777" w:rsidR="00C00649" w:rsidRDefault="00C00649" w:rsidP="0028063E"/>
    <w:p w14:paraId="08194566" w14:textId="77777777" w:rsidR="00C00649" w:rsidRDefault="00C00649" w:rsidP="0028063E"/>
    <w:p w14:paraId="1B4AE2C5" w14:textId="77777777" w:rsidR="00C00649" w:rsidRPr="0028063E" w:rsidRDefault="00C00649" w:rsidP="0028063E"/>
    <w:p w14:paraId="6CC80D3B" w14:textId="77777777" w:rsidR="007B5C58" w:rsidRPr="007B5C58" w:rsidRDefault="007B5C58" w:rsidP="007B5C58">
      <w:pPr>
        <w:spacing w:after="160" w:line="278" w:lineRule="auto"/>
        <w:jc w:val="left"/>
      </w:pPr>
      <w:r w:rsidRPr="007B5C58">
        <w:rPr>
          <w:b/>
          <w:bCs/>
        </w:rPr>
        <w:t>Programme:</w:t>
      </w:r>
      <w:r w:rsidRPr="007B5C58">
        <w:t xml:space="preserve"> Certificate of Higher Education Skills for the Workplace (Health &amp; Social Care)</w:t>
      </w:r>
    </w:p>
    <w:p w14:paraId="79A47D42" w14:textId="77777777" w:rsidR="007B5C58" w:rsidRPr="007B5C58" w:rsidRDefault="007B5C58" w:rsidP="007B5C58">
      <w:pPr>
        <w:spacing w:after="160" w:line="278" w:lineRule="auto"/>
        <w:jc w:val="left"/>
      </w:pPr>
      <w:r w:rsidRPr="007B5C58">
        <w:rPr>
          <w:b/>
          <w:bCs/>
        </w:rPr>
        <w:t>Module Code:</w:t>
      </w:r>
      <w:r w:rsidRPr="007B5C58">
        <w:t xml:space="preserve"> LCHS4003</w:t>
      </w:r>
    </w:p>
    <w:p w14:paraId="0B86A816" w14:textId="1E7FD1BB" w:rsidR="007B5C58" w:rsidRPr="007B5C58" w:rsidRDefault="007B5C58" w:rsidP="007B5C58">
      <w:pPr>
        <w:spacing w:after="160" w:line="278" w:lineRule="auto"/>
        <w:jc w:val="left"/>
      </w:pPr>
      <w:r w:rsidRPr="007B5C58">
        <w:rPr>
          <w:b/>
          <w:bCs/>
        </w:rPr>
        <w:t>Student Name:</w:t>
      </w:r>
      <w:r w:rsidRPr="007B5C58">
        <w:t xml:space="preserve"> </w:t>
      </w:r>
      <w:r w:rsidR="00242C4E" w:rsidRPr="00242C4E">
        <w:t>Willan Francis</w:t>
      </w:r>
    </w:p>
    <w:p w14:paraId="47EB1AE0" w14:textId="72423DAE" w:rsidR="007B5C58" w:rsidRPr="007B5C58" w:rsidRDefault="007B5C58" w:rsidP="007B5C58">
      <w:pPr>
        <w:spacing w:after="160" w:line="278" w:lineRule="auto"/>
        <w:jc w:val="left"/>
      </w:pPr>
      <w:r w:rsidRPr="007B5C58">
        <w:rPr>
          <w:b/>
          <w:bCs/>
        </w:rPr>
        <w:t>Student ID Number:</w:t>
      </w:r>
      <w:r w:rsidRPr="007B5C58">
        <w:t xml:space="preserve"> </w:t>
      </w:r>
      <w:r w:rsidR="00242C4E" w:rsidRPr="00242C4E">
        <w:t>2417501</w:t>
      </w:r>
    </w:p>
    <w:p w14:paraId="2172D6C6" w14:textId="77777777" w:rsidR="007B5C58" w:rsidRPr="007B5C58" w:rsidRDefault="007B5C58" w:rsidP="007B5C58">
      <w:pPr>
        <w:spacing w:after="160" w:line="278" w:lineRule="auto"/>
        <w:jc w:val="left"/>
      </w:pPr>
      <w:r w:rsidRPr="007B5C58">
        <w:rPr>
          <w:b/>
          <w:bCs/>
        </w:rPr>
        <w:t>Lecturer’s Name:</w:t>
      </w:r>
      <w:r w:rsidRPr="007B5C58">
        <w:t xml:space="preserve"> Dr Patronella Ganza</w:t>
      </w:r>
    </w:p>
    <w:p w14:paraId="4DA623C6" w14:textId="6902EF60" w:rsidR="007B5C58" w:rsidRPr="007B5C58" w:rsidRDefault="007B5C58" w:rsidP="007B5C58">
      <w:pPr>
        <w:spacing w:after="160" w:line="278" w:lineRule="auto"/>
        <w:jc w:val="left"/>
      </w:pPr>
      <w:r w:rsidRPr="007B5C58">
        <w:rPr>
          <w:b/>
          <w:bCs/>
        </w:rPr>
        <w:t>Word Count:</w:t>
      </w:r>
      <w:r w:rsidRPr="007B5C58">
        <w:t xml:space="preserve"> </w:t>
      </w:r>
      <w:r w:rsidR="00802F2D">
        <w:t>1400</w:t>
      </w:r>
    </w:p>
    <w:p w14:paraId="79B74575" w14:textId="421490B8" w:rsidR="007B5C58" w:rsidRPr="007B5C58" w:rsidRDefault="007B5C58" w:rsidP="007B5C58">
      <w:pPr>
        <w:spacing w:after="160" w:line="278" w:lineRule="auto"/>
        <w:jc w:val="left"/>
      </w:pPr>
      <w:r w:rsidRPr="007B5C58">
        <w:rPr>
          <w:b/>
          <w:bCs/>
        </w:rPr>
        <w:t>Submission Date:</w:t>
      </w:r>
      <w:r w:rsidRPr="007B5C58">
        <w:t xml:space="preserve"> </w:t>
      </w:r>
    </w:p>
    <w:p w14:paraId="372B4AAA" w14:textId="0E623D5A" w:rsidR="00EC55C3" w:rsidRDefault="00EC55C3">
      <w:pPr>
        <w:spacing w:after="160" w:line="278" w:lineRule="auto"/>
        <w:jc w:val="left"/>
      </w:pPr>
      <w:r>
        <w:br w:type="page"/>
      </w:r>
    </w:p>
    <w:sdt>
      <w:sdtPr>
        <w:rPr>
          <w:rFonts w:ascii="Times New Roman" w:eastAsiaTheme="minorHAnsi" w:hAnsi="Times New Roman" w:cstheme="minorBidi"/>
          <w:color w:val="auto"/>
          <w:kern w:val="2"/>
          <w:sz w:val="24"/>
          <w:szCs w:val="24"/>
          <w14:ligatures w14:val="standardContextual"/>
        </w:rPr>
        <w:id w:val="-915164599"/>
        <w:docPartObj>
          <w:docPartGallery w:val="Table of Contents"/>
          <w:docPartUnique/>
        </w:docPartObj>
      </w:sdtPr>
      <w:sdtEndPr>
        <w:rPr>
          <w:b/>
          <w:bCs/>
          <w:noProof/>
        </w:rPr>
      </w:sdtEndPr>
      <w:sdtContent>
        <w:p w14:paraId="25F30CD8" w14:textId="55A6F82B" w:rsidR="000D423F" w:rsidRPr="009614D0" w:rsidRDefault="000D423F">
          <w:pPr>
            <w:pStyle w:val="TOCHeading"/>
            <w:rPr>
              <w:rFonts w:ascii="Times New Roman" w:hAnsi="Times New Roman" w:cs="Times New Roman"/>
            </w:rPr>
          </w:pPr>
          <w:r w:rsidRPr="009614D0">
            <w:rPr>
              <w:rFonts w:ascii="Times New Roman" w:hAnsi="Times New Roman" w:cs="Times New Roman"/>
            </w:rPr>
            <w:t>Contents</w:t>
          </w:r>
        </w:p>
        <w:p w14:paraId="41D9D70A" w14:textId="641F1A4A" w:rsidR="00A607A1" w:rsidRDefault="000D423F">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13722414" w:history="1">
            <w:r w:rsidR="00A607A1" w:rsidRPr="00D91FFD">
              <w:rPr>
                <w:rStyle w:val="Hyperlink"/>
                <w:noProof/>
              </w:rPr>
              <w:t>1. Introduction</w:t>
            </w:r>
            <w:r w:rsidR="00A607A1">
              <w:rPr>
                <w:noProof/>
                <w:webHidden/>
              </w:rPr>
              <w:tab/>
            </w:r>
            <w:r w:rsidR="00A607A1">
              <w:rPr>
                <w:noProof/>
                <w:webHidden/>
              </w:rPr>
              <w:fldChar w:fldCharType="begin"/>
            </w:r>
            <w:r w:rsidR="00A607A1">
              <w:rPr>
                <w:noProof/>
                <w:webHidden/>
              </w:rPr>
              <w:instrText xml:space="preserve"> PAGEREF _Toc213722414 \h </w:instrText>
            </w:r>
            <w:r w:rsidR="00A607A1">
              <w:rPr>
                <w:noProof/>
                <w:webHidden/>
              </w:rPr>
            </w:r>
            <w:r w:rsidR="00A607A1">
              <w:rPr>
                <w:noProof/>
                <w:webHidden/>
              </w:rPr>
              <w:fldChar w:fldCharType="separate"/>
            </w:r>
            <w:r w:rsidR="00A607A1">
              <w:rPr>
                <w:noProof/>
                <w:webHidden/>
              </w:rPr>
              <w:t>3</w:t>
            </w:r>
            <w:r w:rsidR="00A607A1">
              <w:rPr>
                <w:noProof/>
                <w:webHidden/>
              </w:rPr>
              <w:fldChar w:fldCharType="end"/>
            </w:r>
          </w:hyperlink>
        </w:p>
        <w:p w14:paraId="5D1B6D5A" w14:textId="7E25AAAE" w:rsidR="00A607A1" w:rsidRDefault="00A607A1">
          <w:pPr>
            <w:pStyle w:val="TOC1"/>
            <w:tabs>
              <w:tab w:val="right" w:leader="dot" w:pos="9350"/>
            </w:tabs>
            <w:rPr>
              <w:rFonts w:asciiTheme="minorHAnsi" w:eastAsiaTheme="minorEastAsia" w:hAnsiTheme="minorHAnsi"/>
              <w:noProof/>
            </w:rPr>
          </w:pPr>
          <w:hyperlink w:anchor="_Toc213722415" w:history="1">
            <w:r w:rsidRPr="00D91FFD">
              <w:rPr>
                <w:rStyle w:val="Hyperlink"/>
                <w:noProof/>
              </w:rPr>
              <w:t>2. Effective Communication in Mrs Mann’s Care</w:t>
            </w:r>
            <w:r>
              <w:rPr>
                <w:noProof/>
                <w:webHidden/>
              </w:rPr>
              <w:tab/>
            </w:r>
            <w:r>
              <w:rPr>
                <w:noProof/>
                <w:webHidden/>
              </w:rPr>
              <w:fldChar w:fldCharType="begin"/>
            </w:r>
            <w:r>
              <w:rPr>
                <w:noProof/>
                <w:webHidden/>
              </w:rPr>
              <w:instrText xml:space="preserve"> PAGEREF _Toc213722415 \h </w:instrText>
            </w:r>
            <w:r>
              <w:rPr>
                <w:noProof/>
                <w:webHidden/>
              </w:rPr>
            </w:r>
            <w:r>
              <w:rPr>
                <w:noProof/>
                <w:webHidden/>
              </w:rPr>
              <w:fldChar w:fldCharType="separate"/>
            </w:r>
            <w:r>
              <w:rPr>
                <w:noProof/>
                <w:webHidden/>
              </w:rPr>
              <w:t>3</w:t>
            </w:r>
            <w:r>
              <w:rPr>
                <w:noProof/>
                <w:webHidden/>
              </w:rPr>
              <w:fldChar w:fldCharType="end"/>
            </w:r>
          </w:hyperlink>
        </w:p>
        <w:p w14:paraId="003F03EB" w14:textId="732FAC88" w:rsidR="00A607A1" w:rsidRDefault="00A607A1">
          <w:pPr>
            <w:pStyle w:val="TOC1"/>
            <w:tabs>
              <w:tab w:val="right" w:leader="dot" w:pos="9350"/>
            </w:tabs>
            <w:rPr>
              <w:rFonts w:asciiTheme="minorHAnsi" w:eastAsiaTheme="minorEastAsia" w:hAnsiTheme="minorHAnsi"/>
              <w:noProof/>
            </w:rPr>
          </w:pPr>
          <w:hyperlink w:anchor="_Toc213722416" w:history="1">
            <w:r w:rsidRPr="00D91FFD">
              <w:rPr>
                <w:rStyle w:val="Hyperlink"/>
                <w:noProof/>
              </w:rPr>
              <w:t>3. Administrative Skills and Record-Keeping</w:t>
            </w:r>
            <w:r>
              <w:rPr>
                <w:noProof/>
                <w:webHidden/>
              </w:rPr>
              <w:tab/>
            </w:r>
            <w:r>
              <w:rPr>
                <w:noProof/>
                <w:webHidden/>
              </w:rPr>
              <w:fldChar w:fldCharType="begin"/>
            </w:r>
            <w:r>
              <w:rPr>
                <w:noProof/>
                <w:webHidden/>
              </w:rPr>
              <w:instrText xml:space="preserve"> PAGEREF _Toc213722416 \h </w:instrText>
            </w:r>
            <w:r>
              <w:rPr>
                <w:noProof/>
                <w:webHidden/>
              </w:rPr>
            </w:r>
            <w:r>
              <w:rPr>
                <w:noProof/>
                <w:webHidden/>
              </w:rPr>
              <w:fldChar w:fldCharType="separate"/>
            </w:r>
            <w:r>
              <w:rPr>
                <w:noProof/>
                <w:webHidden/>
              </w:rPr>
              <w:t>4</w:t>
            </w:r>
            <w:r>
              <w:rPr>
                <w:noProof/>
                <w:webHidden/>
              </w:rPr>
              <w:fldChar w:fldCharType="end"/>
            </w:r>
          </w:hyperlink>
        </w:p>
        <w:p w14:paraId="0C860945" w14:textId="5E3D3C36" w:rsidR="00A607A1" w:rsidRDefault="00A607A1">
          <w:pPr>
            <w:pStyle w:val="TOC1"/>
            <w:tabs>
              <w:tab w:val="right" w:leader="dot" w:pos="9350"/>
            </w:tabs>
            <w:rPr>
              <w:rFonts w:asciiTheme="minorHAnsi" w:eastAsiaTheme="minorEastAsia" w:hAnsiTheme="minorHAnsi"/>
              <w:noProof/>
            </w:rPr>
          </w:pPr>
          <w:hyperlink w:anchor="_Toc213722417" w:history="1">
            <w:r w:rsidRPr="00D91FFD">
              <w:rPr>
                <w:rStyle w:val="Hyperlink"/>
                <w:noProof/>
              </w:rPr>
              <w:t>4. Collaborative Working with Other Professionals</w:t>
            </w:r>
            <w:r>
              <w:rPr>
                <w:noProof/>
                <w:webHidden/>
              </w:rPr>
              <w:tab/>
            </w:r>
            <w:r>
              <w:rPr>
                <w:noProof/>
                <w:webHidden/>
              </w:rPr>
              <w:fldChar w:fldCharType="begin"/>
            </w:r>
            <w:r>
              <w:rPr>
                <w:noProof/>
                <w:webHidden/>
              </w:rPr>
              <w:instrText xml:space="preserve"> PAGEREF _Toc213722417 \h </w:instrText>
            </w:r>
            <w:r>
              <w:rPr>
                <w:noProof/>
                <w:webHidden/>
              </w:rPr>
            </w:r>
            <w:r>
              <w:rPr>
                <w:noProof/>
                <w:webHidden/>
              </w:rPr>
              <w:fldChar w:fldCharType="separate"/>
            </w:r>
            <w:r>
              <w:rPr>
                <w:noProof/>
                <w:webHidden/>
              </w:rPr>
              <w:t>5</w:t>
            </w:r>
            <w:r>
              <w:rPr>
                <w:noProof/>
                <w:webHidden/>
              </w:rPr>
              <w:fldChar w:fldCharType="end"/>
            </w:r>
          </w:hyperlink>
        </w:p>
        <w:p w14:paraId="0D1E46B5" w14:textId="07EB0022" w:rsidR="00A607A1" w:rsidRDefault="00A607A1">
          <w:pPr>
            <w:pStyle w:val="TOC1"/>
            <w:tabs>
              <w:tab w:val="right" w:leader="dot" w:pos="9350"/>
            </w:tabs>
            <w:rPr>
              <w:rFonts w:asciiTheme="minorHAnsi" w:eastAsiaTheme="minorEastAsia" w:hAnsiTheme="minorHAnsi"/>
              <w:noProof/>
            </w:rPr>
          </w:pPr>
          <w:hyperlink w:anchor="_Toc213722418" w:history="1">
            <w:r w:rsidRPr="00D91FFD">
              <w:rPr>
                <w:rStyle w:val="Hyperlink"/>
                <w:noProof/>
              </w:rPr>
              <w:t>5. Conclusion</w:t>
            </w:r>
            <w:r>
              <w:rPr>
                <w:noProof/>
                <w:webHidden/>
              </w:rPr>
              <w:tab/>
            </w:r>
            <w:r>
              <w:rPr>
                <w:noProof/>
                <w:webHidden/>
              </w:rPr>
              <w:fldChar w:fldCharType="begin"/>
            </w:r>
            <w:r>
              <w:rPr>
                <w:noProof/>
                <w:webHidden/>
              </w:rPr>
              <w:instrText xml:space="preserve"> PAGEREF _Toc213722418 \h </w:instrText>
            </w:r>
            <w:r>
              <w:rPr>
                <w:noProof/>
                <w:webHidden/>
              </w:rPr>
            </w:r>
            <w:r>
              <w:rPr>
                <w:noProof/>
                <w:webHidden/>
              </w:rPr>
              <w:fldChar w:fldCharType="separate"/>
            </w:r>
            <w:r>
              <w:rPr>
                <w:noProof/>
                <w:webHidden/>
              </w:rPr>
              <w:t>6</w:t>
            </w:r>
            <w:r>
              <w:rPr>
                <w:noProof/>
                <w:webHidden/>
              </w:rPr>
              <w:fldChar w:fldCharType="end"/>
            </w:r>
          </w:hyperlink>
        </w:p>
        <w:p w14:paraId="5D8B36CE" w14:textId="4A961DB5" w:rsidR="00A607A1" w:rsidRDefault="00A607A1">
          <w:pPr>
            <w:pStyle w:val="TOC1"/>
            <w:tabs>
              <w:tab w:val="right" w:leader="dot" w:pos="9350"/>
            </w:tabs>
            <w:rPr>
              <w:rFonts w:asciiTheme="minorHAnsi" w:eastAsiaTheme="minorEastAsia" w:hAnsiTheme="minorHAnsi"/>
              <w:noProof/>
            </w:rPr>
          </w:pPr>
          <w:hyperlink w:anchor="_Toc213722419" w:history="1">
            <w:r w:rsidRPr="00D91FFD">
              <w:rPr>
                <w:rStyle w:val="Hyperlink"/>
                <w:noProof/>
              </w:rPr>
              <w:t>6. References</w:t>
            </w:r>
            <w:r>
              <w:rPr>
                <w:noProof/>
                <w:webHidden/>
              </w:rPr>
              <w:tab/>
            </w:r>
            <w:r>
              <w:rPr>
                <w:noProof/>
                <w:webHidden/>
              </w:rPr>
              <w:fldChar w:fldCharType="begin"/>
            </w:r>
            <w:r>
              <w:rPr>
                <w:noProof/>
                <w:webHidden/>
              </w:rPr>
              <w:instrText xml:space="preserve"> PAGEREF _Toc213722419 \h </w:instrText>
            </w:r>
            <w:r>
              <w:rPr>
                <w:noProof/>
                <w:webHidden/>
              </w:rPr>
            </w:r>
            <w:r>
              <w:rPr>
                <w:noProof/>
                <w:webHidden/>
              </w:rPr>
              <w:fldChar w:fldCharType="separate"/>
            </w:r>
            <w:r>
              <w:rPr>
                <w:noProof/>
                <w:webHidden/>
              </w:rPr>
              <w:t>7</w:t>
            </w:r>
            <w:r>
              <w:rPr>
                <w:noProof/>
                <w:webHidden/>
              </w:rPr>
              <w:fldChar w:fldCharType="end"/>
            </w:r>
          </w:hyperlink>
        </w:p>
        <w:p w14:paraId="784085C5" w14:textId="40C25C19" w:rsidR="000D423F" w:rsidRDefault="000D423F">
          <w:r>
            <w:rPr>
              <w:b/>
              <w:bCs/>
              <w:noProof/>
            </w:rPr>
            <w:fldChar w:fldCharType="end"/>
          </w:r>
        </w:p>
      </w:sdtContent>
    </w:sdt>
    <w:p w14:paraId="5AF485E0" w14:textId="71C0CC3F" w:rsidR="00EC55C3" w:rsidRDefault="00EC55C3">
      <w:pPr>
        <w:spacing w:after="160" w:line="278" w:lineRule="auto"/>
        <w:jc w:val="left"/>
      </w:pPr>
      <w:r>
        <w:br w:type="page"/>
      </w:r>
    </w:p>
    <w:p w14:paraId="3BD49470" w14:textId="03721B7B" w:rsidR="00EC55C3" w:rsidRPr="00EC55C3" w:rsidRDefault="00EC55C3" w:rsidP="0009015A">
      <w:pPr>
        <w:pStyle w:val="Heading1"/>
      </w:pPr>
      <w:bookmarkStart w:id="0" w:name="_Toc213722414"/>
      <w:r w:rsidRPr="00EC55C3">
        <w:lastRenderedPageBreak/>
        <w:t>1. Introduction</w:t>
      </w:r>
      <w:bookmarkEnd w:id="0"/>
    </w:p>
    <w:p w14:paraId="0C687FFB" w14:textId="6310FDCD" w:rsidR="004D33B2" w:rsidRDefault="00E96C58">
      <w:r w:rsidRPr="00E96C58">
        <w:t xml:space="preserve">This report is on the treatment of </w:t>
      </w:r>
      <w:r w:rsidRPr="002E0AB4">
        <w:rPr>
          <w:b/>
          <w:bCs/>
        </w:rPr>
        <w:t>Mrs Mann</w:t>
      </w:r>
      <w:r w:rsidR="002E0AB4">
        <w:t xml:space="preserve">, </w:t>
      </w:r>
      <w:r w:rsidRPr="00E96C58">
        <w:t xml:space="preserve">a 72-year old who has </w:t>
      </w:r>
      <w:r w:rsidR="008D52A4">
        <w:t>returned</w:t>
      </w:r>
      <w:r w:rsidRPr="00E96C58">
        <w:t xml:space="preserve"> home after the replacement of a hip. She has no family as she lives alone and care workers are hired to assist her twice a day. Mrs Mann is conversant in Urdu, and not much English, thus complicating the communication process. The report shall consider three critical areas in her care. They are effective communication, documentation, and collaboration among human and social care professionals (Ahmed et al., 2022). It is also going to describe how such laws as the Equality Act 2010 and Data Protection Act 2018 can contribute to maintaining the safety and fairness of her care. Being a good practise in these areas can assist the successful recovery of Mrs Mann and demonstrate how person-centred care can assist older people in society.</w:t>
      </w:r>
    </w:p>
    <w:p w14:paraId="67C31F83" w14:textId="77777777" w:rsidR="00670BE1" w:rsidRDefault="00670BE1"/>
    <w:p w14:paraId="28BE0804" w14:textId="46A4AB80" w:rsidR="00B27115" w:rsidRPr="00B27115" w:rsidRDefault="00B27115" w:rsidP="00B27115">
      <w:pPr>
        <w:pStyle w:val="Heading1"/>
      </w:pPr>
      <w:bookmarkStart w:id="1" w:name="_Toc213722415"/>
      <w:r w:rsidRPr="00B27115">
        <w:t>2. Effective Communication in Mrs Mann’s Care</w:t>
      </w:r>
      <w:bookmarkEnd w:id="1"/>
    </w:p>
    <w:p w14:paraId="4D030B15" w14:textId="77777777" w:rsidR="00B27115" w:rsidRDefault="00B27115" w:rsidP="00B27115">
      <w:r>
        <w:t>Communication is very crucial in health and social care. It assists personnel to provide safe and humanistic care to individuals such as Mrs Mann. Since she is fluent in Urdu and has little command in English language, care workers should ensure that she comprehends what is being communicated regarding her care. Otherwise, she can get disoriented or scared. Thompson (2018) notes that effective communication is a source of trust, and it makes people feel respected and valued.</w:t>
      </w:r>
    </w:p>
    <w:p w14:paraId="08CD10C1" w14:textId="77777777" w:rsidR="00B27115" w:rsidRDefault="00B27115" w:rsidP="00B27115">
      <w:r>
        <w:t>Care workers are supposed to speak slowly using simple words and ensure that Mrs Mann understands them so as to provide support. They also have the ability to explain things using pictures or using gestures. The translation can be performed with the help of her daughter or a trained translator when necessary. According to Lishman (2020), empathy and active listening allow the carers to learn more about the needs and feelings of a person. This makes Mrs Mann feel that her opinion in making decisions regarding her health is factored in and respected.</w:t>
      </w:r>
    </w:p>
    <w:p w14:paraId="3E0873B6" w14:textId="77777777" w:rsidR="00B27115" w:rsidRDefault="00B27115" w:rsidP="00B27115">
      <w:r>
        <w:t xml:space="preserve">One should also bear in mind the Equality Act 2010 which states that all people should be treated justly and without discrimination. Since Mrs Mann possesses language and cultural differences, the carers need to make reasonable changes to ensure that she receives equal quality care in relation to others. According to Ahmed et al. (2022), the process of person-centred communication enables </w:t>
      </w:r>
      <w:r>
        <w:lastRenderedPageBreak/>
        <w:t>the personalisation of care according to the background and preferences of the individual, and these contribute to recovery and wellbeing.</w:t>
      </w:r>
    </w:p>
    <w:p w14:paraId="654BDE6A" w14:textId="77777777" w:rsidR="00B27115" w:rsidRDefault="00B27115" w:rsidP="00B27115">
      <w:r>
        <w:t>A simple model of communication, e.g., SMCR model created by Berlo, can be used by care workers. This model incorporates a sender, a message, a channel and a receiver. Mrs Mann (the receiver) demonstrates understanding of the information given to her by providing a response in the case of Mrs Mann where the care worker (sender) delivers information in simple language (message), talking and gesture (channel), and Mrs Mann (receiver) understands it. As it is also proposed by Dyb et al. (2021), digital tools, such as translation apps, might be used as assistance in cases where the use of different languages is observed between carers.</w:t>
      </w:r>
    </w:p>
    <w:p w14:paraId="6F7A8015" w14:textId="40DA1C85" w:rsidR="00B27115" w:rsidRPr="00B27115" w:rsidRDefault="00B27115" w:rsidP="00B27115">
      <w:r>
        <w:t xml:space="preserve">In </w:t>
      </w:r>
      <w:r w:rsidR="00390E8F">
        <w:t>summary</w:t>
      </w:r>
      <w:r>
        <w:t>, good communication is one that listens, speaks and is respectful. It will enable Mrs Mann to feel secure and assisted at home and foster trust among staff members and lower the number of errors that may compromise her care and welfare (Currie et al., 2025).</w:t>
      </w:r>
    </w:p>
    <w:p w14:paraId="722DB201" w14:textId="77777777" w:rsidR="00670BE1" w:rsidRDefault="00670BE1"/>
    <w:p w14:paraId="2D11A50D" w14:textId="3C2325C4" w:rsidR="00AD6F15" w:rsidRPr="00AD6F15" w:rsidRDefault="00AD6F15" w:rsidP="001963F3">
      <w:pPr>
        <w:pStyle w:val="Heading1"/>
      </w:pPr>
      <w:bookmarkStart w:id="2" w:name="_Toc213722416"/>
      <w:r w:rsidRPr="00AD6F15">
        <w:t>3. Administrative Skills and Record-Keeping</w:t>
      </w:r>
      <w:bookmarkEnd w:id="2"/>
    </w:p>
    <w:p w14:paraId="064ECEDD" w14:textId="77777777" w:rsidR="00AD6F15" w:rsidRDefault="00AD6F15" w:rsidP="00AD6F15">
      <w:r>
        <w:t>One of the major aspects of health and social care is good record-keeping. All the information connected with the care of a particular person should be written down and stored safely. To Mrs Mann, it will be noted by keeping written records about the medication, daily support, and physiotherapy updates of the patient. It is possible to make errors when records of care are either incomplete or incoherent. Indicatively, poor communication in the notes in the case of Mrs Mann led to the delay in changing her medication. According to Thompson, proper records can be used to maintain the safety of care and ensure that each of the team members is familiar with the course of action (2018).</w:t>
      </w:r>
    </w:p>
    <w:p w14:paraId="1862AD62" w14:textId="77777777" w:rsidR="00AD6F15" w:rsidRDefault="00AD6F15" w:rsidP="00AD6F15">
      <w:r>
        <w:t>According to Data Protection Act 2018, it is only possible to share all personal information during the need, conduct it in a confidential manner and place it into a secure repository. According to the Information Commissioner Office (2018), care givers are legally obligated to secure the personal information of people like medical records and addresses. This implies that there should be lock up or placement of the care records of Mrs Mann in secure systems whereby no one can access them without authorization. Since the loss of information may result in loss of trust and patient harm, Pool et al. (2024) add that negligence in the protection of data may be detrimental.</w:t>
      </w:r>
    </w:p>
    <w:p w14:paraId="1CA24BD1" w14:textId="77777777" w:rsidR="00AD6F15" w:rsidRDefault="00AD6F15" w:rsidP="00AD6F15">
      <w:r>
        <w:lastRenderedPageBreak/>
        <w:t>Good administrative skills also imply the updating of the information, signing of each record and reviewing of the errors. According to Poksinska et al. (2024), accurate and timely documentation facilitates the transition between hospitals, GPs, and home care employees. This will be significant to the recovery of Mrs Mann because she will require the same information with her GP, physiotherapist, and care team.</w:t>
      </w:r>
    </w:p>
    <w:p w14:paraId="194341C8" w14:textId="77777777" w:rsidR="00AD6F15" w:rsidRDefault="00AD6F15" w:rsidP="00AD6F15">
      <w:r>
        <w:t>Workers in the care industry are also supposed to adhere to professional requirements like the NHS Code of practise on Confidentiality and standards of the Care Quality Commission (CQC). Currie et al. (2025) underscore the fact that quality administration contributes to effective and safe care. Good record management becomes a demonstration of esteem towards the individual and will keep the workers in order and accountable.</w:t>
      </w:r>
    </w:p>
    <w:p w14:paraId="346B3B36" w14:textId="443F599E" w:rsidR="00544A9D" w:rsidRDefault="00AD6F15" w:rsidP="00AD6F15">
      <w:r>
        <w:t>In brief, proper record-keeping and administration skills help avoid making errors, embracing collaboration, and guarding confidentiality. Mrs Mann, they will ensure that her care plan is up to date and that she understands her care plan in a safe manner between all the people supporting her.</w:t>
      </w:r>
    </w:p>
    <w:p w14:paraId="23B234A9" w14:textId="77777777" w:rsidR="000E0395" w:rsidRDefault="000E0395" w:rsidP="00AD6F15"/>
    <w:p w14:paraId="356D4D49" w14:textId="0FEE35D0" w:rsidR="0029658C" w:rsidRPr="0029658C" w:rsidRDefault="0029658C" w:rsidP="00E82C18">
      <w:pPr>
        <w:pStyle w:val="Heading1"/>
      </w:pPr>
      <w:bookmarkStart w:id="3" w:name="_Toc213722417"/>
      <w:r w:rsidRPr="0029658C">
        <w:t>4. Collaborative Working with Other Professionals</w:t>
      </w:r>
      <w:bookmarkEnd w:id="3"/>
    </w:p>
    <w:p w14:paraId="7AFF9243" w14:textId="6D404ACF" w:rsidR="0029658C" w:rsidRDefault="0029658C" w:rsidP="0029658C">
      <w:r>
        <w:t>Collaboration is highly essential in health and social care. In the case of Mrs Mann, some of the people involved in her treatment include her GP physiotherapist and the home care workers. To ensure that she recovers, they must share information and make joint decisions that would aid in her recovery. Hayward (2021) says that collaboration among professionals will enhance the quality of care and ensure that she receives all her needs.</w:t>
      </w:r>
    </w:p>
    <w:p w14:paraId="0B424356" w14:textId="3F925E81" w:rsidR="0029658C" w:rsidRDefault="0029658C" w:rsidP="0029658C">
      <w:r>
        <w:t>Working in good synergy implies that every individual understands his or her role. As an example, the GP cheques her medicine, the physiotherapist assists her with movement, and the care workers with day to day tasks. According to Martin (2020), misunderstandings and errors are prevented with the help of the transparent communication and responsibility among the members of the team. As soon as people collaborate, the care would be safer and more consistent.</w:t>
      </w:r>
    </w:p>
    <w:p w14:paraId="7F43DCDE" w14:textId="7FA0315B" w:rsidR="0029658C" w:rsidRDefault="0029658C" w:rsidP="0029658C">
      <w:r>
        <w:t xml:space="preserve">There are however some issues with teamwork. According to Warwick-Giles and Checkland (2018), the lack of communication or role ambiguity may result in delays and tension. The solutions to this include holding regular meetings, writing shared care plans, and using safe digital </w:t>
      </w:r>
      <w:r>
        <w:lastRenderedPageBreak/>
        <w:t>systems to provide updates. NHS England (2023) also promotes the idea of partnering working by providing information about how the health and social care teams are supposed to care collectively.</w:t>
      </w:r>
    </w:p>
    <w:p w14:paraId="43DD2FEF" w14:textId="697D1BCB" w:rsidR="0029658C" w:rsidRDefault="0029658C" w:rsidP="0029658C">
      <w:r>
        <w:t>Collaborative practise does not just involve professionals alone but also involves Mrs Mann and her daughter. When they are made to be part of the decisions, care becomes more personal and respectful. According to Poksinska et al. (2024), the home-centred care is most effective when the partners, including families, exchange information and objectives. The partnering approach benefits Mrs Mann to remain home based, safe, and independent.</w:t>
      </w:r>
    </w:p>
    <w:p w14:paraId="1AF49572" w14:textId="77777777" w:rsidR="000F70B6" w:rsidRPr="0029658C" w:rsidRDefault="000F70B6" w:rsidP="0029658C"/>
    <w:p w14:paraId="626A1FBF" w14:textId="55D6515C" w:rsidR="000F70B6" w:rsidRPr="000F70B6" w:rsidRDefault="000F70B6" w:rsidP="00C272BD">
      <w:pPr>
        <w:pStyle w:val="Heading1"/>
      </w:pPr>
      <w:bookmarkStart w:id="4" w:name="_Toc213722418"/>
      <w:r w:rsidRPr="000F70B6">
        <w:t>5. Conclusion</w:t>
      </w:r>
      <w:bookmarkEnd w:id="4"/>
    </w:p>
    <w:p w14:paraId="1C50C8BE" w14:textId="3C1D160F" w:rsidR="000F70B6" w:rsidRDefault="00C272BD" w:rsidP="000F70B6">
      <w:r w:rsidRPr="00C272BD">
        <w:t>To sum up, the case of Mrs Mann demonstrates good communication, record keeping, as well as, teamwork, to be paramount in health and social work. Communication can make staff realise what she needs regardless of language differences and not feel ignored or uninvolved. Safe and continued care is facilitated by proper documentation as the information is kept accurate and confidential. The cooperation of her GP, physiotherapist, care workers, and family members also enhances her recovery and minimises the chances of errors. Such laws as the Equality Act 2010 and the Data Protection Act 2018 ensure the rights and privacy of Mrs Mann and discipline the employees to act responsibly. According to NHS England (2023), partnership and person-centred practise make care safer and fairer. Through these ideals, Mrs Mann will be able to get the support that will address her needs in terms of health, dignity and wellbeing.</w:t>
      </w:r>
    </w:p>
    <w:p w14:paraId="720B54D7" w14:textId="37C2A24F" w:rsidR="000422C2" w:rsidRDefault="000422C2">
      <w:pPr>
        <w:spacing w:after="160" w:line="278" w:lineRule="auto"/>
        <w:jc w:val="left"/>
      </w:pPr>
      <w:r>
        <w:br w:type="page"/>
      </w:r>
    </w:p>
    <w:p w14:paraId="1FDAB6CE" w14:textId="221EECDD" w:rsidR="005321DC" w:rsidRPr="005321DC" w:rsidRDefault="005321DC" w:rsidP="005321DC">
      <w:pPr>
        <w:pStyle w:val="Heading1"/>
      </w:pPr>
      <w:bookmarkStart w:id="5" w:name="_Toc213722419"/>
      <w:r>
        <w:lastRenderedPageBreak/>
        <w:t xml:space="preserve">6. </w:t>
      </w:r>
      <w:r w:rsidRPr="005321DC">
        <w:t>Reference</w:t>
      </w:r>
      <w:r>
        <w:t>s</w:t>
      </w:r>
      <w:bookmarkEnd w:id="5"/>
    </w:p>
    <w:p w14:paraId="3A432A95" w14:textId="77777777" w:rsidR="005321DC" w:rsidRPr="005321DC" w:rsidRDefault="005321DC" w:rsidP="005321DC">
      <w:pPr>
        <w:pStyle w:val="ListParagraph"/>
        <w:numPr>
          <w:ilvl w:val="0"/>
          <w:numId w:val="1"/>
        </w:numPr>
        <w:jc w:val="left"/>
      </w:pPr>
      <w:r w:rsidRPr="005321DC">
        <w:t xml:space="preserve">Ahmed, A., et al. (2022) ‘Person-centred care in primary care: What works for whom, how and in what circumstances? A rapid realist review’, </w:t>
      </w:r>
      <w:r w:rsidRPr="005321DC">
        <w:rPr>
          <w:i/>
          <w:iCs/>
        </w:rPr>
        <w:t>Health &amp; Social Care in the Community</w:t>
      </w:r>
      <w:r w:rsidRPr="005321DC">
        <w:t>, 30(6), pp. e2753–e2771. doi: 10.1111/hsc.13913.</w:t>
      </w:r>
    </w:p>
    <w:p w14:paraId="3DC56135" w14:textId="77777777" w:rsidR="005321DC" w:rsidRPr="005321DC" w:rsidRDefault="005321DC" w:rsidP="005321DC">
      <w:pPr>
        <w:pStyle w:val="ListParagraph"/>
        <w:numPr>
          <w:ilvl w:val="0"/>
          <w:numId w:val="1"/>
        </w:numPr>
        <w:jc w:val="left"/>
      </w:pPr>
      <w:r w:rsidRPr="005321DC">
        <w:t xml:space="preserve">Currie, G., et al. (eds) (2025) </w:t>
      </w:r>
      <w:r w:rsidRPr="005321DC">
        <w:rPr>
          <w:i/>
          <w:iCs/>
        </w:rPr>
        <w:t>Shaping High-Quality, Affordable and Equitable Healthcare</w:t>
      </w:r>
      <w:r w:rsidRPr="005321DC">
        <w:t>. Cham: Springer.</w:t>
      </w:r>
    </w:p>
    <w:p w14:paraId="582F083E" w14:textId="77777777" w:rsidR="005321DC" w:rsidRPr="005321DC" w:rsidRDefault="005321DC" w:rsidP="005321DC">
      <w:pPr>
        <w:pStyle w:val="ListParagraph"/>
        <w:numPr>
          <w:ilvl w:val="0"/>
          <w:numId w:val="1"/>
        </w:numPr>
        <w:jc w:val="left"/>
      </w:pPr>
      <w:r w:rsidRPr="005321DC">
        <w:t xml:space="preserve">Dyb, K., et al. (2021) ‘Adopt, adapt, or abandon technology-supported person-centred care for long-term conditions? A qualitative study applying the NASSS framework’, </w:t>
      </w:r>
      <w:r w:rsidRPr="005321DC">
        <w:rPr>
          <w:i/>
          <w:iCs/>
        </w:rPr>
        <w:t>BMC Health Services Research</w:t>
      </w:r>
      <w:r w:rsidRPr="005321DC">
        <w:t>, 21, 1029. doi: 10.1186/s12913-021-06262-1.</w:t>
      </w:r>
    </w:p>
    <w:p w14:paraId="1F5C1222" w14:textId="77777777" w:rsidR="005321DC" w:rsidRPr="005321DC" w:rsidRDefault="005321DC" w:rsidP="005321DC">
      <w:pPr>
        <w:pStyle w:val="ListParagraph"/>
        <w:numPr>
          <w:ilvl w:val="0"/>
          <w:numId w:val="1"/>
        </w:numPr>
        <w:jc w:val="left"/>
      </w:pPr>
      <w:r w:rsidRPr="005321DC">
        <w:t xml:space="preserve">Hayward, C. (2021) ‘Community specialist practitioner’s role in enhancing interprofessional collaboration’, </w:t>
      </w:r>
      <w:r w:rsidRPr="005321DC">
        <w:rPr>
          <w:i/>
          <w:iCs/>
        </w:rPr>
        <w:t>British Journal of Community Nursing</w:t>
      </w:r>
      <w:r w:rsidRPr="005321DC">
        <w:t>, 26(7), pp. 354–357. doi: 10.12968/bjcn.2021.26.7.354.</w:t>
      </w:r>
    </w:p>
    <w:p w14:paraId="2A307380" w14:textId="77777777" w:rsidR="005321DC" w:rsidRPr="005321DC" w:rsidRDefault="005321DC" w:rsidP="005321DC">
      <w:pPr>
        <w:pStyle w:val="ListParagraph"/>
        <w:numPr>
          <w:ilvl w:val="0"/>
          <w:numId w:val="1"/>
        </w:numPr>
        <w:jc w:val="left"/>
      </w:pPr>
      <w:r w:rsidRPr="005321DC">
        <w:t xml:space="preserve">Information Commissioner’s Office (ICO) (2018) </w:t>
      </w:r>
      <w:r w:rsidRPr="005321DC">
        <w:rPr>
          <w:i/>
          <w:iCs/>
        </w:rPr>
        <w:t>Data Protection Act 2018</w:t>
      </w:r>
      <w:r w:rsidRPr="005321DC">
        <w:t xml:space="preserve">. Available at: </w:t>
      </w:r>
      <w:hyperlink r:id="rId9" w:tgtFrame="_new" w:history="1">
        <w:r w:rsidRPr="005321DC">
          <w:rPr>
            <w:rStyle w:val="Hyperlink"/>
          </w:rPr>
          <w:t>https://ico.org.uk/about-the-ico/what-we-do/legislation-we-cover/data-protection-act-2018/</w:t>
        </w:r>
      </w:hyperlink>
      <w:r w:rsidRPr="005321DC">
        <w:t xml:space="preserve"> (Accessed: 10 November 2025).</w:t>
      </w:r>
    </w:p>
    <w:p w14:paraId="1FCBC47A" w14:textId="77777777" w:rsidR="005321DC" w:rsidRPr="005321DC" w:rsidRDefault="005321DC" w:rsidP="005321DC">
      <w:pPr>
        <w:pStyle w:val="ListParagraph"/>
        <w:numPr>
          <w:ilvl w:val="0"/>
          <w:numId w:val="1"/>
        </w:numPr>
        <w:jc w:val="left"/>
      </w:pPr>
      <w:r w:rsidRPr="005321DC">
        <w:t xml:space="preserve">Lishman, J. (2020) </w:t>
      </w:r>
      <w:r w:rsidRPr="005321DC">
        <w:rPr>
          <w:i/>
          <w:iCs/>
        </w:rPr>
        <w:t>Communication in Social Work</w:t>
      </w:r>
      <w:r w:rsidRPr="005321DC">
        <w:t>. 2nd edn. London: Red Globe Press.</w:t>
      </w:r>
    </w:p>
    <w:p w14:paraId="673D4107" w14:textId="77777777" w:rsidR="005321DC" w:rsidRPr="005321DC" w:rsidRDefault="005321DC" w:rsidP="005321DC">
      <w:pPr>
        <w:pStyle w:val="ListParagraph"/>
        <w:numPr>
          <w:ilvl w:val="0"/>
          <w:numId w:val="1"/>
        </w:numPr>
        <w:jc w:val="left"/>
      </w:pPr>
      <w:r w:rsidRPr="005321DC">
        <w:t xml:space="preserve">Martin, G.P. (2020) ‘Partnership and accountability in the era of integrated care’, </w:t>
      </w:r>
      <w:r w:rsidRPr="005321DC">
        <w:rPr>
          <w:i/>
          <w:iCs/>
        </w:rPr>
        <w:t>Journal of Health Services Research &amp; Policy</w:t>
      </w:r>
      <w:r w:rsidRPr="005321DC">
        <w:t>, 25(3), pp. 164–166. doi: 10.1177/1355819619882959.</w:t>
      </w:r>
    </w:p>
    <w:p w14:paraId="33F4990A" w14:textId="77777777" w:rsidR="005321DC" w:rsidRPr="005321DC" w:rsidRDefault="005321DC" w:rsidP="005321DC">
      <w:pPr>
        <w:pStyle w:val="ListParagraph"/>
        <w:numPr>
          <w:ilvl w:val="0"/>
          <w:numId w:val="1"/>
        </w:numPr>
        <w:jc w:val="left"/>
      </w:pPr>
      <w:r w:rsidRPr="005321DC">
        <w:t xml:space="preserve">NHS England (2023) </w:t>
      </w:r>
      <w:r w:rsidRPr="005321DC">
        <w:rPr>
          <w:i/>
          <w:iCs/>
        </w:rPr>
        <w:t>Working in partnership with people and communities: Statutory guidance for integrated care boards, NHS trusts and foundation trusts</w:t>
      </w:r>
      <w:r w:rsidRPr="005321DC">
        <w:t>. Available at: https://www.england.nhs.uk/wp-content/uploads/2023/02/working-in-partnership-with-people-and-communities-statutory-guidance.pdf (Accessed: 10 November 2025).</w:t>
      </w:r>
    </w:p>
    <w:p w14:paraId="499FD2E6" w14:textId="77777777" w:rsidR="005321DC" w:rsidRPr="005321DC" w:rsidRDefault="005321DC" w:rsidP="005321DC">
      <w:pPr>
        <w:pStyle w:val="ListParagraph"/>
        <w:numPr>
          <w:ilvl w:val="0"/>
          <w:numId w:val="1"/>
        </w:numPr>
        <w:jc w:val="left"/>
      </w:pPr>
      <w:r w:rsidRPr="005321DC">
        <w:t xml:space="preserve">Poksinska, B., et al. (2024) ‘From hospital-centred care to home-centred care of older people: Lessons for person-centred services’, </w:t>
      </w:r>
      <w:r w:rsidRPr="005321DC">
        <w:rPr>
          <w:i/>
          <w:iCs/>
        </w:rPr>
        <w:t>Journal of Health, Organization and Management</w:t>
      </w:r>
      <w:r w:rsidRPr="005321DC">
        <w:t>. doi: 10.1108/JHOM-03-2023-0077.</w:t>
      </w:r>
    </w:p>
    <w:p w14:paraId="136A9939" w14:textId="77777777" w:rsidR="005321DC" w:rsidRPr="005321DC" w:rsidRDefault="005321DC" w:rsidP="005321DC">
      <w:pPr>
        <w:pStyle w:val="ListParagraph"/>
        <w:numPr>
          <w:ilvl w:val="0"/>
          <w:numId w:val="1"/>
        </w:numPr>
        <w:jc w:val="left"/>
      </w:pPr>
      <w:r w:rsidRPr="005321DC">
        <w:t xml:space="preserve">Pool, J., Akhlaghpour, S., Fatehi, F. and Burton-Jones, A. (2024) ‘A systematic analysis of failures in protecting personal health data: A scoping review’, </w:t>
      </w:r>
      <w:r w:rsidRPr="005321DC">
        <w:rPr>
          <w:i/>
          <w:iCs/>
        </w:rPr>
        <w:t>International Journal of Information Management</w:t>
      </w:r>
      <w:r w:rsidRPr="005321DC">
        <w:t>, 74, 102719. doi: 10.1016/j.ijinfomgt.2023.102719.</w:t>
      </w:r>
    </w:p>
    <w:p w14:paraId="7B84E71C" w14:textId="77777777" w:rsidR="005321DC" w:rsidRPr="005321DC" w:rsidRDefault="005321DC" w:rsidP="005321DC">
      <w:pPr>
        <w:pStyle w:val="ListParagraph"/>
        <w:numPr>
          <w:ilvl w:val="0"/>
          <w:numId w:val="1"/>
        </w:numPr>
        <w:jc w:val="left"/>
      </w:pPr>
      <w:r w:rsidRPr="005321DC">
        <w:t xml:space="preserve">Thompson, N. (2018) </w:t>
      </w:r>
      <w:r w:rsidRPr="005321DC">
        <w:rPr>
          <w:i/>
          <w:iCs/>
        </w:rPr>
        <w:t>Effective Communication: A Guide for the People Professions</w:t>
      </w:r>
      <w:r w:rsidRPr="005321DC">
        <w:t>. 2nd edn. London: Bloomsbury Academic.</w:t>
      </w:r>
    </w:p>
    <w:p w14:paraId="34A32159" w14:textId="77777777" w:rsidR="005321DC" w:rsidRPr="005321DC" w:rsidRDefault="005321DC" w:rsidP="005321DC">
      <w:pPr>
        <w:pStyle w:val="ListParagraph"/>
        <w:numPr>
          <w:ilvl w:val="0"/>
          <w:numId w:val="1"/>
        </w:numPr>
        <w:jc w:val="left"/>
      </w:pPr>
      <w:r w:rsidRPr="005321DC">
        <w:lastRenderedPageBreak/>
        <w:t xml:space="preserve">Warwick-Giles, L. and Checkland, K. (2018) ‘Integrated care: Using “sensemaking” to understand how organisations are working together to transform local health and social care services’, </w:t>
      </w:r>
      <w:r w:rsidRPr="005321DC">
        <w:rPr>
          <w:i/>
          <w:iCs/>
        </w:rPr>
        <w:t>Journal of Health, Organization and Management</w:t>
      </w:r>
      <w:r w:rsidRPr="005321DC">
        <w:t>, 32(1), pp. 85–100. doi: 10.1108/JHOM-03-2017-0057.</w:t>
      </w:r>
    </w:p>
    <w:p w14:paraId="40D9813F" w14:textId="77777777" w:rsidR="000422C2" w:rsidRPr="000F70B6" w:rsidRDefault="000422C2" w:rsidP="000F70B6"/>
    <w:p w14:paraId="00707BD8" w14:textId="77777777" w:rsidR="000E0395" w:rsidRDefault="000E0395" w:rsidP="00AD6F15"/>
    <w:sectPr w:rsidR="000E0395" w:rsidSect="00D12C55">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7E204" w14:textId="77777777" w:rsidR="006228E4" w:rsidRDefault="006228E4" w:rsidP="00D12C55">
      <w:pPr>
        <w:spacing w:after="0" w:line="240" w:lineRule="auto"/>
      </w:pPr>
      <w:r>
        <w:separator/>
      </w:r>
    </w:p>
  </w:endnote>
  <w:endnote w:type="continuationSeparator" w:id="0">
    <w:p w14:paraId="27BB1A66" w14:textId="77777777" w:rsidR="006228E4" w:rsidRDefault="006228E4" w:rsidP="00D12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8498728"/>
      <w:docPartObj>
        <w:docPartGallery w:val="Page Numbers (Bottom of Page)"/>
        <w:docPartUnique/>
      </w:docPartObj>
    </w:sdtPr>
    <w:sdtEndPr>
      <w:rPr>
        <w:noProof/>
      </w:rPr>
    </w:sdtEndPr>
    <w:sdtContent>
      <w:p w14:paraId="3384238F" w14:textId="2BEA4F9B" w:rsidR="00D12C55" w:rsidRDefault="00D12C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0FCF86" w14:textId="77777777" w:rsidR="00D12C55" w:rsidRDefault="00D12C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DCAD7" w14:textId="77777777" w:rsidR="006228E4" w:rsidRDefault="006228E4" w:rsidP="00D12C55">
      <w:pPr>
        <w:spacing w:after="0" w:line="240" w:lineRule="auto"/>
      </w:pPr>
      <w:r>
        <w:separator/>
      </w:r>
    </w:p>
  </w:footnote>
  <w:footnote w:type="continuationSeparator" w:id="0">
    <w:p w14:paraId="637A7C41" w14:textId="77777777" w:rsidR="006228E4" w:rsidRDefault="006228E4" w:rsidP="00D12C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0870C1"/>
    <w:multiLevelType w:val="hybridMultilevel"/>
    <w:tmpl w:val="B7AE3A4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13805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UxtDAztLQ0sjS1MDBU0lEKTi0uzszPAykwqgUARR+UUiwAAAA="/>
  </w:docVars>
  <w:rsids>
    <w:rsidRoot w:val="002F0C4D"/>
    <w:rsid w:val="000422C2"/>
    <w:rsid w:val="0009015A"/>
    <w:rsid w:val="00091A18"/>
    <w:rsid w:val="000C03EB"/>
    <w:rsid w:val="000D423F"/>
    <w:rsid w:val="000E0395"/>
    <w:rsid w:val="000F2265"/>
    <w:rsid w:val="000F70B6"/>
    <w:rsid w:val="001956A3"/>
    <w:rsid w:val="001963F3"/>
    <w:rsid w:val="00220BA8"/>
    <w:rsid w:val="00242C4E"/>
    <w:rsid w:val="0028063E"/>
    <w:rsid w:val="00290833"/>
    <w:rsid w:val="0029658C"/>
    <w:rsid w:val="002A283E"/>
    <w:rsid w:val="002E0AB4"/>
    <w:rsid w:val="002F0C4D"/>
    <w:rsid w:val="00317680"/>
    <w:rsid w:val="00390E8F"/>
    <w:rsid w:val="003A0F02"/>
    <w:rsid w:val="0041387B"/>
    <w:rsid w:val="004B2BE0"/>
    <w:rsid w:val="004D33B2"/>
    <w:rsid w:val="004D5B3B"/>
    <w:rsid w:val="005321DC"/>
    <w:rsid w:val="00544A9D"/>
    <w:rsid w:val="005648FB"/>
    <w:rsid w:val="005717FF"/>
    <w:rsid w:val="006228E4"/>
    <w:rsid w:val="00663ADE"/>
    <w:rsid w:val="00670BE1"/>
    <w:rsid w:val="00680623"/>
    <w:rsid w:val="006938B1"/>
    <w:rsid w:val="0073165E"/>
    <w:rsid w:val="00735801"/>
    <w:rsid w:val="007B057F"/>
    <w:rsid w:val="007B5C58"/>
    <w:rsid w:val="007D1821"/>
    <w:rsid w:val="00802F2D"/>
    <w:rsid w:val="008247F5"/>
    <w:rsid w:val="008556FE"/>
    <w:rsid w:val="008D52A4"/>
    <w:rsid w:val="009614D0"/>
    <w:rsid w:val="009B3EF0"/>
    <w:rsid w:val="009F4518"/>
    <w:rsid w:val="00A45674"/>
    <w:rsid w:val="00A607A1"/>
    <w:rsid w:val="00AD6C37"/>
    <w:rsid w:val="00AD6F15"/>
    <w:rsid w:val="00B27115"/>
    <w:rsid w:val="00B5684F"/>
    <w:rsid w:val="00B612CC"/>
    <w:rsid w:val="00B6332E"/>
    <w:rsid w:val="00B927EB"/>
    <w:rsid w:val="00BC7583"/>
    <w:rsid w:val="00C00649"/>
    <w:rsid w:val="00C272BD"/>
    <w:rsid w:val="00C44142"/>
    <w:rsid w:val="00D12C55"/>
    <w:rsid w:val="00D45A12"/>
    <w:rsid w:val="00D807E3"/>
    <w:rsid w:val="00E81479"/>
    <w:rsid w:val="00E82C18"/>
    <w:rsid w:val="00E96C58"/>
    <w:rsid w:val="00EA2C24"/>
    <w:rsid w:val="00EA4321"/>
    <w:rsid w:val="00EC55C3"/>
    <w:rsid w:val="00F11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436C5"/>
  <w15:chartTrackingRefBased/>
  <w15:docId w15:val="{A1DBF8C8-3351-411E-A89B-909AAC52C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84F"/>
    <w:pPr>
      <w:spacing w:after="80" w:line="360" w:lineRule="auto"/>
      <w:jc w:val="both"/>
    </w:pPr>
    <w:rPr>
      <w:rFonts w:ascii="Times New Roman" w:hAnsi="Times New Roman"/>
    </w:rPr>
  </w:style>
  <w:style w:type="paragraph" w:styleId="Heading1">
    <w:name w:val="heading 1"/>
    <w:basedOn w:val="Normal"/>
    <w:next w:val="Normal"/>
    <w:link w:val="Heading1Char"/>
    <w:uiPriority w:val="9"/>
    <w:qFormat/>
    <w:rsid w:val="00C44142"/>
    <w:pPr>
      <w:keepNext/>
      <w:keepLines/>
      <w:spacing w:before="140" w:after="60"/>
      <w:outlineLvl w:val="0"/>
    </w:pPr>
    <w:rPr>
      <w:rFonts w:eastAsiaTheme="majorEastAsia" w:cstheme="majorBidi"/>
      <w:b/>
      <w:color w:val="00B0F0"/>
      <w:sz w:val="30"/>
      <w:szCs w:val="40"/>
    </w:rPr>
  </w:style>
  <w:style w:type="paragraph" w:styleId="Heading2">
    <w:name w:val="heading 2"/>
    <w:basedOn w:val="Normal"/>
    <w:next w:val="Normal"/>
    <w:link w:val="Heading2Char"/>
    <w:uiPriority w:val="9"/>
    <w:semiHidden/>
    <w:unhideWhenUsed/>
    <w:qFormat/>
    <w:rsid w:val="00C44142"/>
    <w:pPr>
      <w:keepNext/>
      <w:keepLines/>
      <w:spacing w:before="100" w:after="40"/>
      <w:outlineLvl w:val="1"/>
    </w:pPr>
    <w:rPr>
      <w:rFonts w:eastAsiaTheme="majorEastAsia" w:cstheme="majorBidi"/>
      <w:b/>
      <w:color w:val="0F4761" w:themeColor="accent1" w:themeShade="BF"/>
      <w:sz w:val="26"/>
      <w:szCs w:val="32"/>
    </w:rPr>
  </w:style>
  <w:style w:type="paragraph" w:styleId="Heading3">
    <w:name w:val="heading 3"/>
    <w:basedOn w:val="Normal"/>
    <w:next w:val="Normal"/>
    <w:link w:val="Heading3Char"/>
    <w:uiPriority w:val="9"/>
    <w:semiHidden/>
    <w:unhideWhenUsed/>
    <w:qFormat/>
    <w:rsid w:val="002F0C4D"/>
    <w:pPr>
      <w:keepNext/>
      <w:keepLines/>
      <w:spacing w:before="16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0C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0C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0C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0C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0C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0C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142"/>
    <w:rPr>
      <w:rFonts w:ascii="Times New Roman" w:eastAsiaTheme="majorEastAsia" w:hAnsi="Times New Roman" w:cstheme="majorBidi"/>
      <w:b/>
      <w:color w:val="00B0F0"/>
      <w:sz w:val="30"/>
      <w:szCs w:val="40"/>
    </w:rPr>
  </w:style>
  <w:style w:type="character" w:customStyle="1" w:styleId="Heading2Char">
    <w:name w:val="Heading 2 Char"/>
    <w:basedOn w:val="DefaultParagraphFont"/>
    <w:link w:val="Heading2"/>
    <w:uiPriority w:val="9"/>
    <w:semiHidden/>
    <w:rsid w:val="00C44142"/>
    <w:rPr>
      <w:rFonts w:ascii="Times New Roman" w:eastAsiaTheme="majorEastAsia" w:hAnsi="Times New Roman" w:cstheme="majorBidi"/>
      <w:b/>
      <w:color w:val="0F4761" w:themeColor="accent1" w:themeShade="BF"/>
      <w:sz w:val="26"/>
      <w:szCs w:val="32"/>
    </w:rPr>
  </w:style>
  <w:style w:type="character" w:customStyle="1" w:styleId="Heading3Char">
    <w:name w:val="Heading 3 Char"/>
    <w:basedOn w:val="DefaultParagraphFont"/>
    <w:link w:val="Heading3"/>
    <w:uiPriority w:val="9"/>
    <w:semiHidden/>
    <w:rsid w:val="002F0C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0C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0C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0C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0C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0C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0C4D"/>
    <w:rPr>
      <w:rFonts w:eastAsiaTheme="majorEastAsia" w:cstheme="majorBidi"/>
      <w:color w:val="272727" w:themeColor="text1" w:themeTint="D8"/>
    </w:rPr>
  </w:style>
  <w:style w:type="paragraph" w:styleId="Title">
    <w:name w:val="Title"/>
    <w:basedOn w:val="Normal"/>
    <w:next w:val="Normal"/>
    <w:link w:val="TitleChar"/>
    <w:uiPriority w:val="10"/>
    <w:qFormat/>
    <w:rsid w:val="00C44142"/>
    <w:pPr>
      <w:contextualSpacing/>
      <w:jc w:val="center"/>
    </w:pPr>
    <w:rPr>
      <w:rFonts w:eastAsiaTheme="majorEastAsia" w:cstheme="majorBidi"/>
      <w:b/>
      <w:color w:val="00B0F0"/>
      <w:spacing w:val="-10"/>
      <w:kern w:val="28"/>
      <w:sz w:val="40"/>
      <w:szCs w:val="56"/>
    </w:rPr>
  </w:style>
  <w:style w:type="character" w:customStyle="1" w:styleId="TitleChar">
    <w:name w:val="Title Char"/>
    <w:basedOn w:val="DefaultParagraphFont"/>
    <w:link w:val="Title"/>
    <w:uiPriority w:val="10"/>
    <w:rsid w:val="00C44142"/>
    <w:rPr>
      <w:rFonts w:ascii="Times New Roman" w:eastAsiaTheme="majorEastAsia" w:hAnsi="Times New Roman" w:cstheme="majorBidi"/>
      <w:b/>
      <w:color w:val="00B0F0"/>
      <w:spacing w:val="-10"/>
      <w:kern w:val="28"/>
      <w:sz w:val="40"/>
      <w:szCs w:val="56"/>
    </w:rPr>
  </w:style>
  <w:style w:type="paragraph" w:styleId="Subtitle">
    <w:name w:val="Subtitle"/>
    <w:basedOn w:val="Normal"/>
    <w:next w:val="Normal"/>
    <w:link w:val="SubtitleChar"/>
    <w:uiPriority w:val="11"/>
    <w:qFormat/>
    <w:rsid w:val="00C44142"/>
    <w:pPr>
      <w:numPr>
        <w:ilvl w:val="1"/>
      </w:numPr>
      <w:jc w:val="center"/>
    </w:pPr>
    <w:rPr>
      <w:rFonts w:eastAsiaTheme="majorEastAsia" w:cstheme="majorBidi"/>
      <w:b/>
      <w:color w:val="0070C0"/>
      <w:spacing w:val="15"/>
      <w:sz w:val="30"/>
      <w:szCs w:val="28"/>
    </w:rPr>
  </w:style>
  <w:style w:type="character" w:customStyle="1" w:styleId="SubtitleChar">
    <w:name w:val="Subtitle Char"/>
    <w:basedOn w:val="DefaultParagraphFont"/>
    <w:link w:val="Subtitle"/>
    <w:uiPriority w:val="11"/>
    <w:rsid w:val="00C44142"/>
    <w:rPr>
      <w:rFonts w:ascii="Times New Roman" w:eastAsiaTheme="majorEastAsia" w:hAnsi="Times New Roman" w:cstheme="majorBidi"/>
      <w:b/>
      <w:color w:val="0070C0"/>
      <w:spacing w:val="15"/>
      <w:sz w:val="30"/>
      <w:szCs w:val="28"/>
    </w:rPr>
  </w:style>
  <w:style w:type="paragraph" w:styleId="Quote">
    <w:name w:val="Quote"/>
    <w:basedOn w:val="Normal"/>
    <w:next w:val="Normal"/>
    <w:link w:val="QuoteChar"/>
    <w:uiPriority w:val="29"/>
    <w:qFormat/>
    <w:rsid w:val="002F0C4D"/>
    <w:pPr>
      <w:spacing w:before="160"/>
      <w:jc w:val="center"/>
    </w:pPr>
    <w:rPr>
      <w:i/>
      <w:iCs/>
      <w:color w:val="404040" w:themeColor="text1" w:themeTint="BF"/>
    </w:rPr>
  </w:style>
  <w:style w:type="character" w:customStyle="1" w:styleId="QuoteChar">
    <w:name w:val="Quote Char"/>
    <w:basedOn w:val="DefaultParagraphFont"/>
    <w:link w:val="Quote"/>
    <w:uiPriority w:val="29"/>
    <w:rsid w:val="002F0C4D"/>
    <w:rPr>
      <w:i/>
      <w:iCs/>
      <w:color w:val="404040" w:themeColor="text1" w:themeTint="BF"/>
    </w:rPr>
  </w:style>
  <w:style w:type="paragraph" w:styleId="ListParagraph">
    <w:name w:val="List Paragraph"/>
    <w:basedOn w:val="Normal"/>
    <w:uiPriority w:val="34"/>
    <w:qFormat/>
    <w:rsid w:val="002F0C4D"/>
    <w:pPr>
      <w:ind w:left="720"/>
      <w:contextualSpacing/>
    </w:pPr>
  </w:style>
  <w:style w:type="character" w:styleId="IntenseEmphasis">
    <w:name w:val="Intense Emphasis"/>
    <w:basedOn w:val="DefaultParagraphFont"/>
    <w:uiPriority w:val="21"/>
    <w:qFormat/>
    <w:rsid w:val="002F0C4D"/>
    <w:rPr>
      <w:i/>
      <w:iCs/>
      <w:color w:val="0F4761" w:themeColor="accent1" w:themeShade="BF"/>
    </w:rPr>
  </w:style>
  <w:style w:type="paragraph" w:styleId="IntenseQuote">
    <w:name w:val="Intense Quote"/>
    <w:basedOn w:val="Normal"/>
    <w:next w:val="Normal"/>
    <w:link w:val="IntenseQuoteChar"/>
    <w:uiPriority w:val="30"/>
    <w:qFormat/>
    <w:rsid w:val="002F0C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0C4D"/>
    <w:rPr>
      <w:i/>
      <w:iCs/>
      <w:color w:val="0F4761" w:themeColor="accent1" w:themeShade="BF"/>
    </w:rPr>
  </w:style>
  <w:style w:type="character" w:styleId="IntenseReference">
    <w:name w:val="Intense Reference"/>
    <w:basedOn w:val="DefaultParagraphFont"/>
    <w:uiPriority w:val="32"/>
    <w:qFormat/>
    <w:rsid w:val="002F0C4D"/>
    <w:rPr>
      <w:b/>
      <w:bCs/>
      <w:smallCaps/>
      <w:color w:val="0F4761" w:themeColor="accent1" w:themeShade="BF"/>
      <w:spacing w:val="5"/>
    </w:rPr>
  </w:style>
  <w:style w:type="paragraph" w:styleId="Header">
    <w:name w:val="header"/>
    <w:basedOn w:val="Normal"/>
    <w:link w:val="HeaderChar"/>
    <w:uiPriority w:val="99"/>
    <w:unhideWhenUsed/>
    <w:rsid w:val="00D12C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2C55"/>
    <w:rPr>
      <w:rFonts w:ascii="Times New Roman" w:hAnsi="Times New Roman"/>
    </w:rPr>
  </w:style>
  <w:style w:type="paragraph" w:styleId="Footer">
    <w:name w:val="footer"/>
    <w:basedOn w:val="Normal"/>
    <w:link w:val="FooterChar"/>
    <w:uiPriority w:val="99"/>
    <w:unhideWhenUsed/>
    <w:rsid w:val="00D12C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2C55"/>
    <w:rPr>
      <w:rFonts w:ascii="Times New Roman" w:hAnsi="Times New Roman"/>
    </w:rPr>
  </w:style>
  <w:style w:type="character" w:styleId="Hyperlink">
    <w:name w:val="Hyperlink"/>
    <w:basedOn w:val="DefaultParagraphFont"/>
    <w:uiPriority w:val="99"/>
    <w:unhideWhenUsed/>
    <w:rsid w:val="005321DC"/>
    <w:rPr>
      <w:color w:val="467886" w:themeColor="hyperlink"/>
      <w:u w:val="single"/>
    </w:rPr>
  </w:style>
  <w:style w:type="character" w:styleId="UnresolvedMention">
    <w:name w:val="Unresolved Mention"/>
    <w:basedOn w:val="DefaultParagraphFont"/>
    <w:uiPriority w:val="99"/>
    <w:semiHidden/>
    <w:unhideWhenUsed/>
    <w:rsid w:val="005321DC"/>
    <w:rPr>
      <w:color w:val="605E5C"/>
      <w:shd w:val="clear" w:color="auto" w:fill="E1DFDD"/>
    </w:rPr>
  </w:style>
  <w:style w:type="paragraph" w:styleId="TOCHeading">
    <w:name w:val="TOC Heading"/>
    <w:basedOn w:val="Heading1"/>
    <w:next w:val="Normal"/>
    <w:uiPriority w:val="39"/>
    <w:unhideWhenUsed/>
    <w:qFormat/>
    <w:rsid w:val="000D423F"/>
    <w:pPr>
      <w:spacing w:before="240" w:after="0" w:line="259" w:lineRule="auto"/>
      <w:jc w:val="left"/>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0D423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co.org.uk/about-the-ico/what-we-do/legislation-we-cover/data-protection-act-2018/?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75327-752E-4740-B122-29FB8D01B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1829</Words>
  <Characters>10426</Characters>
  <Application>Microsoft Office Word</Application>
  <DocSecurity>0</DocSecurity>
  <Lines>86</Lines>
  <Paragraphs>24</Paragraphs>
  <ScaleCrop>false</ScaleCrop>
  <Company/>
  <LinksUpToDate>false</LinksUpToDate>
  <CharactersWithSpaces>12231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AP Point</cp:lastModifiedBy>
  <cp:revision>114</cp:revision>
  <dcterms:created xsi:type="dcterms:W3CDTF">2025-06-19T05:19:00Z</dcterms:created>
  <dcterms:modified xsi:type="dcterms:W3CDTF">2025-12-14T14:40:00Z</dcterms:modified>
</cp:coreProperties>
</file>