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63E7C" w14:textId="6B5AF23D"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Module Code: LCHS40</w:t>
      </w:r>
      <w:r w:rsidRPr="00DD6AB2">
        <w:rPr>
          <w:rFonts w:ascii="Arial" w:hAnsi="Arial" w:cs="Arial"/>
          <w:sz w:val="22"/>
          <w:szCs w:val="22"/>
          <w:lang w:val="en-US"/>
        </w:rPr>
        <w:t>10</w:t>
      </w:r>
    </w:p>
    <w:p w14:paraId="26F7BF77" w14:textId="523D129F"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 xml:space="preserve">Assignment Title: </w:t>
      </w:r>
      <w:r w:rsidRPr="00DD6AB2">
        <w:rPr>
          <w:rFonts w:ascii="Arial" w:hAnsi="Arial" w:cs="Arial"/>
          <w:bCs/>
          <w:sz w:val="22"/>
          <w:szCs w:val="22"/>
        </w:rPr>
        <w:t>Psychology in Health and Social Care</w:t>
      </w:r>
    </w:p>
    <w:p w14:paraId="0978F65A" w14:textId="01A2D129"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 xml:space="preserve">Lecturer: </w:t>
      </w:r>
      <w:r w:rsidR="00DD6AB2" w:rsidRPr="00DD6AB2">
        <w:rPr>
          <w:rFonts w:ascii="Arial" w:hAnsi="Arial" w:cs="Arial"/>
          <w:sz w:val="22"/>
          <w:szCs w:val="22"/>
        </w:rPr>
        <w:t>Alice Clayton</w:t>
      </w:r>
    </w:p>
    <w:p w14:paraId="008F7E11" w14:textId="77777777"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Student Name: Rizwan Parvez</w:t>
      </w:r>
    </w:p>
    <w:p w14:paraId="1BE3FB77" w14:textId="591DB6D3"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 xml:space="preserve">Student Number: </w:t>
      </w:r>
      <w:r w:rsidR="00DD6AB2" w:rsidRPr="00DD6AB2">
        <w:rPr>
          <w:rFonts w:ascii="Arial" w:hAnsi="Arial" w:cs="Arial"/>
          <w:sz w:val="22"/>
          <w:szCs w:val="22"/>
        </w:rPr>
        <w:t>2422433</w:t>
      </w:r>
    </w:p>
    <w:p w14:paraId="5255189F" w14:textId="12A3ACC7" w:rsidR="00DD6AB2" w:rsidRPr="00DD6AB2" w:rsidRDefault="00DD6AB2" w:rsidP="00DD6AB2">
      <w:pPr>
        <w:spacing w:line="360" w:lineRule="auto"/>
        <w:jc w:val="center"/>
        <w:rPr>
          <w:rFonts w:ascii="Arial" w:hAnsi="Arial" w:cs="Arial"/>
          <w:sz w:val="22"/>
          <w:szCs w:val="22"/>
        </w:rPr>
      </w:pPr>
    </w:p>
    <w:p w14:paraId="2C2818B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br w:type="page"/>
      </w:r>
    </w:p>
    <w:p w14:paraId="56387838" w14:textId="12E16B0C"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Using Psychological Theories to Support Older Adults with Dementia in a Care Home Setting</w:t>
      </w:r>
    </w:p>
    <w:p w14:paraId="4F68DAAE" w14:textId="77777777" w:rsidR="00DD6AB2" w:rsidRPr="00DD6AB2" w:rsidRDefault="00DD6AB2" w:rsidP="00DD6AB2">
      <w:pPr>
        <w:spacing w:line="360" w:lineRule="auto"/>
        <w:rPr>
          <w:rFonts w:ascii="Arial" w:hAnsi="Arial" w:cs="Arial"/>
          <w:sz w:val="22"/>
          <w:szCs w:val="22"/>
        </w:rPr>
      </w:pPr>
    </w:p>
    <w:p w14:paraId="049A12FE"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Introduction</w:t>
      </w:r>
    </w:p>
    <w:p w14:paraId="25D73C38"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Older adults living in dementia care homes often experience significant psychological and behavioural challenges. These challenges are linked to memory loss, confusion, anxiety, changes in mood, and a decline in cognitive abilities. Health and social care staff must use evidence</w:t>
      </w:r>
      <w:r w:rsidRPr="00DD6AB2">
        <w:rPr>
          <w:rFonts w:ascii="Cambria Math" w:hAnsi="Cambria Math" w:cs="Cambria Math"/>
          <w:sz w:val="22"/>
          <w:szCs w:val="22"/>
        </w:rPr>
        <w:t>‑</w:t>
      </w:r>
      <w:r w:rsidRPr="00DD6AB2">
        <w:rPr>
          <w:rFonts w:ascii="Arial" w:hAnsi="Arial" w:cs="Arial"/>
          <w:sz w:val="22"/>
          <w:szCs w:val="22"/>
        </w:rPr>
        <w:t>based approaches to provide effective, one</w:t>
      </w:r>
      <w:r w:rsidRPr="00DD6AB2">
        <w:rPr>
          <w:rFonts w:ascii="Cambria Math" w:hAnsi="Cambria Math" w:cs="Cambria Math"/>
          <w:sz w:val="22"/>
          <w:szCs w:val="22"/>
        </w:rPr>
        <w:t>‑</w:t>
      </w:r>
      <w:r w:rsidRPr="00DD6AB2">
        <w:rPr>
          <w:rFonts w:ascii="Arial" w:hAnsi="Arial" w:cs="Arial"/>
          <w:sz w:val="22"/>
          <w:szCs w:val="22"/>
        </w:rPr>
        <w:t>to</w:t>
      </w:r>
      <w:r w:rsidRPr="00DD6AB2">
        <w:rPr>
          <w:rFonts w:ascii="Cambria Math" w:hAnsi="Cambria Math" w:cs="Cambria Math"/>
          <w:sz w:val="22"/>
          <w:szCs w:val="22"/>
        </w:rPr>
        <w:t>‑</w:t>
      </w:r>
      <w:r w:rsidRPr="00DD6AB2">
        <w:rPr>
          <w:rFonts w:ascii="Arial" w:hAnsi="Arial" w:cs="Arial"/>
          <w:sz w:val="22"/>
          <w:szCs w:val="22"/>
        </w:rPr>
        <w:t>one, person</w:t>
      </w:r>
      <w:r w:rsidRPr="00DD6AB2">
        <w:rPr>
          <w:rFonts w:ascii="Cambria Math" w:hAnsi="Cambria Math" w:cs="Cambria Math"/>
          <w:sz w:val="22"/>
          <w:szCs w:val="22"/>
        </w:rPr>
        <w:t>‑</w:t>
      </w:r>
      <w:r w:rsidRPr="00DD6AB2">
        <w:rPr>
          <w:rFonts w:ascii="Arial" w:hAnsi="Arial" w:cs="Arial"/>
          <w:sz w:val="22"/>
          <w:szCs w:val="22"/>
        </w:rPr>
        <w:t>centred care. Understanding psychological theories can help staff recognise why certain behaviours happen and how to support residents in a calm, respectful, and meaningful way. This report explains how two theories—Erikson’s Psychosocial Theory and the Person</w:t>
      </w:r>
      <w:r w:rsidRPr="00DD6AB2">
        <w:rPr>
          <w:rFonts w:ascii="Cambria Math" w:hAnsi="Cambria Math" w:cs="Cambria Math"/>
          <w:sz w:val="22"/>
          <w:szCs w:val="22"/>
        </w:rPr>
        <w:t>‑</w:t>
      </w:r>
      <w:r w:rsidRPr="00DD6AB2">
        <w:rPr>
          <w:rFonts w:ascii="Arial" w:hAnsi="Arial" w:cs="Arial"/>
          <w:sz w:val="22"/>
          <w:szCs w:val="22"/>
        </w:rPr>
        <w:t>Centred Approach—can be applied to support adults aged 65 and over with dementia. It also discusses practical examples, challenges, and strategies for professionals working in dementia care homes.</w:t>
      </w:r>
    </w:p>
    <w:p w14:paraId="4D2DEEAF" w14:textId="77777777" w:rsidR="00DD6AB2" w:rsidRPr="00DD6AB2" w:rsidRDefault="00DD6AB2" w:rsidP="00DD6AB2">
      <w:pPr>
        <w:spacing w:line="360" w:lineRule="auto"/>
        <w:rPr>
          <w:rFonts w:ascii="Arial" w:hAnsi="Arial" w:cs="Arial"/>
          <w:sz w:val="22"/>
          <w:szCs w:val="22"/>
        </w:rPr>
      </w:pPr>
    </w:p>
    <w:p w14:paraId="762A8E35" w14:textId="2D5E91EA"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Dementia Care Home Setting</w:t>
      </w:r>
    </w:p>
    <w:p w14:paraId="599E70E7"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 dementia care home provides 24</w:t>
      </w:r>
      <w:r w:rsidRPr="00DD6AB2">
        <w:rPr>
          <w:rFonts w:ascii="Cambria Math" w:hAnsi="Cambria Math" w:cs="Cambria Math"/>
          <w:sz w:val="22"/>
          <w:szCs w:val="22"/>
        </w:rPr>
        <w:t>‑</w:t>
      </w:r>
      <w:r w:rsidRPr="00DD6AB2">
        <w:rPr>
          <w:rFonts w:ascii="Arial" w:hAnsi="Arial" w:cs="Arial"/>
          <w:sz w:val="22"/>
          <w:szCs w:val="22"/>
        </w:rPr>
        <w:t>hour support for older adults who can no longer live independently due to memory problems, confusion, disorientation, or physical health needs. Residents may struggle with daily activities such as washing, dressing, or communicating clearly. Many also experience loneliness, frustration, and low mood because they find it hard to make sense of their surroundings or express their thoughts. Staff working in this environment must show patience, empathy, and understanding. They must support people’s emotional needs as well as their physical care. Using psychological theories helps staff respond in a way that protects dignity, reduces distress, and improves quality of life.</w:t>
      </w:r>
    </w:p>
    <w:p w14:paraId="2E5E2C41" w14:textId="77777777" w:rsidR="00DD6AB2" w:rsidRPr="00DD6AB2" w:rsidRDefault="00DD6AB2" w:rsidP="00DD6AB2">
      <w:pPr>
        <w:spacing w:line="360" w:lineRule="auto"/>
        <w:rPr>
          <w:rFonts w:ascii="Arial" w:hAnsi="Arial" w:cs="Arial"/>
          <w:sz w:val="22"/>
          <w:szCs w:val="22"/>
        </w:rPr>
      </w:pPr>
    </w:p>
    <w:p w14:paraId="6DD48763" w14:textId="20C1296A"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Theory 1: Erikson’s Psychosocial Theory – Stage 8</w:t>
      </w:r>
    </w:p>
    <w:p w14:paraId="0D5ACFA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Erik Erikson developed a theory of human development made up of eight stages that people pass through during their lifetime. Older adults aged 65 and over are usually in the final stage, known as Integrity vs. Despair. This stage involves looking back on life and reflecting on achievements, relationships, and experiences. If a person feels they have lived a meaningful life, they may feel a sense of integrity. If they feel regret or sadness, they may experience despair.</w:t>
      </w:r>
    </w:p>
    <w:p w14:paraId="6FDC5EA1" w14:textId="77777777" w:rsidR="00DD6AB2" w:rsidRPr="00DD6AB2" w:rsidRDefault="00DD6AB2" w:rsidP="00DD6AB2">
      <w:pPr>
        <w:spacing w:line="360" w:lineRule="auto"/>
        <w:rPr>
          <w:rFonts w:ascii="Arial" w:hAnsi="Arial" w:cs="Arial"/>
          <w:sz w:val="22"/>
          <w:szCs w:val="22"/>
        </w:rPr>
      </w:pPr>
    </w:p>
    <w:p w14:paraId="74272C17"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lastRenderedPageBreak/>
        <w:t>Relevance to Older Adults with Dementia</w:t>
      </w:r>
    </w:p>
    <w:p w14:paraId="1DD353E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For older adults living with dementia, the ability to reflect on life can be affected by memory loss and confusion. They may struggle to remember important events or recognise family members. This can make them feel distressed and increase feelings of despair. Many adults also face grief linked to losing their independence, past roles, or hobbies they can no longer do. Erikson’s theory helps carers understand why some residents may feel scared, upset, or withdrawn. It highlights the importance of identity, life stories, and emotional support.</w:t>
      </w:r>
    </w:p>
    <w:p w14:paraId="4F45E3BC" w14:textId="77777777" w:rsidR="00DD6AB2" w:rsidRPr="00DD6AB2" w:rsidRDefault="00DD6AB2" w:rsidP="00DD6AB2">
      <w:pPr>
        <w:spacing w:line="360" w:lineRule="auto"/>
        <w:rPr>
          <w:rFonts w:ascii="Arial" w:hAnsi="Arial" w:cs="Arial"/>
          <w:sz w:val="22"/>
          <w:szCs w:val="22"/>
        </w:rPr>
      </w:pPr>
    </w:p>
    <w:p w14:paraId="473E8CF2"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Application of Erikson’s Theory in Dementia Care</w:t>
      </w:r>
    </w:p>
    <w:p w14:paraId="45B1FE19"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1. Reminiscence activities  </w:t>
      </w:r>
    </w:p>
    <w:p w14:paraId="586DEB48"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Staff can encourage residents to talk about their past by using memory boxes, old photographs, music from their youth, or familiar objects. Even if a resident cannot remember everything, these activities can make them feel calmer and more connected to their identity. Reminiscence therapy helps support integrity by reminding residents of their achievements, family, and favourite memories.</w:t>
      </w:r>
    </w:p>
    <w:p w14:paraId="0BE82012" w14:textId="77777777" w:rsidR="00DD6AB2" w:rsidRPr="00DD6AB2" w:rsidRDefault="00DD6AB2" w:rsidP="00DD6AB2">
      <w:pPr>
        <w:spacing w:line="360" w:lineRule="auto"/>
        <w:rPr>
          <w:rFonts w:ascii="Arial" w:hAnsi="Arial" w:cs="Arial"/>
          <w:sz w:val="22"/>
          <w:szCs w:val="22"/>
        </w:rPr>
      </w:pPr>
    </w:p>
    <w:p w14:paraId="63231021"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2. Promoting dignity and choice  </w:t>
      </w:r>
    </w:p>
    <w:p w14:paraId="532EA7AA"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Adults with dementia often feel a loss of control. Staff can support integrity by offering simple choices—for example, choosing what clothes to wear, what drink they prefer, or which activity they would like to join. Small choices help maintain independence and self</w:t>
      </w:r>
      <w:r w:rsidRPr="00DD6AB2">
        <w:rPr>
          <w:rFonts w:ascii="Cambria Math" w:hAnsi="Cambria Math" w:cs="Cambria Math"/>
          <w:sz w:val="22"/>
          <w:szCs w:val="22"/>
        </w:rPr>
        <w:t>‑</w:t>
      </w:r>
      <w:r w:rsidRPr="00DD6AB2">
        <w:rPr>
          <w:rFonts w:ascii="Arial" w:hAnsi="Arial" w:cs="Arial"/>
          <w:sz w:val="22"/>
          <w:szCs w:val="22"/>
        </w:rPr>
        <w:t>worth.</w:t>
      </w:r>
    </w:p>
    <w:p w14:paraId="3FE31141" w14:textId="77777777" w:rsidR="00DD6AB2" w:rsidRPr="00DD6AB2" w:rsidRDefault="00DD6AB2" w:rsidP="00DD6AB2">
      <w:pPr>
        <w:spacing w:line="360" w:lineRule="auto"/>
        <w:rPr>
          <w:rFonts w:ascii="Arial" w:hAnsi="Arial" w:cs="Arial"/>
          <w:sz w:val="22"/>
          <w:szCs w:val="22"/>
        </w:rPr>
      </w:pPr>
    </w:p>
    <w:p w14:paraId="0519C50E"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3. Validating emotions  </w:t>
      </w:r>
    </w:p>
    <w:p w14:paraId="48A966C7"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Many residents experience fear, frustration, or sadness. Instead of dismissing these feelings, staff can reassure residents and show understanding. Using calm communication, eye contact, and gentle explanations can reduce distress and help the person feel safe.</w:t>
      </w:r>
    </w:p>
    <w:p w14:paraId="25D8BF14" w14:textId="77777777" w:rsidR="00DD6AB2" w:rsidRPr="00DD6AB2" w:rsidRDefault="00DD6AB2" w:rsidP="00DD6AB2">
      <w:pPr>
        <w:spacing w:line="360" w:lineRule="auto"/>
        <w:rPr>
          <w:rFonts w:ascii="Arial" w:hAnsi="Arial" w:cs="Arial"/>
          <w:sz w:val="22"/>
          <w:szCs w:val="22"/>
        </w:rPr>
      </w:pPr>
    </w:p>
    <w:p w14:paraId="0727337E"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Challenges When Applying the Theory</w:t>
      </w:r>
    </w:p>
    <w:p w14:paraId="05EF185B"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Communication barriers due to memory loss and confusion can make it hard for residents to express their feelings or take part in conversations.  </w:t>
      </w:r>
    </w:p>
    <w:p w14:paraId="40861BA6"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 xml:space="preserve">• Staff may not have enough time during busy shifts to engage in reminiscence activities for long periods.  </w:t>
      </w:r>
    </w:p>
    <w:p w14:paraId="73DF78CE"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Some </w:t>
      </w:r>
      <w:proofErr w:type="gramStart"/>
      <w:r w:rsidRPr="00DD6AB2">
        <w:rPr>
          <w:rFonts w:ascii="Arial" w:hAnsi="Arial" w:cs="Arial"/>
          <w:sz w:val="22"/>
          <w:szCs w:val="22"/>
        </w:rPr>
        <w:t>past memories</w:t>
      </w:r>
      <w:proofErr w:type="gramEnd"/>
      <w:r w:rsidRPr="00DD6AB2">
        <w:rPr>
          <w:rFonts w:ascii="Arial" w:hAnsi="Arial" w:cs="Arial"/>
          <w:sz w:val="22"/>
          <w:szCs w:val="22"/>
        </w:rPr>
        <w:t xml:space="preserve"> may be upsetting or confusing for the resident.</w:t>
      </w:r>
    </w:p>
    <w:p w14:paraId="5F2A7E4E" w14:textId="77777777" w:rsidR="00DD6AB2" w:rsidRPr="00DD6AB2" w:rsidRDefault="00DD6AB2" w:rsidP="00DD6AB2">
      <w:pPr>
        <w:spacing w:line="360" w:lineRule="auto"/>
        <w:rPr>
          <w:rFonts w:ascii="Arial" w:hAnsi="Arial" w:cs="Arial"/>
          <w:sz w:val="22"/>
          <w:szCs w:val="22"/>
        </w:rPr>
      </w:pPr>
    </w:p>
    <w:p w14:paraId="7C3C5FC2"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Strategies to Overcome These Challenges</w:t>
      </w:r>
    </w:p>
    <w:p w14:paraId="3332851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Use short, simple questions and prompts to help residents recall positive memories.  </w:t>
      </w:r>
    </w:p>
    <w:p w14:paraId="3429C29D"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Build reminiscence activities into the daily routine so they become a natural part of care.  </w:t>
      </w:r>
    </w:p>
    <w:p w14:paraId="411BDE6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Work with families to create life story books that staff can use in quieter moments.  </w:t>
      </w:r>
    </w:p>
    <w:p w14:paraId="652FAEF7"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Provide staff training on dementia</w:t>
      </w:r>
      <w:r w:rsidRPr="00DD6AB2">
        <w:rPr>
          <w:rFonts w:ascii="Cambria Math" w:hAnsi="Cambria Math" w:cs="Cambria Math"/>
          <w:sz w:val="22"/>
          <w:szCs w:val="22"/>
        </w:rPr>
        <w:t>‑</w:t>
      </w:r>
      <w:r w:rsidRPr="00DD6AB2">
        <w:rPr>
          <w:rFonts w:ascii="Arial" w:hAnsi="Arial" w:cs="Arial"/>
          <w:sz w:val="22"/>
          <w:szCs w:val="22"/>
        </w:rPr>
        <w:t>friendly communication techniques such as using slow speech, gentle tone, and clear language.</w:t>
      </w:r>
    </w:p>
    <w:p w14:paraId="7158379B" w14:textId="77777777" w:rsidR="00DD6AB2" w:rsidRPr="00DD6AB2" w:rsidRDefault="00DD6AB2" w:rsidP="00DD6AB2">
      <w:pPr>
        <w:spacing w:line="360" w:lineRule="auto"/>
        <w:rPr>
          <w:rFonts w:ascii="Arial" w:hAnsi="Arial" w:cs="Arial"/>
          <w:sz w:val="22"/>
          <w:szCs w:val="22"/>
        </w:rPr>
      </w:pPr>
    </w:p>
    <w:p w14:paraId="4678498F" w14:textId="77777777" w:rsidR="00DD6AB2" w:rsidRDefault="00DD6AB2" w:rsidP="00DD6AB2">
      <w:pPr>
        <w:spacing w:line="360" w:lineRule="auto"/>
        <w:rPr>
          <w:rFonts w:ascii="Arial" w:hAnsi="Arial" w:cs="Arial"/>
          <w:sz w:val="22"/>
          <w:szCs w:val="22"/>
        </w:rPr>
      </w:pPr>
    </w:p>
    <w:p w14:paraId="269ED1A2" w14:textId="77777777" w:rsidR="00DD6AB2" w:rsidRDefault="00DD6AB2" w:rsidP="00DD6AB2">
      <w:pPr>
        <w:spacing w:line="360" w:lineRule="auto"/>
        <w:rPr>
          <w:rFonts w:ascii="Arial" w:hAnsi="Arial" w:cs="Arial"/>
          <w:sz w:val="22"/>
          <w:szCs w:val="22"/>
        </w:rPr>
      </w:pPr>
    </w:p>
    <w:p w14:paraId="605A3B81" w14:textId="7B467DC6"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Theory 2: The Person</w:t>
      </w:r>
      <w:r w:rsidRPr="00DD6AB2">
        <w:rPr>
          <w:rFonts w:ascii="Cambria Math" w:hAnsi="Cambria Math" w:cs="Cambria Math"/>
          <w:b/>
          <w:bCs/>
          <w:sz w:val="22"/>
          <w:szCs w:val="22"/>
          <w:u w:val="single"/>
        </w:rPr>
        <w:t>‑</w:t>
      </w:r>
      <w:r w:rsidRPr="00DD6AB2">
        <w:rPr>
          <w:rFonts w:ascii="Arial" w:hAnsi="Arial" w:cs="Arial"/>
          <w:b/>
          <w:bCs/>
          <w:sz w:val="22"/>
          <w:szCs w:val="22"/>
          <w:u w:val="single"/>
        </w:rPr>
        <w:t>Centred Approach</w:t>
      </w:r>
    </w:p>
    <w:p w14:paraId="00A9A9F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The Person</w:t>
      </w:r>
      <w:r w:rsidRPr="00DD6AB2">
        <w:rPr>
          <w:rFonts w:ascii="Cambria Math" w:hAnsi="Cambria Math" w:cs="Cambria Math"/>
          <w:sz w:val="22"/>
          <w:szCs w:val="22"/>
        </w:rPr>
        <w:t>‑</w:t>
      </w:r>
      <w:r w:rsidRPr="00DD6AB2">
        <w:rPr>
          <w:rFonts w:ascii="Arial" w:hAnsi="Arial" w:cs="Arial"/>
          <w:sz w:val="22"/>
          <w:szCs w:val="22"/>
        </w:rPr>
        <w:t>Centred Approach, developed by Carl Rogers, focuses on valuing the person as an individual. It emphasises empathy, active listening, respect, and recognising each person’s unique experiences. In dementia care, this approach means seeing the resident as more than their condition and understanding their personality, preferences, and emotional needs.</w:t>
      </w:r>
    </w:p>
    <w:p w14:paraId="07EB3EDB" w14:textId="77777777" w:rsidR="00DD6AB2" w:rsidRPr="00DD6AB2" w:rsidRDefault="00DD6AB2" w:rsidP="00DD6AB2">
      <w:pPr>
        <w:spacing w:line="360" w:lineRule="auto"/>
        <w:rPr>
          <w:rFonts w:ascii="Arial" w:hAnsi="Arial" w:cs="Arial"/>
          <w:sz w:val="22"/>
          <w:szCs w:val="22"/>
        </w:rPr>
      </w:pPr>
    </w:p>
    <w:p w14:paraId="66D71945"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Relevance to Older Adults with Dementia</w:t>
      </w:r>
    </w:p>
    <w:p w14:paraId="64F15CDE"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Dementia can cause adults to lose confidence, independence, and their sense of identity. A person</w:t>
      </w:r>
      <w:r w:rsidRPr="00DD6AB2">
        <w:rPr>
          <w:rFonts w:ascii="Cambria Math" w:hAnsi="Cambria Math" w:cs="Cambria Math"/>
          <w:sz w:val="22"/>
          <w:szCs w:val="22"/>
        </w:rPr>
        <w:t>‑</w:t>
      </w:r>
      <w:r w:rsidRPr="00DD6AB2">
        <w:rPr>
          <w:rFonts w:ascii="Arial" w:hAnsi="Arial" w:cs="Arial"/>
          <w:sz w:val="22"/>
          <w:szCs w:val="22"/>
        </w:rPr>
        <w:t>centred approach helps maintain dignity and emotional wellbeing by focusing on what the person can still do, rather than what they have lost. It encourages meaningful interactions and helps reduce anxiety and behavioural challenges. Older adults also benefit from consistent routines, familiar environments, and carers who understand their personal history.</w:t>
      </w:r>
    </w:p>
    <w:p w14:paraId="1A84AF48" w14:textId="77777777" w:rsidR="00DD6AB2" w:rsidRPr="00DD6AB2" w:rsidRDefault="00DD6AB2" w:rsidP="00DD6AB2">
      <w:pPr>
        <w:spacing w:line="360" w:lineRule="auto"/>
        <w:rPr>
          <w:rFonts w:ascii="Arial" w:hAnsi="Arial" w:cs="Arial"/>
          <w:sz w:val="22"/>
          <w:szCs w:val="22"/>
        </w:rPr>
      </w:pPr>
    </w:p>
    <w:p w14:paraId="2B8C418A" w14:textId="77777777" w:rsidR="00DD6AB2" w:rsidRDefault="00DD6AB2" w:rsidP="00DD6AB2">
      <w:pPr>
        <w:spacing w:line="360" w:lineRule="auto"/>
        <w:rPr>
          <w:rFonts w:ascii="Arial" w:hAnsi="Arial" w:cs="Arial"/>
          <w:b/>
          <w:bCs/>
          <w:sz w:val="22"/>
          <w:szCs w:val="22"/>
          <w:u w:val="single"/>
        </w:rPr>
      </w:pPr>
    </w:p>
    <w:p w14:paraId="6F450F95" w14:textId="20F9D5D0"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lastRenderedPageBreak/>
        <w:t>Application of the Person</w:t>
      </w:r>
      <w:r w:rsidRPr="00DD6AB2">
        <w:rPr>
          <w:rFonts w:ascii="Cambria Math" w:hAnsi="Cambria Math" w:cs="Cambria Math"/>
          <w:b/>
          <w:bCs/>
          <w:sz w:val="22"/>
          <w:szCs w:val="22"/>
          <w:u w:val="single"/>
        </w:rPr>
        <w:t>‑</w:t>
      </w:r>
      <w:r w:rsidRPr="00DD6AB2">
        <w:rPr>
          <w:rFonts w:ascii="Arial" w:hAnsi="Arial" w:cs="Arial"/>
          <w:b/>
          <w:bCs/>
          <w:sz w:val="22"/>
          <w:szCs w:val="22"/>
          <w:u w:val="single"/>
        </w:rPr>
        <w:t>Centred Approach in Dementia Care</w:t>
      </w:r>
    </w:p>
    <w:p w14:paraId="4773AA5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1. Individualised care plans  </w:t>
      </w:r>
    </w:p>
    <w:p w14:paraId="3B5A6B9A"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Care plans should be based on each resident’s background, likes, dislikes, cultural beliefs, and past routines. For example, if a resident enjoyed gardening, staff </w:t>
      </w:r>
      <w:proofErr w:type="gramStart"/>
      <w:r w:rsidRPr="00DD6AB2">
        <w:rPr>
          <w:rFonts w:ascii="Arial" w:hAnsi="Arial" w:cs="Arial"/>
          <w:sz w:val="22"/>
          <w:szCs w:val="22"/>
        </w:rPr>
        <w:t>can</w:t>
      </w:r>
      <w:proofErr w:type="gramEnd"/>
      <w:r w:rsidRPr="00DD6AB2">
        <w:rPr>
          <w:rFonts w:ascii="Arial" w:hAnsi="Arial" w:cs="Arial"/>
          <w:sz w:val="22"/>
          <w:szCs w:val="22"/>
        </w:rPr>
        <w:t xml:space="preserve"> offer gardening</w:t>
      </w:r>
      <w:r w:rsidRPr="00DD6AB2">
        <w:rPr>
          <w:rFonts w:ascii="Cambria Math" w:hAnsi="Cambria Math" w:cs="Cambria Math"/>
          <w:sz w:val="22"/>
          <w:szCs w:val="22"/>
        </w:rPr>
        <w:t>‑</w:t>
      </w:r>
      <w:r w:rsidRPr="00DD6AB2">
        <w:rPr>
          <w:rFonts w:ascii="Arial" w:hAnsi="Arial" w:cs="Arial"/>
          <w:sz w:val="22"/>
          <w:szCs w:val="22"/>
        </w:rPr>
        <w:t>related activities. If someone prefers a quiet environment, staff can support them in a calm area of the home.</w:t>
      </w:r>
    </w:p>
    <w:p w14:paraId="16DEBBEE" w14:textId="77777777" w:rsidR="00DD6AB2" w:rsidRPr="00DD6AB2" w:rsidRDefault="00DD6AB2" w:rsidP="00DD6AB2">
      <w:pPr>
        <w:spacing w:line="360" w:lineRule="auto"/>
        <w:rPr>
          <w:rFonts w:ascii="Arial" w:hAnsi="Arial" w:cs="Arial"/>
          <w:sz w:val="22"/>
          <w:szCs w:val="22"/>
        </w:rPr>
      </w:pPr>
    </w:p>
    <w:p w14:paraId="79DC49C9"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2. Empathetic communication  </w:t>
      </w:r>
    </w:p>
    <w:p w14:paraId="1307AA4B"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Staff can use active listening, gentle touch (when appropriate), and respectful language. By showing empathy, carers help reduce fear and frustration. This approach helps residents feel secure and valued.</w:t>
      </w:r>
    </w:p>
    <w:p w14:paraId="281CC5E8" w14:textId="77777777" w:rsidR="00DD6AB2" w:rsidRPr="00DD6AB2" w:rsidRDefault="00DD6AB2" w:rsidP="00DD6AB2">
      <w:pPr>
        <w:spacing w:line="360" w:lineRule="auto"/>
        <w:rPr>
          <w:rFonts w:ascii="Arial" w:hAnsi="Arial" w:cs="Arial"/>
          <w:sz w:val="22"/>
          <w:szCs w:val="22"/>
        </w:rPr>
      </w:pPr>
    </w:p>
    <w:p w14:paraId="72E113C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3. Meaningful activities  </w:t>
      </w:r>
    </w:p>
    <w:p w14:paraId="3FC0592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Activities should be adapted to the resident’s abilities. Examples include painting, singing, baking, simple exercise, or sensory activities. Meaningful engagement reduces boredom and supports emotional wellbeing.</w:t>
      </w:r>
    </w:p>
    <w:p w14:paraId="51287532" w14:textId="77777777" w:rsidR="00DD6AB2" w:rsidRPr="00DD6AB2" w:rsidRDefault="00DD6AB2" w:rsidP="00DD6AB2">
      <w:pPr>
        <w:spacing w:line="360" w:lineRule="auto"/>
        <w:rPr>
          <w:rFonts w:ascii="Arial" w:hAnsi="Arial" w:cs="Arial"/>
          <w:sz w:val="22"/>
          <w:szCs w:val="22"/>
        </w:rPr>
      </w:pPr>
    </w:p>
    <w:p w14:paraId="1824E512"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4. Creating a calm environment  </w:t>
      </w:r>
    </w:p>
    <w:p w14:paraId="5A749836"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 calm setting is essential for reducing distress. Soft lighting, reduced noise, and clear signage help residents navigate the space more easily. This supports positive behaviour and reduces confusion.</w:t>
      </w:r>
    </w:p>
    <w:p w14:paraId="4600440E" w14:textId="77777777" w:rsidR="00DD6AB2" w:rsidRPr="00DD6AB2" w:rsidRDefault="00DD6AB2" w:rsidP="00DD6AB2">
      <w:pPr>
        <w:spacing w:line="360" w:lineRule="auto"/>
        <w:rPr>
          <w:rFonts w:ascii="Arial" w:hAnsi="Arial" w:cs="Arial"/>
          <w:sz w:val="22"/>
          <w:szCs w:val="22"/>
        </w:rPr>
      </w:pPr>
    </w:p>
    <w:p w14:paraId="32A93D62" w14:textId="77777777" w:rsidR="00DD6AB2" w:rsidRDefault="00DD6AB2" w:rsidP="00DD6AB2">
      <w:pPr>
        <w:spacing w:line="360" w:lineRule="auto"/>
        <w:rPr>
          <w:rFonts w:ascii="Arial" w:hAnsi="Arial" w:cs="Arial"/>
          <w:sz w:val="22"/>
          <w:szCs w:val="22"/>
        </w:rPr>
      </w:pPr>
    </w:p>
    <w:p w14:paraId="133FB145" w14:textId="5E1A512E"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Challenges of Applying the Person</w:t>
      </w:r>
      <w:r w:rsidRPr="00DD6AB2">
        <w:rPr>
          <w:rFonts w:ascii="Cambria Math" w:hAnsi="Cambria Math" w:cs="Cambria Math"/>
          <w:b/>
          <w:bCs/>
          <w:sz w:val="22"/>
          <w:szCs w:val="22"/>
          <w:u w:val="single"/>
        </w:rPr>
        <w:t>‑</w:t>
      </w:r>
      <w:r w:rsidRPr="00DD6AB2">
        <w:rPr>
          <w:rFonts w:ascii="Arial" w:hAnsi="Arial" w:cs="Arial"/>
          <w:b/>
          <w:bCs/>
          <w:sz w:val="22"/>
          <w:szCs w:val="22"/>
          <w:u w:val="single"/>
        </w:rPr>
        <w:t>Centred Approach</w:t>
      </w:r>
    </w:p>
    <w:p w14:paraId="0D8051ED"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High workloads and staffing shortages may limit the amount of one</w:t>
      </w:r>
      <w:r w:rsidRPr="00DD6AB2">
        <w:rPr>
          <w:rFonts w:ascii="Cambria Math" w:hAnsi="Cambria Math" w:cs="Cambria Math"/>
          <w:sz w:val="22"/>
          <w:szCs w:val="22"/>
        </w:rPr>
        <w:t>‑</w:t>
      </w:r>
      <w:r w:rsidRPr="00DD6AB2">
        <w:rPr>
          <w:rFonts w:ascii="Arial" w:hAnsi="Arial" w:cs="Arial"/>
          <w:sz w:val="22"/>
          <w:szCs w:val="22"/>
        </w:rPr>
        <w:t>to</w:t>
      </w:r>
      <w:r w:rsidRPr="00DD6AB2">
        <w:rPr>
          <w:rFonts w:ascii="Cambria Math" w:hAnsi="Cambria Math" w:cs="Cambria Math"/>
          <w:sz w:val="22"/>
          <w:szCs w:val="22"/>
        </w:rPr>
        <w:t>‑</w:t>
      </w:r>
      <w:r w:rsidRPr="00DD6AB2">
        <w:rPr>
          <w:rFonts w:ascii="Arial" w:hAnsi="Arial" w:cs="Arial"/>
          <w:sz w:val="22"/>
          <w:szCs w:val="22"/>
        </w:rPr>
        <w:t xml:space="preserve">one time available.  </w:t>
      </w:r>
    </w:p>
    <w:p w14:paraId="0ED3AAD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Some staff may focus more on completing tasks quickly rather than forming relationships.  </w:t>
      </w:r>
    </w:p>
    <w:p w14:paraId="694EE23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Inconsistent staffing can make it difficult for residents to build trust with carers.  </w:t>
      </w:r>
    </w:p>
    <w:p w14:paraId="12490A1C"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Coordinating person</w:t>
      </w:r>
      <w:r w:rsidRPr="00DD6AB2">
        <w:rPr>
          <w:rFonts w:ascii="Cambria Math" w:hAnsi="Cambria Math" w:cs="Cambria Math"/>
          <w:sz w:val="22"/>
          <w:szCs w:val="22"/>
        </w:rPr>
        <w:t>‑</w:t>
      </w:r>
      <w:r w:rsidRPr="00DD6AB2">
        <w:rPr>
          <w:rFonts w:ascii="Arial" w:hAnsi="Arial" w:cs="Arial"/>
          <w:sz w:val="22"/>
          <w:szCs w:val="22"/>
        </w:rPr>
        <w:t>centred activities for all residents can be challenging in a busy environment.</w:t>
      </w:r>
    </w:p>
    <w:p w14:paraId="17159B82" w14:textId="77777777" w:rsidR="00DD6AB2" w:rsidRPr="00DD6AB2" w:rsidRDefault="00DD6AB2" w:rsidP="00DD6AB2">
      <w:pPr>
        <w:spacing w:line="360" w:lineRule="auto"/>
        <w:rPr>
          <w:rFonts w:ascii="Arial" w:hAnsi="Arial" w:cs="Arial"/>
          <w:sz w:val="22"/>
          <w:szCs w:val="22"/>
        </w:rPr>
      </w:pPr>
    </w:p>
    <w:p w14:paraId="32FB7AB5"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Strategies to Overcome These Challenges</w:t>
      </w:r>
    </w:p>
    <w:p w14:paraId="749F393C"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Introduce a key worker system so residents have a consistent carer they trust.  </w:t>
      </w:r>
    </w:p>
    <w:p w14:paraId="1B639794"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Provide staff training on person</w:t>
      </w:r>
      <w:r w:rsidRPr="00DD6AB2">
        <w:rPr>
          <w:rFonts w:ascii="Cambria Math" w:hAnsi="Cambria Math" w:cs="Cambria Math"/>
          <w:sz w:val="22"/>
          <w:szCs w:val="22"/>
        </w:rPr>
        <w:t>‑</w:t>
      </w:r>
      <w:r w:rsidRPr="00DD6AB2">
        <w:rPr>
          <w:rFonts w:ascii="Arial" w:hAnsi="Arial" w:cs="Arial"/>
          <w:sz w:val="22"/>
          <w:szCs w:val="22"/>
        </w:rPr>
        <w:t xml:space="preserve">centred values and reflective practice.  </w:t>
      </w:r>
    </w:p>
    <w:p w14:paraId="56BAC814"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Encourage teamwork so carers can support each other in delivering personalised care.  </w:t>
      </w:r>
    </w:p>
    <w:p w14:paraId="569A93C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Integrate small person</w:t>
      </w:r>
      <w:r w:rsidRPr="00DD6AB2">
        <w:rPr>
          <w:rFonts w:ascii="Cambria Math" w:hAnsi="Cambria Math" w:cs="Cambria Math"/>
          <w:sz w:val="22"/>
          <w:szCs w:val="22"/>
        </w:rPr>
        <w:t>‑</w:t>
      </w:r>
      <w:r w:rsidRPr="00DD6AB2">
        <w:rPr>
          <w:rFonts w:ascii="Arial" w:hAnsi="Arial" w:cs="Arial"/>
          <w:sz w:val="22"/>
          <w:szCs w:val="22"/>
        </w:rPr>
        <w:t>centred actions into everyday routines, such as using preferred names, speaking slowly, and allowing extra time for decisions.</w:t>
      </w:r>
    </w:p>
    <w:p w14:paraId="03237A48" w14:textId="77777777" w:rsidR="00DD6AB2" w:rsidRPr="00DD6AB2" w:rsidRDefault="00DD6AB2" w:rsidP="00DD6AB2">
      <w:pPr>
        <w:spacing w:line="360" w:lineRule="auto"/>
        <w:rPr>
          <w:rFonts w:ascii="Arial" w:hAnsi="Arial" w:cs="Arial"/>
          <w:b/>
          <w:bCs/>
          <w:sz w:val="22"/>
          <w:szCs w:val="22"/>
          <w:u w:val="single"/>
        </w:rPr>
      </w:pPr>
    </w:p>
    <w:p w14:paraId="0316D8DA"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Conclusion</w:t>
      </w:r>
    </w:p>
    <w:p w14:paraId="1E89DB9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Both Erikson’s Psychosocial Theory and the Person</w:t>
      </w:r>
      <w:r w:rsidRPr="00DD6AB2">
        <w:rPr>
          <w:rFonts w:ascii="Cambria Math" w:hAnsi="Cambria Math" w:cs="Cambria Math"/>
          <w:sz w:val="22"/>
          <w:szCs w:val="22"/>
        </w:rPr>
        <w:t>‑</w:t>
      </w:r>
      <w:r w:rsidRPr="00DD6AB2">
        <w:rPr>
          <w:rFonts w:ascii="Arial" w:hAnsi="Arial" w:cs="Arial"/>
          <w:sz w:val="22"/>
          <w:szCs w:val="22"/>
        </w:rPr>
        <w:t>Centred Approach provide valuable guidance for supporting older adults living in dementia care homes. Erikson’s theory helps staff understand emotional needs linked to identity, memory, and life reflection, while the Person</w:t>
      </w:r>
      <w:r w:rsidRPr="00DD6AB2">
        <w:rPr>
          <w:rFonts w:ascii="Cambria Math" w:hAnsi="Cambria Math" w:cs="Cambria Math"/>
          <w:sz w:val="22"/>
          <w:szCs w:val="22"/>
        </w:rPr>
        <w:t>‑</w:t>
      </w:r>
      <w:r w:rsidRPr="00DD6AB2">
        <w:rPr>
          <w:rFonts w:ascii="Arial" w:hAnsi="Arial" w:cs="Arial"/>
          <w:sz w:val="22"/>
          <w:szCs w:val="22"/>
        </w:rPr>
        <w:t>Centred Approach focuses on individuality, empathy, and meaningful communication. Applying these theories can improve residents’ wellbeing, reduce distress, and create a supportive environment. Health and social care professionals must also be aware of challenges such as communication difficulties, staffing pressures, and time constraints. However, with training, reflective practice, and consistent routines, staff can successfully implement these approaches and provide compassionate, effective care for older adults with dementia.</w:t>
      </w:r>
    </w:p>
    <w:p w14:paraId="29BB249F" w14:textId="77777777" w:rsidR="00DD6AB2" w:rsidRPr="00DD6AB2" w:rsidRDefault="00DD6AB2" w:rsidP="00DD6AB2">
      <w:pPr>
        <w:spacing w:line="360" w:lineRule="auto"/>
        <w:rPr>
          <w:rFonts w:ascii="Arial" w:hAnsi="Arial" w:cs="Arial"/>
          <w:sz w:val="22"/>
          <w:szCs w:val="22"/>
        </w:rPr>
      </w:pPr>
    </w:p>
    <w:p w14:paraId="09E874DF" w14:textId="77777777" w:rsidR="00DD6AB2" w:rsidRPr="00DD6AB2" w:rsidRDefault="00DD6AB2" w:rsidP="00DD6AB2">
      <w:pPr>
        <w:spacing w:line="360" w:lineRule="auto"/>
        <w:rPr>
          <w:rFonts w:ascii="Arial" w:hAnsi="Arial" w:cs="Arial"/>
          <w:sz w:val="22"/>
          <w:szCs w:val="22"/>
        </w:rPr>
      </w:pPr>
    </w:p>
    <w:p w14:paraId="46CE8C50" w14:textId="77777777" w:rsidR="00DD6AB2" w:rsidRPr="00DD6AB2" w:rsidRDefault="00DD6AB2" w:rsidP="00DD6AB2">
      <w:pPr>
        <w:spacing w:line="360" w:lineRule="auto"/>
        <w:rPr>
          <w:rFonts w:ascii="Arial" w:hAnsi="Arial" w:cs="Arial"/>
          <w:sz w:val="22"/>
          <w:szCs w:val="22"/>
        </w:rPr>
      </w:pPr>
    </w:p>
    <w:p w14:paraId="2B140A04" w14:textId="77777777" w:rsidR="00DD6AB2" w:rsidRPr="00DD6AB2" w:rsidRDefault="00DD6AB2" w:rsidP="00DD6AB2">
      <w:pPr>
        <w:spacing w:line="360" w:lineRule="auto"/>
        <w:rPr>
          <w:rFonts w:ascii="Arial" w:hAnsi="Arial" w:cs="Arial"/>
          <w:sz w:val="22"/>
          <w:szCs w:val="22"/>
        </w:rPr>
      </w:pPr>
    </w:p>
    <w:p w14:paraId="000E483C" w14:textId="77777777" w:rsidR="00DD6AB2" w:rsidRPr="00DD6AB2" w:rsidRDefault="00DD6AB2" w:rsidP="00DD6AB2">
      <w:pPr>
        <w:spacing w:line="360" w:lineRule="auto"/>
        <w:rPr>
          <w:rFonts w:ascii="Arial" w:hAnsi="Arial" w:cs="Arial"/>
          <w:sz w:val="22"/>
          <w:szCs w:val="22"/>
        </w:rPr>
      </w:pPr>
    </w:p>
    <w:p w14:paraId="79AB57F1" w14:textId="77777777" w:rsidR="00DD6AB2" w:rsidRPr="00DD6AB2" w:rsidRDefault="00DD6AB2" w:rsidP="00DD6AB2">
      <w:pPr>
        <w:spacing w:line="360" w:lineRule="auto"/>
        <w:rPr>
          <w:rFonts w:ascii="Arial" w:hAnsi="Arial" w:cs="Arial"/>
          <w:sz w:val="22"/>
          <w:szCs w:val="22"/>
        </w:rPr>
      </w:pPr>
    </w:p>
    <w:p w14:paraId="377BC591" w14:textId="77777777" w:rsidR="00DD6AB2" w:rsidRPr="00DD6AB2" w:rsidRDefault="00DD6AB2" w:rsidP="00DD6AB2">
      <w:pPr>
        <w:spacing w:line="360" w:lineRule="auto"/>
        <w:rPr>
          <w:rFonts w:ascii="Arial" w:hAnsi="Arial" w:cs="Arial"/>
          <w:sz w:val="22"/>
          <w:szCs w:val="22"/>
        </w:rPr>
      </w:pPr>
    </w:p>
    <w:p w14:paraId="022D82D0" w14:textId="77777777" w:rsidR="00DD6AB2" w:rsidRPr="00DD6AB2" w:rsidRDefault="00DD6AB2" w:rsidP="00DD6AB2">
      <w:pPr>
        <w:spacing w:line="360" w:lineRule="auto"/>
        <w:rPr>
          <w:rFonts w:ascii="Arial" w:hAnsi="Arial" w:cs="Arial"/>
          <w:sz w:val="22"/>
          <w:szCs w:val="22"/>
        </w:rPr>
      </w:pPr>
    </w:p>
    <w:p w14:paraId="4A3D8143" w14:textId="77777777" w:rsidR="00DD6AB2" w:rsidRPr="00DD6AB2" w:rsidRDefault="00DD6AB2" w:rsidP="00DD6AB2">
      <w:pPr>
        <w:spacing w:line="360" w:lineRule="auto"/>
        <w:rPr>
          <w:rFonts w:ascii="Arial" w:hAnsi="Arial" w:cs="Arial"/>
          <w:sz w:val="22"/>
          <w:szCs w:val="22"/>
        </w:rPr>
      </w:pPr>
    </w:p>
    <w:p w14:paraId="4C0E3900" w14:textId="77777777" w:rsidR="00DD6AB2" w:rsidRPr="00DD6AB2" w:rsidRDefault="00DD6AB2" w:rsidP="00DD6AB2">
      <w:pPr>
        <w:spacing w:line="360" w:lineRule="auto"/>
        <w:rPr>
          <w:rFonts w:ascii="Arial" w:hAnsi="Arial" w:cs="Arial"/>
          <w:sz w:val="22"/>
          <w:szCs w:val="22"/>
        </w:rPr>
      </w:pPr>
    </w:p>
    <w:p w14:paraId="6BD675CB" w14:textId="77777777" w:rsidR="00DD6AB2" w:rsidRPr="00DD6AB2" w:rsidRDefault="00DD6AB2" w:rsidP="00DD6AB2">
      <w:pPr>
        <w:spacing w:line="360" w:lineRule="auto"/>
        <w:rPr>
          <w:rFonts w:ascii="Arial" w:hAnsi="Arial" w:cs="Arial"/>
          <w:sz w:val="22"/>
          <w:szCs w:val="22"/>
        </w:rPr>
      </w:pPr>
    </w:p>
    <w:p w14:paraId="0B78AD00" w14:textId="0E39E531" w:rsidR="00DD6AB2" w:rsidRPr="00DD6AB2" w:rsidRDefault="00DD6AB2" w:rsidP="00DD6AB2">
      <w:pPr>
        <w:spacing w:line="360" w:lineRule="auto"/>
        <w:rPr>
          <w:rFonts w:ascii="Arial" w:hAnsi="Arial" w:cs="Arial"/>
          <w:b/>
          <w:bCs/>
          <w:sz w:val="22"/>
          <w:szCs w:val="22"/>
        </w:rPr>
      </w:pPr>
      <w:r w:rsidRPr="00DD6AB2">
        <w:rPr>
          <w:rFonts w:ascii="Arial" w:hAnsi="Arial" w:cs="Arial"/>
          <w:b/>
          <w:bCs/>
          <w:sz w:val="22"/>
          <w:szCs w:val="22"/>
        </w:rPr>
        <w:t>References</w:t>
      </w:r>
    </w:p>
    <w:p w14:paraId="2F91862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Beech, N. and MacIntosh, R. (2012) Managing people and organisations in changing contexts. London: Routledge.</w:t>
      </w:r>
    </w:p>
    <w:p w14:paraId="7CD580DA"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Cavanagh, S. and Chadwick, K. (2015) Health and wellbeing in later life. London: SAGE.</w:t>
      </w:r>
    </w:p>
    <w:p w14:paraId="25BD2BD9" w14:textId="77777777" w:rsidR="00DD6AB2" w:rsidRPr="00DD6AB2" w:rsidRDefault="00DD6AB2" w:rsidP="00DD6AB2">
      <w:pPr>
        <w:spacing w:line="360" w:lineRule="auto"/>
        <w:rPr>
          <w:rFonts w:ascii="Arial" w:hAnsi="Arial" w:cs="Arial"/>
          <w:sz w:val="22"/>
          <w:szCs w:val="22"/>
        </w:rPr>
      </w:pPr>
      <w:proofErr w:type="spellStart"/>
      <w:r w:rsidRPr="00DD6AB2">
        <w:rPr>
          <w:rFonts w:ascii="Arial" w:hAnsi="Arial" w:cs="Arial"/>
          <w:sz w:val="22"/>
          <w:szCs w:val="22"/>
        </w:rPr>
        <w:t>Kitwood</w:t>
      </w:r>
      <w:proofErr w:type="spellEnd"/>
      <w:r w:rsidRPr="00DD6AB2">
        <w:rPr>
          <w:rFonts w:ascii="Arial" w:hAnsi="Arial" w:cs="Arial"/>
          <w:sz w:val="22"/>
          <w:szCs w:val="22"/>
        </w:rPr>
        <w:t>, T. (1997) Dementia reconsidered: The person comes first. Buckingham: Open University Press.</w:t>
      </w:r>
    </w:p>
    <w:p w14:paraId="6547F906"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McLeod, S. (2017) Erik Erikson’s theory of psychosocial development. Simply Psychology.</w:t>
      </w:r>
    </w:p>
    <w:p w14:paraId="1529492D"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Woods, B. and Clare, L. (2017) Handbook of the psychology of ageing. 8th </w:t>
      </w:r>
      <w:proofErr w:type="spellStart"/>
      <w:r w:rsidRPr="00DD6AB2">
        <w:rPr>
          <w:rFonts w:ascii="Arial" w:hAnsi="Arial" w:cs="Arial"/>
          <w:sz w:val="22"/>
          <w:szCs w:val="22"/>
        </w:rPr>
        <w:t>edn</w:t>
      </w:r>
      <w:proofErr w:type="spellEnd"/>
      <w:r w:rsidRPr="00DD6AB2">
        <w:rPr>
          <w:rFonts w:ascii="Arial" w:hAnsi="Arial" w:cs="Arial"/>
          <w:sz w:val="22"/>
          <w:szCs w:val="22"/>
        </w:rPr>
        <w:t>. London: Academic Press.</w:t>
      </w:r>
    </w:p>
    <w:p w14:paraId="6BE90FB2"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Rogers, C. (2004) On becoming a person. London: Constable.</w:t>
      </w:r>
    </w:p>
    <w:p w14:paraId="670C2363" w14:textId="77777777" w:rsidR="00DD6AB2" w:rsidRPr="00DD6AB2" w:rsidRDefault="00DD6AB2" w:rsidP="00DD6AB2">
      <w:pPr>
        <w:spacing w:line="360" w:lineRule="auto"/>
        <w:rPr>
          <w:rFonts w:ascii="Arial" w:hAnsi="Arial" w:cs="Arial"/>
          <w:sz w:val="22"/>
          <w:szCs w:val="22"/>
        </w:rPr>
      </w:pPr>
    </w:p>
    <w:p w14:paraId="097CC524" w14:textId="77777777" w:rsidR="005B00C1" w:rsidRPr="00DD6AB2" w:rsidRDefault="005B00C1" w:rsidP="00DD6AB2">
      <w:pPr>
        <w:spacing w:line="360" w:lineRule="auto"/>
        <w:jc w:val="center"/>
        <w:rPr>
          <w:rFonts w:ascii="Arial" w:hAnsi="Arial" w:cs="Arial"/>
          <w:sz w:val="22"/>
          <w:szCs w:val="22"/>
        </w:rPr>
      </w:pPr>
    </w:p>
    <w:sectPr w:rsidR="005B00C1" w:rsidRPr="00DD6A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0C1"/>
    <w:rsid w:val="000B52C7"/>
    <w:rsid w:val="005B00C1"/>
    <w:rsid w:val="00DD6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7DF21"/>
  <w15:chartTrackingRefBased/>
  <w15:docId w15:val="{D0C8377C-04E3-43F1-ACEA-DE7DC4E01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0C1"/>
    <w:rPr>
      <w:rFonts w:eastAsiaTheme="majorEastAsia" w:cstheme="majorBidi"/>
      <w:color w:val="272727" w:themeColor="text1" w:themeTint="D8"/>
    </w:rPr>
  </w:style>
  <w:style w:type="paragraph" w:styleId="Title">
    <w:name w:val="Title"/>
    <w:basedOn w:val="Normal"/>
    <w:next w:val="Normal"/>
    <w:link w:val="TitleChar"/>
    <w:uiPriority w:val="10"/>
    <w:qFormat/>
    <w:rsid w:val="005B0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0C1"/>
    <w:pPr>
      <w:spacing w:before="160"/>
      <w:jc w:val="center"/>
    </w:pPr>
    <w:rPr>
      <w:i/>
      <w:iCs/>
      <w:color w:val="404040" w:themeColor="text1" w:themeTint="BF"/>
    </w:rPr>
  </w:style>
  <w:style w:type="character" w:customStyle="1" w:styleId="QuoteChar">
    <w:name w:val="Quote Char"/>
    <w:basedOn w:val="DefaultParagraphFont"/>
    <w:link w:val="Quote"/>
    <w:uiPriority w:val="29"/>
    <w:rsid w:val="005B00C1"/>
    <w:rPr>
      <w:i/>
      <w:iCs/>
      <w:color w:val="404040" w:themeColor="text1" w:themeTint="BF"/>
    </w:rPr>
  </w:style>
  <w:style w:type="paragraph" w:styleId="ListParagraph">
    <w:name w:val="List Paragraph"/>
    <w:basedOn w:val="Normal"/>
    <w:uiPriority w:val="34"/>
    <w:qFormat/>
    <w:rsid w:val="005B00C1"/>
    <w:pPr>
      <w:ind w:left="720"/>
      <w:contextualSpacing/>
    </w:pPr>
  </w:style>
  <w:style w:type="character" w:styleId="IntenseEmphasis">
    <w:name w:val="Intense Emphasis"/>
    <w:basedOn w:val="DefaultParagraphFont"/>
    <w:uiPriority w:val="21"/>
    <w:qFormat/>
    <w:rsid w:val="005B00C1"/>
    <w:rPr>
      <w:i/>
      <w:iCs/>
      <w:color w:val="0F4761" w:themeColor="accent1" w:themeShade="BF"/>
    </w:rPr>
  </w:style>
  <w:style w:type="paragraph" w:styleId="IntenseQuote">
    <w:name w:val="Intense Quote"/>
    <w:basedOn w:val="Normal"/>
    <w:next w:val="Normal"/>
    <w:link w:val="IntenseQuoteChar"/>
    <w:uiPriority w:val="30"/>
    <w:qFormat/>
    <w:rsid w:val="005B0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0C1"/>
    <w:rPr>
      <w:i/>
      <w:iCs/>
      <w:color w:val="0F4761" w:themeColor="accent1" w:themeShade="BF"/>
    </w:rPr>
  </w:style>
  <w:style w:type="character" w:styleId="IntenseReference">
    <w:name w:val="Intense Reference"/>
    <w:basedOn w:val="DefaultParagraphFont"/>
    <w:uiPriority w:val="32"/>
    <w:qFormat/>
    <w:rsid w:val="005B00C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575DA-7CB8-4E5B-BD6F-63B739FBF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1350</Words>
  <Characters>7699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Parvez (2422433)</dc:creator>
  <cp:keywords/>
  <dc:description/>
  <cp:lastModifiedBy>Rizwan Parvez (2422433)</cp:lastModifiedBy>
  <cp:revision>1</cp:revision>
  <dcterms:created xsi:type="dcterms:W3CDTF">2025-11-18T06:56:00Z</dcterms:created>
  <dcterms:modified xsi:type="dcterms:W3CDTF">2025-11-18T07:18:00Z</dcterms:modified>
</cp:coreProperties>
</file>