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0E7DD7" w14:textId="39715BAD" w:rsidR="00241838" w:rsidRDefault="005F6A15">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sidRPr="00153370">
        <w:rPr>
          <w:b/>
          <w:bCs/>
          <w:noProof/>
          <w:sz w:val="24"/>
          <w:szCs w:val="24"/>
        </w:rPr>
        <w:drawing>
          <wp:inline distT="0" distB="0" distL="0" distR="0" wp14:anchorId="4CD6D66F" wp14:editId="68ED5150">
            <wp:extent cx="4894960" cy="2219325"/>
            <wp:effectExtent l="0" t="0" r="1270" b="0"/>
            <wp:docPr id="9" name="Picture 9" descr="D:\ASSIGNMENT WORK\PIYUSH HCM\uni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D:\ASSIGNMENT WORK\PIYUSH HCM\uni logo.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05244" cy="2223988"/>
                    </a:xfrm>
                    <a:prstGeom prst="rect">
                      <a:avLst/>
                    </a:prstGeom>
                    <a:noFill/>
                    <a:ln>
                      <a:noFill/>
                    </a:ln>
                  </pic:spPr>
                </pic:pic>
              </a:graphicData>
            </a:graphic>
          </wp:inline>
        </w:drawing>
      </w:r>
    </w:p>
    <w:p w14:paraId="387BED2D" w14:textId="77777777" w:rsidR="00241838" w:rsidRDefault="00241838" w:rsidP="005F6A15">
      <w:pPr>
        <w:pBdr>
          <w:top w:val="nil"/>
          <w:left w:val="nil"/>
          <w:bottom w:val="nil"/>
          <w:right w:val="nil"/>
          <w:between w:val="nil"/>
        </w:pBdr>
        <w:spacing w:line="360" w:lineRule="auto"/>
        <w:rPr>
          <w:rFonts w:ascii="Times New Roman" w:eastAsia="Times New Roman" w:hAnsi="Times New Roman" w:cs="Times New Roman"/>
          <w:b/>
          <w:color w:val="000000"/>
          <w:sz w:val="32"/>
          <w:szCs w:val="32"/>
        </w:rPr>
      </w:pPr>
    </w:p>
    <w:p w14:paraId="0546BADB"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ASSESSMENT COMPONENT: INDIVIDUAL REPORT ON ORGANISATIONAL EXPANSION PLAN OF IBM</w:t>
      </w:r>
    </w:p>
    <w:p w14:paraId="057B1F6E" w14:textId="77777777" w:rsidR="00241838" w:rsidRDefault="00241838">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5F717775" w14:textId="76A1D79A" w:rsidR="00241838"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Name:</w:t>
      </w:r>
      <w:r w:rsidR="00F028DF">
        <w:rPr>
          <w:rFonts w:ascii="Times New Roman" w:eastAsia="Times New Roman" w:hAnsi="Times New Roman" w:cs="Times New Roman"/>
          <w:b/>
          <w:color w:val="000000"/>
          <w:sz w:val="32"/>
          <w:szCs w:val="32"/>
        </w:rPr>
        <w:t xml:space="preserve"> G</w:t>
      </w:r>
      <w:r w:rsidR="00F028DF" w:rsidRPr="00F028DF">
        <w:rPr>
          <w:rFonts w:ascii="Times New Roman" w:eastAsia="Times New Roman" w:hAnsi="Times New Roman" w:cs="Times New Roman"/>
          <w:b/>
          <w:color w:val="000000"/>
          <w:sz w:val="32"/>
          <w:szCs w:val="32"/>
        </w:rPr>
        <w:t xml:space="preserve">ungun </w:t>
      </w:r>
      <w:proofErr w:type="spellStart"/>
      <w:r w:rsidR="00F028DF">
        <w:rPr>
          <w:rFonts w:ascii="Times New Roman" w:eastAsia="Times New Roman" w:hAnsi="Times New Roman" w:cs="Times New Roman"/>
          <w:b/>
          <w:color w:val="000000"/>
          <w:sz w:val="32"/>
          <w:szCs w:val="32"/>
        </w:rPr>
        <w:t>G</w:t>
      </w:r>
      <w:r w:rsidR="00F028DF" w:rsidRPr="00F028DF">
        <w:rPr>
          <w:rFonts w:ascii="Times New Roman" w:eastAsia="Times New Roman" w:hAnsi="Times New Roman" w:cs="Times New Roman"/>
          <w:b/>
          <w:color w:val="000000"/>
          <w:sz w:val="32"/>
          <w:szCs w:val="32"/>
        </w:rPr>
        <w:t>ehija</w:t>
      </w:r>
      <w:proofErr w:type="spellEnd"/>
    </w:p>
    <w:p w14:paraId="1F009BB2" w14:textId="29C912F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ID:</w:t>
      </w:r>
      <w:r w:rsidR="00F028DF">
        <w:rPr>
          <w:rFonts w:ascii="Times New Roman" w:eastAsia="Times New Roman" w:hAnsi="Times New Roman" w:cs="Times New Roman"/>
          <w:b/>
          <w:color w:val="000000"/>
          <w:sz w:val="32"/>
          <w:szCs w:val="32"/>
        </w:rPr>
        <w:t xml:space="preserve"> 2428872</w:t>
      </w:r>
    </w:p>
    <w:p w14:paraId="7561CD7C"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Module name: Strategic Management</w:t>
      </w:r>
    </w:p>
    <w:p w14:paraId="4414F560"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Module Code: LCMB7003</w:t>
      </w:r>
    </w:p>
    <w:p w14:paraId="731629EE"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Supervisor Name: Jia Miao</w:t>
      </w:r>
    </w:p>
    <w:p w14:paraId="3453894C" w14:textId="77777777" w:rsidR="00241838" w:rsidRDefault="00000000">
      <w:pPr>
        <w:rPr>
          <w:rFonts w:ascii="Times New Roman" w:eastAsia="Times New Roman" w:hAnsi="Times New Roman" w:cs="Times New Roman"/>
          <w:b/>
          <w:sz w:val="32"/>
          <w:szCs w:val="32"/>
        </w:rPr>
      </w:pPr>
      <w:r>
        <w:br w:type="page"/>
      </w:r>
    </w:p>
    <w:p w14:paraId="03C6E994" w14:textId="77777777" w:rsidR="00241838" w:rsidRDefault="00000000">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366091"/>
          <w:sz w:val="24"/>
          <w:szCs w:val="24"/>
        </w:rPr>
      </w:pPr>
      <w:r>
        <w:rPr>
          <w:rFonts w:ascii="Times New Roman" w:eastAsia="Times New Roman" w:hAnsi="Times New Roman" w:cs="Times New Roman"/>
          <w:b/>
          <w:color w:val="000000"/>
          <w:sz w:val="28"/>
          <w:szCs w:val="28"/>
        </w:rPr>
        <w:lastRenderedPageBreak/>
        <w:t>Table of Contents</w:t>
      </w:r>
    </w:p>
    <w:sdt>
      <w:sdtPr>
        <w:id w:val="32240874"/>
        <w:docPartObj>
          <w:docPartGallery w:val="Table of Contents"/>
          <w:docPartUnique/>
        </w:docPartObj>
      </w:sdtPr>
      <w:sdtContent>
        <w:p w14:paraId="00FB7264" w14:textId="77777777" w:rsidR="00241838"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dinuhg5h1zva">
            <w:r w:rsidR="00241838">
              <w:rPr>
                <w:rFonts w:ascii="Times New Roman" w:eastAsia="Times New Roman" w:hAnsi="Times New Roman" w:cs="Times New Roman"/>
                <w:color w:val="000000"/>
                <w:sz w:val="24"/>
                <w:szCs w:val="24"/>
              </w:rPr>
              <w:t>Introduction</w:t>
            </w:r>
            <w:r w:rsidR="00241838">
              <w:rPr>
                <w:rFonts w:ascii="Times New Roman" w:eastAsia="Times New Roman" w:hAnsi="Times New Roman" w:cs="Times New Roman"/>
                <w:color w:val="000000"/>
                <w:sz w:val="24"/>
                <w:szCs w:val="24"/>
              </w:rPr>
              <w:tab/>
              <w:t>3</w:t>
            </w:r>
          </w:hyperlink>
        </w:p>
        <w:p w14:paraId="49600C77" w14:textId="77777777" w:rsidR="00241838" w:rsidRDefault="0024183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42iow875anq9">
            <w:r>
              <w:rPr>
                <w:rFonts w:ascii="Times New Roman" w:eastAsia="Times New Roman" w:hAnsi="Times New Roman" w:cs="Times New Roman"/>
                <w:color w:val="000000"/>
                <w:sz w:val="24"/>
                <w:szCs w:val="24"/>
              </w:rPr>
              <w:t>Selection of Organisation and Target Market</w:t>
            </w:r>
            <w:r>
              <w:rPr>
                <w:rFonts w:ascii="Times New Roman" w:eastAsia="Times New Roman" w:hAnsi="Times New Roman" w:cs="Times New Roman"/>
                <w:color w:val="000000"/>
                <w:sz w:val="24"/>
                <w:szCs w:val="24"/>
              </w:rPr>
              <w:tab/>
              <w:t>3</w:t>
            </w:r>
          </w:hyperlink>
        </w:p>
        <w:p w14:paraId="04CB1C88" w14:textId="77777777" w:rsidR="00241838" w:rsidRDefault="0024183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wjtupmlxdv95">
            <w:r>
              <w:rPr>
                <w:rFonts w:ascii="Times New Roman" w:eastAsia="Times New Roman" w:hAnsi="Times New Roman" w:cs="Times New Roman"/>
                <w:color w:val="000000"/>
                <w:sz w:val="24"/>
                <w:szCs w:val="24"/>
              </w:rPr>
              <w:t>Overview of the organisation</w:t>
            </w:r>
            <w:r>
              <w:rPr>
                <w:rFonts w:ascii="Times New Roman" w:eastAsia="Times New Roman" w:hAnsi="Times New Roman" w:cs="Times New Roman"/>
                <w:color w:val="000000"/>
                <w:sz w:val="24"/>
                <w:szCs w:val="24"/>
              </w:rPr>
              <w:tab/>
              <w:t>3</w:t>
            </w:r>
          </w:hyperlink>
        </w:p>
        <w:p w14:paraId="7F12508A" w14:textId="77777777" w:rsidR="00241838" w:rsidRDefault="0024183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mdqk02hbu1wk">
            <w:r>
              <w:rPr>
                <w:rFonts w:ascii="Times New Roman" w:eastAsia="Times New Roman" w:hAnsi="Times New Roman" w:cs="Times New Roman"/>
                <w:color w:val="000000"/>
                <w:sz w:val="24"/>
                <w:szCs w:val="24"/>
              </w:rPr>
              <w:t>Proposed international market for expansion</w:t>
            </w:r>
            <w:r>
              <w:rPr>
                <w:rFonts w:ascii="Times New Roman" w:eastAsia="Times New Roman" w:hAnsi="Times New Roman" w:cs="Times New Roman"/>
                <w:color w:val="000000"/>
                <w:sz w:val="24"/>
                <w:szCs w:val="24"/>
              </w:rPr>
              <w:tab/>
              <w:t>4</w:t>
            </w:r>
          </w:hyperlink>
        </w:p>
        <w:p w14:paraId="7CA8B4BE" w14:textId="77777777" w:rsidR="00241838" w:rsidRDefault="0024183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s7uqq2fyv19a">
            <w:r>
              <w:rPr>
                <w:rFonts w:ascii="Times New Roman" w:eastAsia="Times New Roman" w:hAnsi="Times New Roman" w:cs="Times New Roman"/>
                <w:color w:val="000000"/>
                <w:sz w:val="24"/>
                <w:szCs w:val="24"/>
              </w:rPr>
              <w:t>Comprehensive Strategic Analysis</w:t>
            </w:r>
            <w:r>
              <w:rPr>
                <w:rFonts w:ascii="Times New Roman" w:eastAsia="Times New Roman" w:hAnsi="Times New Roman" w:cs="Times New Roman"/>
                <w:color w:val="000000"/>
                <w:sz w:val="24"/>
                <w:szCs w:val="24"/>
              </w:rPr>
              <w:tab/>
              <w:t>5</w:t>
            </w:r>
          </w:hyperlink>
        </w:p>
        <w:p w14:paraId="6F2ACB8A" w14:textId="77777777" w:rsidR="00241838" w:rsidRDefault="0024183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dr7mffz48tqs">
            <w:r>
              <w:rPr>
                <w:rFonts w:ascii="Times New Roman" w:eastAsia="Times New Roman" w:hAnsi="Times New Roman" w:cs="Times New Roman"/>
                <w:color w:val="000000"/>
                <w:sz w:val="24"/>
                <w:szCs w:val="24"/>
              </w:rPr>
              <w:t>Macro environmental factors</w:t>
            </w:r>
            <w:r>
              <w:rPr>
                <w:rFonts w:ascii="Times New Roman" w:eastAsia="Times New Roman" w:hAnsi="Times New Roman" w:cs="Times New Roman"/>
                <w:color w:val="000000"/>
                <w:sz w:val="24"/>
                <w:szCs w:val="24"/>
              </w:rPr>
              <w:tab/>
              <w:t>5</w:t>
            </w:r>
          </w:hyperlink>
        </w:p>
        <w:p w14:paraId="57CF6A56" w14:textId="77777777" w:rsidR="00241838" w:rsidRDefault="0024183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qwb56m8vgbqj">
            <w:r>
              <w:rPr>
                <w:rFonts w:ascii="Times New Roman" w:eastAsia="Times New Roman" w:hAnsi="Times New Roman" w:cs="Times New Roman"/>
                <w:color w:val="000000"/>
                <w:sz w:val="24"/>
                <w:szCs w:val="24"/>
              </w:rPr>
              <w:t>Micro-environmental factors</w:t>
            </w:r>
            <w:r>
              <w:rPr>
                <w:rFonts w:ascii="Times New Roman" w:eastAsia="Times New Roman" w:hAnsi="Times New Roman" w:cs="Times New Roman"/>
                <w:color w:val="000000"/>
                <w:sz w:val="24"/>
                <w:szCs w:val="24"/>
              </w:rPr>
              <w:tab/>
              <w:t>10</w:t>
            </w:r>
          </w:hyperlink>
        </w:p>
        <w:p w14:paraId="4B2F5329" w14:textId="77777777" w:rsidR="00241838" w:rsidRDefault="0024183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c9z3gbu2d4kd">
            <w:r>
              <w:rPr>
                <w:rFonts w:ascii="Times New Roman" w:eastAsia="Times New Roman" w:hAnsi="Times New Roman" w:cs="Times New Roman"/>
                <w:color w:val="000000"/>
                <w:sz w:val="24"/>
                <w:szCs w:val="24"/>
              </w:rPr>
              <w:t>Analysing competitive landscape</w:t>
            </w:r>
            <w:r>
              <w:rPr>
                <w:rFonts w:ascii="Times New Roman" w:eastAsia="Times New Roman" w:hAnsi="Times New Roman" w:cs="Times New Roman"/>
                <w:color w:val="000000"/>
                <w:sz w:val="24"/>
                <w:szCs w:val="24"/>
              </w:rPr>
              <w:tab/>
              <w:t>11</w:t>
            </w:r>
          </w:hyperlink>
        </w:p>
        <w:p w14:paraId="719637A4" w14:textId="77777777" w:rsidR="00241838" w:rsidRDefault="0024183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ys5eduh8j8i3">
            <w:r>
              <w:rPr>
                <w:rFonts w:ascii="Times New Roman" w:eastAsia="Times New Roman" w:hAnsi="Times New Roman" w:cs="Times New Roman"/>
                <w:color w:val="000000"/>
                <w:sz w:val="24"/>
                <w:szCs w:val="24"/>
              </w:rPr>
              <w:t>Effectiveness and limitations of the analytical tools</w:t>
            </w:r>
            <w:r>
              <w:rPr>
                <w:rFonts w:ascii="Times New Roman" w:eastAsia="Times New Roman" w:hAnsi="Times New Roman" w:cs="Times New Roman"/>
                <w:color w:val="000000"/>
                <w:sz w:val="24"/>
                <w:szCs w:val="24"/>
              </w:rPr>
              <w:tab/>
              <w:t>13</w:t>
            </w:r>
          </w:hyperlink>
        </w:p>
        <w:p w14:paraId="2AE17010" w14:textId="77777777" w:rsidR="00241838" w:rsidRDefault="0024183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ubnkg9duya50">
            <w:r>
              <w:rPr>
                <w:rFonts w:ascii="Times New Roman" w:eastAsia="Times New Roman" w:hAnsi="Times New Roman" w:cs="Times New Roman"/>
                <w:color w:val="000000"/>
                <w:sz w:val="24"/>
                <w:szCs w:val="24"/>
              </w:rPr>
              <w:t>Strategy Development and Formulation</w:t>
            </w:r>
            <w:r>
              <w:rPr>
                <w:rFonts w:ascii="Times New Roman" w:eastAsia="Times New Roman" w:hAnsi="Times New Roman" w:cs="Times New Roman"/>
                <w:color w:val="000000"/>
                <w:sz w:val="24"/>
                <w:szCs w:val="24"/>
              </w:rPr>
              <w:tab/>
              <w:t>14</w:t>
            </w:r>
          </w:hyperlink>
        </w:p>
        <w:p w14:paraId="2594D56E" w14:textId="77777777" w:rsidR="00241838" w:rsidRDefault="0024183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4wch9h7i1qxg">
            <w:r>
              <w:rPr>
                <w:rFonts w:ascii="Times New Roman" w:eastAsia="Times New Roman" w:hAnsi="Times New Roman" w:cs="Times New Roman"/>
                <w:color w:val="000000"/>
                <w:sz w:val="24"/>
                <w:szCs w:val="24"/>
              </w:rPr>
              <w:t>Strategic models to formulate a market entry strategy aligned with organisation’s objectives</w:t>
            </w:r>
            <w:r>
              <w:rPr>
                <w:rFonts w:ascii="Times New Roman" w:eastAsia="Times New Roman" w:hAnsi="Times New Roman" w:cs="Times New Roman"/>
                <w:color w:val="000000"/>
                <w:sz w:val="24"/>
                <w:szCs w:val="24"/>
              </w:rPr>
              <w:tab/>
              <w:t>14</w:t>
            </w:r>
          </w:hyperlink>
        </w:p>
        <w:p w14:paraId="59CC989A" w14:textId="77777777" w:rsidR="00241838" w:rsidRDefault="0024183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u25mk4qzkmg8">
            <w:r>
              <w:rPr>
                <w:rFonts w:ascii="Times New Roman" w:eastAsia="Times New Roman" w:hAnsi="Times New Roman" w:cs="Times New Roman"/>
                <w:color w:val="000000"/>
                <w:sz w:val="24"/>
                <w:szCs w:val="24"/>
              </w:rPr>
              <w:t>Analysing the process of establishing a competitive advantage in the chosen market by leveraging identified opportunities and addressing potential risks</w:t>
            </w:r>
            <w:r>
              <w:rPr>
                <w:rFonts w:ascii="Times New Roman" w:eastAsia="Times New Roman" w:hAnsi="Times New Roman" w:cs="Times New Roman"/>
                <w:color w:val="000000"/>
                <w:sz w:val="24"/>
                <w:szCs w:val="24"/>
              </w:rPr>
              <w:tab/>
              <w:t>17</w:t>
            </w:r>
          </w:hyperlink>
        </w:p>
        <w:p w14:paraId="19073C44" w14:textId="77777777" w:rsidR="00241838" w:rsidRDefault="0024183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yhqsydizp6pa">
            <w:r>
              <w:rPr>
                <w:rFonts w:ascii="Times New Roman" w:eastAsia="Times New Roman" w:hAnsi="Times New Roman" w:cs="Times New Roman"/>
                <w:color w:val="000000"/>
                <w:sz w:val="24"/>
                <w:szCs w:val="24"/>
              </w:rPr>
              <w:t>Performance Evaluation Framework</w:t>
            </w:r>
            <w:r>
              <w:rPr>
                <w:rFonts w:ascii="Times New Roman" w:eastAsia="Times New Roman" w:hAnsi="Times New Roman" w:cs="Times New Roman"/>
                <w:color w:val="000000"/>
                <w:sz w:val="24"/>
                <w:szCs w:val="24"/>
              </w:rPr>
              <w:tab/>
              <w:t>17</w:t>
            </w:r>
          </w:hyperlink>
        </w:p>
        <w:p w14:paraId="459FBAE5" w14:textId="77777777" w:rsidR="00241838" w:rsidRDefault="0024183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5p7mtbnvuxu0">
            <w:r>
              <w:rPr>
                <w:rFonts w:ascii="Times New Roman" w:eastAsia="Times New Roman" w:hAnsi="Times New Roman" w:cs="Times New Roman"/>
                <w:color w:val="000000"/>
                <w:sz w:val="24"/>
                <w:szCs w:val="24"/>
              </w:rPr>
              <w:t>Designing a Balanced Scorecard for analysing the KPIs</w:t>
            </w:r>
            <w:r>
              <w:rPr>
                <w:rFonts w:ascii="Times New Roman" w:eastAsia="Times New Roman" w:hAnsi="Times New Roman" w:cs="Times New Roman"/>
                <w:color w:val="000000"/>
                <w:sz w:val="24"/>
                <w:szCs w:val="24"/>
              </w:rPr>
              <w:tab/>
              <w:t>17</w:t>
            </w:r>
          </w:hyperlink>
        </w:p>
        <w:p w14:paraId="1BD1B3E4" w14:textId="77777777" w:rsidR="00241838" w:rsidRDefault="0024183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malad2o3s1q9">
            <w:r>
              <w:rPr>
                <w:rFonts w:ascii="Times New Roman" w:eastAsia="Times New Roman" w:hAnsi="Times New Roman" w:cs="Times New Roman"/>
                <w:color w:val="000000"/>
                <w:sz w:val="24"/>
                <w:szCs w:val="24"/>
              </w:rPr>
              <w:t>Analysing Triple Bottom Line by identifying the success metrics of IBM</w:t>
            </w:r>
            <w:r>
              <w:rPr>
                <w:rFonts w:ascii="Times New Roman" w:eastAsia="Times New Roman" w:hAnsi="Times New Roman" w:cs="Times New Roman"/>
                <w:color w:val="000000"/>
                <w:sz w:val="24"/>
                <w:szCs w:val="24"/>
              </w:rPr>
              <w:tab/>
              <w:t>18</w:t>
            </w:r>
          </w:hyperlink>
        </w:p>
        <w:p w14:paraId="56EEFD5B" w14:textId="77777777" w:rsidR="00241838" w:rsidRDefault="00241838">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oh8iz2ijqv73">
            <w:r>
              <w:rPr>
                <w:rFonts w:ascii="Times New Roman" w:eastAsia="Times New Roman" w:hAnsi="Times New Roman" w:cs="Times New Roman"/>
                <w:color w:val="000000"/>
                <w:sz w:val="24"/>
                <w:szCs w:val="24"/>
              </w:rPr>
              <w:t>Assessing the impact and progress of the expansion initiative of the company</w:t>
            </w:r>
            <w:r>
              <w:rPr>
                <w:rFonts w:ascii="Times New Roman" w:eastAsia="Times New Roman" w:hAnsi="Times New Roman" w:cs="Times New Roman"/>
                <w:color w:val="000000"/>
                <w:sz w:val="24"/>
                <w:szCs w:val="24"/>
              </w:rPr>
              <w:tab/>
              <w:t>19</w:t>
            </w:r>
          </w:hyperlink>
        </w:p>
        <w:p w14:paraId="297A697F" w14:textId="77777777" w:rsidR="00241838" w:rsidRDefault="0024183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wifr8b1amwib">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19</w:t>
            </w:r>
          </w:hyperlink>
        </w:p>
        <w:p w14:paraId="582DF405" w14:textId="77777777" w:rsidR="00241838" w:rsidRDefault="00241838">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gpinkr8x12eo">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t>21</w:t>
            </w:r>
          </w:hyperlink>
        </w:p>
        <w:p w14:paraId="75F73735" w14:textId="77777777" w:rsidR="00241838" w:rsidRDefault="00000000">
          <w:pPr>
            <w:spacing w:line="360" w:lineRule="auto"/>
            <w:jc w:val="both"/>
          </w:pPr>
          <w:r>
            <w:fldChar w:fldCharType="end"/>
          </w:r>
        </w:p>
      </w:sdtContent>
    </w:sdt>
    <w:p w14:paraId="280DF2D4" w14:textId="77777777" w:rsidR="00241838" w:rsidRDefault="00241838">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3A296B2F" w14:textId="77777777" w:rsidR="00241838" w:rsidRDefault="00000000">
      <w:pPr>
        <w:rPr>
          <w:rFonts w:ascii="Times New Roman" w:eastAsia="Times New Roman" w:hAnsi="Times New Roman" w:cs="Times New Roman"/>
          <w:b/>
          <w:sz w:val="28"/>
          <w:szCs w:val="28"/>
        </w:rPr>
      </w:pPr>
      <w:bookmarkStart w:id="0" w:name="_xmn93nf44e6e" w:colFirst="0" w:colLast="0"/>
      <w:bookmarkEnd w:id="0"/>
      <w:r>
        <w:br w:type="page"/>
      </w:r>
    </w:p>
    <w:p w14:paraId="6201BE71" w14:textId="77777777" w:rsidR="00241838" w:rsidRDefault="00000000">
      <w:pPr>
        <w:pStyle w:val="Heading1"/>
      </w:pPr>
      <w:bookmarkStart w:id="1" w:name="_dinuhg5h1zva" w:colFirst="0" w:colLast="0"/>
      <w:bookmarkEnd w:id="1"/>
      <w:r>
        <w:lastRenderedPageBreak/>
        <w:t xml:space="preserve">Introduction </w:t>
      </w:r>
    </w:p>
    <w:p w14:paraId="77F3E31E"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developed an organisational expansion plan of IBM based on the target market North Korea. Strategic analytical frameworks introduced in this module which helps to address macro and micro environmental factors for analysing market conditions. Through the theoretical model competitive landscape of this company is also addressed. This study also formulated a market entry strategy aligning with a strategic model which focuses on organisational objectives. Balance scorecards of this company are also developed for performance measurements and to identify effective KPIs of the business. Apart from this, sustainable measures of this company are also addressed in this study. All of these frameworks effectively impacted and elevated the process of expansion initiative. </w:t>
      </w:r>
    </w:p>
    <w:p w14:paraId="625CEF95" w14:textId="77777777" w:rsidR="00241838" w:rsidRDefault="00000000">
      <w:pPr>
        <w:pStyle w:val="Heading1"/>
      </w:pPr>
      <w:bookmarkStart w:id="2" w:name="_s7rn781fpg8v" w:colFirst="0" w:colLast="0"/>
      <w:bookmarkEnd w:id="2"/>
      <w:r>
        <w:t>Selection of Organisation and Target Market</w:t>
      </w:r>
    </w:p>
    <w:p w14:paraId="2260005F" w14:textId="77777777" w:rsidR="00241838" w:rsidRDefault="00000000">
      <w:pPr>
        <w:pStyle w:val="Heading2"/>
      </w:pPr>
      <w:bookmarkStart w:id="3" w:name="_v8tlq3rap1z2" w:colFirst="0" w:colLast="0"/>
      <w:bookmarkEnd w:id="3"/>
      <w:r>
        <w:t xml:space="preserve">Overview of the organisation </w:t>
      </w:r>
    </w:p>
    <w:p w14:paraId="57FAFCCD"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IBM is considered as the global tech giant founded in the year 1911 which is known for the hybrid cloud, consulting, AI and enterprise software. Moreover, this company focuses on helping the business to digitise solutions within data, relying on stronger R&amp;D, automation and security, automation and major innovations. The mission of IBM is to be the main catalyst that makes the world better and also aims to have the most positive impact globally and the communities (IBM, 2025). Through this, IBM focuses on operating through the business ethics, responsible technology and environmental commitment. IBM also focuses on providing the hybrid cloud platform and AI solution for complex data analysis and digital transformation. Deploying the software includes developing the data analytics and automation by designing, future-proofing and building the business (IBM, 2025). Moreover, the company can focus on solving the high technical problems and also enable the digital transformation for government and business globally.</w:t>
      </w:r>
    </w:p>
    <w:p w14:paraId="52C11877"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6809F79D" wp14:editId="616D29E2">
            <wp:extent cx="5734050" cy="304323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4050" cy="3043238"/>
                    </a:xfrm>
                    <a:prstGeom prst="rect">
                      <a:avLst/>
                    </a:prstGeom>
                    <a:ln/>
                  </pic:spPr>
                </pic:pic>
              </a:graphicData>
            </a:graphic>
          </wp:inline>
        </w:drawing>
      </w:r>
    </w:p>
    <w:p w14:paraId="54D47ED2"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Revenue of IBM</w:t>
      </w:r>
    </w:p>
    <w:p w14:paraId="77122636"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IBM, 2024)</w:t>
      </w:r>
    </w:p>
    <w:p w14:paraId="0E50E35A"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company also focuses on expertise within the strategy, global business process and application management. IBM focuses on determining the market expansion which focuses on the hybrid cloud and AI solutions, a comprehensive ecosystem and strategic partnerships of marketing and consulting support (IBM, 2024). The overall core strategy mainly resolves to become a leader within the AI market and hybrid cloud with a significant global opportunity. IBM is considered as the leading global hybrid cloud, business service and AI that help clients within different countries capitalise on insights from the data (IBM, 2025). This particular insight led IBM marketers to reflect the client engagement across different channels. The company also found that siloed data prevented marketers from delivering the consistent and relevant cross-channel experience. The company also determines the digital assets across the digital asset management platforms associated with metadata and standards.       </w:t>
      </w:r>
    </w:p>
    <w:p w14:paraId="502E9F61" w14:textId="77777777" w:rsidR="00241838" w:rsidRDefault="00000000">
      <w:pPr>
        <w:pStyle w:val="Heading2"/>
      </w:pPr>
      <w:bookmarkStart w:id="4" w:name="_1u8cabg4rt44" w:colFirst="0" w:colLast="0"/>
      <w:bookmarkEnd w:id="4"/>
      <w:r>
        <w:t xml:space="preserve">Proposed international market for expansion </w:t>
      </w:r>
    </w:p>
    <w:p w14:paraId="27A5221C"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proposed international market that is important for the expansion of IBM is North Korea and this country's market has potential opportunities within the educated, larger and younger IT workforce for outsourcing. Moreover, the country also has the desire for the foreign tech which is mainly overshadowed by the global sanctions that make the sanctions that make investment near the possible market (Le and Bach, 2022). The North Korean market is important for the IT processes that leverage the advanced tech ecosystems for the quantum computing processes which completely determine different situations. The North Korean market is having the larger pool of the younger workers that are technically capable especially </w:t>
      </w:r>
      <w:r>
        <w:rPr>
          <w:rFonts w:ascii="Times New Roman" w:eastAsia="Times New Roman" w:hAnsi="Times New Roman" w:cs="Times New Roman"/>
          <w:color w:val="000000"/>
          <w:sz w:val="24"/>
          <w:szCs w:val="24"/>
        </w:rPr>
        <w:lastRenderedPageBreak/>
        <w:t xml:space="preserve">within the IT potentially with the low labour costs. The company will be developing a better IT outsourcing where North Korea will actively focus on seeking IT collaboration (Koo and Kim, 2022). The market also offers services like ERP, BI systems and e-business with lower tariffs within India. The actual focus of IBM is in the Korean Peninsula for leveraging the advanced tech ecosystem for the quantum computing. The market also provides better manufacturing facilities that are having a completely strategic direction of the business market.      </w:t>
      </w:r>
    </w:p>
    <w:p w14:paraId="051A45CC" w14:textId="77777777" w:rsidR="00241838" w:rsidRDefault="00000000">
      <w:pPr>
        <w:pStyle w:val="Heading1"/>
      </w:pPr>
      <w:bookmarkStart w:id="5" w:name="_mvu5yabsgwbm" w:colFirst="0" w:colLast="0"/>
      <w:bookmarkEnd w:id="5"/>
      <w:r>
        <w:t xml:space="preserve">Comprehensive Strategic Analysis </w:t>
      </w:r>
    </w:p>
    <w:p w14:paraId="5BF44A5F" w14:textId="77777777" w:rsidR="00241838" w:rsidRDefault="00000000">
      <w:pPr>
        <w:pStyle w:val="Heading2"/>
      </w:pPr>
      <w:bookmarkStart w:id="6" w:name="_aohj9dfnr6re" w:colFirst="0" w:colLast="0"/>
      <w:bookmarkEnd w:id="6"/>
      <w:r>
        <w:t xml:space="preserve">Macro environmental factors </w:t>
      </w:r>
    </w:p>
    <w:p w14:paraId="45D5FF3E"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PESTLE Analysis</w:t>
      </w:r>
    </w:p>
    <w:p w14:paraId="3DADDA78"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PESTLE analysis helps to manage the external environment of an organisation based on its six factors which includes political, </w:t>
      </w:r>
      <w:proofErr w:type="spellStart"/>
      <w:r>
        <w:rPr>
          <w:rFonts w:ascii="Times New Roman" w:eastAsia="Times New Roman" w:hAnsi="Times New Roman" w:cs="Times New Roman"/>
          <w:color w:val="000000"/>
          <w:sz w:val="24"/>
          <w:szCs w:val="24"/>
        </w:rPr>
        <w:t>economical</w:t>
      </w:r>
      <w:proofErr w:type="spellEnd"/>
      <w:r>
        <w:rPr>
          <w:rFonts w:ascii="Times New Roman" w:eastAsia="Times New Roman" w:hAnsi="Times New Roman" w:cs="Times New Roman"/>
          <w:color w:val="000000"/>
          <w:sz w:val="24"/>
          <w:szCs w:val="24"/>
        </w:rPr>
        <w:t xml:space="preserve">, social, technological, legal and environmental. IBM focuses on business expansion in new markets and based on this framework analysed the external environment of this new market North Korea. </w:t>
      </w:r>
    </w:p>
    <w:p w14:paraId="51A30B7A"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Political</w:t>
      </w:r>
    </w:p>
    <w:p w14:paraId="76FC3802"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political factor of North Korea depends on different components which includes government regulation, important and exports regulation, political stability index and many others. All of these factors directly related to business growth and also impacted new business expansion too. </w:t>
      </w:r>
    </w:p>
    <w:p w14:paraId="44FDAC1F"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33ECB9DD" wp14:editId="1BA3294E">
            <wp:extent cx="5731200" cy="24257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2425700"/>
                    </a:xfrm>
                    <a:prstGeom prst="rect">
                      <a:avLst/>
                    </a:prstGeom>
                    <a:ln/>
                  </pic:spPr>
                </pic:pic>
              </a:graphicData>
            </a:graphic>
          </wp:inline>
        </w:drawing>
      </w:r>
    </w:p>
    <w:p w14:paraId="52C103CB"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2: the political stability index of North Korea</w:t>
      </w:r>
    </w:p>
    <w:p w14:paraId="51BB571D"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The Global Economy 2023)</w:t>
      </w:r>
    </w:p>
    <w:p w14:paraId="1B09E19B"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focuses on the political stability index of North Korea which was -0.37 in the year 2023 (The Global Economy 2023). The poor political stability index shows that the political condition of this country is unstable. This government regulation directly impacted through poor political conditions and negatively impacted the business growth. New businesses do not </w:t>
      </w:r>
      <w:r>
        <w:rPr>
          <w:rFonts w:ascii="Times New Roman" w:eastAsia="Times New Roman" w:hAnsi="Times New Roman" w:cs="Times New Roman"/>
          <w:color w:val="000000"/>
          <w:sz w:val="24"/>
          <w:szCs w:val="24"/>
        </w:rPr>
        <w:lastRenderedPageBreak/>
        <w:t xml:space="preserve">get opportunities for growth and investors also hesitate to invest in this country. Hence, Due to unstable political conditions IBM does get support from the North Korean government during expansion in this new market. </w:t>
      </w:r>
    </w:p>
    <w:p w14:paraId="6520CAA0"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Economic</w:t>
      </w:r>
    </w:p>
    <w:p w14:paraId="360A5BBB"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economic factor of North Korea focuses on GDP rate, inflation rate, employment rate and many other components. </w:t>
      </w:r>
    </w:p>
    <w:p w14:paraId="466DD539"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5D745CE4" wp14:editId="541C8293">
            <wp:extent cx="5731200" cy="2425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425700"/>
                    </a:xfrm>
                    <a:prstGeom prst="rect">
                      <a:avLst/>
                    </a:prstGeom>
                    <a:ln/>
                  </pic:spPr>
                </pic:pic>
              </a:graphicData>
            </a:graphic>
          </wp:inline>
        </w:drawing>
      </w:r>
    </w:p>
    <w:p w14:paraId="7E99BFB3"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Figure 3: Annual GDP growth rate of North Korea</w:t>
      </w:r>
      <w:r>
        <w:rPr>
          <w:rFonts w:ascii="Times New Roman" w:eastAsia="Times New Roman" w:hAnsi="Times New Roman" w:cs="Times New Roman"/>
          <w:color w:val="000000"/>
          <w:sz w:val="24"/>
          <w:szCs w:val="24"/>
        </w:rPr>
        <w:t xml:space="preserve"> </w:t>
      </w:r>
    </w:p>
    <w:p w14:paraId="6B5C279E"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Trading Economics, 2024)</w:t>
      </w:r>
    </w:p>
    <w:p w14:paraId="4968C053"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graph shows that the GDP rate of North Korea increases by 3.7 in the year 2024 compared to the previous year (Trading Economics, 2024). Increasing GDP growth of this country indicates a stable economic condition which enhances business growth. In the stable economic condition people of this country have high purchasing ability which increases market demand (</w:t>
      </w:r>
      <w:proofErr w:type="spellStart"/>
      <w:r>
        <w:rPr>
          <w:rFonts w:ascii="Times New Roman" w:eastAsia="Times New Roman" w:hAnsi="Times New Roman" w:cs="Times New Roman"/>
          <w:color w:val="000000"/>
          <w:sz w:val="24"/>
          <w:szCs w:val="24"/>
        </w:rPr>
        <w:t>Moridu</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IBM gets several opportunities to attract people towards their innovative product range and engage with a wide range of customers in the new market. </w:t>
      </w:r>
    </w:p>
    <w:p w14:paraId="52A70798"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Social</w:t>
      </w:r>
    </w:p>
    <w:p w14:paraId="6CDB2B15"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social factor of North Korea depends on cultural diversity, demographic shifts, population growth, changing consumer choices and many others. </w:t>
      </w:r>
    </w:p>
    <w:p w14:paraId="2F10AECE"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64CA22E2" wp14:editId="39A91E01">
            <wp:extent cx="5731200" cy="25527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2552700"/>
                    </a:xfrm>
                    <a:prstGeom prst="rect">
                      <a:avLst/>
                    </a:prstGeom>
                    <a:ln/>
                  </pic:spPr>
                </pic:pic>
              </a:graphicData>
            </a:graphic>
          </wp:inline>
        </w:drawing>
      </w:r>
    </w:p>
    <w:p w14:paraId="2E0ED726"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4: The population growth of North Korea </w:t>
      </w:r>
    </w:p>
    <w:p w14:paraId="0A609D22"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The Global Economy, 2023)</w:t>
      </w:r>
    </w:p>
    <w:p w14:paraId="3778CA0A"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graph shows that the population growth of North Korea declined by 0.35 in the year 2023 compared to the previous year (The Global Economy, 2023). Due to the decreasing population, organisations easily analyse and interact with their customers. The needs of customers have been easily analysed through organisation which increases potential growth of business (</w:t>
      </w:r>
      <w:proofErr w:type="spellStart"/>
      <w:r>
        <w:rPr>
          <w:rFonts w:ascii="Times New Roman" w:eastAsia="Times New Roman" w:hAnsi="Times New Roman" w:cs="Times New Roman"/>
          <w:color w:val="000000"/>
          <w:sz w:val="24"/>
          <w:szCs w:val="24"/>
        </w:rPr>
        <w:t>Bharadiya</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Hence, IBM also connected with each customer in North Korea during expansion of their business and offered products as per their needs. It helps this organisation to connect with customers and impact their purchasing behaviour through offering a wide range of products. </w:t>
      </w:r>
    </w:p>
    <w:p w14:paraId="2FEBAD50"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Technological </w:t>
      </w:r>
    </w:p>
    <w:p w14:paraId="7F649B11"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Technology significantly contributes to business growth and new business gets several opportunities through implementing technologies. Through using technology integration business can easily predict market trends and new business address potential business risks for future. Digital tools also lead with innovation which influences success rate of business. IBM chose North Korea as a new market of business expansion. In North Korea more than 7 million North Korean citizens use </w:t>
      </w:r>
      <w:proofErr w:type="spellStart"/>
      <w:r>
        <w:rPr>
          <w:rFonts w:ascii="Times New Roman" w:eastAsia="Times New Roman" w:hAnsi="Times New Roman" w:cs="Times New Roman"/>
          <w:color w:val="000000"/>
          <w:sz w:val="24"/>
          <w:szCs w:val="24"/>
        </w:rPr>
        <w:t>wifi</w:t>
      </w:r>
      <w:proofErr w:type="spellEnd"/>
      <w:r>
        <w:rPr>
          <w:rFonts w:ascii="Times New Roman" w:eastAsia="Times New Roman" w:hAnsi="Times New Roman" w:cs="Times New Roman"/>
          <w:color w:val="000000"/>
          <w:sz w:val="24"/>
          <w:szCs w:val="24"/>
        </w:rPr>
        <w:t xml:space="preserve"> networks and cell phones on a daily basis (The Times of India, 2025). It shows that IBM easily expanded their business in the new market and attracts customers through new products. Through the use of different technology this company easily targets potential customers and also predicts the emerging trends of the market. Investors also invest in their business which helps them in potential growth.  </w:t>
      </w:r>
    </w:p>
    <w:p w14:paraId="519DE68B"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Legal</w:t>
      </w:r>
    </w:p>
    <w:p w14:paraId="31A236A4"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legal factor of North Korea depends on different regulations and rules which makes a better work environment for business. Through follows all of these regulations most of the employees of this country easily understand about their rights and also analyse their working hours (Law gratis, 2025). Wages are also evaluated through these regulations which increase transparency within the workplace. Hence, IBM also follows different regulations within this North Korean market and follows their rules related to business. Based on this regulation IBM easily ran their business in this country and expanded their business successfully. </w:t>
      </w:r>
    </w:p>
    <w:p w14:paraId="37170ABE"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Environmental </w:t>
      </w:r>
    </w:p>
    <w:p w14:paraId="0A03FAB6"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Environmental regulation of North Korea focuses on climate change, air pollution and Green house emission and many other policies (EBSCO, 2025). Through all of these policies this country provides a sustainable business environment which impacts overall growth of business. The environment is also easily protected through these environmental regulations. Due to market expansion in this country IBM also follows these regulations for protecting the environment and attracting more investors towards this new business. Business also gets new opportunities through follow this regulation which increases their brand value within the market (</w:t>
      </w:r>
      <w:proofErr w:type="spellStart"/>
      <w:r>
        <w:rPr>
          <w:rFonts w:ascii="Times New Roman" w:eastAsia="Times New Roman" w:hAnsi="Times New Roman" w:cs="Times New Roman"/>
          <w:color w:val="000000"/>
          <w:sz w:val="24"/>
          <w:szCs w:val="24"/>
        </w:rPr>
        <w:t>Sudirjo</w:t>
      </w:r>
      <w:proofErr w:type="spellEnd"/>
      <w:r>
        <w:rPr>
          <w:rFonts w:ascii="Times New Roman" w:eastAsia="Times New Roman" w:hAnsi="Times New Roman" w:cs="Times New Roman"/>
          <w:color w:val="000000"/>
          <w:sz w:val="24"/>
          <w:szCs w:val="24"/>
        </w:rPr>
        <w:t xml:space="preserve">, 2023). Apart from this, customers also engage with their services through sustainable measures. </w:t>
      </w:r>
    </w:p>
    <w:p w14:paraId="55B5C9DE"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Porter’s Five Forces</w:t>
      </w:r>
    </w:p>
    <w:p w14:paraId="3A0E3ADE"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Porter’s five forces helps to analyse the competitive advantage of IBM on five factors which include bargaining power of customers, bargaining power of suppliers, threats of new entrants, threats of new substitute products and competitive rivalry. </w:t>
      </w:r>
    </w:p>
    <w:tbl>
      <w:tblPr>
        <w:tblStyle w:val="a"/>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5115"/>
        <w:gridCol w:w="1515"/>
      </w:tblGrid>
      <w:tr w:rsidR="00241838" w14:paraId="304D0DE0" w14:textId="77777777">
        <w:trPr>
          <w:cantSplit/>
          <w:tblHeader/>
        </w:trPr>
        <w:tc>
          <w:tcPr>
            <w:tcW w:w="2370" w:type="dxa"/>
            <w:shd w:val="clear" w:color="auto" w:fill="FFE599"/>
            <w:tcMar>
              <w:top w:w="100" w:type="dxa"/>
              <w:left w:w="100" w:type="dxa"/>
              <w:bottom w:w="100" w:type="dxa"/>
              <w:right w:w="100" w:type="dxa"/>
            </w:tcMar>
          </w:tcPr>
          <w:p w14:paraId="4EF51BBB"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Factors </w:t>
            </w:r>
          </w:p>
        </w:tc>
        <w:tc>
          <w:tcPr>
            <w:tcW w:w="5115" w:type="dxa"/>
            <w:shd w:val="clear" w:color="auto" w:fill="FFE599"/>
            <w:tcMar>
              <w:top w:w="100" w:type="dxa"/>
              <w:left w:w="100" w:type="dxa"/>
              <w:bottom w:w="100" w:type="dxa"/>
              <w:right w:w="100" w:type="dxa"/>
            </w:tcMar>
          </w:tcPr>
          <w:p w14:paraId="2C35C0E8"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Description </w:t>
            </w:r>
          </w:p>
        </w:tc>
        <w:tc>
          <w:tcPr>
            <w:tcW w:w="1515" w:type="dxa"/>
            <w:shd w:val="clear" w:color="auto" w:fill="FFE599"/>
            <w:tcMar>
              <w:top w:w="100" w:type="dxa"/>
              <w:left w:w="100" w:type="dxa"/>
              <w:bottom w:w="100" w:type="dxa"/>
              <w:right w:w="100" w:type="dxa"/>
            </w:tcMar>
          </w:tcPr>
          <w:p w14:paraId="2536544E"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Impact</w:t>
            </w:r>
          </w:p>
        </w:tc>
      </w:tr>
      <w:tr w:rsidR="00241838" w14:paraId="098D9EF7" w14:textId="77777777">
        <w:trPr>
          <w:cantSplit/>
          <w:tblHeader/>
        </w:trPr>
        <w:tc>
          <w:tcPr>
            <w:tcW w:w="2370" w:type="dxa"/>
            <w:tcMar>
              <w:top w:w="100" w:type="dxa"/>
              <w:left w:w="100" w:type="dxa"/>
              <w:bottom w:w="100" w:type="dxa"/>
              <w:right w:w="100" w:type="dxa"/>
            </w:tcMar>
          </w:tcPr>
          <w:p w14:paraId="171A268A" w14:textId="77777777" w:rsidR="0024183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Bargaining power of suppliers </w:t>
            </w:r>
          </w:p>
        </w:tc>
        <w:tc>
          <w:tcPr>
            <w:tcW w:w="5115" w:type="dxa"/>
            <w:tcMar>
              <w:top w:w="100" w:type="dxa"/>
              <w:left w:w="100" w:type="dxa"/>
              <w:bottom w:w="100" w:type="dxa"/>
              <w:right w:w="100" w:type="dxa"/>
            </w:tcMar>
          </w:tcPr>
          <w:p w14:paraId="61453FA4" w14:textId="77777777" w:rsidR="0024183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Suppliers are one of the important aspects for an organisation. IBM company rely on 13,000 suppliers over 170 countries (Procurement Magazine, 2023). Due to the wide range of suppliers this company easily shifted from one supplier to another for raw materials. It shows that the bargaining power of suppliers for IBM is low</w:t>
            </w:r>
          </w:p>
        </w:tc>
        <w:tc>
          <w:tcPr>
            <w:tcW w:w="1515" w:type="dxa"/>
            <w:shd w:val="clear" w:color="auto" w:fill="00FF00"/>
            <w:tcMar>
              <w:top w:w="100" w:type="dxa"/>
              <w:left w:w="100" w:type="dxa"/>
              <w:bottom w:w="100" w:type="dxa"/>
              <w:right w:w="100" w:type="dxa"/>
            </w:tcMar>
          </w:tcPr>
          <w:p w14:paraId="38A769AB"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Low</w:t>
            </w:r>
          </w:p>
        </w:tc>
      </w:tr>
      <w:tr w:rsidR="00241838" w14:paraId="51A80F88" w14:textId="77777777">
        <w:trPr>
          <w:cantSplit/>
          <w:tblHeader/>
        </w:trPr>
        <w:tc>
          <w:tcPr>
            <w:tcW w:w="2370" w:type="dxa"/>
            <w:tcMar>
              <w:top w:w="100" w:type="dxa"/>
              <w:left w:w="100" w:type="dxa"/>
              <w:bottom w:w="100" w:type="dxa"/>
              <w:right w:w="100" w:type="dxa"/>
            </w:tcMar>
          </w:tcPr>
          <w:p w14:paraId="1918150B" w14:textId="77777777" w:rsidR="0024183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Bargaining power of customers </w:t>
            </w:r>
          </w:p>
        </w:tc>
        <w:tc>
          <w:tcPr>
            <w:tcW w:w="5115" w:type="dxa"/>
            <w:tcMar>
              <w:top w:w="100" w:type="dxa"/>
              <w:left w:w="100" w:type="dxa"/>
              <w:bottom w:w="100" w:type="dxa"/>
              <w:right w:w="100" w:type="dxa"/>
            </w:tcMar>
          </w:tcPr>
          <w:p w14:paraId="4BEBFA06" w14:textId="77777777" w:rsidR="0024183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Customer is one of the important aspects for an organisation and customer satisfaction rate leads to high sales rate. IBM engages with over 282,000 employees and 50,000 IBM Business Partners across the world (IBM, 2025). Due to a wide range of customers this company is highly dependent on their customers and renowned for their services. In this market there are several competitors that provide unique services. Customers can easily shift from one company to another for unique services. Hence, bargaining power of customer in this company is high </w:t>
            </w:r>
          </w:p>
        </w:tc>
        <w:tc>
          <w:tcPr>
            <w:tcW w:w="1515" w:type="dxa"/>
            <w:shd w:val="clear" w:color="auto" w:fill="FF0000"/>
            <w:tcMar>
              <w:top w:w="100" w:type="dxa"/>
              <w:left w:w="100" w:type="dxa"/>
              <w:bottom w:w="100" w:type="dxa"/>
              <w:right w:w="100" w:type="dxa"/>
            </w:tcMar>
          </w:tcPr>
          <w:p w14:paraId="36E38668"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High</w:t>
            </w:r>
          </w:p>
        </w:tc>
      </w:tr>
      <w:tr w:rsidR="00241838" w14:paraId="7BC14D22" w14:textId="77777777">
        <w:trPr>
          <w:cantSplit/>
          <w:tblHeader/>
        </w:trPr>
        <w:tc>
          <w:tcPr>
            <w:tcW w:w="2370" w:type="dxa"/>
            <w:tcMar>
              <w:top w:w="100" w:type="dxa"/>
              <w:left w:w="100" w:type="dxa"/>
              <w:bottom w:w="100" w:type="dxa"/>
              <w:right w:w="100" w:type="dxa"/>
            </w:tcMar>
          </w:tcPr>
          <w:p w14:paraId="3768C6BF" w14:textId="77777777" w:rsidR="0024183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Threats of new entrants </w:t>
            </w:r>
          </w:p>
        </w:tc>
        <w:tc>
          <w:tcPr>
            <w:tcW w:w="5115" w:type="dxa"/>
            <w:tcMar>
              <w:top w:w="100" w:type="dxa"/>
              <w:left w:w="100" w:type="dxa"/>
              <w:bottom w:w="100" w:type="dxa"/>
              <w:right w:w="100" w:type="dxa"/>
            </w:tcMar>
          </w:tcPr>
          <w:p w14:paraId="499D6E45" w14:textId="77777777" w:rsidR="0024183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North Korea has complex regulation and unstable political conditions which impact new business growth. Hence, new companies are about to enter this market for their business growth (Cavallo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2024). The threat of new entrants for this company is low</w:t>
            </w:r>
          </w:p>
        </w:tc>
        <w:tc>
          <w:tcPr>
            <w:tcW w:w="1515" w:type="dxa"/>
            <w:shd w:val="clear" w:color="auto" w:fill="00FF00"/>
            <w:tcMar>
              <w:top w:w="100" w:type="dxa"/>
              <w:left w:w="100" w:type="dxa"/>
              <w:bottom w:w="100" w:type="dxa"/>
              <w:right w:w="100" w:type="dxa"/>
            </w:tcMar>
          </w:tcPr>
          <w:p w14:paraId="379C2196"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Low</w:t>
            </w:r>
          </w:p>
        </w:tc>
      </w:tr>
      <w:tr w:rsidR="00241838" w14:paraId="275E9F5D" w14:textId="77777777">
        <w:trPr>
          <w:cantSplit/>
          <w:tblHeader/>
        </w:trPr>
        <w:tc>
          <w:tcPr>
            <w:tcW w:w="2370" w:type="dxa"/>
            <w:tcMar>
              <w:top w:w="100" w:type="dxa"/>
              <w:left w:w="100" w:type="dxa"/>
              <w:bottom w:w="100" w:type="dxa"/>
              <w:right w:w="100" w:type="dxa"/>
            </w:tcMar>
          </w:tcPr>
          <w:p w14:paraId="41B902CB" w14:textId="77777777" w:rsidR="0024183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Threat of substitute products</w:t>
            </w:r>
          </w:p>
        </w:tc>
        <w:tc>
          <w:tcPr>
            <w:tcW w:w="5115" w:type="dxa"/>
            <w:tcMar>
              <w:top w:w="100" w:type="dxa"/>
              <w:left w:w="100" w:type="dxa"/>
              <w:bottom w:w="100" w:type="dxa"/>
              <w:right w:w="100" w:type="dxa"/>
            </w:tcMar>
          </w:tcPr>
          <w:p w14:paraId="71ACFFE2" w14:textId="77777777" w:rsidR="0024183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Customers are always attracted towards innovative services and most companies can offer new services to them (Butt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Due to high reputation in the market, customers are more reliable towards IBM and this company also offers different services for their clients as well as customers which enhance their business opportunities within the new market. Hence, the threat of substitute products is moderate for IBM. </w:t>
            </w:r>
          </w:p>
        </w:tc>
        <w:tc>
          <w:tcPr>
            <w:tcW w:w="1515" w:type="dxa"/>
            <w:shd w:val="clear" w:color="auto" w:fill="FFFF00"/>
            <w:tcMar>
              <w:top w:w="100" w:type="dxa"/>
              <w:left w:w="100" w:type="dxa"/>
              <w:bottom w:w="100" w:type="dxa"/>
              <w:right w:w="100" w:type="dxa"/>
            </w:tcMar>
          </w:tcPr>
          <w:p w14:paraId="14E16EA6"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Moderate</w:t>
            </w:r>
          </w:p>
        </w:tc>
      </w:tr>
      <w:tr w:rsidR="00241838" w14:paraId="1FE76D1F" w14:textId="77777777">
        <w:trPr>
          <w:cantSplit/>
          <w:tblHeader/>
        </w:trPr>
        <w:tc>
          <w:tcPr>
            <w:tcW w:w="2370" w:type="dxa"/>
            <w:tcMar>
              <w:top w:w="100" w:type="dxa"/>
              <w:left w:w="100" w:type="dxa"/>
              <w:bottom w:w="100" w:type="dxa"/>
              <w:right w:w="100" w:type="dxa"/>
            </w:tcMar>
          </w:tcPr>
          <w:p w14:paraId="74146A14" w14:textId="77777777" w:rsidR="0024183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Competitive rivalry</w:t>
            </w:r>
          </w:p>
        </w:tc>
        <w:tc>
          <w:tcPr>
            <w:tcW w:w="5115" w:type="dxa"/>
            <w:tcMar>
              <w:top w:w="100" w:type="dxa"/>
              <w:left w:w="100" w:type="dxa"/>
              <w:bottom w:w="100" w:type="dxa"/>
              <w:right w:w="100" w:type="dxa"/>
            </w:tcMar>
          </w:tcPr>
          <w:p w14:paraId="4E36836A" w14:textId="77777777" w:rsidR="0024183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North Korea Levon Techno is one of top tech companies which have become a major competitor of IBM (Levon Techno, 2025). Through different innovative services Levon Techno makes a strong position in this country which makes it difficult for IBM to expand their business. </w:t>
            </w:r>
          </w:p>
        </w:tc>
        <w:tc>
          <w:tcPr>
            <w:tcW w:w="1515" w:type="dxa"/>
            <w:shd w:val="clear" w:color="auto" w:fill="FF0000"/>
            <w:tcMar>
              <w:top w:w="100" w:type="dxa"/>
              <w:left w:w="100" w:type="dxa"/>
              <w:bottom w:w="100" w:type="dxa"/>
              <w:right w:w="100" w:type="dxa"/>
            </w:tcMar>
          </w:tcPr>
          <w:p w14:paraId="1C5C66FB"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High</w:t>
            </w:r>
          </w:p>
        </w:tc>
      </w:tr>
    </w:tbl>
    <w:p w14:paraId="0C52121C" w14:textId="77777777" w:rsidR="00241838" w:rsidRDefault="0024183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38D7977" w14:textId="77777777" w:rsidR="00241838" w:rsidRDefault="00000000">
      <w:pPr>
        <w:pStyle w:val="Heading2"/>
      </w:pPr>
      <w:bookmarkStart w:id="7" w:name="_m5z2l7lbpbow" w:colFirst="0" w:colLast="0"/>
      <w:bookmarkEnd w:id="7"/>
      <w:r>
        <w:t xml:space="preserve">Micro-environmental factors </w:t>
      </w:r>
    </w:p>
    <w:p w14:paraId="25799409"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SWOT Analysis</w:t>
      </w:r>
    </w:p>
    <w:p w14:paraId="4430F3E3"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SWOT analysis helps to analyse strength, weakness, opportunity and threats of IBM. Through this internal environment analysis market insights have been easily analysed. </w:t>
      </w:r>
    </w:p>
    <w:tbl>
      <w:tblPr>
        <w:tblStyle w:val="a0"/>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41838" w14:paraId="5A72766D" w14:textId="77777777">
        <w:trPr>
          <w:cantSplit/>
          <w:tblHeader/>
        </w:trPr>
        <w:tc>
          <w:tcPr>
            <w:tcW w:w="4514" w:type="dxa"/>
            <w:shd w:val="clear" w:color="auto" w:fill="FCE5CD"/>
            <w:tcMar>
              <w:top w:w="100" w:type="dxa"/>
              <w:left w:w="100" w:type="dxa"/>
              <w:bottom w:w="100" w:type="dxa"/>
              <w:right w:w="100" w:type="dxa"/>
            </w:tcMar>
          </w:tcPr>
          <w:p w14:paraId="25092468"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Strength </w:t>
            </w:r>
          </w:p>
        </w:tc>
        <w:tc>
          <w:tcPr>
            <w:tcW w:w="4515" w:type="dxa"/>
            <w:shd w:val="clear" w:color="auto" w:fill="FCE5CD"/>
            <w:tcMar>
              <w:top w:w="100" w:type="dxa"/>
              <w:left w:w="100" w:type="dxa"/>
              <w:bottom w:w="100" w:type="dxa"/>
              <w:right w:w="100" w:type="dxa"/>
            </w:tcMar>
          </w:tcPr>
          <w:p w14:paraId="6AC6748F"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Weakness</w:t>
            </w:r>
          </w:p>
        </w:tc>
      </w:tr>
      <w:tr w:rsidR="00241838" w14:paraId="7D9F4D70" w14:textId="77777777">
        <w:trPr>
          <w:cantSplit/>
          <w:tblHeader/>
        </w:trPr>
        <w:tc>
          <w:tcPr>
            <w:tcW w:w="4514" w:type="dxa"/>
            <w:shd w:val="clear" w:color="auto" w:fill="FFFFFF"/>
            <w:tcMar>
              <w:top w:w="100" w:type="dxa"/>
              <w:left w:w="100" w:type="dxa"/>
              <w:bottom w:w="100" w:type="dxa"/>
              <w:right w:w="100" w:type="dxa"/>
            </w:tcMar>
          </w:tcPr>
          <w:p w14:paraId="743623C3" w14:textId="77777777" w:rsidR="00241838"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 brand reputation</w:t>
            </w:r>
          </w:p>
          <w:p w14:paraId="5C06ECD2" w14:textId="77777777" w:rsidR="00241838"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Pioneer of cloud technologies</w:t>
            </w:r>
          </w:p>
          <w:p w14:paraId="10B80D3B" w14:textId="77777777" w:rsidR="00241838"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Diversified services</w:t>
            </w:r>
          </w:p>
          <w:p w14:paraId="7FE05B35" w14:textId="77777777" w:rsidR="00241838"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 maintaining business ethics</w:t>
            </w:r>
          </w:p>
          <w:p w14:paraId="5D180B18" w14:textId="77777777" w:rsidR="00241838"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Three-Market Structure</w:t>
            </w:r>
          </w:p>
          <w:p w14:paraId="7E6E87E2" w14:textId="77777777" w:rsidR="00241838" w:rsidRDefault="00000000">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Investment in R&amp;D</w:t>
            </w:r>
          </w:p>
        </w:tc>
        <w:tc>
          <w:tcPr>
            <w:tcW w:w="4515" w:type="dxa"/>
            <w:shd w:val="clear" w:color="auto" w:fill="FFFFFF"/>
            <w:tcMar>
              <w:top w:w="100" w:type="dxa"/>
              <w:left w:w="100" w:type="dxa"/>
              <w:bottom w:w="100" w:type="dxa"/>
              <w:right w:w="100" w:type="dxa"/>
            </w:tcMar>
          </w:tcPr>
          <w:p w14:paraId="715FE614" w14:textId="77777777" w:rsidR="00241838"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Limited market share</w:t>
            </w:r>
          </w:p>
          <w:p w14:paraId="070A8C93" w14:textId="77777777" w:rsidR="00241838"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Decline revenue</w:t>
            </w:r>
          </w:p>
          <w:p w14:paraId="3ABF87E5" w14:textId="77777777" w:rsidR="00241838"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Complex business structure</w:t>
            </w:r>
          </w:p>
          <w:p w14:paraId="60CD2146" w14:textId="77777777" w:rsidR="00241838"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Vulnerability to Product Imitation</w:t>
            </w:r>
          </w:p>
          <w:p w14:paraId="38826667" w14:textId="77777777" w:rsidR="00241838"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Legal challenges</w:t>
            </w:r>
          </w:p>
        </w:tc>
      </w:tr>
      <w:tr w:rsidR="00241838" w14:paraId="19D15533" w14:textId="77777777">
        <w:trPr>
          <w:cantSplit/>
          <w:tblHeader/>
        </w:trPr>
        <w:tc>
          <w:tcPr>
            <w:tcW w:w="4514" w:type="dxa"/>
            <w:shd w:val="clear" w:color="auto" w:fill="FCE5CD"/>
            <w:tcMar>
              <w:top w:w="100" w:type="dxa"/>
              <w:left w:w="100" w:type="dxa"/>
              <w:bottom w:w="100" w:type="dxa"/>
              <w:right w:w="100" w:type="dxa"/>
            </w:tcMar>
          </w:tcPr>
          <w:p w14:paraId="636AC197"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Opportunity </w:t>
            </w:r>
          </w:p>
        </w:tc>
        <w:tc>
          <w:tcPr>
            <w:tcW w:w="4515" w:type="dxa"/>
            <w:shd w:val="clear" w:color="auto" w:fill="FCE5CD"/>
            <w:tcMar>
              <w:top w:w="100" w:type="dxa"/>
              <w:left w:w="100" w:type="dxa"/>
              <w:bottom w:w="100" w:type="dxa"/>
              <w:right w:w="100" w:type="dxa"/>
            </w:tcMar>
          </w:tcPr>
          <w:p w14:paraId="11919A18"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Threat</w:t>
            </w:r>
          </w:p>
        </w:tc>
      </w:tr>
      <w:tr w:rsidR="00241838" w14:paraId="2E096A1F" w14:textId="77777777">
        <w:trPr>
          <w:cantSplit/>
          <w:tblHeader/>
        </w:trPr>
        <w:tc>
          <w:tcPr>
            <w:tcW w:w="4514" w:type="dxa"/>
            <w:tcMar>
              <w:top w:w="100" w:type="dxa"/>
              <w:left w:w="100" w:type="dxa"/>
              <w:bottom w:w="100" w:type="dxa"/>
              <w:right w:w="100" w:type="dxa"/>
            </w:tcMar>
          </w:tcPr>
          <w:p w14:paraId="0EBE4E23" w14:textId="77777777" w:rsidR="00241838"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Emerging market trends</w:t>
            </w:r>
          </w:p>
          <w:p w14:paraId="35C84891" w14:textId="77777777" w:rsidR="00241838" w:rsidRDefault="00000000">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Growing Demand for Cloud Services</w:t>
            </w:r>
          </w:p>
          <w:p w14:paraId="5F94B0D3" w14:textId="77777777" w:rsidR="00241838"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Accelerating digital growth </w:t>
            </w:r>
          </w:p>
          <w:p w14:paraId="665079CC" w14:textId="77777777" w:rsidR="00241838" w:rsidRDefault="00000000">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Strategic business expansion</w:t>
            </w:r>
          </w:p>
        </w:tc>
        <w:tc>
          <w:tcPr>
            <w:tcW w:w="4515" w:type="dxa"/>
            <w:tcMar>
              <w:top w:w="100" w:type="dxa"/>
              <w:left w:w="100" w:type="dxa"/>
              <w:bottom w:w="100" w:type="dxa"/>
              <w:right w:w="100" w:type="dxa"/>
            </w:tcMar>
          </w:tcPr>
          <w:p w14:paraId="385D7D92" w14:textId="77777777" w:rsidR="00241838"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 competitive market</w:t>
            </w:r>
          </w:p>
          <w:p w14:paraId="75A72A8B" w14:textId="77777777" w:rsidR="00241838"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Failure in innovation</w:t>
            </w:r>
          </w:p>
          <w:p w14:paraId="291814E7" w14:textId="77777777" w:rsidR="00241838"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Economic downturns</w:t>
            </w:r>
          </w:p>
          <w:p w14:paraId="1BE6A5E1" w14:textId="77777777" w:rsidR="00241838"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Unpredictable challenges</w:t>
            </w:r>
          </w:p>
          <w:p w14:paraId="7A7678E9" w14:textId="77777777" w:rsidR="00241838"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Regulatory challenges</w:t>
            </w:r>
          </w:p>
        </w:tc>
      </w:tr>
    </w:tbl>
    <w:p w14:paraId="3A38FB42" w14:textId="77777777" w:rsidR="00241838" w:rsidRDefault="0024183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70BDE35"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IBM focuses on their strengths and weaknesses through these frameworks. Based on identified strength and weakness, it influences opportunity as well as threat of business. Due to high brand reputation, technology integration, high maintenance business ethics, high investment on R&amp;D and many other components IBM makes a strong position within the market (Zakaria, 2025). Moreover, this company also has several weaknesses which include limited market share, legal challenges, vulnerability of production, declined revenue and many others. Based on their high brand reputation and technology integration these company analyses emerging trends of the market as well as increases their service demand. Digital growth of business increases through effective cloud service which helps in strategic business expansion (Rawat and Bhandari, 2023). Moreover, due to different weaknesses this company faced a highly competitive market and unpredictable challenges. Due to regulatory challenges, economic downturns faced by this company which impacted business growth. </w:t>
      </w:r>
    </w:p>
    <w:p w14:paraId="5D5858D1" w14:textId="77777777" w:rsidR="00241838" w:rsidRDefault="00000000">
      <w:pPr>
        <w:pStyle w:val="Heading2"/>
      </w:pPr>
      <w:bookmarkStart w:id="8" w:name="_ddubeu44bzyc" w:colFirst="0" w:colLast="0"/>
      <w:bookmarkEnd w:id="8"/>
      <w:r>
        <w:t xml:space="preserve">Analysing competitive landscape </w:t>
      </w:r>
    </w:p>
    <w:p w14:paraId="2154214B"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i/>
          <w:color w:val="000000"/>
          <w:sz w:val="24"/>
          <w:szCs w:val="24"/>
        </w:rPr>
        <w:t xml:space="preserve">VRIO analysis </w:t>
      </w:r>
      <w:r>
        <w:rPr>
          <w:rFonts w:ascii="Times New Roman" w:eastAsia="Times New Roman" w:hAnsi="Times New Roman" w:cs="Times New Roman"/>
          <w:b/>
          <w:color w:val="000000"/>
          <w:sz w:val="24"/>
          <w:szCs w:val="24"/>
        </w:rPr>
        <w:t xml:space="preserve"> </w:t>
      </w:r>
    </w:p>
    <w:p w14:paraId="338E0C25"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VRIO analysis helps to analyse effective resources and capability of IBM which enhances their expansion strategy. Based on four components, effectiveness of suitable resources has been analysed which impacted overall business opportunity. </w:t>
      </w:r>
    </w:p>
    <w:tbl>
      <w:tblPr>
        <w:tblStyle w:val="a1"/>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1515"/>
        <w:gridCol w:w="1395"/>
        <w:gridCol w:w="1335"/>
        <w:gridCol w:w="1440"/>
        <w:gridCol w:w="1500"/>
      </w:tblGrid>
      <w:tr w:rsidR="00241838" w14:paraId="733A2AEE" w14:textId="77777777">
        <w:trPr>
          <w:cantSplit/>
          <w:tblHeader/>
        </w:trPr>
        <w:tc>
          <w:tcPr>
            <w:tcW w:w="1815" w:type="dxa"/>
            <w:shd w:val="clear" w:color="auto" w:fill="FFE599"/>
            <w:tcMar>
              <w:top w:w="100" w:type="dxa"/>
              <w:left w:w="100" w:type="dxa"/>
              <w:bottom w:w="100" w:type="dxa"/>
              <w:right w:w="100" w:type="dxa"/>
            </w:tcMar>
          </w:tcPr>
          <w:p w14:paraId="6B74AF5F"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Resources </w:t>
            </w:r>
          </w:p>
        </w:tc>
        <w:tc>
          <w:tcPr>
            <w:tcW w:w="1515" w:type="dxa"/>
            <w:shd w:val="clear" w:color="auto" w:fill="FFE599"/>
            <w:tcMar>
              <w:top w:w="100" w:type="dxa"/>
              <w:left w:w="100" w:type="dxa"/>
              <w:bottom w:w="100" w:type="dxa"/>
              <w:right w:w="100" w:type="dxa"/>
            </w:tcMar>
          </w:tcPr>
          <w:p w14:paraId="7678B7BC"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Valuable </w:t>
            </w:r>
          </w:p>
        </w:tc>
        <w:tc>
          <w:tcPr>
            <w:tcW w:w="1395" w:type="dxa"/>
            <w:shd w:val="clear" w:color="auto" w:fill="FFE599"/>
            <w:tcMar>
              <w:top w:w="100" w:type="dxa"/>
              <w:left w:w="100" w:type="dxa"/>
              <w:bottom w:w="100" w:type="dxa"/>
              <w:right w:w="100" w:type="dxa"/>
            </w:tcMar>
          </w:tcPr>
          <w:p w14:paraId="102D9A9D"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Rare</w:t>
            </w:r>
          </w:p>
        </w:tc>
        <w:tc>
          <w:tcPr>
            <w:tcW w:w="1335" w:type="dxa"/>
            <w:shd w:val="clear" w:color="auto" w:fill="FFE599"/>
            <w:tcMar>
              <w:top w:w="100" w:type="dxa"/>
              <w:left w:w="100" w:type="dxa"/>
              <w:bottom w:w="100" w:type="dxa"/>
              <w:right w:w="100" w:type="dxa"/>
            </w:tcMar>
          </w:tcPr>
          <w:p w14:paraId="4091417E"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Imitable </w:t>
            </w:r>
          </w:p>
        </w:tc>
        <w:tc>
          <w:tcPr>
            <w:tcW w:w="1440" w:type="dxa"/>
            <w:shd w:val="clear" w:color="auto" w:fill="FFE599"/>
            <w:tcMar>
              <w:top w:w="100" w:type="dxa"/>
              <w:left w:w="100" w:type="dxa"/>
              <w:bottom w:w="100" w:type="dxa"/>
              <w:right w:w="100" w:type="dxa"/>
            </w:tcMar>
          </w:tcPr>
          <w:p w14:paraId="1F8A4B0E"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Organised </w:t>
            </w:r>
          </w:p>
        </w:tc>
        <w:tc>
          <w:tcPr>
            <w:tcW w:w="1500" w:type="dxa"/>
            <w:shd w:val="clear" w:color="auto" w:fill="FFE599"/>
            <w:tcMar>
              <w:top w:w="100" w:type="dxa"/>
              <w:left w:w="100" w:type="dxa"/>
              <w:bottom w:w="100" w:type="dxa"/>
              <w:right w:w="100" w:type="dxa"/>
            </w:tcMar>
          </w:tcPr>
          <w:p w14:paraId="176E081E"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Competitive advantage </w:t>
            </w:r>
          </w:p>
        </w:tc>
      </w:tr>
      <w:tr w:rsidR="00241838" w14:paraId="675F2299" w14:textId="77777777">
        <w:trPr>
          <w:cantSplit/>
          <w:tblHeader/>
        </w:trPr>
        <w:tc>
          <w:tcPr>
            <w:tcW w:w="1815" w:type="dxa"/>
            <w:tcMar>
              <w:top w:w="100" w:type="dxa"/>
              <w:left w:w="100" w:type="dxa"/>
              <w:bottom w:w="100" w:type="dxa"/>
              <w:right w:w="100" w:type="dxa"/>
            </w:tcMar>
          </w:tcPr>
          <w:p w14:paraId="198DE9F8" w14:textId="77777777" w:rsidR="00241838" w:rsidRDefault="00000000">
            <w:pPr>
              <w:widowControl w:val="0"/>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High brand reputation</w:t>
            </w:r>
          </w:p>
        </w:tc>
        <w:tc>
          <w:tcPr>
            <w:tcW w:w="1515" w:type="dxa"/>
            <w:tcMar>
              <w:top w:w="100" w:type="dxa"/>
              <w:left w:w="100" w:type="dxa"/>
              <w:bottom w:w="100" w:type="dxa"/>
              <w:right w:w="100" w:type="dxa"/>
            </w:tcMar>
          </w:tcPr>
          <w:p w14:paraId="74558C28"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395" w:type="dxa"/>
            <w:tcMar>
              <w:top w:w="100" w:type="dxa"/>
              <w:left w:w="100" w:type="dxa"/>
              <w:bottom w:w="100" w:type="dxa"/>
              <w:right w:w="100" w:type="dxa"/>
            </w:tcMar>
          </w:tcPr>
          <w:p w14:paraId="10EEDC29"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335" w:type="dxa"/>
            <w:tcMar>
              <w:top w:w="100" w:type="dxa"/>
              <w:left w:w="100" w:type="dxa"/>
              <w:bottom w:w="100" w:type="dxa"/>
              <w:right w:w="100" w:type="dxa"/>
            </w:tcMar>
          </w:tcPr>
          <w:p w14:paraId="3680CDAA"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440" w:type="dxa"/>
            <w:tcMar>
              <w:top w:w="100" w:type="dxa"/>
              <w:left w:w="100" w:type="dxa"/>
              <w:bottom w:w="100" w:type="dxa"/>
              <w:right w:w="100" w:type="dxa"/>
            </w:tcMar>
          </w:tcPr>
          <w:p w14:paraId="065EB227"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w:t>
            </w:r>
          </w:p>
        </w:tc>
        <w:tc>
          <w:tcPr>
            <w:tcW w:w="1500" w:type="dxa"/>
            <w:tcMar>
              <w:top w:w="100" w:type="dxa"/>
              <w:left w:w="100" w:type="dxa"/>
              <w:bottom w:w="100" w:type="dxa"/>
              <w:right w:w="100" w:type="dxa"/>
            </w:tcMar>
          </w:tcPr>
          <w:p w14:paraId="79E528E7"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r>
      <w:tr w:rsidR="00241838" w14:paraId="70211FB6" w14:textId="77777777">
        <w:trPr>
          <w:cantSplit/>
          <w:tblHeader/>
        </w:trPr>
        <w:tc>
          <w:tcPr>
            <w:tcW w:w="1815" w:type="dxa"/>
            <w:tcMar>
              <w:top w:w="100" w:type="dxa"/>
              <w:left w:w="100" w:type="dxa"/>
              <w:bottom w:w="100" w:type="dxa"/>
              <w:right w:w="100" w:type="dxa"/>
            </w:tcMar>
          </w:tcPr>
          <w:p w14:paraId="47BF2B03" w14:textId="77777777" w:rsidR="00241838" w:rsidRDefault="00000000">
            <w:pPr>
              <w:widowControl w:val="0"/>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Strong relationship with suppliers</w:t>
            </w:r>
          </w:p>
        </w:tc>
        <w:tc>
          <w:tcPr>
            <w:tcW w:w="1515" w:type="dxa"/>
            <w:tcMar>
              <w:top w:w="100" w:type="dxa"/>
              <w:left w:w="100" w:type="dxa"/>
              <w:bottom w:w="100" w:type="dxa"/>
              <w:right w:w="100" w:type="dxa"/>
            </w:tcMar>
          </w:tcPr>
          <w:p w14:paraId="0BE1ED5B"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395" w:type="dxa"/>
            <w:tcMar>
              <w:top w:w="100" w:type="dxa"/>
              <w:left w:w="100" w:type="dxa"/>
              <w:bottom w:w="100" w:type="dxa"/>
              <w:right w:w="100" w:type="dxa"/>
            </w:tcMar>
          </w:tcPr>
          <w:p w14:paraId="755B78AC"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w:t>
            </w:r>
          </w:p>
        </w:tc>
        <w:tc>
          <w:tcPr>
            <w:tcW w:w="1335" w:type="dxa"/>
            <w:tcMar>
              <w:top w:w="100" w:type="dxa"/>
              <w:left w:w="100" w:type="dxa"/>
              <w:bottom w:w="100" w:type="dxa"/>
              <w:right w:w="100" w:type="dxa"/>
            </w:tcMar>
          </w:tcPr>
          <w:p w14:paraId="51315CAA"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440" w:type="dxa"/>
            <w:tcMar>
              <w:top w:w="100" w:type="dxa"/>
              <w:left w:w="100" w:type="dxa"/>
              <w:bottom w:w="100" w:type="dxa"/>
              <w:right w:w="100" w:type="dxa"/>
            </w:tcMar>
          </w:tcPr>
          <w:p w14:paraId="6DBCBB19"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500" w:type="dxa"/>
            <w:tcMar>
              <w:top w:w="100" w:type="dxa"/>
              <w:left w:w="100" w:type="dxa"/>
              <w:bottom w:w="100" w:type="dxa"/>
              <w:right w:w="100" w:type="dxa"/>
            </w:tcMar>
          </w:tcPr>
          <w:p w14:paraId="7C62AA03"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r>
      <w:tr w:rsidR="00241838" w14:paraId="46742AC4" w14:textId="77777777">
        <w:trPr>
          <w:cantSplit/>
          <w:tblHeader/>
        </w:trPr>
        <w:tc>
          <w:tcPr>
            <w:tcW w:w="1815" w:type="dxa"/>
            <w:tcMar>
              <w:top w:w="100" w:type="dxa"/>
              <w:left w:w="100" w:type="dxa"/>
              <w:bottom w:w="100" w:type="dxa"/>
              <w:right w:w="100" w:type="dxa"/>
            </w:tcMar>
          </w:tcPr>
          <w:p w14:paraId="41CA753D" w14:textId="77777777" w:rsidR="00241838" w:rsidRDefault="00000000">
            <w:pPr>
              <w:widowControl w:val="0"/>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Sustainable measures </w:t>
            </w:r>
          </w:p>
        </w:tc>
        <w:tc>
          <w:tcPr>
            <w:tcW w:w="1515" w:type="dxa"/>
            <w:tcMar>
              <w:top w:w="100" w:type="dxa"/>
              <w:left w:w="100" w:type="dxa"/>
              <w:bottom w:w="100" w:type="dxa"/>
              <w:right w:w="100" w:type="dxa"/>
            </w:tcMar>
          </w:tcPr>
          <w:p w14:paraId="0F008333"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395" w:type="dxa"/>
            <w:tcMar>
              <w:top w:w="100" w:type="dxa"/>
              <w:left w:w="100" w:type="dxa"/>
              <w:bottom w:w="100" w:type="dxa"/>
              <w:right w:w="100" w:type="dxa"/>
            </w:tcMar>
          </w:tcPr>
          <w:p w14:paraId="21B5ED6F"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335" w:type="dxa"/>
            <w:tcMar>
              <w:top w:w="100" w:type="dxa"/>
              <w:left w:w="100" w:type="dxa"/>
              <w:bottom w:w="100" w:type="dxa"/>
              <w:right w:w="100" w:type="dxa"/>
            </w:tcMar>
          </w:tcPr>
          <w:p w14:paraId="5B626DC0"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w:t>
            </w:r>
          </w:p>
        </w:tc>
        <w:tc>
          <w:tcPr>
            <w:tcW w:w="1440" w:type="dxa"/>
            <w:tcMar>
              <w:top w:w="100" w:type="dxa"/>
              <w:left w:w="100" w:type="dxa"/>
              <w:bottom w:w="100" w:type="dxa"/>
              <w:right w:w="100" w:type="dxa"/>
            </w:tcMar>
          </w:tcPr>
          <w:p w14:paraId="6A1941F4"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500" w:type="dxa"/>
            <w:tcMar>
              <w:top w:w="100" w:type="dxa"/>
              <w:left w:w="100" w:type="dxa"/>
              <w:bottom w:w="100" w:type="dxa"/>
              <w:right w:w="100" w:type="dxa"/>
            </w:tcMar>
          </w:tcPr>
          <w:p w14:paraId="66041A5C"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r>
      <w:tr w:rsidR="00241838" w14:paraId="771875D4" w14:textId="77777777">
        <w:trPr>
          <w:cantSplit/>
          <w:tblHeader/>
        </w:trPr>
        <w:tc>
          <w:tcPr>
            <w:tcW w:w="1815" w:type="dxa"/>
            <w:tcMar>
              <w:top w:w="100" w:type="dxa"/>
              <w:left w:w="100" w:type="dxa"/>
              <w:bottom w:w="100" w:type="dxa"/>
              <w:right w:w="100" w:type="dxa"/>
            </w:tcMar>
          </w:tcPr>
          <w:p w14:paraId="719977E4" w14:textId="77777777" w:rsidR="00241838" w:rsidRDefault="00000000">
            <w:pPr>
              <w:widowControl w:val="0"/>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Financial resources </w:t>
            </w:r>
          </w:p>
        </w:tc>
        <w:tc>
          <w:tcPr>
            <w:tcW w:w="1515" w:type="dxa"/>
            <w:tcMar>
              <w:top w:w="100" w:type="dxa"/>
              <w:left w:w="100" w:type="dxa"/>
              <w:bottom w:w="100" w:type="dxa"/>
              <w:right w:w="100" w:type="dxa"/>
            </w:tcMar>
          </w:tcPr>
          <w:p w14:paraId="27996C1A"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395" w:type="dxa"/>
            <w:tcMar>
              <w:top w:w="100" w:type="dxa"/>
              <w:left w:w="100" w:type="dxa"/>
              <w:bottom w:w="100" w:type="dxa"/>
              <w:right w:w="100" w:type="dxa"/>
            </w:tcMar>
          </w:tcPr>
          <w:p w14:paraId="43D4E81A"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335" w:type="dxa"/>
            <w:tcMar>
              <w:top w:w="100" w:type="dxa"/>
              <w:left w:w="100" w:type="dxa"/>
              <w:bottom w:w="100" w:type="dxa"/>
              <w:right w:w="100" w:type="dxa"/>
            </w:tcMar>
          </w:tcPr>
          <w:p w14:paraId="59D9124C"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w:t>
            </w:r>
          </w:p>
        </w:tc>
        <w:tc>
          <w:tcPr>
            <w:tcW w:w="1440" w:type="dxa"/>
            <w:tcMar>
              <w:top w:w="100" w:type="dxa"/>
              <w:left w:w="100" w:type="dxa"/>
              <w:bottom w:w="100" w:type="dxa"/>
              <w:right w:w="100" w:type="dxa"/>
            </w:tcMar>
          </w:tcPr>
          <w:p w14:paraId="779FDA2D"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w:t>
            </w:r>
          </w:p>
        </w:tc>
        <w:tc>
          <w:tcPr>
            <w:tcW w:w="1500" w:type="dxa"/>
            <w:tcMar>
              <w:top w:w="100" w:type="dxa"/>
              <w:left w:w="100" w:type="dxa"/>
              <w:bottom w:w="100" w:type="dxa"/>
              <w:right w:w="100" w:type="dxa"/>
            </w:tcMar>
          </w:tcPr>
          <w:p w14:paraId="4A81F81E"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w:t>
            </w:r>
          </w:p>
        </w:tc>
      </w:tr>
      <w:tr w:rsidR="00241838" w14:paraId="4A203389" w14:textId="77777777">
        <w:trPr>
          <w:cantSplit/>
          <w:tblHeader/>
        </w:trPr>
        <w:tc>
          <w:tcPr>
            <w:tcW w:w="1815" w:type="dxa"/>
            <w:tcMar>
              <w:top w:w="100" w:type="dxa"/>
              <w:left w:w="100" w:type="dxa"/>
              <w:bottom w:w="100" w:type="dxa"/>
              <w:right w:w="100" w:type="dxa"/>
            </w:tcMar>
          </w:tcPr>
          <w:p w14:paraId="006D4B8B" w14:textId="77777777" w:rsidR="00241838" w:rsidRDefault="00000000">
            <w:pPr>
              <w:widowControl w:val="0"/>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Technology integration</w:t>
            </w:r>
          </w:p>
        </w:tc>
        <w:tc>
          <w:tcPr>
            <w:tcW w:w="1515" w:type="dxa"/>
            <w:tcMar>
              <w:top w:w="100" w:type="dxa"/>
              <w:left w:w="100" w:type="dxa"/>
              <w:bottom w:w="100" w:type="dxa"/>
              <w:right w:w="100" w:type="dxa"/>
            </w:tcMar>
          </w:tcPr>
          <w:p w14:paraId="7BF7BAFB"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395" w:type="dxa"/>
            <w:tcMar>
              <w:top w:w="100" w:type="dxa"/>
              <w:left w:w="100" w:type="dxa"/>
              <w:bottom w:w="100" w:type="dxa"/>
              <w:right w:w="100" w:type="dxa"/>
            </w:tcMar>
          </w:tcPr>
          <w:p w14:paraId="69CD24D2"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335" w:type="dxa"/>
            <w:tcMar>
              <w:top w:w="100" w:type="dxa"/>
              <w:left w:w="100" w:type="dxa"/>
              <w:bottom w:w="100" w:type="dxa"/>
              <w:right w:w="100" w:type="dxa"/>
            </w:tcMar>
          </w:tcPr>
          <w:p w14:paraId="7E0A7868"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440" w:type="dxa"/>
            <w:tcMar>
              <w:top w:w="100" w:type="dxa"/>
              <w:left w:w="100" w:type="dxa"/>
              <w:bottom w:w="100" w:type="dxa"/>
              <w:right w:w="100" w:type="dxa"/>
            </w:tcMar>
          </w:tcPr>
          <w:p w14:paraId="72BA321A"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c>
          <w:tcPr>
            <w:tcW w:w="1500" w:type="dxa"/>
            <w:tcMar>
              <w:top w:w="100" w:type="dxa"/>
              <w:left w:w="100" w:type="dxa"/>
              <w:bottom w:w="100" w:type="dxa"/>
              <w:right w:w="100" w:type="dxa"/>
            </w:tcMar>
          </w:tcPr>
          <w:p w14:paraId="6C210741" w14:textId="77777777" w:rsidR="00241838"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tc>
      </w:tr>
    </w:tbl>
    <w:p w14:paraId="5065F067" w14:textId="77777777" w:rsidR="00241838" w:rsidRDefault="0024183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1C46CE4"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VRIO analysis addresses reliable resources and capabilities of IBM which includes financial resources, technical resources, sustainable measures, strong bond with suppliers and high brand value. All of these resources enhance overall market growth and elevate different opportunities during market expansion (Forrest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Due to high brand value IBM gets easy access to enter in a new market and expand their business within this market which makes these resources a competitive advantage. Another important resource of this company is technology integration which is one major competitive advantage within the market during expansion. Due to their cloud service this company drives innovation and provides different services to their customers in the new market (</w:t>
      </w:r>
      <w:proofErr w:type="spellStart"/>
      <w:r>
        <w:rPr>
          <w:rFonts w:ascii="Times New Roman" w:eastAsia="Times New Roman" w:hAnsi="Times New Roman" w:cs="Times New Roman"/>
          <w:color w:val="000000"/>
          <w:sz w:val="24"/>
          <w:szCs w:val="24"/>
        </w:rPr>
        <w:t>Godavarthi</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Moreover, IBM also focuses on developing strong relationships with suppliers and provides high quality services across the world which becomes a competitive advantage for IBM. This company also focuses on sustainable measures which also attract investors and influence them for investment. </w:t>
      </w:r>
    </w:p>
    <w:p w14:paraId="17925FFD"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Porter's Diamond Model </w:t>
      </w:r>
    </w:p>
    <w:p w14:paraId="65793BCF"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Porter's Diamond Model focuses on four components which show national advantage for IBM. These four components are Factor Conditions, Demand Conditions, Firm Strategy, Structure &amp; Rivalry and Related &amp; Supporting Industries. Each of the factors contributes differently to </w:t>
      </w:r>
      <w:r>
        <w:rPr>
          <w:rFonts w:ascii="Times New Roman" w:eastAsia="Times New Roman" w:hAnsi="Times New Roman" w:cs="Times New Roman"/>
          <w:color w:val="000000"/>
          <w:sz w:val="24"/>
          <w:szCs w:val="24"/>
        </w:rPr>
        <w:lastRenderedPageBreak/>
        <w:t>understand market insights of IBM. Factor Conditions shows quality as well as availability of resources for enhancing business growth (</w:t>
      </w:r>
      <w:proofErr w:type="spellStart"/>
      <w:r>
        <w:rPr>
          <w:rFonts w:ascii="Times New Roman" w:eastAsia="Times New Roman" w:hAnsi="Times New Roman" w:cs="Times New Roman"/>
          <w:color w:val="000000"/>
          <w:sz w:val="24"/>
          <w:szCs w:val="24"/>
        </w:rPr>
        <w:t>Hernita</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This company focuses on their wide range of string engineer pool, R&amp;D and market capital. Apart from this, demand conditions analyse the most demandable home market that influences firms for innovation. The large demanding US market influences IBM for continuously upgrading services which increases business opportunity. Supporting industry showcases competitive suppliers range which impacted the business growth. </w:t>
      </w:r>
    </w:p>
    <w:p w14:paraId="76F8584D"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Other tech firms such as Accenture, Amazon, Google, Microsoft and many others are their strong competitors in the business landscape. In the global environment firm strategy of an organisation helps them to compete and foster the competitive rivalry (</w:t>
      </w:r>
      <w:proofErr w:type="spellStart"/>
      <w:r>
        <w:rPr>
          <w:rFonts w:ascii="Times New Roman" w:eastAsia="Times New Roman" w:hAnsi="Times New Roman" w:cs="Times New Roman"/>
          <w:color w:val="000000"/>
          <w:sz w:val="24"/>
          <w:szCs w:val="24"/>
        </w:rPr>
        <w:t>Sudirjo</w:t>
      </w:r>
      <w:proofErr w:type="spellEnd"/>
      <w:r>
        <w:rPr>
          <w:rFonts w:ascii="Times New Roman" w:eastAsia="Times New Roman" w:hAnsi="Times New Roman" w:cs="Times New Roman"/>
          <w:color w:val="000000"/>
          <w:sz w:val="24"/>
          <w:szCs w:val="24"/>
        </w:rPr>
        <w:t xml:space="preserve">, 2023). Innovation in software became a firm strategy of IBM which became a competitive advantage for this company in the national landscape. This model helps to understand national and local conditions of the market which foster the business growth. Innovation is also influenced by this model which enhances the success rate of business. </w:t>
      </w:r>
    </w:p>
    <w:p w14:paraId="30607597"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Porter's Generic Strategies</w:t>
      </w:r>
    </w:p>
    <w:p w14:paraId="7F8BDFD1"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Porter's Generic Strategies helps to achieve competitive advantage for an organisation based on three components including cost leadership, differentiation and focus. </w:t>
      </w:r>
    </w:p>
    <w:p w14:paraId="34165D72"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Cost leadership</w:t>
      </w:r>
      <w:r>
        <w:rPr>
          <w:rFonts w:ascii="Times New Roman" w:eastAsia="Times New Roman" w:hAnsi="Times New Roman" w:cs="Times New Roman"/>
          <w:color w:val="000000"/>
          <w:sz w:val="24"/>
          <w:szCs w:val="24"/>
        </w:rPr>
        <w:t xml:space="preserve"> aims to provide low cost services to their customers and enhances their sales rate. Through increasing sales economic growth of this company has been increased and made more efficient. </w:t>
      </w:r>
    </w:p>
    <w:p w14:paraId="590BB674"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Differentiation</w:t>
      </w:r>
      <w:r>
        <w:rPr>
          <w:rFonts w:ascii="Times New Roman" w:eastAsia="Times New Roman" w:hAnsi="Times New Roman" w:cs="Times New Roman"/>
          <w:color w:val="000000"/>
          <w:sz w:val="24"/>
          <w:szCs w:val="24"/>
        </w:rPr>
        <w:t xml:space="preserve"> is another important component of this model which shows the unique offering of an organisation for attracting a larger customer base. Moreover, through offering different services this company enhances brand trust and customer loyalty (Cardoso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2022).  </w:t>
      </w:r>
    </w:p>
    <w:p w14:paraId="31636A64"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Focus</w:t>
      </w:r>
      <w:r>
        <w:rPr>
          <w:rFonts w:ascii="Times New Roman" w:eastAsia="Times New Roman" w:hAnsi="Times New Roman" w:cs="Times New Roman"/>
          <w:color w:val="000000"/>
          <w:sz w:val="24"/>
          <w:szCs w:val="24"/>
        </w:rPr>
        <w:t xml:space="preserve"> includes a narrow market segment for an organisation that is also addressed in this model. Critical business problems are also solved through innovative business solutions and create a unique value as a leading company.</w:t>
      </w:r>
    </w:p>
    <w:p w14:paraId="4DF54788"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Among all three components this company focuses on differentiation strategy which makes IBM unique in the competitive landscape. Through integrating different technologies such as AI, cloud service and many others this company offers unique services for their customers. High -end services of this company increases the overall efficiency of IBM and provide them a competitive advantage in the business landscape. </w:t>
      </w:r>
    </w:p>
    <w:p w14:paraId="55C61801" w14:textId="77777777" w:rsidR="00241838" w:rsidRDefault="00000000">
      <w:pPr>
        <w:pStyle w:val="Heading2"/>
      </w:pPr>
      <w:bookmarkStart w:id="9" w:name="_m4k7eqk2b7qz" w:colFirst="0" w:colLast="0"/>
      <w:bookmarkEnd w:id="9"/>
      <w:r>
        <w:t xml:space="preserve">Effectiveness and limitations of the analytical tools </w:t>
      </w:r>
    </w:p>
    <w:p w14:paraId="2B93B1E9"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PESTLE analysis helps to analyse external environments and identify several opportunities of business. This model also provides a clear framework that helps to shape profitability of </w:t>
      </w:r>
      <w:r>
        <w:rPr>
          <w:rFonts w:ascii="Times New Roman" w:eastAsia="Times New Roman" w:hAnsi="Times New Roman" w:cs="Times New Roman"/>
          <w:color w:val="000000"/>
          <w:sz w:val="24"/>
          <w:szCs w:val="24"/>
        </w:rPr>
        <w:lastRenderedPageBreak/>
        <w:t xml:space="preserve">business and helps to enter in a new market. This framework has limitations too which includes Static Nature, external focus, Qualitative Bias and many more. Porter’s five forces help to analyse industry structure and develop a strategic foundation through addressing different competitive advantages of the market (Sumba-Bustamante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2024). Limitation of this framework focuses on Ignores Complementary, Oversimplification, Static Nature and many others. VRIO analysis helps to address reliable resources which make a competitive advantage within the market. This framework also helps to provide informed strategy with linear format. </w:t>
      </w:r>
    </w:p>
    <w:p w14:paraId="5C1CFF6D"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Limitation of VRIO framework includes Subjectivity, Internal Focus, Resource Intensive and Ignores Organizational Readiness. Effectiveness of Porter's Diamond Model includes Policy Guidance, Highlights Rivalry and strategic tools (Afshar and Shah, 2025). The limitation of this framework includes Limited Scope, Static Nature, Manufacturing Focus and many more. SWOT analysis has a comprehensive view, Strategic Foundation and address action areas. The limitation of SWOT analysis includes Oversimplification, Subjectivity &amp; Bias, No Prioritization and many others. The effectiveness of Porter's Generic Strategies includes Profitability, Clear Framework and Strategic Focus. Moreover, the limitations of this framework include Inflexibility, Innovation Risk, Oversimplification and dynamic markets. </w:t>
      </w:r>
    </w:p>
    <w:p w14:paraId="5F7FD2E2" w14:textId="77777777" w:rsidR="00241838" w:rsidRDefault="00000000">
      <w:pPr>
        <w:pStyle w:val="Heading1"/>
      </w:pPr>
      <w:bookmarkStart w:id="10" w:name="_1rgpegg29qjd" w:colFirst="0" w:colLast="0"/>
      <w:bookmarkEnd w:id="10"/>
      <w:r>
        <w:t xml:space="preserve">Strategy Development and Formulation </w:t>
      </w:r>
    </w:p>
    <w:p w14:paraId="45CA2395" w14:textId="77777777" w:rsidR="00241838" w:rsidRDefault="00000000">
      <w:pPr>
        <w:pStyle w:val="Heading2"/>
      </w:pPr>
      <w:bookmarkStart w:id="11" w:name="_wtgupw4qdewt" w:colFirst="0" w:colLast="0"/>
      <w:bookmarkEnd w:id="11"/>
      <w:r>
        <w:t>Strategic models to formulate a market entry strategy aligned with organisation’s objectives</w:t>
      </w:r>
    </w:p>
    <w:p w14:paraId="76C3F227"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market entry of IBM within the North Korean market and growth strategies align closely with the objectives to become the hybrid AI and cloud leader. The company mainly focuses on leveraging innovation, stronger focus on the client experiment and strategic partnership (Attah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2024). On the other hand, IBM primarily focuses on different market entry modes for entering into the new market and they are Wholly Owned Subsidiaries (Foreign Direct Investment), Strategic Alliances and Business Partners and Acquisitions. </w:t>
      </w:r>
    </w:p>
    <w:p w14:paraId="562DB901"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Wholly Owned Subsidiaries (Foreign Direct Investment): </w:t>
      </w:r>
      <w:r>
        <w:rPr>
          <w:rFonts w:ascii="Times New Roman" w:eastAsia="Times New Roman" w:hAnsi="Times New Roman" w:cs="Times New Roman"/>
          <w:color w:val="000000"/>
          <w:sz w:val="24"/>
          <w:szCs w:val="24"/>
        </w:rPr>
        <w:t>IBM focuses on establishing the wholly owned subsidiaries early on the global expansion for maintaining the maximum control and the long-term presence within the key market. Moreover, this particular market entry mode will allow them for building the local expertise and integrate the operations (</w:t>
      </w:r>
      <w:proofErr w:type="spellStart"/>
      <w:r>
        <w:rPr>
          <w:rFonts w:ascii="Times New Roman" w:eastAsia="Times New Roman" w:hAnsi="Times New Roman" w:cs="Times New Roman"/>
          <w:color w:val="000000"/>
          <w:sz w:val="24"/>
          <w:szCs w:val="24"/>
        </w:rPr>
        <w:t>Brouthers</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2022). On the other hand, IBM has also focused on determining the contract manufacturing arrangements within several situations. It focuses on avoiding the trade barriers and reducing the upfront investment and the political risks with the manufacturing and intellectual property transfer.   </w:t>
      </w:r>
    </w:p>
    <w:p w14:paraId="331F3880"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lastRenderedPageBreak/>
        <w:t xml:space="preserve">Strategic Alliances and Business Partners: </w:t>
      </w:r>
      <w:r>
        <w:rPr>
          <w:rFonts w:ascii="Times New Roman" w:eastAsia="Times New Roman" w:hAnsi="Times New Roman" w:cs="Times New Roman"/>
          <w:color w:val="000000"/>
          <w:sz w:val="24"/>
          <w:szCs w:val="24"/>
        </w:rPr>
        <w:t xml:space="preserve">It is considered as the major component of the IBM strategy through which the market entry is done and it mainly involves the working process with the local business partners and the authorised distributors. On the other hand, through this, the company can reach the overall target customers in an effective way (Chen, 2023). Moreover, this type of ecosystem strategy focuses on determining the broader market reach and also leverages the local relationship and knowledge while sharing some costs and different risks.   </w:t>
      </w:r>
    </w:p>
    <w:p w14:paraId="4FC757DF"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Acquisitions: </w:t>
      </w:r>
      <w:r>
        <w:rPr>
          <w:rFonts w:ascii="Times New Roman" w:eastAsia="Times New Roman" w:hAnsi="Times New Roman" w:cs="Times New Roman"/>
          <w:color w:val="000000"/>
          <w:sz w:val="24"/>
          <w:szCs w:val="24"/>
        </w:rPr>
        <w:t xml:space="preserve">The acquisition is considered as another market entry mode where IBM can focus on acquiring the existing the foreign companies for gaining the quicker market entry. It also helps the company to consider control within specific technology and also focus on assessing the complementary assets. In addition, it also focuses on providing the overall speed of entry within the markets that leads to rapid scaling within critical perspectives (Jansen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Moreover, IBM also focuses on determining the mergers with other companies with suitable acquisition targets that have the stronger control over the unique competitive advantage that is required for the company and its overall market.  </w:t>
      </w:r>
    </w:p>
    <w:p w14:paraId="2D82E9E5" w14:textId="77777777" w:rsidR="00241838" w:rsidRDefault="00241838">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1253AE8A"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BCG Matrix</w:t>
      </w:r>
    </w:p>
    <w:p w14:paraId="2F5BAE63"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BCG matrix of IBM includes diverse strategic business units and is analysed with the help of four quadrants such as Stars, Cash Cows, Question Marks and Dogs (</w:t>
      </w:r>
      <w:proofErr w:type="spellStart"/>
      <w:r>
        <w:rPr>
          <w:rFonts w:ascii="Times New Roman" w:eastAsia="Times New Roman" w:hAnsi="Times New Roman" w:cs="Times New Roman"/>
          <w:color w:val="000000"/>
          <w:sz w:val="24"/>
          <w:szCs w:val="24"/>
        </w:rPr>
        <w:t>Abdrabou</w:t>
      </w:r>
      <w:proofErr w:type="spellEnd"/>
      <w:r>
        <w:rPr>
          <w:rFonts w:ascii="Times New Roman" w:eastAsia="Times New Roman" w:hAnsi="Times New Roman" w:cs="Times New Roman"/>
          <w:color w:val="000000"/>
          <w:sz w:val="24"/>
          <w:szCs w:val="24"/>
        </w:rPr>
        <w:t>, 2024).</w:t>
      </w:r>
    </w:p>
    <w:p w14:paraId="6B3DE607"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27F0E767" wp14:editId="5FEA287E">
            <wp:extent cx="4105275" cy="33528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105275" cy="3352800"/>
                    </a:xfrm>
                    <a:prstGeom prst="rect">
                      <a:avLst/>
                    </a:prstGeom>
                    <a:ln/>
                  </pic:spPr>
                </pic:pic>
              </a:graphicData>
            </a:graphic>
          </wp:inline>
        </w:drawing>
      </w:r>
    </w:p>
    <w:p w14:paraId="40AE811F"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5: BCG Matrix</w:t>
      </w:r>
    </w:p>
    <w:p w14:paraId="019C4F5E"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(Source: Self-Developed)</w:t>
      </w:r>
    </w:p>
    <w:p w14:paraId="649D791A"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Stars (High Growth, High Share): </w:t>
      </w:r>
      <w:r>
        <w:rPr>
          <w:rFonts w:ascii="Times New Roman" w:eastAsia="Times New Roman" w:hAnsi="Times New Roman" w:cs="Times New Roman"/>
          <w:color w:val="000000"/>
          <w:sz w:val="24"/>
          <w:szCs w:val="24"/>
        </w:rPr>
        <w:t xml:space="preserve">It focuses on the hybrid cloud and AI applications of IBM that aims for high growth and competes for the high market share with the help of some elements of the company (IBM, 2024). </w:t>
      </w:r>
    </w:p>
    <w:p w14:paraId="083BBDE1"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Cash Cows (Low Growth, High Share): </w:t>
      </w:r>
      <w:r>
        <w:rPr>
          <w:rFonts w:ascii="Times New Roman" w:eastAsia="Times New Roman" w:hAnsi="Times New Roman" w:cs="Times New Roman"/>
          <w:color w:val="000000"/>
          <w:sz w:val="24"/>
          <w:szCs w:val="24"/>
        </w:rPr>
        <w:t xml:space="preserve">It includes in analysing the business culture and services based on the matured areas such as application consultant that generate the steady cash flow and also determining the main funding investments of the organisation. </w:t>
      </w:r>
    </w:p>
    <w:p w14:paraId="76F02119"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Question Marks (High Growth, Low Share): </w:t>
      </w:r>
      <w:r>
        <w:rPr>
          <w:rFonts w:ascii="Times New Roman" w:eastAsia="Times New Roman" w:hAnsi="Times New Roman" w:cs="Times New Roman"/>
          <w:color w:val="000000"/>
          <w:sz w:val="24"/>
          <w:szCs w:val="24"/>
        </w:rPr>
        <w:t xml:space="preserve">It focuses on determining the AI offerings and emerging cloud for the company which mainly requires the heavy investment for gaining the share within fast-growing markets.   </w:t>
      </w:r>
    </w:p>
    <w:p w14:paraId="7532BD68"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Dogs (Low Growth, Low Share): </w:t>
      </w:r>
      <w:r>
        <w:rPr>
          <w:rFonts w:ascii="Times New Roman" w:eastAsia="Times New Roman" w:hAnsi="Times New Roman" w:cs="Times New Roman"/>
          <w:color w:val="000000"/>
          <w:sz w:val="24"/>
          <w:szCs w:val="24"/>
        </w:rPr>
        <w:t xml:space="preserve">It includes in evaluating the discontinued and legacy hardware such as the PCs before their sale are classic Dogs that are actually divested for the lower returns of the organisation. </w:t>
      </w:r>
    </w:p>
    <w:p w14:paraId="36992C67"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Through this BCG matrix, IBM focused on using the main matrix for shifting the main resources from the matured services and declined legacy tech for investing in the advanced technologies for the overall future growth. It mainly highlights the overall transformation within the hybrid cloud and the AI leader.    </w:t>
      </w:r>
    </w:p>
    <w:p w14:paraId="2D493B5E"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Ansoff Matrix</w:t>
      </w:r>
    </w:p>
    <w:p w14:paraId="6D7757B8"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Ansoff Matrix of IBM includes in determining the four quadrants such as Market Penetration, Market Development, Product Development and Diversification. Through this, the company can focus on leveraging the stronger brand image and innovation for the strategies (</w:t>
      </w:r>
      <w:proofErr w:type="spellStart"/>
      <w:r>
        <w:rPr>
          <w:rFonts w:ascii="Times New Roman" w:eastAsia="Times New Roman" w:hAnsi="Times New Roman" w:cs="Times New Roman"/>
          <w:color w:val="000000"/>
          <w:sz w:val="24"/>
          <w:szCs w:val="24"/>
        </w:rPr>
        <w:t>Qomaro</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2024).  </w:t>
      </w:r>
    </w:p>
    <w:p w14:paraId="166D0E21"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35204DF4" wp14:editId="335B5DDC">
            <wp:extent cx="4050829" cy="31289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050829" cy="3128963"/>
                    </a:xfrm>
                    <a:prstGeom prst="rect">
                      <a:avLst/>
                    </a:prstGeom>
                    <a:ln/>
                  </pic:spPr>
                </pic:pic>
              </a:graphicData>
            </a:graphic>
          </wp:inline>
        </w:drawing>
      </w:r>
    </w:p>
    <w:p w14:paraId="70C3CB32"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6: Ansoff Matrix</w:t>
      </w:r>
    </w:p>
    <w:p w14:paraId="22573ABF" w14:textId="77777777" w:rsidR="0024183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0775755A"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Market Penetration: </w:t>
      </w:r>
      <w:r>
        <w:rPr>
          <w:rFonts w:ascii="Times New Roman" w:eastAsia="Times New Roman" w:hAnsi="Times New Roman" w:cs="Times New Roman"/>
          <w:color w:val="000000"/>
          <w:sz w:val="24"/>
          <w:szCs w:val="24"/>
        </w:rPr>
        <w:t xml:space="preserve">IBM focuses on selling more different existing software, hardware and other services for the current enterprise clients. Through this, the company can increase the adoption of the existing cloud platforms and other consulting services among the vast corporate customer base (Golightly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2022). </w:t>
      </w:r>
    </w:p>
    <w:p w14:paraId="4023A781"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Market Development: </w:t>
      </w:r>
      <w:r>
        <w:rPr>
          <w:rFonts w:ascii="Times New Roman" w:eastAsia="Times New Roman" w:hAnsi="Times New Roman" w:cs="Times New Roman"/>
          <w:color w:val="000000"/>
          <w:sz w:val="24"/>
          <w:szCs w:val="24"/>
        </w:rPr>
        <w:t xml:space="preserve">IBM can focus on taking the current offerings for the new customer segments and new potential geographies. Through this, the company will be expanding the solutions within new vertices or selling the established enterprise hardware for the emerging markets.     </w:t>
      </w:r>
    </w:p>
    <w:p w14:paraId="32DDE757"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Product Development: </w:t>
      </w:r>
      <w:r>
        <w:rPr>
          <w:rFonts w:ascii="Times New Roman" w:eastAsia="Times New Roman" w:hAnsi="Times New Roman" w:cs="Times New Roman"/>
          <w:color w:val="000000"/>
          <w:sz w:val="24"/>
          <w:szCs w:val="24"/>
        </w:rPr>
        <w:t xml:space="preserve">IBM focus on creating the solutions for the existing customers for meeting the evolved needs and also focus on developing the new AI-powered tools and quantum computing services.  </w:t>
      </w:r>
    </w:p>
    <w:p w14:paraId="0600C887"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Diversification: </w:t>
      </w:r>
      <w:r>
        <w:rPr>
          <w:rFonts w:ascii="Times New Roman" w:eastAsia="Times New Roman" w:hAnsi="Times New Roman" w:cs="Times New Roman"/>
          <w:color w:val="000000"/>
          <w:sz w:val="24"/>
          <w:szCs w:val="24"/>
        </w:rPr>
        <w:t xml:space="preserve">IBM can focus on shifting the new different areas and also focus on shifting from the mainstream to the broader tech such as aerospace and nano-technology.   </w:t>
      </w:r>
    </w:p>
    <w:p w14:paraId="6719A74D" w14:textId="77777777" w:rsidR="00241838" w:rsidRDefault="00000000">
      <w:pPr>
        <w:pStyle w:val="Heading2"/>
      </w:pPr>
      <w:bookmarkStart w:id="12" w:name="_v7mu3bma662j" w:colFirst="0" w:colLast="0"/>
      <w:bookmarkEnd w:id="12"/>
      <w:r>
        <w:t>Analysing the process of establishing a competitive advantage in the chosen market by leveraging identified opportunities and addressing potential risks</w:t>
      </w:r>
    </w:p>
    <w:p w14:paraId="5E342105"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overall establishment of the competitive edge of IBM within the North Korean Market is currently highly attractive and can face geopolitical, ethical and regulatory behaviours. </w:t>
      </w:r>
    </w:p>
    <w:p w14:paraId="10E393D0"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 the other hand, the identified opportunities associated with this new market include infrastructure modernisation, state-controlled digitisation, security and compliance and many </w:t>
      </w:r>
      <w:r>
        <w:rPr>
          <w:rFonts w:ascii="Times New Roman" w:eastAsia="Times New Roman" w:hAnsi="Times New Roman" w:cs="Times New Roman"/>
          <w:color w:val="000000"/>
          <w:sz w:val="24"/>
          <w:szCs w:val="24"/>
        </w:rPr>
        <w:lastRenderedPageBreak/>
        <w:t xml:space="preserve">others (Knoblauch and Löw, 2025). These particular opportunities will create the demand for the scalable and reliable platforms for IBM. Apart from that, it also includes different types of potential risks and mitigation strategies which include the sanctions and compliance risks, data control risks, risks of recruiting skilled IT workforce and security vulnerabilities risks. Moreover, IBM can focus on establishing the competitive advantage including reliability and scalability through the positioning of the core systems (IBM, 2024). It also includes in managing the controlled innovation by introducing the tech in phase through bleeding edge AI/cloud that poses control risks.      </w:t>
      </w:r>
    </w:p>
    <w:p w14:paraId="05AA419F" w14:textId="77777777" w:rsidR="00241838" w:rsidRDefault="00000000">
      <w:pPr>
        <w:pStyle w:val="Heading1"/>
      </w:pPr>
      <w:bookmarkStart w:id="13" w:name="_mpnewa86riyw" w:colFirst="0" w:colLast="0"/>
      <w:bookmarkEnd w:id="13"/>
      <w:r>
        <w:t xml:space="preserve">Performance Evaluation Framework </w:t>
      </w:r>
    </w:p>
    <w:p w14:paraId="6FA426EF" w14:textId="77777777" w:rsidR="00241838" w:rsidRDefault="00000000">
      <w:pPr>
        <w:pStyle w:val="Heading2"/>
      </w:pPr>
      <w:bookmarkStart w:id="14" w:name="_mfuefx58leb2" w:colFirst="0" w:colLast="0"/>
      <w:bookmarkEnd w:id="14"/>
      <w:r>
        <w:t>Designing a Balanced Scorecard for analysing the KPIs</w:t>
      </w:r>
    </w:p>
    <w:p w14:paraId="0776852E"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Balanced Scorecard (BSC) is considered as the strategic management framework that helps the organisation in translating the vision into the action by measuring the overall performance (Quesado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It mainly focuses on using four different perspectives such as Financial, Customer, Internal Business Processes, and Learning and Growth. These perspectives link up the performance metrics through the strategic focus of the company through hybrid cloud, automation and AI.  </w:t>
      </w:r>
    </w:p>
    <w:p w14:paraId="68DFEDFB"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Financial Perspectives:</w:t>
      </w:r>
    </w:p>
    <w:p w14:paraId="71B99FD4"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particular perspective mainly focuses on the overall ability of IBM for generating the superior financial results and also creates the stakeholder values. Moreover, the strategic objectives of this perspective include in sustaining the profitable growth and also focus on developing the hybrid AI and cloud portfolio (</w:t>
      </w:r>
      <w:proofErr w:type="spellStart"/>
      <w:r>
        <w:rPr>
          <w:rFonts w:ascii="Times New Roman" w:eastAsia="Times New Roman" w:hAnsi="Times New Roman" w:cs="Times New Roman"/>
          <w:color w:val="000000"/>
          <w:sz w:val="24"/>
          <w:szCs w:val="24"/>
        </w:rPr>
        <w:t>Kodakandla</w:t>
      </w:r>
      <w:proofErr w:type="spellEnd"/>
      <w:r>
        <w:rPr>
          <w:rFonts w:ascii="Times New Roman" w:eastAsia="Times New Roman" w:hAnsi="Times New Roman" w:cs="Times New Roman"/>
          <w:color w:val="000000"/>
          <w:sz w:val="24"/>
          <w:szCs w:val="24"/>
        </w:rPr>
        <w:t xml:space="preserve">, 2024). Another objective is that it focuses on improving the profit margins and cash flow of IBM and also ensures a stronger and disciplined capital structure with better ROI. </w:t>
      </w:r>
    </w:p>
    <w:p w14:paraId="79358C90"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KPIs associated with the first perspectives are Revenue growth, free cash flow, Profit margins and Return on Invested Capital (ROIC). </w:t>
      </w:r>
    </w:p>
    <w:p w14:paraId="165E5698"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Customer Perspectives:</w:t>
      </w:r>
    </w:p>
    <w:p w14:paraId="3C2CB672"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particular perspective focuses on determining the process of IBM to deliver value to their customers especially within the core areas of AI and hybrid cloud solutions. Moreover, the strategic objectives of this perspective include increasing the overall customer satisfaction and the retention rates for AI and the hybrid cloud platforms (Alla, 2025). It also includes another objective which includes expanding the overall customer satisfaction and the retention rates of the cloud computing markets.</w:t>
      </w:r>
    </w:p>
    <w:p w14:paraId="1A601A38"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KPIs that are associated with the perspective are Customer Satisfaction (CSAT) / Net Promoter Score (NPS), Market Share, Customer Retention rates and new customer acquisition strategy.   </w:t>
      </w:r>
    </w:p>
    <w:p w14:paraId="73DA91E9"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Internal Business Processes Perspectives:</w:t>
      </w:r>
    </w:p>
    <w:p w14:paraId="231C80FF"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particular perspective includes in identifying the overall operational processes of IBM that focus on excelling the process of satisfying the customers and also achieve the financial objectives. Moreover, the main objective associated with this perspective is to accelerate the innovation and the time-to-market for the new AI and the quantum computing solutions (Rath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2025). Another objective is to enhance the overall operational efficiency of IBM with the help of automation and data-driven processes. </w:t>
      </w:r>
    </w:p>
    <w:p w14:paraId="178D791A"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KPIs that are associated with the perspective are New Product Development Time, Cycle Time/Operational Efficiency, Quality metrics and Automation metrics.  </w:t>
      </w:r>
    </w:p>
    <w:p w14:paraId="296B9258"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Learning and Growth Perspectives: </w:t>
      </w:r>
    </w:p>
    <w:p w14:paraId="1EDA00C7"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particular perspective of IBM includes in determining the intangible resources, people, system and assets required for the long-term innovation and growth. Moreover, it includes the objectives to reskill and upskill the overall workforce for being AI-literate and proficient within the hybrid cloud technologies (IBM, 2024). </w:t>
      </w:r>
    </w:p>
    <w:p w14:paraId="2C5C9EB9"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KPIs that are associated with the perspective are Employee Engagement/Satisfaction, Employee Retention Rate, Training Hours per Employee and Internal Promotion Rate.   </w:t>
      </w:r>
    </w:p>
    <w:p w14:paraId="7841DD2B" w14:textId="77777777" w:rsidR="00241838" w:rsidRDefault="00000000">
      <w:pPr>
        <w:pStyle w:val="Heading2"/>
      </w:pPr>
      <w:bookmarkStart w:id="15" w:name="_y77hx8akomi1" w:colFirst="0" w:colLast="0"/>
      <w:bookmarkEnd w:id="15"/>
      <w:r>
        <w:t>Analysing Triple Bottom Line by identifying the success metrics of IBM</w:t>
      </w:r>
    </w:p>
    <w:p w14:paraId="11CEC325"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Within the new market, IBM will be focusing on the comprehensive and effective Environmental, Social, and Governance (ESG) reporting framework. It is done for measuring the main contributions of three pillars of Triple Bottom Line Theory such as People, Planet and Profit (Pereira and Martins, 2021). </w:t>
      </w:r>
    </w:p>
    <w:p w14:paraId="4421141E"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People:</w:t>
      </w:r>
      <w:r>
        <w:rPr>
          <w:rFonts w:ascii="Times New Roman" w:eastAsia="Times New Roman" w:hAnsi="Times New Roman" w:cs="Times New Roman"/>
          <w:color w:val="000000"/>
          <w:sz w:val="24"/>
          <w:szCs w:val="24"/>
        </w:rPr>
        <w:t xml:space="preserve"> It mainly focuses on the IBM’s people metric that focuses on the social impact of all the stakeholders such as communities, employees, supply chain partners and many others. Through this, IBM will be focusing on the workplace equity metric for achieving gender pay equity and also focus on better employee well-being for managing the safety and health of the employees.   </w:t>
      </w:r>
    </w:p>
    <w:p w14:paraId="440DAD26"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Planet: </w:t>
      </w:r>
      <w:r>
        <w:rPr>
          <w:rFonts w:ascii="Times New Roman" w:eastAsia="Times New Roman" w:hAnsi="Times New Roman" w:cs="Times New Roman"/>
          <w:color w:val="000000"/>
          <w:sz w:val="24"/>
          <w:szCs w:val="24"/>
        </w:rPr>
        <w:t>The planet metric of TBL focuses on tracking the impact of the natural ecosystem of IBM with the ultimate goal of minimising the overall environmental harm and also achieving net-zero emissions (</w:t>
      </w:r>
      <w:proofErr w:type="spellStart"/>
      <w:r>
        <w:rPr>
          <w:rFonts w:ascii="Times New Roman" w:eastAsia="Times New Roman" w:hAnsi="Times New Roman" w:cs="Times New Roman"/>
          <w:color w:val="000000"/>
          <w:sz w:val="24"/>
          <w:szCs w:val="24"/>
        </w:rPr>
        <w:t>Korada</w:t>
      </w:r>
      <w:proofErr w:type="spellEnd"/>
      <w:r>
        <w:rPr>
          <w:rFonts w:ascii="Times New Roman" w:eastAsia="Times New Roman" w:hAnsi="Times New Roman" w:cs="Times New Roman"/>
          <w:color w:val="000000"/>
          <w:sz w:val="24"/>
          <w:szCs w:val="24"/>
        </w:rPr>
        <w:t xml:space="preserve">, 2024). Through this, the company will be determining the reduction of GHG emissions and will also measure the total consumption of water and electricity.  </w:t>
      </w:r>
    </w:p>
    <w:p w14:paraId="5BB85402"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lastRenderedPageBreak/>
        <w:t xml:space="preserve">Profit: </w:t>
      </w:r>
      <w:r>
        <w:rPr>
          <w:rFonts w:ascii="Times New Roman" w:eastAsia="Times New Roman" w:hAnsi="Times New Roman" w:cs="Times New Roman"/>
          <w:color w:val="000000"/>
          <w:sz w:val="24"/>
          <w:szCs w:val="24"/>
        </w:rPr>
        <w:t>The Profit metric focuses on determining the economic benefits that are generated by the society and also analyse the internal financial performance (</w:t>
      </w:r>
      <w:proofErr w:type="spellStart"/>
      <w:r>
        <w:rPr>
          <w:rFonts w:ascii="Times New Roman" w:eastAsia="Times New Roman" w:hAnsi="Times New Roman" w:cs="Times New Roman"/>
          <w:color w:val="000000"/>
          <w:sz w:val="24"/>
          <w:szCs w:val="24"/>
        </w:rPr>
        <w:t>Barauskaite</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Streimikiene</w:t>
      </w:r>
      <w:proofErr w:type="spellEnd"/>
      <w:r>
        <w:rPr>
          <w:rFonts w:ascii="Times New Roman" w:eastAsia="Times New Roman" w:hAnsi="Times New Roman" w:cs="Times New Roman"/>
          <w:color w:val="000000"/>
          <w:sz w:val="24"/>
          <w:szCs w:val="24"/>
        </w:rPr>
        <w:t xml:space="preserve">, 2021). It also includes in fostering the resilient and sustainable supply chain that leads to the overall cost savings and overall reduced risks that are considered as the main economic benefits.  </w:t>
      </w:r>
    </w:p>
    <w:p w14:paraId="497BBC53" w14:textId="77777777" w:rsidR="00241838" w:rsidRDefault="00000000">
      <w:pPr>
        <w:pStyle w:val="Heading2"/>
      </w:pPr>
      <w:bookmarkStart w:id="16" w:name="_skzrs914mbqa" w:colFirst="0" w:colLast="0"/>
      <w:bookmarkEnd w:id="16"/>
      <w:r>
        <w:t>Assessing the impact and progress of the expansion initiative of the company</w:t>
      </w:r>
    </w:p>
    <w:p w14:paraId="2AF48FB3"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performance management system (PMS) of an organisation includes in determining the goal setting process and monitoring the progress by providing continuous feedback of the employees. Moreover, it also focuses on assessing the overall impact and the progress regarding the expansion initiative of IBM (Nonet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Through this, IBM can focus on some strategies such as strategic alignment, data-driven decision making, benchmarking, continuous monitoring and many others. One of the theories of PMS is goal setting theory through which IBM can focus on difficult and specific goals that can lead the company to higher performance by directing the main focus and efforts. Apart from that, with the help of these strategies, IBM can focus on leveraging the analytics and the planning software for gathering and analysing the larger volumes of data for making different decisions (IBM, 2024). The overall performance can be measured through the internal targets and IBM also tracks the competitor’s performance to set their own benchmark. It also determines the continuous monitoring process where the overall system of IBM emphasises the performance data with different mechanisms for the regular review. The company will also focus on swift course correction for the performance declination within the new market of North Korea.         </w:t>
      </w:r>
    </w:p>
    <w:p w14:paraId="03398DD0" w14:textId="77777777" w:rsidR="00241838" w:rsidRDefault="00000000">
      <w:pPr>
        <w:pStyle w:val="Heading1"/>
      </w:pPr>
      <w:bookmarkStart w:id="17" w:name="_w7b0iq623m5h" w:colFirst="0" w:colLast="0"/>
      <w:bookmarkEnd w:id="17"/>
      <w:r>
        <w:t xml:space="preserve">Conclusion </w:t>
      </w:r>
    </w:p>
    <w:p w14:paraId="5202187D"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study mainly focuses on analysing the information of the Organisational Expansion Plan of IBM within the North Korean market. Moreover, this particular report focuses on determining the comprehensive strategic analysis with the help of appropriate frameworks based on the macro-environmental factors, micro-environmental factors and the competitive landscape. It includes PESTLE, Porter’s five forces, SWOT analysis, VRIO analysis, Porter's diamond model and Porter's generic model. Furthermore, this particular study also focuses on formulating the market entry strategy that aligns with the overall organisation objectives and it also includes the models such as BCG matrix and Ansoff Matrix. Lastly, this study also analyses the Balanced Scorecard by analysing the KPIs and success metrics of the organisation. It also discusses the TBL framework and also analyses the impact and progress of the expansion initiatives. </w:t>
      </w:r>
      <w:r>
        <w:br w:type="page"/>
      </w:r>
    </w:p>
    <w:p w14:paraId="35724888" w14:textId="77777777" w:rsidR="00241838" w:rsidRDefault="00000000">
      <w:pPr>
        <w:pStyle w:val="Heading1"/>
      </w:pPr>
      <w:bookmarkStart w:id="18" w:name="_2ioccm2bocio" w:colFirst="0" w:colLast="0"/>
      <w:bookmarkEnd w:id="18"/>
      <w:r>
        <w:lastRenderedPageBreak/>
        <w:t>Reference List</w:t>
      </w:r>
    </w:p>
    <w:p w14:paraId="7C556112"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Abdrabou, O.E., 2024. Analysis of Business Portfolio Using BCG Matrix to Develop Directional Strategies: Case of FIBH. </w:t>
      </w:r>
      <w:r>
        <w:rPr>
          <w:rFonts w:ascii="Times New Roman" w:eastAsia="Times New Roman" w:hAnsi="Times New Roman" w:cs="Times New Roman"/>
          <w:i/>
          <w:color w:val="000000"/>
          <w:sz w:val="24"/>
          <w:szCs w:val="24"/>
        </w:rPr>
        <w:t>Financial &amp; Business Studies Journal/</w:t>
      </w:r>
      <w:proofErr w:type="spellStart"/>
      <w:r>
        <w:rPr>
          <w:rFonts w:ascii="Times New Roman" w:eastAsia="Times New Roman" w:hAnsi="Times New Roman" w:cs="Times New Roman"/>
          <w:i/>
          <w:color w:val="000000"/>
          <w:sz w:val="24"/>
          <w:szCs w:val="24"/>
        </w:rPr>
        <w:t>Maǧallaẗ</w:t>
      </w:r>
      <w:proofErr w:type="spellEnd"/>
      <w:r>
        <w:rPr>
          <w:rFonts w:ascii="Times New Roman" w:eastAsia="Times New Roman" w:hAnsi="Times New Roman" w:cs="Times New Roman"/>
          <w:i/>
          <w:color w:val="000000"/>
          <w:sz w:val="24"/>
          <w:szCs w:val="24"/>
        </w:rPr>
        <w:t xml:space="preserve"> Al-</w:t>
      </w:r>
      <w:proofErr w:type="spellStart"/>
      <w:r>
        <w:rPr>
          <w:rFonts w:ascii="Times New Roman" w:eastAsia="Times New Roman" w:hAnsi="Times New Roman" w:cs="Times New Roman"/>
          <w:i/>
          <w:color w:val="000000"/>
          <w:sz w:val="24"/>
          <w:szCs w:val="24"/>
        </w:rPr>
        <w:t>Dirāsāt</w:t>
      </w:r>
      <w:proofErr w:type="spellEnd"/>
      <w:r>
        <w:rPr>
          <w:rFonts w:ascii="Times New Roman" w:eastAsia="Times New Roman" w:hAnsi="Times New Roman" w:cs="Times New Roman"/>
          <w:i/>
          <w:color w:val="000000"/>
          <w:sz w:val="24"/>
          <w:szCs w:val="24"/>
        </w:rPr>
        <w:t xml:space="preserve"> Al-</w:t>
      </w:r>
      <w:proofErr w:type="spellStart"/>
      <w:r>
        <w:rPr>
          <w:rFonts w:ascii="Times New Roman" w:eastAsia="Times New Roman" w:hAnsi="Times New Roman" w:cs="Times New Roman"/>
          <w:i/>
          <w:color w:val="000000"/>
          <w:sz w:val="24"/>
          <w:szCs w:val="24"/>
        </w:rPr>
        <w:t>Māliyyaẗ</w:t>
      </w:r>
      <w:proofErr w:type="spellEnd"/>
      <w:r>
        <w:rPr>
          <w:rFonts w:ascii="Times New Roman" w:eastAsia="Times New Roman" w:hAnsi="Times New Roman" w:cs="Times New Roman"/>
          <w:i/>
          <w:color w:val="000000"/>
          <w:sz w:val="24"/>
          <w:szCs w:val="24"/>
        </w:rPr>
        <w:t xml:space="preserve"> </w:t>
      </w:r>
      <w:proofErr w:type="spellStart"/>
      <w:r>
        <w:rPr>
          <w:rFonts w:ascii="Times New Roman" w:eastAsia="Times New Roman" w:hAnsi="Times New Roman" w:cs="Times New Roman"/>
          <w:i/>
          <w:color w:val="000000"/>
          <w:sz w:val="24"/>
          <w:szCs w:val="24"/>
        </w:rPr>
        <w:t>wa</w:t>
      </w:r>
      <w:proofErr w:type="spellEnd"/>
      <w:r>
        <w:rPr>
          <w:rFonts w:ascii="Times New Roman" w:eastAsia="Times New Roman" w:hAnsi="Times New Roman" w:cs="Times New Roman"/>
          <w:i/>
          <w:color w:val="000000"/>
          <w:sz w:val="24"/>
          <w:szCs w:val="24"/>
        </w:rPr>
        <w:t xml:space="preserve"> Al-</w:t>
      </w:r>
      <w:proofErr w:type="spellStart"/>
      <w:r>
        <w:rPr>
          <w:rFonts w:ascii="Times New Roman" w:eastAsia="Times New Roman" w:hAnsi="Times New Roman" w:cs="Times New Roman"/>
          <w:i/>
          <w:color w:val="000000"/>
          <w:sz w:val="24"/>
          <w:szCs w:val="24"/>
        </w:rPr>
        <w:t>Tiǧāriyyaẗ</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34</w:t>
      </w:r>
      <w:r>
        <w:rPr>
          <w:rFonts w:ascii="Times New Roman" w:eastAsia="Times New Roman" w:hAnsi="Times New Roman" w:cs="Times New Roman"/>
          <w:color w:val="000000"/>
          <w:sz w:val="24"/>
          <w:szCs w:val="24"/>
        </w:rPr>
        <w:t>(3).</w:t>
      </w:r>
    </w:p>
    <w:p w14:paraId="7279DD4E"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Afshar, M.Z. and Shah, M.H., 2025. Leveraging Porter's Diamond Model: Public Sector Insights. </w:t>
      </w:r>
      <w:r>
        <w:rPr>
          <w:rFonts w:ascii="Times New Roman" w:eastAsia="Times New Roman" w:hAnsi="Times New Roman" w:cs="Times New Roman"/>
          <w:i/>
          <w:color w:val="000000"/>
          <w:sz w:val="24"/>
          <w:szCs w:val="24"/>
        </w:rPr>
        <w:t>The Critical Review of Social Sciences Studies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w:t>
      </w:r>
      <w:r>
        <w:rPr>
          <w:rFonts w:ascii="Times New Roman" w:eastAsia="Times New Roman" w:hAnsi="Times New Roman" w:cs="Times New Roman"/>
          <w:color w:val="000000"/>
          <w:sz w:val="24"/>
          <w:szCs w:val="24"/>
        </w:rPr>
        <w:t>(2), pp.2255-2271.</w:t>
      </w:r>
    </w:p>
    <w:p w14:paraId="482BFD96"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Alla, S.S.R., 2025. Lessons from Scaling a Hybrid Cloud Platform: How AI Reduced Operational Costs and Improved Reliability. </w:t>
      </w:r>
      <w:r>
        <w:rPr>
          <w:rFonts w:ascii="Times New Roman" w:eastAsia="Times New Roman" w:hAnsi="Times New Roman" w:cs="Times New Roman"/>
          <w:i/>
          <w:color w:val="222222"/>
          <w:sz w:val="24"/>
          <w:szCs w:val="24"/>
          <w:highlight w:val="white"/>
        </w:rPr>
        <w:t>Journal of Computer Science and Technology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(3), pp.348-353.</w:t>
      </w:r>
    </w:p>
    <w:p w14:paraId="5AAC2DE5"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Attah, R.U., Garba, B.M.P., Gil-</w:t>
      </w:r>
      <w:proofErr w:type="spellStart"/>
      <w:r>
        <w:rPr>
          <w:rFonts w:ascii="Times New Roman" w:eastAsia="Times New Roman" w:hAnsi="Times New Roman" w:cs="Times New Roman"/>
          <w:color w:val="222222"/>
          <w:sz w:val="24"/>
          <w:szCs w:val="24"/>
          <w:highlight w:val="white"/>
        </w:rPr>
        <w:t>Ozoudeh</w:t>
      </w:r>
      <w:proofErr w:type="spellEnd"/>
      <w:r>
        <w:rPr>
          <w:rFonts w:ascii="Times New Roman" w:eastAsia="Times New Roman" w:hAnsi="Times New Roman" w:cs="Times New Roman"/>
          <w:color w:val="222222"/>
          <w:sz w:val="24"/>
          <w:szCs w:val="24"/>
          <w:highlight w:val="white"/>
        </w:rPr>
        <w:t xml:space="preserve">, I. and </w:t>
      </w:r>
      <w:proofErr w:type="spellStart"/>
      <w:r>
        <w:rPr>
          <w:rFonts w:ascii="Times New Roman" w:eastAsia="Times New Roman" w:hAnsi="Times New Roman" w:cs="Times New Roman"/>
          <w:color w:val="222222"/>
          <w:sz w:val="24"/>
          <w:szCs w:val="24"/>
          <w:highlight w:val="white"/>
        </w:rPr>
        <w:t>Iwuanyanwu</w:t>
      </w:r>
      <w:proofErr w:type="spellEnd"/>
      <w:r>
        <w:rPr>
          <w:rFonts w:ascii="Times New Roman" w:eastAsia="Times New Roman" w:hAnsi="Times New Roman" w:cs="Times New Roman"/>
          <w:color w:val="222222"/>
          <w:sz w:val="24"/>
          <w:szCs w:val="24"/>
          <w:highlight w:val="white"/>
        </w:rPr>
        <w:t xml:space="preserve">, O., 2024. Evaluating strategic technology partnerships: Providing conceptual insights into their role in corporate strategy and technological innovation. </w:t>
      </w:r>
      <w:r>
        <w:rPr>
          <w:rFonts w:ascii="Times New Roman" w:eastAsia="Times New Roman" w:hAnsi="Times New Roman" w:cs="Times New Roman"/>
          <w:i/>
          <w:color w:val="000000"/>
          <w:sz w:val="24"/>
          <w:szCs w:val="24"/>
        </w:rPr>
        <w:t xml:space="preserve">Int J Front Sci </w:t>
      </w:r>
      <w:proofErr w:type="spellStart"/>
      <w:r>
        <w:rPr>
          <w:rFonts w:ascii="Times New Roman" w:eastAsia="Times New Roman" w:hAnsi="Times New Roman" w:cs="Times New Roman"/>
          <w:i/>
          <w:color w:val="000000"/>
          <w:sz w:val="24"/>
          <w:szCs w:val="24"/>
        </w:rPr>
        <w:t>Technol</w:t>
      </w:r>
      <w:proofErr w:type="spellEnd"/>
      <w:r>
        <w:rPr>
          <w:rFonts w:ascii="Times New Roman" w:eastAsia="Times New Roman" w:hAnsi="Times New Roman" w:cs="Times New Roman"/>
          <w:i/>
          <w:color w:val="000000"/>
          <w:sz w:val="24"/>
          <w:szCs w:val="24"/>
        </w:rPr>
        <w:t xml:space="preserve"> Res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7</w:t>
      </w:r>
      <w:r>
        <w:rPr>
          <w:rFonts w:ascii="Times New Roman" w:eastAsia="Times New Roman" w:hAnsi="Times New Roman" w:cs="Times New Roman"/>
          <w:color w:val="000000"/>
          <w:sz w:val="24"/>
          <w:szCs w:val="24"/>
        </w:rPr>
        <w:t>(2), pp.77-89.</w:t>
      </w:r>
    </w:p>
    <w:p w14:paraId="1A699232"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Barauskaite</w:t>
      </w:r>
      <w:proofErr w:type="spellEnd"/>
      <w:r>
        <w:rPr>
          <w:rFonts w:ascii="Times New Roman" w:eastAsia="Times New Roman" w:hAnsi="Times New Roman" w:cs="Times New Roman"/>
          <w:color w:val="222222"/>
          <w:sz w:val="24"/>
          <w:szCs w:val="24"/>
          <w:highlight w:val="white"/>
        </w:rPr>
        <w:t xml:space="preserve">, G. and </w:t>
      </w:r>
      <w:proofErr w:type="spellStart"/>
      <w:r>
        <w:rPr>
          <w:rFonts w:ascii="Times New Roman" w:eastAsia="Times New Roman" w:hAnsi="Times New Roman" w:cs="Times New Roman"/>
          <w:color w:val="222222"/>
          <w:sz w:val="24"/>
          <w:szCs w:val="24"/>
          <w:highlight w:val="white"/>
        </w:rPr>
        <w:t>Streimikiene</w:t>
      </w:r>
      <w:proofErr w:type="spellEnd"/>
      <w:r>
        <w:rPr>
          <w:rFonts w:ascii="Times New Roman" w:eastAsia="Times New Roman" w:hAnsi="Times New Roman" w:cs="Times New Roman"/>
          <w:color w:val="222222"/>
          <w:sz w:val="24"/>
          <w:szCs w:val="24"/>
          <w:highlight w:val="white"/>
        </w:rPr>
        <w:t xml:space="preserve">, D., 2021. Corporate social responsibility and financial performance of companies: The puzzle of concepts, definitions and assessment methods. </w:t>
      </w:r>
      <w:r>
        <w:rPr>
          <w:rFonts w:ascii="Times New Roman" w:eastAsia="Times New Roman" w:hAnsi="Times New Roman" w:cs="Times New Roman"/>
          <w:i/>
          <w:color w:val="222222"/>
          <w:sz w:val="24"/>
          <w:szCs w:val="24"/>
          <w:highlight w:val="white"/>
        </w:rPr>
        <w:t>Corporate Social Responsibility and Environmental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(1), pp.278-287.</w:t>
      </w:r>
    </w:p>
    <w:p w14:paraId="5F1A4022"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Bharadiya</w:t>
      </w:r>
      <w:proofErr w:type="spellEnd"/>
      <w:r>
        <w:rPr>
          <w:rFonts w:ascii="Times New Roman" w:eastAsia="Times New Roman" w:hAnsi="Times New Roman" w:cs="Times New Roman"/>
          <w:color w:val="222222"/>
          <w:sz w:val="24"/>
          <w:szCs w:val="24"/>
          <w:highlight w:val="white"/>
        </w:rPr>
        <w:t xml:space="preserve">, J.P., Thomas, R.K. and Ahmed, F., 2023. Rise of artificial intelligence in business and industry. </w:t>
      </w:r>
      <w:r>
        <w:rPr>
          <w:rFonts w:ascii="Times New Roman" w:eastAsia="Times New Roman" w:hAnsi="Times New Roman" w:cs="Times New Roman"/>
          <w:i/>
          <w:color w:val="222222"/>
          <w:sz w:val="24"/>
          <w:szCs w:val="24"/>
          <w:highlight w:val="white"/>
        </w:rPr>
        <w:t>Journal of Engineering Research and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(3), pp.85-103.</w:t>
      </w:r>
    </w:p>
    <w:p w14:paraId="0D1B4C7E"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Brouthers</w:t>
      </w:r>
      <w:proofErr w:type="spellEnd"/>
      <w:r>
        <w:rPr>
          <w:rFonts w:ascii="Times New Roman" w:eastAsia="Times New Roman" w:hAnsi="Times New Roman" w:cs="Times New Roman"/>
          <w:color w:val="222222"/>
          <w:sz w:val="24"/>
          <w:szCs w:val="24"/>
          <w:highlight w:val="white"/>
        </w:rPr>
        <w:t xml:space="preserve">, K.D., Chen, L., Li, S. and Shaheer, N., 2022. Charting new courses to enter foreign markets: Conceptualization, theoretical framework, and research directions on non-traditional entry modes. </w:t>
      </w:r>
      <w:r>
        <w:rPr>
          <w:rFonts w:ascii="Times New Roman" w:eastAsia="Times New Roman" w:hAnsi="Times New Roman" w:cs="Times New Roman"/>
          <w:i/>
          <w:color w:val="000000"/>
          <w:sz w:val="24"/>
          <w:szCs w:val="24"/>
        </w:rPr>
        <w:t>Journal of International Business Studies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53</w:t>
      </w:r>
      <w:r>
        <w:rPr>
          <w:rFonts w:ascii="Times New Roman" w:eastAsia="Times New Roman" w:hAnsi="Times New Roman" w:cs="Times New Roman"/>
          <w:color w:val="000000"/>
          <w:sz w:val="24"/>
          <w:szCs w:val="24"/>
        </w:rPr>
        <w:t>(9), p.2088.</w:t>
      </w:r>
    </w:p>
    <w:p w14:paraId="6B524614"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Butt, A., Ahmad, H., Ali, F., Muzaffar, A. and Shafique, M.N., 2023. Engaging the customer with augmented reality and employee services to enhance equity and loyalty. </w:t>
      </w:r>
      <w:r>
        <w:rPr>
          <w:rFonts w:ascii="Times New Roman" w:eastAsia="Times New Roman" w:hAnsi="Times New Roman" w:cs="Times New Roman"/>
          <w:i/>
          <w:color w:val="222222"/>
          <w:sz w:val="24"/>
          <w:szCs w:val="24"/>
          <w:highlight w:val="white"/>
        </w:rPr>
        <w:t>International Journal of Retail &amp; Distribution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(5), pp.629-652.</w:t>
      </w:r>
    </w:p>
    <w:p w14:paraId="4E5751F8"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Cardoso, A., Gabriel, M., Figueiredo, J., Oliveira, I., Rêgo, R., Silva, R., Oliveira, M. and </w:t>
      </w:r>
      <w:proofErr w:type="spellStart"/>
      <w:r>
        <w:rPr>
          <w:rFonts w:ascii="Times New Roman" w:eastAsia="Times New Roman" w:hAnsi="Times New Roman" w:cs="Times New Roman"/>
          <w:color w:val="222222"/>
          <w:sz w:val="24"/>
          <w:szCs w:val="24"/>
          <w:highlight w:val="white"/>
        </w:rPr>
        <w:t>Meirinhos</w:t>
      </w:r>
      <w:proofErr w:type="spellEnd"/>
      <w:r>
        <w:rPr>
          <w:rFonts w:ascii="Times New Roman" w:eastAsia="Times New Roman" w:hAnsi="Times New Roman" w:cs="Times New Roman"/>
          <w:color w:val="222222"/>
          <w:sz w:val="24"/>
          <w:szCs w:val="24"/>
          <w:highlight w:val="white"/>
        </w:rPr>
        <w:t xml:space="preserve">, G., 2022. Trust and loyalty in building the brand relationship with the customer: empirical analysis in a retail chain in northern Brazil. </w:t>
      </w:r>
      <w:r>
        <w:rPr>
          <w:rFonts w:ascii="Times New Roman" w:eastAsia="Times New Roman" w:hAnsi="Times New Roman" w:cs="Times New Roman"/>
          <w:i/>
          <w:color w:val="000000"/>
          <w:sz w:val="24"/>
          <w:szCs w:val="24"/>
        </w:rPr>
        <w:t>Journal of Open Innovation: Technology, Market, and Complexity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8</w:t>
      </w:r>
      <w:r>
        <w:rPr>
          <w:rFonts w:ascii="Times New Roman" w:eastAsia="Times New Roman" w:hAnsi="Times New Roman" w:cs="Times New Roman"/>
          <w:color w:val="000000"/>
          <w:sz w:val="24"/>
          <w:szCs w:val="24"/>
        </w:rPr>
        <w:t>(3), p.109.</w:t>
      </w:r>
    </w:p>
    <w:p w14:paraId="06F075BB"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Cavallo, A., </w:t>
      </w:r>
      <w:proofErr w:type="spellStart"/>
      <w:r>
        <w:rPr>
          <w:rFonts w:ascii="Times New Roman" w:eastAsia="Times New Roman" w:hAnsi="Times New Roman" w:cs="Times New Roman"/>
          <w:color w:val="222222"/>
          <w:sz w:val="24"/>
          <w:szCs w:val="24"/>
          <w:highlight w:val="white"/>
        </w:rPr>
        <w:t>Cosenz</w:t>
      </w:r>
      <w:proofErr w:type="spellEnd"/>
      <w:r>
        <w:rPr>
          <w:rFonts w:ascii="Times New Roman" w:eastAsia="Times New Roman" w:hAnsi="Times New Roman" w:cs="Times New Roman"/>
          <w:color w:val="222222"/>
          <w:sz w:val="24"/>
          <w:szCs w:val="24"/>
          <w:highlight w:val="white"/>
        </w:rPr>
        <w:t xml:space="preserve">, F. and Noto, G., 2024. Business model scaling and growth hacking in digital entrepreneurship. </w:t>
      </w:r>
      <w:r>
        <w:rPr>
          <w:rFonts w:ascii="Times New Roman" w:eastAsia="Times New Roman" w:hAnsi="Times New Roman" w:cs="Times New Roman"/>
          <w:i/>
          <w:color w:val="222222"/>
          <w:sz w:val="24"/>
          <w:szCs w:val="24"/>
          <w:highlight w:val="white"/>
        </w:rPr>
        <w:t>Journal of Small Business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(4), pp.2058-2085.</w:t>
      </w:r>
    </w:p>
    <w:p w14:paraId="51E14A38"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Chen, L., 2023. Effective Strategies for Attracting and Engaging Target Audiences in Today’s Competitive Market. </w:t>
      </w:r>
      <w:r>
        <w:rPr>
          <w:rFonts w:ascii="Times New Roman" w:eastAsia="Times New Roman" w:hAnsi="Times New Roman" w:cs="Times New Roman"/>
          <w:i/>
          <w:color w:val="000000"/>
          <w:sz w:val="24"/>
          <w:szCs w:val="24"/>
        </w:rPr>
        <w:t>Journal of Education, Humanities and Social Sciences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16</w:t>
      </w:r>
      <w:r>
        <w:rPr>
          <w:rFonts w:ascii="Times New Roman" w:eastAsia="Times New Roman" w:hAnsi="Times New Roman" w:cs="Times New Roman"/>
          <w:color w:val="000000"/>
          <w:sz w:val="24"/>
          <w:szCs w:val="24"/>
        </w:rPr>
        <w:t>, pp.141-147.</w:t>
      </w:r>
    </w:p>
    <w:p w14:paraId="4AE92487"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EBSCO, 2025. </w:t>
      </w:r>
      <w:r>
        <w:rPr>
          <w:rFonts w:ascii="Times New Roman" w:eastAsia="Times New Roman" w:hAnsi="Times New Roman" w:cs="Times New Roman"/>
          <w:i/>
          <w:color w:val="000000"/>
          <w:sz w:val="24"/>
          <w:szCs w:val="24"/>
        </w:rPr>
        <w:t>North Korea's environmental policies</w:t>
      </w:r>
      <w:r>
        <w:rPr>
          <w:rFonts w:ascii="Times New Roman" w:eastAsia="Times New Roman" w:hAnsi="Times New Roman" w:cs="Times New Roman"/>
          <w:color w:val="000000"/>
          <w:sz w:val="24"/>
          <w:szCs w:val="24"/>
        </w:rPr>
        <w:t xml:space="preserve">. [Online]. Available at: </w:t>
      </w:r>
      <w:hyperlink r:id="rId14">
        <w:r w:rsidR="00241838">
          <w:rPr>
            <w:rFonts w:ascii="Times New Roman" w:eastAsia="Times New Roman" w:hAnsi="Times New Roman" w:cs="Times New Roman"/>
            <w:color w:val="1155CC"/>
            <w:sz w:val="24"/>
            <w:szCs w:val="24"/>
            <w:u w:val="single"/>
          </w:rPr>
          <w:t>https://www.ebsco.com/research-starters/environmental-sciences/north-koreas-environmental-policies</w:t>
        </w:r>
      </w:hyperlink>
      <w:r>
        <w:rPr>
          <w:rFonts w:ascii="Times New Roman" w:eastAsia="Times New Roman" w:hAnsi="Times New Roman" w:cs="Times New Roman"/>
          <w:color w:val="000000"/>
          <w:sz w:val="24"/>
          <w:szCs w:val="24"/>
        </w:rPr>
        <w:t xml:space="preserve">. [Accessed on: 5th December, 2025]. </w:t>
      </w:r>
    </w:p>
    <w:p w14:paraId="6D2B353E"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Forrest, J.Y.L., Shao, L.P., Jr, R.E.M. and Shao, D., 2021. Firm performance and market expansion from the point of view of resources. </w:t>
      </w:r>
      <w:r>
        <w:rPr>
          <w:rFonts w:ascii="Times New Roman" w:eastAsia="Times New Roman" w:hAnsi="Times New Roman" w:cs="Times New Roman"/>
          <w:i/>
          <w:color w:val="222222"/>
          <w:sz w:val="24"/>
          <w:szCs w:val="24"/>
          <w:highlight w:val="white"/>
        </w:rPr>
        <w:t>International Journal of Business and Systems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(4), pp.468-490.</w:t>
      </w:r>
    </w:p>
    <w:p w14:paraId="2DA68270"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Godavarthi</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Narisetty</w:t>
      </w:r>
      <w:proofErr w:type="spellEnd"/>
      <w:r>
        <w:rPr>
          <w:rFonts w:ascii="Times New Roman" w:eastAsia="Times New Roman" w:hAnsi="Times New Roman" w:cs="Times New Roman"/>
          <w:color w:val="222222"/>
          <w:sz w:val="24"/>
          <w:szCs w:val="24"/>
          <w:highlight w:val="white"/>
        </w:rPr>
        <w:t xml:space="preserve">, N., </w:t>
      </w:r>
      <w:proofErr w:type="spellStart"/>
      <w:r>
        <w:rPr>
          <w:rFonts w:ascii="Times New Roman" w:eastAsia="Times New Roman" w:hAnsi="Times New Roman" w:cs="Times New Roman"/>
          <w:color w:val="222222"/>
          <w:sz w:val="24"/>
          <w:szCs w:val="24"/>
          <w:highlight w:val="white"/>
        </w:rPr>
        <w:t>Gudikandhula</w:t>
      </w:r>
      <w:proofErr w:type="spellEnd"/>
      <w:r>
        <w:rPr>
          <w:rFonts w:ascii="Times New Roman" w:eastAsia="Times New Roman" w:hAnsi="Times New Roman" w:cs="Times New Roman"/>
          <w:color w:val="222222"/>
          <w:sz w:val="24"/>
          <w:szCs w:val="24"/>
          <w:highlight w:val="white"/>
        </w:rPr>
        <w:t xml:space="preserve">, K., Muthukumaran, R., Kapila, D. and Ramesh, J.V.N., 2023. Cloud computing enabled business model innovation. </w:t>
      </w:r>
      <w:r>
        <w:rPr>
          <w:rFonts w:ascii="Times New Roman" w:eastAsia="Times New Roman" w:hAnsi="Times New Roman" w:cs="Times New Roman"/>
          <w:i/>
          <w:color w:val="000000"/>
          <w:sz w:val="24"/>
          <w:szCs w:val="24"/>
        </w:rPr>
        <w:t>The Journal of High Technology Management Research</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34</w:t>
      </w:r>
      <w:r>
        <w:rPr>
          <w:rFonts w:ascii="Times New Roman" w:eastAsia="Times New Roman" w:hAnsi="Times New Roman" w:cs="Times New Roman"/>
          <w:color w:val="000000"/>
          <w:sz w:val="24"/>
          <w:szCs w:val="24"/>
        </w:rPr>
        <w:t>(2), p.100469.</w:t>
      </w:r>
    </w:p>
    <w:p w14:paraId="67E6C05A"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Golightly, L., Chang, V., Xu, Q.A., Gao, X. and Liu, B.S., 2022. Adoption of cloud computing as innovation in the organization. </w:t>
      </w:r>
      <w:r>
        <w:rPr>
          <w:rFonts w:ascii="Times New Roman" w:eastAsia="Times New Roman" w:hAnsi="Times New Roman" w:cs="Times New Roman"/>
          <w:i/>
          <w:color w:val="000000"/>
          <w:sz w:val="24"/>
          <w:szCs w:val="24"/>
        </w:rPr>
        <w:t>International Journal of Engineering Business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14</w:t>
      </w:r>
      <w:r>
        <w:rPr>
          <w:rFonts w:ascii="Times New Roman" w:eastAsia="Times New Roman" w:hAnsi="Times New Roman" w:cs="Times New Roman"/>
          <w:color w:val="000000"/>
          <w:sz w:val="24"/>
          <w:szCs w:val="24"/>
        </w:rPr>
        <w:t>, p.18479790221093992.</w:t>
      </w:r>
    </w:p>
    <w:p w14:paraId="1A6E2958"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Hernita</w:t>
      </w:r>
      <w:proofErr w:type="spellEnd"/>
      <w:r>
        <w:rPr>
          <w:rFonts w:ascii="Times New Roman" w:eastAsia="Times New Roman" w:hAnsi="Times New Roman" w:cs="Times New Roman"/>
          <w:color w:val="222222"/>
          <w:sz w:val="24"/>
          <w:szCs w:val="24"/>
          <w:highlight w:val="white"/>
        </w:rPr>
        <w:t xml:space="preserve">, H., Surya, B., Perwira, I., Abubakar, H. and Idris, M., 2021. Economic business sustainability and strengthening human resource capacity based on increasing the productivity of small and medium enterprises (SMES) in Makassar city, Indonesia. </w:t>
      </w:r>
      <w:r>
        <w:rPr>
          <w:rFonts w:ascii="Times New Roman" w:eastAsia="Times New Roman" w:hAnsi="Times New Roman" w:cs="Times New Roman"/>
          <w:i/>
          <w:color w:val="000000"/>
          <w:sz w:val="24"/>
          <w:szCs w:val="24"/>
        </w:rPr>
        <w:t>Sustainability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13</w:t>
      </w:r>
      <w:r>
        <w:rPr>
          <w:rFonts w:ascii="Times New Roman" w:eastAsia="Times New Roman" w:hAnsi="Times New Roman" w:cs="Times New Roman"/>
          <w:color w:val="000000"/>
          <w:sz w:val="24"/>
          <w:szCs w:val="24"/>
        </w:rPr>
        <w:t>(6), p.3177.</w:t>
      </w:r>
    </w:p>
    <w:p w14:paraId="0F34D6FC"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IBM, 2024. </w:t>
      </w:r>
      <w:r>
        <w:rPr>
          <w:rFonts w:ascii="Times New Roman" w:eastAsia="Times New Roman" w:hAnsi="Times New Roman" w:cs="Times New Roman"/>
          <w:i/>
          <w:color w:val="222222"/>
          <w:sz w:val="24"/>
          <w:szCs w:val="24"/>
          <w:highlight w:val="white"/>
        </w:rPr>
        <w:t>Annual Report</w:t>
      </w:r>
      <w:r>
        <w:rPr>
          <w:rFonts w:ascii="Times New Roman" w:eastAsia="Times New Roman" w:hAnsi="Times New Roman" w:cs="Times New Roman"/>
          <w:color w:val="222222"/>
          <w:sz w:val="24"/>
          <w:szCs w:val="24"/>
          <w:highlight w:val="white"/>
        </w:rPr>
        <w:t xml:space="preserve">. [Online]. Available at: https://www.ibm.com/downloads/documents/us-en/1227c12d3a38b173. [Accessed on: 5th December, 2025] </w:t>
      </w:r>
    </w:p>
    <w:p w14:paraId="792835FE"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IBM, 2025. </w:t>
      </w:r>
      <w:r>
        <w:rPr>
          <w:rFonts w:ascii="Times New Roman" w:eastAsia="Times New Roman" w:hAnsi="Times New Roman" w:cs="Times New Roman"/>
          <w:i/>
          <w:color w:val="222222"/>
          <w:sz w:val="24"/>
          <w:szCs w:val="24"/>
          <w:highlight w:val="white"/>
        </w:rPr>
        <w:t>About IBM</w:t>
      </w:r>
      <w:r>
        <w:rPr>
          <w:rFonts w:ascii="Times New Roman" w:eastAsia="Times New Roman" w:hAnsi="Times New Roman" w:cs="Times New Roman"/>
          <w:color w:val="222222"/>
          <w:sz w:val="24"/>
          <w:szCs w:val="24"/>
          <w:highlight w:val="white"/>
        </w:rPr>
        <w:t>. [Online]. Available at:</w:t>
      </w:r>
      <w:hyperlink r:id="rId15">
        <w:r w:rsidR="00241838">
          <w:rPr>
            <w:rFonts w:ascii="Times New Roman" w:eastAsia="Times New Roman" w:hAnsi="Times New Roman" w:cs="Times New Roman"/>
            <w:color w:val="222222"/>
            <w:sz w:val="24"/>
            <w:szCs w:val="24"/>
            <w:highlight w:val="white"/>
          </w:rPr>
          <w:t xml:space="preserve"> </w:t>
        </w:r>
      </w:hyperlink>
      <w:hyperlink r:id="rId16">
        <w:r w:rsidR="00241838">
          <w:rPr>
            <w:rFonts w:ascii="Times New Roman" w:eastAsia="Times New Roman" w:hAnsi="Times New Roman" w:cs="Times New Roman"/>
            <w:color w:val="1155CC"/>
            <w:sz w:val="24"/>
            <w:szCs w:val="24"/>
            <w:highlight w:val="white"/>
            <w:u w:val="single"/>
          </w:rPr>
          <w:t>https://www.ibm.com/in-en/about</w:t>
        </w:r>
      </w:hyperlink>
      <w:r>
        <w:rPr>
          <w:rFonts w:ascii="Times New Roman" w:eastAsia="Times New Roman" w:hAnsi="Times New Roman" w:cs="Times New Roman"/>
          <w:color w:val="222222"/>
          <w:sz w:val="24"/>
          <w:szCs w:val="24"/>
          <w:highlight w:val="white"/>
        </w:rPr>
        <w:t>. [Accessed on: 5th December, 2025]</w:t>
      </w:r>
    </w:p>
    <w:p w14:paraId="16AC572C"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IBM, 2025. </w:t>
      </w:r>
      <w:r>
        <w:rPr>
          <w:rFonts w:ascii="Times New Roman" w:eastAsia="Times New Roman" w:hAnsi="Times New Roman" w:cs="Times New Roman"/>
          <w:i/>
          <w:color w:val="000000"/>
          <w:sz w:val="24"/>
          <w:szCs w:val="24"/>
        </w:rPr>
        <w:t>One platform, one source of truth, one IBM</w:t>
      </w:r>
      <w:r>
        <w:rPr>
          <w:rFonts w:ascii="Times New Roman" w:eastAsia="Times New Roman" w:hAnsi="Times New Roman" w:cs="Times New Roman"/>
          <w:color w:val="000000"/>
          <w:sz w:val="24"/>
          <w:szCs w:val="24"/>
        </w:rPr>
        <w:t xml:space="preserve">. [Online]. Available at: </w:t>
      </w:r>
      <w:hyperlink r:id="rId17" w:anchor=":~:text=Over%20282%2C000%20employees%20and%2050%2C000,than%20530%2C000%20IBM%20clients%20worldwide">
        <w:r w:rsidR="00241838">
          <w:rPr>
            <w:rFonts w:ascii="Times New Roman" w:eastAsia="Times New Roman" w:hAnsi="Times New Roman" w:cs="Times New Roman"/>
            <w:color w:val="1155CC"/>
            <w:sz w:val="24"/>
            <w:szCs w:val="24"/>
            <w:u w:val="single"/>
          </w:rPr>
          <w:t>https://www.ibm.com/case-studies/ibm-salesforce#:~:text=Over%20282%2C000%20employees%20and%2050%2C000,than%20530%2C000%20IBM%20clients%20worldwide</w:t>
        </w:r>
      </w:hyperlink>
      <w:r>
        <w:rPr>
          <w:rFonts w:ascii="Times New Roman" w:eastAsia="Times New Roman" w:hAnsi="Times New Roman" w:cs="Times New Roman"/>
          <w:color w:val="000000"/>
          <w:sz w:val="24"/>
          <w:szCs w:val="24"/>
        </w:rPr>
        <w:t>. [Accessed on: 5th December, 2025].</w:t>
      </w:r>
    </w:p>
    <w:p w14:paraId="6C98FD3C"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IBM, 2025. </w:t>
      </w:r>
      <w:r>
        <w:rPr>
          <w:rFonts w:ascii="Times New Roman" w:eastAsia="Times New Roman" w:hAnsi="Times New Roman" w:cs="Times New Roman"/>
          <w:i/>
          <w:color w:val="222222"/>
          <w:sz w:val="24"/>
          <w:szCs w:val="24"/>
          <w:highlight w:val="white"/>
        </w:rPr>
        <w:t>Transforming marketing to deliver personalized client experiences</w:t>
      </w:r>
      <w:r>
        <w:rPr>
          <w:rFonts w:ascii="Times New Roman" w:eastAsia="Times New Roman" w:hAnsi="Times New Roman" w:cs="Times New Roman"/>
          <w:color w:val="222222"/>
          <w:sz w:val="24"/>
          <w:szCs w:val="24"/>
          <w:highlight w:val="white"/>
        </w:rPr>
        <w:t>. [Online]. Available at: https://www.ibm.com/case-studies/ibm-marketing. [Accessed on: 5th December, 2025]</w:t>
      </w:r>
    </w:p>
    <w:p w14:paraId="4437E739"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Jansen, J.J., Heavey, C., Mom, T.J., Simsek, Z. and Zahra, S.A., 2023. Scaling‐up: Building, leading and sustaining rapid growth over time. </w:t>
      </w:r>
      <w:r>
        <w:rPr>
          <w:rFonts w:ascii="Times New Roman" w:eastAsia="Times New Roman" w:hAnsi="Times New Roman" w:cs="Times New Roman"/>
          <w:i/>
          <w:color w:val="000000"/>
          <w:sz w:val="24"/>
          <w:szCs w:val="24"/>
        </w:rPr>
        <w:t>Journal of Management Studies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60</w:t>
      </w:r>
      <w:r>
        <w:rPr>
          <w:rFonts w:ascii="Times New Roman" w:eastAsia="Times New Roman" w:hAnsi="Times New Roman" w:cs="Times New Roman"/>
          <w:color w:val="000000"/>
          <w:sz w:val="24"/>
          <w:szCs w:val="24"/>
        </w:rPr>
        <w:t>(3), pp.581-604.</w:t>
      </w:r>
    </w:p>
    <w:p w14:paraId="2FAE5C6F"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Knoblauch, H. and Löw, M., 2025. The refiguration of the global: globalization and the spatial logics of digitalization. </w:t>
      </w:r>
      <w:r>
        <w:rPr>
          <w:rFonts w:ascii="Times New Roman" w:eastAsia="Times New Roman" w:hAnsi="Times New Roman" w:cs="Times New Roman"/>
          <w:i/>
          <w:color w:val="222222"/>
          <w:sz w:val="24"/>
          <w:szCs w:val="24"/>
          <w:highlight w:val="white"/>
        </w:rPr>
        <w:t>Critical Sociology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(4-5), pp.703-720.</w:t>
      </w:r>
    </w:p>
    <w:p w14:paraId="4F1CE949"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Kodakandla</w:t>
      </w:r>
      <w:proofErr w:type="spellEnd"/>
      <w:r>
        <w:rPr>
          <w:rFonts w:ascii="Times New Roman" w:eastAsia="Times New Roman" w:hAnsi="Times New Roman" w:cs="Times New Roman"/>
          <w:color w:val="222222"/>
          <w:sz w:val="24"/>
          <w:szCs w:val="24"/>
          <w:highlight w:val="white"/>
        </w:rPr>
        <w:t xml:space="preserve">, N., 2024. Hybrid Cloud Strategies: Optimizing Resource Allocation for Competitive Advantage in US Enterprises. </w:t>
      </w:r>
      <w:r>
        <w:rPr>
          <w:rFonts w:ascii="Times New Roman" w:eastAsia="Times New Roman" w:hAnsi="Times New Roman" w:cs="Times New Roman"/>
          <w:i/>
          <w:color w:val="222222"/>
          <w:sz w:val="24"/>
          <w:szCs w:val="24"/>
          <w:highlight w:val="white"/>
        </w:rPr>
        <w:t>Journal of Current Science and Research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(01), pp.01-17.</w:t>
      </w:r>
    </w:p>
    <w:p w14:paraId="232E82FE"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Koo, Y. and Kim, S., 2022. ‘Follow </w:t>
      </w:r>
      <w:proofErr w:type="spellStart"/>
      <w:r>
        <w:rPr>
          <w:rFonts w:ascii="Times New Roman" w:eastAsia="Times New Roman" w:hAnsi="Times New Roman" w:cs="Times New Roman"/>
          <w:color w:val="222222"/>
          <w:sz w:val="24"/>
          <w:szCs w:val="24"/>
          <w:highlight w:val="white"/>
        </w:rPr>
        <w:t>sourcing’and</w:t>
      </w:r>
      <w:proofErr w:type="spellEnd"/>
      <w:r>
        <w:rPr>
          <w:rFonts w:ascii="Times New Roman" w:eastAsia="Times New Roman" w:hAnsi="Times New Roman" w:cs="Times New Roman"/>
          <w:color w:val="222222"/>
          <w:sz w:val="24"/>
          <w:szCs w:val="24"/>
          <w:highlight w:val="white"/>
        </w:rPr>
        <w:t xml:space="preserve"> the transplantation and localization of Korean electronics corporations in northern Vietnam. </w:t>
      </w:r>
      <w:r>
        <w:rPr>
          <w:rFonts w:ascii="Times New Roman" w:eastAsia="Times New Roman" w:hAnsi="Times New Roman" w:cs="Times New Roman"/>
          <w:i/>
          <w:color w:val="000000"/>
          <w:sz w:val="24"/>
          <w:szCs w:val="24"/>
        </w:rPr>
        <w:t>Area Development and Policy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7</w:t>
      </w:r>
      <w:r>
        <w:rPr>
          <w:rFonts w:ascii="Times New Roman" w:eastAsia="Times New Roman" w:hAnsi="Times New Roman" w:cs="Times New Roman"/>
          <w:color w:val="000000"/>
          <w:sz w:val="24"/>
          <w:szCs w:val="24"/>
        </w:rPr>
        <w:t>(4), pp.380-403.</w:t>
      </w:r>
    </w:p>
    <w:p w14:paraId="4A640C36"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Korada</w:t>
      </w:r>
      <w:proofErr w:type="spellEnd"/>
      <w:r>
        <w:rPr>
          <w:rFonts w:ascii="Times New Roman" w:eastAsia="Times New Roman" w:hAnsi="Times New Roman" w:cs="Times New Roman"/>
          <w:color w:val="222222"/>
          <w:sz w:val="24"/>
          <w:szCs w:val="24"/>
          <w:highlight w:val="white"/>
        </w:rPr>
        <w:t xml:space="preserve">, L., 2024. Digital Transformation Balanced with Sustainability Goals. </w:t>
      </w:r>
      <w:r>
        <w:rPr>
          <w:rFonts w:ascii="Times New Roman" w:eastAsia="Times New Roman" w:hAnsi="Times New Roman" w:cs="Times New Roman"/>
          <w:i/>
          <w:color w:val="222222"/>
          <w:sz w:val="24"/>
          <w:szCs w:val="24"/>
          <w:highlight w:val="white"/>
        </w:rPr>
        <w:t xml:space="preserve">Journal of Engineering and Applied Sciences Technology. SRC/JEAST-E106. DOI: </w:t>
      </w:r>
      <w:proofErr w:type="spellStart"/>
      <w:r>
        <w:rPr>
          <w:rFonts w:ascii="Times New Roman" w:eastAsia="Times New Roman" w:hAnsi="Times New Roman" w:cs="Times New Roman"/>
          <w:i/>
          <w:color w:val="222222"/>
          <w:sz w:val="24"/>
          <w:szCs w:val="24"/>
          <w:highlight w:val="white"/>
        </w:rPr>
        <w:t>doi</w:t>
      </w:r>
      <w:proofErr w:type="spellEnd"/>
      <w:r>
        <w:rPr>
          <w:rFonts w:ascii="Times New Roman" w:eastAsia="Times New Roman" w:hAnsi="Times New Roman" w:cs="Times New Roman"/>
          <w:i/>
          <w:color w:val="222222"/>
          <w:sz w:val="24"/>
          <w:szCs w:val="24"/>
          <w:highlight w:val="white"/>
        </w:rPr>
        <w:t>. org/10.47363/JEAST/2024 (6) E106 J Eng App Sci Technol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(5), pp.2-7.</w:t>
      </w:r>
    </w:p>
    <w:p w14:paraId="7B354775"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Law gratis, 2025. </w:t>
      </w:r>
      <w:r>
        <w:rPr>
          <w:rFonts w:ascii="Times New Roman" w:eastAsia="Times New Roman" w:hAnsi="Times New Roman" w:cs="Times New Roman"/>
          <w:i/>
          <w:color w:val="000000"/>
          <w:sz w:val="24"/>
          <w:szCs w:val="24"/>
        </w:rPr>
        <w:t>Employment law in North Korea</w:t>
      </w:r>
      <w:r>
        <w:rPr>
          <w:rFonts w:ascii="Times New Roman" w:eastAsia="Times New Roman" w:hAnsi="Times New Roman" w:cs="Times New Roman"/>
          <w:color w:val="000000"/>
          <w:sz w:val="24"/>
          <w:szCs w:val="24"/>
        </w:rPr>
        <w:t xml:space="preserve">. [Online]. Available at: </w:t>
      </w:r>
      <w:hyperlink r:id="rId18">
        <w:r w:rsidR="00241838">
          <w:rPr>
            <w:rFonts w:ascii="Times New Roman" w:eastAsia="Times New Roman" w:hAnsi="Times New Roman" w:cs="Times New Roman"/>
            <w:color w:val="1155CC"/>
            <w:sz w:val="24"/>
            <w:szCs w:val="24"/>
            <w:u w:val="single"/>
          </w:rPr>
          <w:t>https://www.lawgratis.com/employment-law-in-north-korea</w:t>
        </w:r>
      </w:hyperlink>
      <w:r>
        <w:rPr>
          <w:rFonts w:ascii="Times New Roman" w:eastAsia="Times New Roman" w:hAnsi="Times New Roman" w:cs="Times New Roman"/>
          <w:color w:val="000000"/>
          <w:sz w:val="24"/>
          <w:szCs w:val="24"/>
        </w:rPr>
        <w:t xml:space="preserve">. [Accessed on: 5th December, 2025]. </w:t>
      </w:r>
    </w:p>
    <w:p w14:paraId="46035D86"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Le, T.H. and Bach, N.T., 2022. Global sanctions, foreign direct investment, and global linkages: evidence from global data. </w:t>
      </w:r>
      <w:r>
        <w:rPr>
          <w:rFonts w:ascii="Times New Roman" w:eastAsia="Times New Roman" w:hAnsi="Times New Roman" w:cs="Times New Roman"/>
          <w:i/>
          <w:color w:val="000000"/>
          <w:sz w:val="24"/>
          <w:szCs w:val="24"/>
        </w:rPr>
        <w:t>The Journal of International Trade &amp; Economic Development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31</w:t>
      </w:r>
      <w:r>
        <w:rPr>
          <w:rFonts w:ascii="Times New Roman" w:eastAsia="Times New Roman" w:hAnsi="Times New Roman" w:cs="Times New Roman"/>
          <w:color w:val="000000"/>
          <w:sz w:val="24"/>
          <w:szCs w:val="24"/>
        </w:rPr>
        <w:t>(7), pp.967-994.</w:t>
      </w:r>
    </w:p>
    <w:p w14:paraId="0A27A7A3"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Levon Techno, 2025. </w:t>
      </w:r>
      <w:r>
        <w:rPr>
          <w:rFonts w:ascii="Times New Roman" w:eastAsia="Times New Roman" w:hAnsi="Times New Roman" w:cs="Times New Roman"/>
          <w:i/>
          <w:color w:val="000000"/>
          <w:sz w:val="24"/>
          <w:szCs w:val="24"/>
        </w:rPr>
        <w:t>Software Development company in North Korea</w:t>
      </w:r>
      <w:r>
        <w:rPr>
          <w:rFonts w:ascii="Times New Roman" w:eastAsia="Times New Roman" w:hAnsi="Times New Roman" w:cs="Times New Roman"/>
          <w:color w:val="000000"/>
          <w:sz w:val="24"/>
          <w:szCs w:val="24"/>
        </w:rPr>
        <w:t xml:space="preserve">. [Online]. Available at: </w:t>
      </w:r>
      <w:hyperlink r:id="rId19">
        <w:r w:rsidR="00241838">
          <w:rPr>
            <w:rFonts w:ascii="Times New Roman" w:eastAsia="Times New Roman" w:hAnsi="Times New Roman" w:cs="Times New Roman"/>
            <w:color w:val="1155CC"/>
            <w:sz w:val="24"/>
            <w:szCs w:val="24"/>
            <w:u w:val="single"/>
          </w:rPr>
          <w:t>https://www.levontechno.com/software-development-company-in-north-korea/</w:t>
        </w:r>
      </w:hyperlink>
      <w:r>
        <w:rPr>
          <w:rFonts w:ascii="Times New Roman" w:eastAsia="Times New Roman" w:hAnsi="Times New Roman" w:cs="Times New Roman"/>
          <w:color w:val="000000"/>
          <w:sz w:val="24"/>
          <w:szCs w:val="24"/>
        </w:rPr>
        <w:t>. [Accessed on: 5th December, 2025].</w:t>
      </w:r>
    </w:p>
    <w:p w14:paraId="2E56D668"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Moridu</w:t>
      </w:r>
      <w:proofErr w:type="spellEnd"/>
      <w:r>
        <w:rPr>
          <w:rFonts w:ascii="Times New Roman" w:eastAsia="Times New Roman" w:hAnsi="Times New Roman" w:cs="Times New Roman"/>
          <w:color w:val="222222"/>
          <w:sz w:val="24"/>
          <w:szCs w:val="24"/>
          <w:highlight w:val="white"/>
        </w:rPr>
        <w:t xml:space="preserve">, I., Munandar, A., </w:t>
      </w:r>
      <w:proofErr w:type="spellStart"/>
      <w:r>
        <w:rPr>
          <w:rFonts w:ascii="Times New Roman" w:eastAsia="Times New Roman" w:hAnsi="Times New Roman" w:cs="Times New Roman"/>
          <w:color w:val="222222"/>
          <w:sz w:val="24"/>
          <w:szCs w:val="24"/>
          <w:highlight w:val="white"/>
        </w:rPr>
        <w:t>Wurarah</w:t>
      </w:r>
      <w:proofErr w:type="spellEnd"/>
      <w:r>
        <w:rPr>
          <w:rFonts w:ascii="Times New Roman" w:eastAsia="Times New Roman" w:hAnsi="Times New Roman" w:cs="Times New Roman"/>
          <w:color w:val="222222"/>
          <w:sz w:val="24"/>
          <w:szCs w:val="24"/>
          <w:highlight w:val="white"/>
        </w:rPr>
        <w:t xml:space="preserve">, R.M., Lotte, L.N.A. and Aziz, R.M., 2022. Analysis of Inflation, Purchasing Power, and Economic Growth during a Pandemic. </w:t>
      </w:r>
      <w:r>
        <w:rPr>
          <w:rFonts w:ascii="Times New Roman" w:eastAsia="Times New Roman" w:hAnsi="Times New Roman" w:cs="Times New Roman"/>
          <w:i/>
          <w:color w:val="222222"/>
          <w:sz w:val="24"/>
          <w:szCs w:val="24"/>
          <w:highlight w:val="white"/>
        </w:rPr>
        <w:t>Journal of Innovation Research and Knowledge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(6), pp.2489-2496.</w:t>
      </w:r>
    </w:p>
    <w:p w14:paraId="546C247A"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Nonet, G.A.H., </w:t>
      </w:r>
      <w:proofErr w:type="spellStart"/>
      <w:r>
        <w:rPr>
          <w:rFonts w:ascii="Times New Roman" w:eastAsia="Times New Roman" w:hAnsi="Times New Roman" w:cs="Times New Roman"/>
          <w:color w:val="222222"/>
          <w:sz w:val="24"/>
          <w:szCs w:val="24"/>
          <w:highlight w:val="white"/>
        </w:rPr>
        <w:t>Gössling</w:t>
      </w:r>
      <w:proofErr w:type="spellEnd"/>
      <w:r>
        <w:rPr>
          <w:rFonts w:ascii="Times New Roman" w:eastAsia="Times New Roman" w:hAnsi="Times New Roman" w:cs="Times New Roman"/>
          <w:color w:val="222222"/>
          <w:sz w:val="24"/>
          <w:szCs w:val="24"/>
          <w:highlight w:val="white"/>
        </w:rPr>
        <w:t xml:space="preserve">, T., Van Tulder, R. and Bryson, J.M., 2022. Multi-stakeholder engagement for the sustainable development goals: introduction to the special issue. </w:t>
      </w:r>
      <w:r>
        <w:rPr>
          <w:rFonts w:ascii="Times New Roman" w:eastAsia="Times New Roman" w:hAnsi="Times New Roman" w:cs="Times New Roman"/>
          <w:i/>
          <w:color w:val="222222"/>
          <w:sz w:val="24"/>
          <w:szCs w:val="24"/>
          <w:highlight w:val="white"/>
        </w:rPr>
        <w:t>Journal of Business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180</w:t>
      </w:r>
      <w:r>
        <w:rPr>
          <w:rFonts w:ascii="Times New Roman" w:eastAsia="Times New Roman" w:hAnsi="Times New Roman" w:cs="Times New Roman"/>
          <w:color w:val="222222"/>
          <w:sz w:val="24"/>
          <w:szCs w:val="24"/>
          <w:highlight w:val="white"/>
        </w:rPr>
        <w:t>(4), p.945.</w:t>
      </w:r>
    </w:p>
    <w:p w14:paraId="53C04E36"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Pereira, T.H.M. and Martins, H.C., 2021. People, planet, and profit: a bibliometric analysis of triple bottom line theory. </w:t>
      </w:r>
      <w:r>
        <w:rPr>
          <w:rFonts w:ascii="Times New Roman" w:eastAsia="Times New Roman" w:hAnsi="Times New Roman" w:cs="Times New Roman"/>
          <w:i/>
          <w:color w:val="222222"/>
          <w:sz w:val="24"/>
          <w:szCs w:val="24"/>
          <w:highlight w:val="white"/>
        </w:rPr>
        <w:t>J. Mgmt. &amp; 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p.64.</w:t>
      </w:r>
    </w:p>
    <w:p w14:paraId="13854B0E"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Procurement Magazine, 2023. </w:t>
      </w:r>
      <w:r>
        <w:rPr>
          <w:rFonts w:ascii="Times New Roman" w:eastAsia="Times New Roman" w:hAnsi="Times New Roman" w:cs="Times New Roman"/>
          <w:i/>
          <w:color w:val="000000"/>
          <w:sz w:val="24"/>
          <w:szCs w:val="24"/>
        </w:rPr>
        <w:t>How IBM reimagined its procurement systems</w:t>
      </w:r>
      <w:r>
        <w:rPr>
          <w:rFonts w:ascii="Times New Roman" w:eastAsia="Times New Roman" w:hAnsi="Times New Roman" w:cs="Times New Roman"/>
          <w:color w:val="000000"/>
          <w:sz w:val="24"/>
          <w:szCs w:val="24"/>
        </w:rPr>
        <w:t xml:space="preserve">. [Online]. Available at: </w:t>
      </w:r>
      <w:hyperlink r:id="rId20">
        <w:r w:rsidR="00241838">
          <w:rPr>
            <w:rFonts w:ascii="Times New Roman" w:eastAsia="Times New Roman" w:hAnsi="Times New Roman" w:cs="Times New Roman"/>
            <w:color w:val="1155CC"/>
            <w:sz w:val="24"/>
            <w:szCs w:val="24"/>
            <w:u w:val="single"/>
          </w:rPr>
          <w:t>https://procurementmag.com/articles/how-ibm-reimagined-its-procurement-systems</w:t>
        </w:r>
      </w:hyperlink>
      <w:r>
        <w:rPr>
          <w:rFonts w:ascii="Times New Roman" w:eastAsia="Times New Roman" w:hAnsi="Times New Roman" w:cs="Times New Roman"/>
          <w:color w:val="000000"/>
          <w:sz w:val="24"/>
          <w:szCs w:val="24"/>
        </w:rPr>
        <w:t xml:space="preserve">. [Accessed on: 5th December, 2025]. </w:t>
      </w:r>
    </w:p>
    <w:p w14:paraId="7B9D1EF7"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Qomaro, G.W., </w:t>
      </w:r>
      <w:proofErr w:type="spellStart"/>
      <w:r>
        <w:rPr>
          <w:rFonts w:ascii="Times New Roman" w:eastAsia="Times New Roman" w:hAnsi="Times New Roman" w:cs="Times New Roman"/>
          <w:color w:val="222222"/>
          <w:sz w:val="24"/>
          <w:szCs w:val="24"/>
          <w:highlight w:val="white"/>
        </w:rPr>
        <w:t>Nasrulloh</w:t>
      </w:r>
      <w:proofErr w:type="spellEnd"/>
      <w:r>
        <w:rPr>
          <w:rFonts w:ascii="Times New Roman" w:eastAsia="Times New Roman" w:hAnsi="Times New Roman" w:cs="Times New Roman"/>
          <w:color w:val="222222"/>
          <w:sz w:val="24"/>
          <w:szCs w:val="24"/>
          <w:highlight w:val="white"/>
        </w:rPr>
        <w:t xml:space="preserve">, N. and Salleh, A.Z., 2024. Leveraging The Ansoff Matrix for Strategic Growth in Packaged Food Micro-Enterprises. </w:t>
      </w:r>
      <w:r>
        <w:rPr>
          <w:rFonts w:ascii="Times New Roman" w:eastAsia="Times New Roman" w:hAnsi="Times New Roman" w:cs="Times New Roman"/>
          <w:i/>
          <w:color w:val="000000"/>
          <w:sz w:val="24"/>
          <w:szCs w:val="24"/>
        </w:rPr>
        <w:t xml:space="preserve">Dinar: </w:t>
      </w:r>
      <w:proofErr w:type="spellStart"/>
      <w:r>
        <w:rPr>
          <w:rFonts w:ascii="Times New Roman" w:eastAsia="Times New Roman" w:hAnsi="Times New Roman" w:cs="Times New Roman"/>
          <w:i/>
          <w:color w:val="000000"/>
          <w:sz w:val="24"/>
          <w:szCs w:val="24"/>
        </w:rPr>
        <w:t>Jurnal</w:t>
      </w:r>
      <w:proofErr w:type="spellEnd"/>
      <w:r>
        <w:rPr>
          <w:rFonts w:ascii="Times New Roman" w:eastAsia="Times New Roman" w:hAnsi="Times New Roman" w:cs="Times New Roman"/>
          <w:i/>
          <w:color w:val="000000"/>
          <w:sz w:val="24"/>
          <w:szCs w:val="24"/>
        </w:rPr>
        <w:t xml:space="preserve"> Ekonomi dan </w:t>
      </w:r>
      <w:proofErr w:type="spellStart"/>
      <w:r>
        <w:rPr>
          <w:rFonts w:ascii="Times New Roman" w:eastAsia="Times New Roman" w:hAnsi="Times New Roman" w:cs="Times New Roman"/>
          <w:i/>
          <w:color w:val="000000"/>
          <w:sz w:val="24"/>
          <w:szCs w:val="24"/>
        </w:rPr>
        <w:t>Keuangan</w:t>
      </w:r>
      <w:proofErr w:type="spellEnd"/>
      <w:r>
        <w:rPr>
          <w:rFonts w:ascii="Times New Roman" w:eastAsia="Times New Roman" w:hAnsi="Times New Roman" w:cs="Times New Roman"/>
          <w:i/>
          <w:color w:val="000000"/>
          <w:sz w:val="24"/>
          <w:szCs w:val="24"/>
        </w:rPr>
        <w:t xml:space="preserve"> Islam</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11</w:t>
      </w:r>
      <w:r>
        <w:rPr>
          <w:rFonts w:ascii="Times New Roman" w:eastAsia="Times New Roman" w:hAnsi="Times New Roman" w:cs="Times New Roman"/>
          <w:color w:val="000000"/>
          <w:sz w:val="24"/>
          <w:szCs w:val="24"/>
        </w:rPr>
        <w:t>(1), pp.51-66.</w:t>
      </w:r>
    </w:p>
    <w:p w14:paraId="55B9E37D"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Quesado, P., Marques, S., Silva, R. and Ribeiro, A., 2022. The balanced scorecard as a strategic management tool in the textile sector. </w:t>
      </w:r>
      <w:r>
        <w:rPr>
          <w:rFonts w:ascii="Times New Roman" w:eastAsia="Times New Roman" w:hAnsi="Times New Roman" w:cs="Times New Roman"/>
          <w:i/>
          <w:color w:val="222222"/>
          <w:sz w:val="24"/>
          <w:szCs w:val="24"/>
          <w:highlight w:val="white"/>
        </w:rPr>
        <w:t>Administrative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 p.38.</w:t>
      </w:r>
    </w:p>
    <w:p w14:paraId="575912B1"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Rath, K.C., Mishra, D., Tripathy, S.K.T., Mishra, B.K. and Muduli, K., 2025. Potential of AI, Quantum Computing, and Semiconductor Technology Adoption in Future Industries: Scope, Challenges, and Opportunities. </w:t>
      </w:r>
      <w:r>
        <w:rPr>
          <w:rFonts w:ascii="Times New Roman" w:eastAsia="Times New Roman" w:hAnsi="Times New Roman" w:cs="Times New Roman"/>
          <w:i/>
          <w:color w:val="222222"/>
          <w:sz w:val="24"/>
          <w:szCs w:val="24"/>
          <w:highlight w:val="white"/>
        </w:rPr>
        <w:t>Integration of AI, Quantum Computing, and Semiconductor Technology</w:t>
      </w:r>
      <w:r>
        <w:rPr>
          <w:rFonts w:ascii="Times New Roman" w:eastAsia="Times New Roman" w:hAnsi="Times New Roman" w:cs="Times New Roman"/>
          <w:color w:val="222222"/>
          <w:sz w:val="24"/>
          <w:szCs w:val="24"/>
          <w:highlight w:val="white"/>
        </w:rPr>
        <w:t>, pp.415-440.</w:t>
      </w:r>
    </w:p>
    <w:p w14:paraId="0F2EF9CE"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Rawat, B. and Bhandari, R., 2023. Cloud computing applications in business development. </w:t>
      </w:r>
      <w:proofErr w:type="spellStart"/>
      <w:r>
        <w:rPr>
          <w:rFonts w:ascii="Times New Roman" w:eastAsia="Times New Roman" w:hAnsi="Times New Roman" w:cs="Times New Roman"/>
          <w:i/>
          <w:color w:val="222222"/>
          <w:sz w:val="24"/>
          <w:szCs w:val="24"/>
          <w:highlight w:val="white"/>
        </w:rPr>
        <w:t>Startupreneur</w:t>
      </w:r>
      <w:proofErr w:type="spellEnd"/>
      <w:r>
        <w:rPr>
          <w:rFonts w:ascii="Times New Roman" w:eastAsia="Times New Roman" w:hAnsi="Times New Roman" w:cs="Times New Roman"/>
          <w:i/>
          <w:color w:val="222222"/>
          <w:sz w:val="24"/>
          <w:szCs w:val="24"/>
          <w:highlight w:val="white"/>
        </w:rPr>
        <w:t xml:space="preserve"> Business Digital (SABDA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(2), pp.143-154.</w:t>
      </w:r>
    </w:p>
    <w:p w14:paraId="1831FDB9"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Sudirjo</w:t>
      </w:r>
      <w:proofErr w:type="spellEnd"/>
      <w:r>
        <w:rPr>
          <w:rFonts w:ascii="Times New Roman" w:eastAsia="Times New Roman" w:hAnsi="Times New Roman" w:cs="Times New Roman"/>
          <w:color w:val="222222"/>
          <w:sz w:val="24"/>
          <w:szCs w:val="24"/>
          <w:highlight w:val="white"/>
        </w:rPr>
        <w:t xml:space="preserve">, F., 2023. Marketing strategy in improving product competitiveness in the global market. </w:t>
      </w:r>
      <w:r>
        <w:rPr>
          <w:rFonts w:ascii="Times New Roman" w:eastAsia="Times New Roman" w:hAnsi="Times New Roman" w:cs="Times New Roman"/>
          <w:i/>
          <w:color w:val="000000"/>
          <w:sz w:val="24"/>
          <w:szCs w:val="24"/>
        </w:rPr>
        <w:t>Journal of Contemporary Administration and Management (ADMAN)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w:t>
      </w:r>
      <w:r>
        <w:rPr>
          <w:rFonts w:ascii="Times New Roman" w:eastAsia="Times New Roman" w:hAnsi="Times New Roman" w:cs="Times New Roman"/>
          <w:color w:val="000000"/>
          <w:sz w:val="24"/>
          <w:szCs w:val="24"/>
        </w:rPr>
        <w:t>(2), pp.63-69.</w:t>
      </w:r>
    </w:p>
    <w:p w14:paraId="50DF6A4A"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Sudirjo</w:t>
      </w:r>
      <w:proofErr w:type="spellEnd"/>
      <w:r>
        <w:rPr>
          <w:rFonts w:ascii="Times New Roman" w:eastAsia="Times New Roman" w:hAnsi="Times New Roman" w:cs="Times New Roman"/>
          <w:color w:val="222222"/>
          <w:sz w:val="24"/>
          <w:szCs w:val="24"/>
          <w:highlight w:val="white"/>
        </w:rPr>
        <w:t xml:space="preserve">, F., 2023. Marketing strategy in improving product competitiveness in the global market. </w:t>
      </w:r>
      <w:r>
        <w:rPr>
          <w:rFonts w:ascii="Times New Roman" w:eastAsia="Times New Roman" w:hAnsi="Times New Roman" w:cs="Times New Roman"/>
          <w:i/>
          <w:color w:val="222222"/>
          <w:sz w:val="24"/>
          <w:szCs w:val="24"/>
          <w:highlight w:val="white"/>
        </w:rPr>
        <w:t>Journal of Contemporary Administration and Management (ADMAN)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(2), pp.63-69.</w:t>
      </w:r>
    </w:p>
    <w:p w14:paraId="25FD68AF"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Sumba-Bustamante, R.Y., Cantos-Figueroa, M.D.L., Santistevan-Villacreses, K.L., Soledispa-Rodríguez, X.E., Nieves-Lizárraga, D.O., Cervantes-Martínez, L., Ultreras-Rodríguez, A., Olguín-Martínez, C.M., Triana-Garcia, R.W., Delgado, D.R. and Valencia-Ortiz, D., 2024. Strategic model for strengthening </w:t>
      </w:r>
      <w:proofErr w:type="spellStart"/>
      <w:r>
        <w:rPr>
          <w:rFonts w:ascii="Times New Roman" w:eastAsia="Times New Roman" w:hAnsi="Times New Roman" w:cs="Times New Roman"/>
          <w:color w:val="222222"/>
          <w:sz w:val="24"/>
          <w:szCs w:val="24"/>
          <w:highlight w:val="white"/>
        </w:rPr>
        <w:t>smes</w:t>
      </w:r>
      <w:proofErr w:type="spellEnd"/>
      <w:r>
        <w:rPr>
          <w:rFonts w:ascii="Times New Roman" w:eastAsia="Times New Roman" w:hAnsi="Times New Roman" w:cs="Times New Roman"/>
          <w:color w:val="222222"/>
          <w:sz w:val="24"/>
          <w:szCs w:val="24"/>
          <w:highlight w:val="white"/>
        </w:rPr>
        <w:t xml:space="preserve">: An empirical study based on porter’s five forces. </w:t>
      </w:r>
      <w:r>
        <w:rPr>
          <w:rFonts w:ascii="Times New Roman" w:eastAsia="Times New Roman" w:hAnsi="Times New Roman" w:cs="Times New Roman"/>
          <w:i/>
          <w:color w:val="000000"/>
          <w:sz w:val="24"/>
          <w:szCs w:val="24"/>
        </w:rPr>
        <w:t>Journal Of Infrastructure, Policy And Development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8</w:t>
      </w:r>
      <w:r>
        <w:rPr>
          <w:rFonts w:ascii="Times New Roman" w:eastAsia="Times New Roman" w:hAnsi="Times New Roman" w:cs="Times New Roman"/>
          <w:color w:val="000000"/>
          <w:sz w:val="24"/>
          <w:szCs w:val="24"/>
        </w:rPr>
        <w:t>(10), pp.1-22.</w:t>
      </w:r>
    </w:p>
    <w:p w14:paraId="05A5C636" w14:textId="77777777" w:rsidR="00241838"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Global Economy, 2023. </w:t>
      </w:r>
      <w:r>
        <w:rPr>
          <w:rFonts w:ascii="Times New Roman" w:eastAsia="Times New Roman" w:hAnsi="Times New Roman" w:cs="Times New Roman"/>
          <w:i/>
          <w:color w:val="000000"/>
          <w:sz w:val="24"/>
          <w:szCs w:val="24"/>
        </w:rPr>
        <w:t>North Korea: Political stability.</w:t>
      </w:r>
      <w:r>
        <w:rPr>
          <w:rFonts w:ascii="Times New Roman" w:eastAsia="Times New Roman" w:hAnsi="Times New Roman" w:cs="Times New Roman"/>
          <w:color w:val="000000"/>
          <w:sz w:val="24"/>
          <w:szCs w:val="24"/>
        </w:rPr>
        <w:t xml:space="preserve"> [Online]. Available at: </w:t>
      </w:r>
      <w:hyperlink r:id="rId21">
        <w:r w:rsidR="00241838">
          <w:rPr>
            <w:rFonts w:ascii="Times New Roman" w:eastAsia="Times New Roman" w:hAnsi="Times New Roman" w:cs="Times New Roman"/>
            <w:color w:val="1155CC"/>
            <w:sz w:val="24"/>
            <w:szCs w:val="24"/>
            <w:u w:val="single"/>
          </w:rPr>
          <w:t>https://www.theglobaleconomy.com/North-Korea/wb_political_stability/</w:t>
        </w:r>
      </w:hyperlink>
      <w:r>
        <w:rPr>
          <w:rFonts w:ascii="Times New Roman" w:eastAsia="Times New Roman" w:hAnsi="Times New Roman" w:cs="Times New Roman"/>
          <w:color w:val="000000"/>
          <w:sz w:val="24"/>
          <w:szCs w:val="24"/>
        </w:rPr>
        <w:t xml:space="preserve">. [Accessed on: 5th December, 2025] </w:t>
      </w:r>
    </w:p>
    <w:p w14:paraId="43B1C7C7"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Global Economy, 2023. </w:t>
      </w:r>
      <w:r>
        <w:rPr>
          <w:rFonts w:ascii="Times New Roman" w:eastAsia="Times New Roman" w:hAnsi="Times New Roman" w:cs="Times New Roman"/>
          <w:i/>
          <w:color w:val="000000"/>
          <w:sz w:val="24"/>
          <w:szCs w:val="24"/>
        </w:rPr>
        <w:t>North Korea: Population growth</w:t>
      </w:r>
      <w:r>
        <w:rPr>
          <w:rFonts w:ascii="Times New Roman" w:eastAsia="Times New Roman" w:hAnsi="Times New Roman" w:cs="Times New Roman"/>
          <w:color w:val="000000"/>
          <w:sz w:val="24"/>
          <w:szCs w:val="24"/>
        </w:rPr>
        <w:t xml:space="preserve">. [Online]. Available at: </w:t>
      </w:r>
      <w:hyperlink r:id="rId22">
        <w:r w:rsidR="00241838">
          <w:rPr>
            <w:rFonts w:ascii="Times New Roman" w:eastAsia="Times New Roman" w:hAnsi="Times New Roman" w:cs="Times New Roman"/>
            <w:color w:val="1155CC"/>
            <w:sz w:val="24"/>
            <w:szCs w:val="24"/>
            <w:u w:val="single"/>
          </w:rPr>
          <w:t>https://www.theglobaleconomy.com/North-Korea/population_growth/</w:t>
        </w:r>
      </w:hyperlink>
      <w:r>
        <w:rPr>
          <w:rFonts w:ascii="Times New Roman" w:eastAsia="Times New Roman" w:hAnsi="Times New Roman" w:cs="Times New Roman"/>
          <w:color w:val="000000"/>
          <w:sz w:val="24"/>
          <w:szCs w:val="24"/>
        </w:rPr>
        <w:t xml:space="preserve">. [Accessed on: 5th December, 2025] </w:t>
      </w:r>
    </w:p>
    <w:p w14:paraId="164A060C"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Times Of India, 2025. </w:t>
      </w:r>
      <w:r>
        <w:rPr>
          <w:rFonts w:ascii="Times New Roman" w:eastAsia="Times New Roman" w:hAnsi="Times New Roman" w:cs="Times New Roman"/>
          <w:i/>
          <w:color w:val="000000"/>
          <w:sz w:val="24"/>
          <w:szCs w:val="24"/>
        </w:rPr>
        <w:t>Cell phone, wi-fi networks usage</w:t>
      </w:r>
      <w:r>
        <w:rPr>
          <w:rFonts w:ascii="Times New Roman" w:eastAsia="Times New Roman" w:hAnsi="Times New Roman" w:cs="Times New Roman"/>
          <w:color w:val="000000"/>
          <w:sz w:val="24"/>
          <w:szCs w:val="24"/>
        </w:rPr>
        <w:t xml:space="preserve">. [Online]. Available at: </w:t>
      </w:r>
      <w:hyperlink r:id="rId23">
        <w:r w:rsidR="00241838">
          <w:rPr>
            <w:rFonts w:ascii="Times New Roman" w:eastAsia="Times New Roman" w:hAnsi="Times New Roman" w:cs="Times New Roman"/>
            <w:color w:val="1155CC"/>
            <w:sz w:val="24"/>
            <w:szCs w:val="24"/>
            <w:u w:val="single"/>
          </w:rPr>
          <w:t>https://timesofindia.indiatimes.com/gadgets-news/cell-phones-wi-fi-networks-usage-has-increased-in-north-korea-claims-study/articleshow/95530714.cms</w:t>
        </w:r>
      </w:hyperlink>
      <w:r>
        <w:rPr>
          <w:rFonts w:ascii="Times New Roman" w:eastAsia="Times New Roman" w:hAnsi="Times New Roman" w:cs="Times New Roman"/>
          <w:color w:val="000000"/>
          <w:sz w:val="24"/>
          <w:szCs w:val="24"/>
        </w:rPr>
        <w:t xml:space="preserve">. [Accessed on: 5th December, 2025]. </w:t>
      </w:r>
    </w:p>
    <w:p w14:paraId="30D6AB4A"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Trading Economics, 2024. </w:t>
      </w:r>
      <w:r>
        <w:rPr>
          <w:rFonts w:ascii="Times New Roman" w:eastAsia="Times New Roman" w:hAnsi="Times New Roman" w:cs="Times New Roman"/>
          <w:i/>
          <w:color w:val="000000"/>
          <w:sz w:val="24"/>
          <w:szCs w:val="24"/>
        </w:rPr>
        <w:t>North Korea GDP Annual Growth Rate</w:t>
      </w:r>
      <w:r>
        <w:rPr>
          <w:rFonts w:ascii="Times New Roman" w:eastAsia="Times New Roman" w:hAnsi="Times New Roman" w:cs="Times New Roman"/>
          <w:color w:val="000000"/>
          <w:sz w:val="24"/>
          <w:szCs w:val="24"/>
        </w:rPr>
        <w:t xml:space="preserve">. [Online]. Available at: </w:t>
      </w:r>
      <w:hyperlink r:id="rId24">
        <w:r w:rsidR="00241838">
          <w:rPr>
            <w:rFonts w:ascii="Times New Roman" w:eastAsia="Times New Roman" w:hAnsi="Times New Roman" w:cs="Times New Roman"/>
            <w:color w:val="1155CC"/>
            <w:sz w:val="24"/>
            <w:szCs w:val="24"/>
            <w:u w:val="single"/>
          </w:rPr>
          <w:t>https://tradingeconomics.com/north-korea/gdp-annual-growth-rate</w:t>
        </w:r>
      </w:hyperlink>
      <w:r>
        <w:rPr>
          <w:rFonts w:ascii="Times New Roman" w:eastAsia="Times New Roman" w:hAnsi="Times New Roman" w:cs="Times New Roman"/>
          <w:color w:val="000000"/>
          <w:sz w:val="24"/>
          <w:szCs w:val="24"/>
        </w:rPr>
        <w:t xml:space="preserve">.  [Accessed on: 5th December, 2025] </w:t>
      </w:r>
    </w:p>
    <w:p w14:paraId="367600D0" w14:textId="77777777" w:rsidR="00241838" w:rsidRDefault="00000000">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Zakaria, Z., 2025. Evaluation of Ethical Dilemmas and Business Sustainability in Maintaining a Company's Reputation in Global Markets. </w:t>
      </w:r>
      <w:proofErr w:type="spellStart"/>
      <w:r>
        <w:rPr>
          <w:rFonts w:ascii="Times New Roman" w:eastAsia="Times New Roman" w:hAnsi="Times New Roman" w:cs="Times New Roman"/>
          <w:i/>
          <w:color w:val="222222"/>
          <w:sz w:val="24"/>
          <w:szCs w:val="24"/>
          <w:highlight w:val="white"/>
        </w:rPr>
        <w:t>Paradoks</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Ilmu</w:t>
      </w:r>
      <w:proofErr w:type="spellEnd"/>
      <w:r>
        <w:rPr>
          <w:rFonts w:ascii="Times New Roman" w:eastAsia="Times New Roman" w:hAnsi="Times New Roman" w:cs="Times New Roman"/>
          <w:i/>
          <w:color w:val="222222"/>
          <w:sz w:val="24"/>
          <w:szCs w:val="24"/>
          <w:highlight w:val="white"/>
        </w:rPr>
        <w:t xml:space="preserve"> Ekonomi</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(3), pp.837-851.</w:t>
      </w:r>
    </w:p>
    <w:sectPr w:rsidR="00241838">
      <w:footerReference w:type="default" r:id="rId25"/>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FDF0D" w14:textId="77777777" w:rsidR="00440E87" w:rsidRDefault="00440E87">
      <w:pPr>
        <w:spacing w:line="240" w:lineRule="auto"/>
      </w:pPr>
      <w:r>
        <w:separator/>
      </w:r>
    </w:p>
  </w:endnote>
  <w:endnote w:type="continuationSeparator" w:id="0">
    <w:p w14:paraId="5449C674" w14:textId="77777777" w:rsidR="00440E87" w:rsidRDefault="00440E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D38B880-EE02-4B2C-A3CF-C2A9EDD37EC0}"/>
  </w:font>
  <w:font w:name="Cambria">
    <w:panose1 w:val="02040503050406030204"/>
    <w:charset w:val="00"/>
    <w:family w:val="roman"/>
    <w:pitch w:val="variable"/>
    <w:sig w:usb0="E00006FF" w:usb1="420024FF" w:usb2="02000000" w:usb3="00000000" w:csb0="0000019F" w:csb1="00000000"/>
    <w:embedRegular r:id="rId2" w:fontKey="{313F5DDF-C8F7-4956-B754-B33569FDF53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10FE47" w14:textId="77777777" w:rsidR="00241838"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028DF">
      <w:rPr>
        <w:noProof/>
        <w:color w:val="000000"/>
      </w:rPr>
      <w:t>2</w:t>
    </w:r>
    <w:r>
      <w:rPr>
        <w:color w:val="000000"/>
      </w:rPr>
      <w:fldChar w:fldCharType="end"/>
    </w:r>
  </w:p>
  <w:p w14:paraId="7FF7BBB0" w14:textId="77777777" w:rsidR="00241838" w:rsidRDefault="0024183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EF6C92" w14:textId="77777777" w:rsidR="00440E87" w:rsidRDefault="00440E87">
      <w:pPr>
        <w:spacing w:line="240" w:lineRule="auto"/>
      </w:pPr>
      <w:r>
        <w:separator/>
      </w:r>
    </w:p>
  </w:footnote>
  <w:footnote w:type="continuationSeparator" w:id="0">
    <w:p w14:paraId="26D3FA34" w14:textId="77777777" w:rsidR="00440E87" w:rsidRDefault="00440E8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30679"/>
    <w:multiLevelType w:val="multilevel"/>
    <w:tmpl w:val="1CD0B9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FE05C8"/>
    <w:multiLevelType w:val="multilevel"/>
    <w:tmpl w:val="01465A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8D4B8A"/>
    <w:multiLevelType w:val="multilevel"/>
    <w:tmpl w:val="714877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2123E9B"/>
    <w:multiLevelType w:val="multilevel"/>
    <w:tmpl w:val="594A02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5387312">
    <w:abstractNumId w:val="3"/>
  </w:num>
  <w:num w:numId="2" w16cid:durableId="351037231">
    <w:abstractNumId w:val="1"/>
  </w:num>
  <w:num w:numId="3" w16cid:durableId="1368876709">
    <w:abstractNumId w:val="2"/>
  </w:num>
  <w:num w:numId="4" w16cid:durableId="937637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1838"/>
    <w:rsid w:val="00241838"/>
    <w:rsid w:val="00393859"/>
    <w:rsid w:val="00440E87"/>
    <w:rsid w:val="005F6A15"/>
    <w:rsid w:val="00666C42"/>
    <w:rsid w:val="00A63956"/>
    <w:rsid w:val="00F028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806D7"/>
  <w15:docId w15:val="{1FCAB463-9937-4AB6-970C-629BD571A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spacing w:line="36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lawgratis.com/employment-law-in-north-korea"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heglobaleconomy.com/North-Korea/wb_political_stabilit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ibm.com/case-studies/ibm-salesforc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ibm.com/in-en/about" TargetMode="External"/><Relationship Id="rId20" Type="http://schemas.openxmlformats.org/officeDocument/2006/relationships/hyperlink" Target="https://procurementmag.com/articles/how-ibm-reimagined-its-procurement-system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tradingeconomics.com/north-korea/gdp-annual-growth-rate" TargetMode="External"/><Relationship Id="rId5" Type="http://schemas.openxmlformats.org/officeDocument/2006/relationships/footnotes" Target="footnotes.xml"/><Relationship Id="rId15" Type="http://schemas.openxmlformats.org/officeDocument/2006/relationships/hyperlink" Target="https://www.ibm.com/in-en/about" TargetMode="External"/><Relationship Id="rId23" Type="http://schemas.openxmlformats.org/officeDocument/2006/relationships/hyperlink" Target="https://timesofindia.indiatimes.com/gadgets-news/cell-phones-wi-fi-networks-usage-has-increased-in-north-korea-claims-study/articleshow/95530714.cms" TargetMode="External"/><Relationship Id="rId10" Type="http://schemas.openxmlformats.org/officeDocument/2006/relationships/image" Target="media/image4.png"/><Relationship Id="rId19" Type="http://schemas.openxmlformats.org/officeDocument/2006/relationships/hyperlink" Target="https://www.levontechno.com/software-development-company-in-north-kore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bsco.com/research-starters/environmental-sciences/north-koreas-environmental-policies" TargetMode="External"/><Relationship Id="rId22" Type="http://schemas.openxmlformats.org/officeDocument/2006/relationships/hyperlink" Target="https://www.theglobaleconomy.com/North-Korea/population_growth/"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25</Pages>
  <Words>6819</Words>
  <Characters>38871</Characters>
  <Application>Microsoft Office Word</Application>
  <DocSecurity>0</DocSecurity>
  <Lines>323</Lines>
  <Paragraphs>91</Paragraphs>
  <ScaleCrop>false</ScaleCrop>
  <Company/>
  <LinksUpToDate>false</LinksUpToDate>
  <CharactersWithSpaces>45599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Piyush Luhar</cp:lastModifiedBy>
  <cp:revision>3</cp:revision>
  <dcterms:created xsi:type="dcterms:W3CDTF">2025-12-22T02:51:00Z</dcterms:created>
  <dcterms:modified xsi:type="dcterms:W3CDTF">2025-12-22T02:59:00Z</dcterms:modified>
</cp:coreProperties>
</file>