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E7188" w:rsidRDefault="009E7188" w:rsidP="00CB192F">
      <w:pPr>
        <w:spacing w:line="360" w:lineRule="auto"/>
        <w:jc w:val="both"/>
        <w:rPr>
          <w:rFonts w:ascii="Arial" w:hAnsi="Arial" w:cs="Arial"/>
          <w:b/>
          <w:sz w:val="24"/>
        </w:rPr>
      </w:pPr>
      <w:r>
        <w:rPr>
          <w:noProof/>
          <w:sz w:val="20"/>
          <w:lang w:eastAsia="en-IN"/>
        </w:rPr>
        <w:drawing>
          <wp:anchor distT="0" distB="0" distL="114300" distR="114300" simplePos="0" relativeHeight="251659264" behindDoc="0" locked="0" layoutInCell="1" allowOverlap="1" wp14:anchorId="1A97A4B3" wp14:editId="46962B70">
            <wp:simplePos x="0" y="0"/>
            <wp:positionH relativeFrom="margin">
              <wp:posOffset>1143000</wp:posOffset>
            </wp:positionH>
            <wp:positionV relativeFrom="paragraph">
              <wp:posOffset>0</wp:posOffset>
            </wp:positionV>
            <wp:extent cx="3145774" cy="1065276"/>
            <wp:effectExtent l="0" t="0" r="0" b="1905"/>
            <wp:wrapSquare wrapText="bothSides"/>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5774" cy="1065276"/>
                    </a:xfrm>
                    <a:prstGeom prst="rect">
                      <a:avLst/>
                    </a:prstGeom>
                  </pic:spPr>
                </pic:pic>
              </a:graphicData>
            </a:graphic>
          </wp:anchor>
        </w:drawing>
      </w:r>
    </w:p>
    <w:p w:rsidR="009E7188" w:rsidRDefault="009E7188" w:rsidP="00CB192F">
      <w:pPr>
        <w:spacing w:line="360" w:lineRule="auto"/>
        <w:jc w:val="both"/>
        <w:rPr>
          <w:rFonts w:ascii="Arial" w:hAnsi="Arial" w:cs="Arial"/>
          <w:b/>
          <w:sz w:val="24"/>
        </w:rPr>
      </w:pPr>
    </w:p>
    <w:p w:rsidR="009E7188" w:rsidRDefault="009E7188" w:rsidP="00CB192F">
      <w:pPr>
        <w:spacing w:line="360" w:lineRule="auto"/>
        <w:jc w:val="both"/>
        <w:rPr>
          <w:rFonts w:ascii="Arial" w:hAnsi="Arial" w:cs="Arial"/>
          <w:b/>
          <w:sz w:val="24"/>
        </w:rPr>
      </w:pPr>
    </w:p>
    <w:p w:rsidR="009E7188" w:rsidRDefault="009E7188" w:rsidP="00CB192F">
      <w:pPr>
        <w:spacing w:line="360" w:lineRule="auto"/>
        <w:jc w:val="both"/>
        <w:rPr>
          <w:rFonts w:ascii="Arial" w:hAnsi="Arial" w:cs="Arial"/>
          <w:b/>
          <w:sz w:val="24"/>
        </w:rPr>
      </w:pPr>
    </w:p>
    <w:p w:rsidR="009E7188" w:rsidRDefault="009E7188" w:rsidP="00CB192F">
      <w:pPr>
        <w:spacing w:line="360" w:lineRule="auto"/>
        <w:jc w:val="both"/>
        <w:rPr>
          <w:rFonts w:ascii="Arial" w:hAnsi="Arial" w:cs="Arial"/>
          <w:b/>
          <w:sz w:val="24"/>
        </w:rPr>
      </w:pPr>
      <w:r>
        <w:rPr>
          <w:rFonts w:ascii="Arial" w:hAnsi="Arial" w:cs="Arial"/>
          <w:b/>
          <w:sz w:val="24"/>
        </w:rPr>
        <w:t xml:space="preserve">                                </w:t>
      </w:r>
    </w:p>
    <w:p w:rsidR="009E7188" w:rsidRPr="009E7188" w:rsidRDefault="009E7188" w:rsidP="009E7188">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Programme:</w:t>
      </w:r>
      <w:r w:rsidRPr="009E7188">
        <w:rPr>
          <w:rFonts w:ascii="Arial" w:eastAsia="Arial" w:hAnsi="Arial" w:cs="Arial"/>
          <w:b/>
          <w:color w:val="000000"/>
          <w:sz w:val="24"/>
          <w:szCs w:val="24"/>
        </w:rPr>
        <w:t xml:space="preserve"> Master of Business Administration</w:t>
      </w:r>
    </w:p>
    <w:p w:rsidR="009E7188" w:rsidRPr="009E7188" w:rsidRDefault="009E7188" w:rsidP="009E7188">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sidRPr="009E7188">
        <w:rPr>
          <w:rFonts w:ascii="Arial" w:hAnsi="Arial" w:cs="Arial"/>
          <w:b/>
          <w:sz w:val="24"/>
          <w:szCs w:val="24"/>
        </w:rPr>
        <w:t>Module:</w:t>
      </w:r>
      <w:r w:rsidRPr="009E7188">
        <w:rPr>
          <w:rFonts w:ascii="Arial" w:eastAsia="Arial" w:hAnsi="Arial" w:cs="Arial"/>
          <w:b/>
          <w:color w:val="000000"/>
          <w:sz w:val="24"/>
          <w:szCs w:val="24"/>
        </w:rPr>
        <w:t xml:space="preserve"> </w:t>
      </w:r>
      <w:r w:rsidRPr="009E7188">
        <w:rPr>
          <w:rFonts w:ascii="Arial" w:hAnsi="Arial" w:cs="Arial"/>
          <w:b/>
          <w:bCs/>
          <w:sz w:val="24"/>
          <w:szCs w:val="24"/>
        </w:rPr>
        <w:t>Marketing Management</w:t>
      </w:r>
    </w:p>
    <w:p w:rsidR="009E7188" w:rsidRPr="009E7188" w:rsidRDefault="009E7188" w:rsidP="009E7188">
      <w:pPr>
        <w:pStyle w:val="Normal1"/>
        <w:pBdr>
          <w:top w:val="nil"/>
          <w:left w:val="nil"/>
          <w:bottom w:val="nil"/>
          <w:right w:val="nil"/>
          <w:between w:val="nil"/>
        </w:pBdr>
        <w:spacing w:line="360" w:lineRule="auto"/>
        <w:jc w:val="center"/>
        <w:rPr>
          <w:rFonts w:ascii="Arial" w:hAnsi="Arial" w:cs="Arial"/>
          <w:b/>
          <w:bCs/>
          <w:sz w:val="24"/>
          <w:szCs w:val="24"/>
        </w:rPr>
      </w:pPr>
      <w:r w:rsidRPr="009E7188">
        <w:rPr>
          <w:rFonts w:ascii="Arial" w:hAnsi="Arial" w:cs="Arial"/>
          <w:b/>
          <w:sz w:val="24"/>
          <w:szCs w:val="24"/>
        </w:rPr>
        <w:t xml:space="preserve">Module code: </w:t>
      </w:r>
      <w:r w:rsidRPr="009E7188">
        <w:rPr>
          <w:rFonts w:ascii="Arial" w:hAnsi="Arial" w:cs="Arial"/>
          <w:b/>
          <w:bCs/>
          <w:sz w:val="24"/>
          <w:szCs w:val="24"/>
        </w:rPr>
        <w:t>LCMB7024</w:t>
      </w:r>
    </w:p>
    <w:p w:rsidR="009E7188" w:rsidRPr="009E7188" w:rsidRDefault="009E7188" w:rsidP="009E7188">
      <w:pPr>
        <w:spacing w:before="120" w:after="120"/>
        <w:jc w:val="center"/>
        <w:rPr>
          <w:rFonts w:ascii="Arial" w:hAnsi="Arial" w:cs="Arial"/>
          <w:b/>
          <w:bCs/>
          <w:sz w:val="24"/>
          <w:szCs w:val="24"/>
        </w:rPr>
      </w:pPr>
      <w:r w:rsidRPr="009E7188">
        <w:rPr>
          <w:rFonts w:ascii="Arial" w:hAnsi="Arial" w:cs="Arial"/>
          <w:b/>
          <w:sz w:val="24"/>
          <w:szCs w:val="24"/>
        </w:rPr>
        <w:t>Assignment Title:</w:t>
      </w:r>
      <w:r w:rsidRPr="009E7188">
        <w:rPr>
          <w:rFonts w:ascii="Arial" w:hAnsi="Arial" w:cs="Arial"/>
          <w:b/>
          <w:bCs/>
          <w:sz w:val="24"/>
          <w:szCs w:val="24"/>
        </w:rPr>
        <w:t xml:space="preserve"> Marketing Environment Analysis</w:t>
      </w:r>
    </w:p>
    <w:p w:rsidR="009E7188" w:rsidRPr="009E7188" w:rsidRDefault="009E7188" w:rsidP="009E7188">
      <w:pPr>
        <w:pStyle w:val="Title"/>
        <w:rPr>
          <w:rFonts w:ascii="Arial" w:hAnsi="Arial" w:cs="Arial"/>
          <w:sz w:val="24"/>
          <w:szCs w:val="24"/>
        </w:rPr>
      </w:pPr>
      <w:r w:rsidRPr="009E7188">
        <w:rPr>
          <w:rFonts w:ascii="Arial" w:hAnsi="Arial" w:cs="Arial"/>
          <w:sz w:val="24"/>
          <w:szCs w:val="24"/>
        </w:rPr>
        <w:t>MARKETING ENVIRONMENTAL ANALYSIS</w:t>
      </w:r>
    </w:p>
    <w:p w:rsidR="009E7188" w:rsidRPr="009E7188" w:rsidRDefault="009E7188" w:rsidP="009E7188">
      <w:pPr>
        <w:pStyle w:val="Title"/>
        <w:rPr>
          <w:rFonts w:ascii="Arial" w:hAnsi="Arial" w:cs="Arial"/>
          <w:b w:val="0"/>
          <w:sz w:val="24"/>
          <w:szCs w:val="24"/>
        </w:rPr>
      </w:pPr>
      <w:r>
        <w:rPr>
          <w:rFonts w:ascii="Arial" w:hAnsi="Arial" w:cs="Arial"/>
          <w:sz w:val="24"/>
          <w:szCs w:val="24"/>
        </w:rPr>
        <w:t>Apple (PIONEER) AND Samsung</w:t>
      </w:r>
      <w:r w:rsidRPr="009E7188">
        <w:rPr>
          <w:rFonts w:ascii="Arial" w:hAnsi="Arial" w:cs="Arial"/>
          <w:sz w:val="24"/>
          <w:szCs w:val="24"/>
        </w:rPr>
        <w:t xml:space="preserve"> (FOLLOWERS)</w:t>
      </w:r>
    </w:p>
    <w:p w:rsidR="009E7188" w:rsidRPr="009E7188" w:rsidRDefault="009E7188" w:rsidP="009E7188">
      <w:pPr>
        <w:jc w:val="center"/>
        <w:rPr>
          <w:sz w:val="24"/>
          <w:szCs w:val="24"/>
        </w:rPr>
      </w:pPr>
    </w:p>
    <w:p w:rsidR="009E7188" w:rsidRPr="009E7188" w:rsidRDefault="009E7188" w:rsidP="009E7188">
      <w:pPr>
        <w:pStyle w:val="Normal1"/>
        <w:pBdr>
          <w:top w:val="nil"/>
          <w:left w:val="nil"/>
          <w:bottom w:val="nil"/>
          <w:right w:val="nil"/>
          <w:between w:val="nil"/>
        </w:pBdr>
        <w:spacing w:line="360" w:lineRule="auto"/>
        <w:jc w:val="center"/>
        <w:rPr>
          <w:rFonts w:ascii="Arial" w:hAnsi="Arial" w:cs="Arial"/>
          <w:b/>
          <w:sz w:val="24"/>
          <w:szCs w:val="24"/>
        </w:rPr>
      </w:pPr>
      <w:r w:rsidRPr="009E7188">
        <w:rPr>
          <w:rFonts w:ascii="Arial" w:hAnsi="Arial" w:cs="Arial"/>
          <w:b/>
          <w:sz w:val="24"/>
          <w:szCs w:val="24"/>
        </w:rPr>
        <w:t>Lecturer: Dian Mayasari (Birmingham)</w:t>
      </w:r>
    </w:p>
    <w:p w:rsidR="009E7188" w:rsidRPr="009E7188" w:rsidRDefault="009E7188" w:rsidP="009E7188">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Student</w:t>
      </w:r>
      <w:r>
        <w:rPr>
          <w:rFonts w:ascii="Arial" w:eastAsia="Arial" w:hAnsi="Arial" w:cs="Arial"/>
          <w:b/>
          <w:color w:val="000000"/>
          <w:sz w:val="24"/>
          <w:szCs w:val="24"/>
        </w:rPr>
        <w:t xml:space="preserve"> name: krisha Rajeshbhai Navapara</w:t>
      </w:r>
    </w:p>
    <w:p w:rsidR="009E7188" w:rsidRPr="009E7188" w:rsidRDefault="009E7188" w:rsidP="009E7188">
      <w:pPr>
        <w:pStyle w:val="Normal1"/>
        <w:pBdr>
          <w:top w:val="nil"/>
          <w:left w:val="nil"/>
          <w:bottom w:val="nil"/>
          <w:right w:val="nil"/>
          <w:between w:val="nil"/>
        </w:pBdr>
        <w:spacing w:line="360" w:lineRule="auto"/>
        <w:jc w:val="center"/>
        <w:rPr>
          <w:rFonts w:ascii="Arial" w:eastAsia="Arial" w:hAnsi="Arial" w:cs="Arial"/>
          <w:b/>
          <w:color w:val="000000"/>
          <w:sz w:val="24"/>
          <w:szCs w:val="24"/>
        </w:rPr>
      </w:pPr>
      <w:r>
        <w:rPr>
          <w:rFonts w:ascii="Arial" w:eastAsia="Arial" w:hAnsi="Arial" w:cs="Arial"/>
          <w:b/>
          <w:color w:val="000000"/>
          <w:sz w:val="24"/>
          <w:szCs w:val="24"/>
        </w:rPr>
        <w:t>Student ID number: 2431955</w:t>
      </w:r>
    </w:p>
    <w:p w:rsidR="009E7188" w:rsidRPr="009E7188" w:rsidRDefault="009E7188" w:rsidP="009E7188">
      <w:pPr>
        <w:pStyle w:val="Normal1"/>
        <w:pBdr>
          <w:top w:val="nil"/>
          <w:left w:val="nil"/>
          <w:bottom w:val="nil"/>
          <w:right w:val="nil"/>
          <w:between w:val="nil"/>
        </w:pBdr>
        <w:spacing w:line="360" w:lineRule="auto"/>
        <w:jc w:val="center"/>
        <w:rPr>
          <w:rFonts w:ascii="Arial" w:eastAsia="Arial" w:hAnsi="Arial" w:cs="Arial"/>
          <w:color w:val="000000"/>
          <w:sz w:val="24"/>
          <w:szCs w:val="24"/>
        </w:rPr>
      </w:pPr>
      <w:r w:rsidRPr="009E7188">
        <w:rPr>
          <w:rFonts w:ascii="Arial" w:eastAsia="Arial" w:hAnsi="Arial" w:cs="Arial"/>
          <w:b/>
          <w:color w:val="000000"/>
          <w:sz w:val="24"/>
          <w:szCs w:val="24"/>
        </w:rPr>
        <w:t xml:space="preserve">Word count: </w:t>
      </w:r>
      <w:r w:rsidR="002B0423">
        <w:rPr>
          <w:rFonts w:ascii="Arial" w:eastAsia="Arial" w:hAnsi="Arial" w:cs="Arial"/>
          <w:b/>
          <w:color w:val="000000"/>
          <w:sz w:val="24"/>
          <w:szCs w:val="24"/>
        </w:rPr>
        <w:t>2635</w:t>
      </w:r>
    </w:p>
    <w:p w:rsidR="009E7188" w:rsidRDefault="009E7188" w:rsidP="009E7188">
      <w:pPr>
        <w:spacing w:before="120" w:after="120"/>
        <w:jc w:val="center"/>
        <w:rPr>
          <w:rFonts w:ascii="Arial" w:hAnsi="Arial" w:cs="Arial"/>
          <w:b/>
          <w:bCs/>
          <w:sz w:val="24"/>
          <w:szCs w:val="24"/>
        </w:rPr>
      </w:pPr>
      <w:r w:rsidRPr="009E7188">
        <w:rPr>
          <w:rFonts w:ascii="Arial" w:eastAsia="Arial" w:hAnsi="Arial" w:cs="Arial"/>
          <w:b/>
          <w:color w:val="000000"/>
          <w:sz w:val="24"/>
          <w:szCs w:val="24"/>
        </w:rPr>
        <w:t xml:space="preserve">Submission date: </w:t>
      </w:r>
      <w:r w:rsidRPr="009E7188">
        <w:rPr>
          <w:rFonts w:ascii="Arial" w:hAnsi="Arial" w:cs="Arial"/>
          <w:b/>
          <w:bCs/>
          <w:sz w:val="24"/>
          <w:szCs w:val="24"/>
        </w:rPr>
        <w:t>Friday 24</w:t>
      </w:r>
      <w:r w:rsidRPr="009E7188">
        <w:rPr>
          <w:rFonts w:ascii="Arial" w:hAnsi="Arial" w:cs="Arial"/>
          <w:b/>
          <w:bCs/>
          <w:sz w:val="24"/>
          <w:szCs w:val="24"/>
          <w:vertAlign w:val="superscript"/>
        </w:rPr>
        <w:t>th</w:t>
      </w:r>
      <w:r w:rsidRPr="009E7188">
        <w:rPr>
          <w:rFonts w:ascii="Arial" w:hAnsi="Arial" w:cs="Arial"/>
          <w:b/>
          <w:bCs/>
          <w:sz w:val="24"/>
          <w:szCs w:val="24"/>
        </w:rPr>
        <w:t xml:space="preserve"> October 2025 by 2pm</w:t>
      </w: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sdt>
      <w:sdtPr>
        <w:rPr>
          <w:rFonts w:asciiTheme="minorHAnsi" w:eastAsiaTheme="minorHAnsi" w:hAnsiTheme="minorHAnsi" w:cstheme="minorBidi"/>
          <w:color w:val="auto"/>
          <w:sz w:val="22"/>
          <w:szCs w:val="22"/>
          <w:lang w:val="en-IN"/>
        </w:rPr>
        <w:id w:val="1574694502"/>
        <w:docPartObj>
          <w:docPartGallery w:val="Table of Contents"/>
          <w:docPartUnique/>
        </w:docPartObj>
      </w:sdtPr>
      <w:sdtEndPr>
        <w:rPr>
          <w:b/>
          <w:bCs/>
          <w:noProof/>
        </w:rPr>
      </w:sdtEndPr>
      <w:sdtContent>
        <w:p w:rsidR="00F203A6" w:rsidRDefault="00F203A6" w:rsidP="00F203A6">
          <w:pPr>
            <w:pStyle w:val="TOCHeading"/>
            <w:spacing w:line="360" w:lineRule="auto"/>
            <w:rPr>
              <w:rFonts w:ascii="Arial" w:hAnsi="Arial" w:cs="Arial"/>
              <w:b/>
              <w:color w:val="000000" w:themeColor="text1"/>
              <w:sz w:val="24"/>
              <w:szCs w:val="24"/>
            </w:rPr>
          </w:pPr>
          <w:r>
            <w:t xml:space="preserve">                                                  </w:t>
          </w:r>
          <w:r w:rsidRPr="00F203A6">
            <w:rPr>
              <w:rFonts w:ascii="Arial" w:hAnsi="Arial" w:cs="Arial"/>
              <w:b/>
              <w:color w:val="000000" w:themeColor="text1"/>
              <w:sz w:val="24"/>
              <w:szCs w:val="24"/>
            </w:rPr>
            <w:t>Table of Contents</w:t>
          </w:r>
        </w:p>
        <w:p w:rsidR="00F203A6" w:rsidRDefault="00F203A6" w:rsidP="00F203A6">
          <w:pPr>
            <w:rPr>
              <w:lang w:val="en-US"/>
            </w:rPr>
          </w:pPr>
        </w:p>
        <w:p w:rsidR="00F203A6" w:rsidRPr="00F203A6" w:rsidRDefault="00F203A6" w:rsidP="00F203A6">
          <w:pPr>
            <w:rPr>
              <w:lang w:val="en-US"/>
            </w:rPr>
          </w:pPr>
        </w:p>
        <w:p w:rsidR="00F203A6" w:rsidRPr="00F203A6" w:rsidRDefault="00F203A6" w:rsidP="00F203A6">
          <w:pPr>
            <w:pStyle w:val="TOC1"/>
            <w:tabs>
              <w:tab w:val="right" w:leader="dot" w:pos="9016"/>
            </w:tabs>
            <w:spacing w:line="360" w:lineRule="auto"/>
            <w:rPr>
              <w:rFonts w:ascii="Arial" w:hAnsi="Arial" w:cs="Arial"/>
              <w:noProof/>
              <w:sz w:val="24"/>
              <w:szCs w:val="24"/>
            </w:rPr>
          </w:pPr>
          <w:r w:rsidRPr="00F203A6">
            <w:rPr>
              <w:rFonts w:ascii="Arial" w:hAnsi="Arial" w:cs="Arial"/>
              <w:sz w:val="24"/>
              <w:szCs w:val="24"/>
            </w:rPr>
            <w:fldChar w:fldCharType="begin"/>
          </w:r>
          <w:r w:rsidRPr="00F203A6">
            <w:rPr>
              <w:rFonts w:ascii="Arial" w:hAnsi="Arial" w:cs="Arial"/>
              <w:sz w:val="24"/>
              <w:szCs w:val="24"/>
            </w:rPr>
            <w:instrText xml:space="preserve"> TOC \o "1-3" \h \z \u </w:instrText>
          </w:r>
          <w:r w:rsidRPr="00F203A6">
            <w:rPr>
              <w:rFonts w:ascii="Arial" w:hAnsi="Arial" w:cs="Arial"/>
              <w:sz w:val="24"/>
              <w:szCs w:val="24"/>
            </w:rPr>
            <w:fldChar w:fldCharType="separate"/>
          </w:r>
          <w:hyperlink w:anchor="_Toc212089664" w:history="1">
            <w:r w:rsidRPr="00F203A6">
              <w:rPr>
                <w:rStyle w:val="Hyperlink"/>
                <w:rFonts w:ascii="Arial" w:hAnsi="Arial" w:cs="Arial"/>
                <w:noProof/>
                <w:sz w:val="24"/>
                <w:szCs w:val="24"/>
              </w:rPr>
              <w:t>Introduction</w:t>
            </w:r>
            <w:r w:rsidRPr="00F203A6">
              <w:rPr>
                <w:rFonts w:ascii="Arial" w:hAnsi="Arial" w:cs="Arial"/>
                <w:noProof/>
                <w:webHidden/>
                <w:sz w:val="24"/>
                <w:szCs w:val="24"/>
              </w:rPr>
              <w:tab/>
            </w:r>
            <w:r w:rsidRPr="00F203A6">
              <w:rPr>
                <w:rFonts w:ascii="Arial" w:hAnsi="Arial" w:cs="Arial"/>
                <w:noProof/>
                <w:webHidden/>
                <w:sz w:val="24"/>
                <w:szCs w:val="24"/>
              </w:rPr>
              <w:fldChar w:fldCharType="begin"/>
            </w:r>
            <w:r w:rsidRPr="00F203A6">
              <w:rPr>
                <w:rFonts w:ascii="Arial" w:hAnsi="Arial" w:cs="Arial"/>
                <w:noProof/>
                <w:webHidden/>
                <w:sz w:val="24"/>
                <w:szCs w:val="24"/>
              </w:rPr>
              <w:instrText xml:space="preserve"> PAGEREF _Toc212089664 \h </w:instrText>
            </w:r>
            <w:r w:rsidRPr="00F203A6">
              <w:rPr>
                <w:rFonts w:ascii="Arial" w:hAnsi="Arial" w:cs="Arial"/>
                <w:noProof/>
                <w:webHidden/>
                <w:sz w:val="24"/>
                <w:szCs w:val="24"/>
              </w:rPr>
            </w:r>
            <w:r w:rsidRPr="00F203A6">
              <w:rPr>
                <w:rFonts w:ascii="Arial" w:hAnsi="Arial" w:cs="Arial"/>
                <w:noProof/>
                <w:webHidden/>
                <w:sz w:val="24"/>
                <w:szCs w:val="24"/>
              </w:rPr>
              <w:fldChar w:fldCharType="separate"/>
            </w:r>
            <w:r w:rsidR="00F9606B">
              <w:rPr>
                <w:rFonts w:ascii="Arial" w:hAnsi="Arial" w:cs="Arial"/>
                <w:noProof/>
                <w:webHidden/>
                <w:sz w:val="24"/>
                <w:szCs w:val="24"/>
              </w:rPr>
              <w:t>2</w:t>
            </w:r>
            <w:r w:rsidRPr="00F203A6">
              <w:rPr>
                <w:rFonts w:ascii="Arial" w:hAnsi="Arial" w:cs="Arial"/>
                <w:noProof/>
                <w:webHidden/>
                <w:sz w:val="24"/>
                <w:szCs w:val="24"/>
              </w:rPr>
              <w:fldChar w:fldCharType="end"/>
            </w:r>
          </w:hyperlink>
        </w:p>
        <w:p w:rsidR="00F203A6" w:rsidRPr="00F203A6" w:rsidRDefault="00FF27A8" w:rsidP="00F203A6">
          <w:pPr>
            <w:pStyle w:val="TOC1"/>
            <w:tabs>
              <w:tab w:val="right" w:leader="dot" w:pos="9016"/>
            </w:tabs>
            <w:spacing w:line="360" w:lineRule="auto"/>
            <w:rPr>
              <w:rFonts w:ascii="Arial" w:hAnsi="Arial" w:cs="Arial"/>
              <w:noProof/>
              <w:sz w:val="24"/>
              <w:szCs w:val="24"/>
            </w:rPr>
          </w:pPr>
          <w:hyperlink w:anchor="_Toc212089665" w:history="1">
            <w:r w:rsidR="00F203A6" w:rsidRPr="00F203A6">
              <w:rPr>
                <w:rStyle w:val="Hyperlink"/>
                <w:rFonts w:ascii="Arial" w:hAnsi="Arial" w:cs="Arial"/>
                <w:noProof/>
                <w:sz w:val="24"/>
                <w:szCs w:val="24"/>
              </w:rPr>
              <w:t>Task 1: Marketing Environment Analysis</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_Toc212089665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3</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66" w:history="1">
            <w:r w:rsidR="00F203A6" w:rsidRPr="00F203A6">
              <w:rPr>
                <w:rStyle w:val="Hyperlink"/>
                <w:rFonts w:ascii="Arial" w:hAnsi="Arial" w:cs="Arial"/>
                <w:noProof/>
                <w:sz w:val="24"/>
                <w:szCs w:val="24"/>
              </w:rPr>
              <w:t>1.1 Competitive and Innovation Environment</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_Toc212089666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3</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67" w:history="1">
            <w:r w:rsidR="00F203A6" w:rsidRPr="00F203A6">
              <w:rPr>
                <w:rStyle w:val="Hyperlink"/>
                <w:rFonts w:ascii="Arial" w:hAnsi="Arial" w:cs="Arial"/>
                <w:noProof/>
                <w:sz w:val="24"/>
                <w:szCs w:val="24"/>
                <w:u w:val="none"/>
              </w:rPr>
              <w:t>1.2 Consumer Behaviour and Socio-Cultural Environment</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_Toc212089667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5</w:t>
            </w:r>
            <w:r w:rsidR="00F203A6" w:rsidRPr="00F203A6">
              <w:rPr>
                <w:rFonts w:ascii="Arial" w:hAnsi="Arial" w:cs="Arial"/>
                <w:noProof/>
                <w:webHidden/>
                <w:sz w:val="24"/>
                <w:szCs w:val="24"/>
              </w:rPr>
              <w:fldChar w:fldCharType="end"/>
            </w:r>
          </w:hyperlink>
        </w:p>
        <w:p w:rsidR="00F203A6" w:rsidRPr="00F203A6" w:rsidRDefault="00FF27A8" w:rsidP="00F203A6">
          <w:pPr>
            <w:pStyle w:val="TOC1"/>
            <w:tabs>
              <w:tab w:val="right" w:leader="dot" w:pos="9016"/>
            </w:tabs>
            <w:spacing w:line="360" w:lineRule="auto"/>
            <w:rPr>
              <w:rFonts w:ascii="Arial" w:hAnsi="Arial" w:cs="Arial"/>
              <w:noProof/>
              <w:sz w:val="24"/>
              <w:szCs w:val="24"/>
            </w:rPr>
          </w:pPr>
          <w:hyperlink w:anchor="_Toc212089668" w:history="1">
            <w:r w:rsidR="00F203A6" w:rsidRPr="00F203A6">
              <w:rPr>
                <w:rStyle w:val="Hyperlink"/>
                <w:rFonts w:ascii="Arial" w:hAnsi="Arial" w:cs="Arial"/>
                <w:noProof/>
                <w:sz w:val="24"/>
                <w:szCs w:val="24"/>
                <w:u w:val="none"/>
              </w:rPr>
              <w:t>Task 2: Strategic Responses</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_Toc212089668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7</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69" w:history="1">
            <w:r w:rsidR="00F203A6" w:rsidRPr="00F203A6">
              <w:rPr>
                <w:rStyle w:val="Hyperlink"/>
                <w:rFonts w:ascii="Arial" w:hAnsi="Arial" w:cs="Arial"/>
                <w:noProof/>
                <w:sz w:val="24"/>
                <w:szCs w:val="24"/>
              </w:rPr>
              <w:t>2.1 SWOT Analysis</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_Toc212089669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7</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70" w:history="1">
            <w:r w:rsidR="00F203A6" w:rsidRPr="00F203A6">
              <w:rPr>
                <w:rStyle w:val="Hyperlink"/>
                <w:rFonts w:ascii="Arial" w:hAnsi="Arial" w:cs="Arial"/>
                <w:noProof/>
                <w:sz w:val="24"/>
                <w:szCs w:val="24"/>
              </w:rPr>
              <w:t>2.2 The 4Ps of Marketing Strategy</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_Toc212089670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8</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71" w:history="1">
            <w:r w:rsidR="00F203A6" w:rsidRPr="00F203A6">
              <w:rPr>
                <w:rStyle w:val="Hyperlink"/>
                <w:rFonts w:ascii="Arial" w:hAnsi="Arial" w:cs="Arial"/>
                <w:noProof/>
                <w:sz w:val="24"/>
                <w:szCs w:val="24"/>
              </w:rPr>
              <w:t>2.3 The 7Ps and Service Excellence</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_Toc212089671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10</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72" w:history="1">
            <w:r w:rsidR="00F203A6" w:rsidRPr="00F203A6">
              <w:rPr>
                <w:rStyle w:val="Hyperlink"/>
                <w:rFonts w:ascii="Arial" w:hAnsi="Arial" w:cs="Arial"/>
                <w:noProof/>
                <w:sz w:val="24"/>
                <w:szCs w:val="24"/>
                <w:u w:val="none"/>
              </w:rPr>
              <w:t>2.4 Strategic Positioning and Adaptation</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_Toc212089672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11</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73" w:history="1">
            <w:r w:rsidR="00F203A6" w:rsidRPr="00F203A6">
              <w:rPr>
                <w:rStyle w:val="Hyperlink"/>
                <w:rFonts w:ascii="Arial" w:hAnsi="Arial" w:cs="Arial"/>
                <w:noProof/>
                <w:sz w:val="24"/>
                <w:szCs w:val="24"/>
                <w:u w:val="none"/>
              </w:rPr>
              <w:t>2.5 Comparative Strategic Evaluation</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_Toc212089673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13</w:t>
            </w:r>
            <w:r w:rsidR="00F203A6" w:rsidRPr="00F203A6">
              <w:rPr>
                <w:rFonts w:ascii="Arial" w:hAnsi="Arial" w:cs="Arial"/>
                <w:noProof/>
                <w:webHidden/>
                <w:sz w:val="24"/>
                <w:szCs w:val="24"/>
              </w:rPr>
              <w:fldChar w:fldCharType="end"/>
            </w:r>
          </w:hyperlink>
        </w:p>
        <w:p w:rsidR="00F203A6" w:rsidRPr="00F203A6" w:rsidRDefault="00FF27A8" w:rsidP="00F203A6">
          <w:pPr>
            <w:pStyle w:val="TOC2"/>
            <w:tabs>
              <w:tab w:val="right" w:leader="dot" w:pos="9016"/>
            </w:tabs>
            <w:spacing w:line="360" w:lineRule="auto"/>
            <w:rPr>
              <w:rFonts w:ascii="Arial" w:hAnsi="Arial" w:cs="Arial"/>
              <w:noProof/>
              <w:sz w:val="24"/>
              <w:szCs w:val="24"/>
            </w:rPr>
          </w:pPr>
          <w:hyperlink w:anchor="_Toc212089674" w:history="1">
            <w:r w:rsidR="00F203A6" w:rsidRPr="00F203A6">
              <w:rPr>
                <w:rStyle w:val="Hyperlink"/>
                <w:rFonts w:ascii="Arial" w:hAnsi="Arial" w:cs="Arial"/>
                <w:noProof/>
                <w:sz w:val="24"/>
                <w:szCs w:val="24"/>
              </w:rPr>
              <w:t>2.6 Summary of Task 2</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_Toc212089674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14</w:t>
            </w:r>
            <w:r w:rsidR="00F203A6" w:rsidRPr="00F203A6">
              <w:rPr>
                <w:rFonts w:ascii="Arial" w:hAnsi="Arial" w:cs="Arial"/>
                <w:noProof/>
                <w:webHidden/>
                <w:sz w:val="24"/>
                <w:szCs w:val="24"/>
              </w:rPr>
              <w:fldChar w:fldCharType="end"/>
            </w:r>
          </w:hyperlink>
        </w:p>
        <w:p w:rsidR="00F203A6" w:rsidRPr="00F203A6" w:rsidRDefault="00FF27A8" w:rsidP="00F203A6">
          <w:pPr>
            <w:pStyle w:val="TOC1"/>
            <w:tabs>
              <w:tab w:val="right" w:leader="dot" w:pos="9016"/>
            </w:tabs>
            <w:spacing w:line="360" w:lineRule="auto"/>
            <w:rPr>
              <w:rFonts w:ascii="Arial" w:hAnsi="Arial" w:cs="Arial"/>
              <w:noProof/>
              <w:sz w:val="24"/>
              <w:szCs w:val="24"/>
            </w:rPr>
          </w:pPr>
          <w:hyperlink w:anchor="_Toc212089675" w:history="1">
            <w:r w:rsidR="00F203A6" w:rsidRPr="00F203A6">
              <w:rPr>
                <w:rStyle w:val="Hyperlink"/>
                <w:rFonts w:ascii="Arial" w:hAnsi="Arial" w:cs="Arial"/>
                <w:noProof/>
                <w:sz w:val="24"/>
                <w:szCs w:val="24"/>
              </w:rPr>
              <w:t>Conclusion</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_Toc212089675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15</w:t>
            </w:r>
            <w:r w:rsidR="00F203A6" w:rsidRPr="00F203A6">
              <w:rPr>
                <w:rFonts w:ascii="Arial" w:hAnsi="Arial" w:cs="Arial"/>
                <w:noProof/>
                <w:webHidden/>
                <w:sz w:val="24"/>
                <w:szCs w:val="24"/>
              </w:rPr>
              <w:fldChar w:fldCharType="end"/>
            </w:r>
          </w:hyperlink>
        </w:p>
        <w:p w:rsidR="00F203A6" w:rsidRPr="00F203A6" w:rsidRDefault="00FF27A8" w:rsidP="00F203A6">
          <w:pPr>
            <w:pStyle w:val="TOC1"/>
            <w:tabs>
              <w:tab w:val="right" w:leader="dot" w:pos="9016"/>
            </w:tabs>
            <w:spacing w:line="360" w:lineRule="auto"/>
            <w:rPr>
              <w:rFonts w:ascii="Arial" w:hAnsi="Arial" w:cs="Arial"/>
              <w:noProof/>
              <w:sz w:val="24"/>
              <w:szCs w:val="24"/>
            </w:rPr>
          </w:pPr>
          <w:hyperlink w:anchor="_Toc212089676" w:history="1">
            <w:r w:rsidR="00F203A6" w:rsidRPr="00F203A6">
              <w:rPr>
                <w:rStyle w:val="Hyperlink"/>
                <w:rFonts w:ascii="Arial" w:hAnsi="Arial" w:cs="Arial"/>
                <w:noProof/>
                <w:sz w:val="24"/>
                <w:szCs w:val="24"/>
              </w:rPr>
              <w:t>References (Harvard Style with Links)</w:t>
            </w:r>
            <w:r w:rsidR="00F203A6" w:rsidRPr="00F203A6">
              <w:rPr>
                <w:rFonts w:ascii="Arial" w:hAnsi="Arial" w:cs="Arial"/>
                <w:noProof/>
                <w:webHidden/>
                <w:sz w:val="24"/>
                <w:szCs w:val="24"/>
              </w:rPr>
              <w:tab/>
            </w:r>
            <w:r w:rsidR="00F203A6" w:rsidRPr="00F203A6">
              <w:rPr>
                <w:rFonts w:ascii="Arial" w:hAnsi="Arial" w:cs="Arial"/>
                <w:noProof/>
                <w:webHidden/>
                <w:sz w:val="24"/>
                <w:szCs w:val="24"/>
              </w:rPr>
              <w:fldChar w:fldCharType="begin"/>
            </w:r>
            <w:r w:rsidR="00F203A6" w:rsidRPr="00F203A6">
              <w:rPr>
                <w:rFonts w:ascii="Arial" w:hAnsi="Arial" w:cs="Arial"/>
                <w:noProof/>
                <w:webHidden/>
                <w:sz w:val="24"/>
                <w:szCs w:val="24"/>
              </w:rPr>
              <w:instrText xml:space="preserve"> PAGEREF _Toc212089676 \h </w:instrText>
            </w:r>
            <w:r w:rsidR="00F203A6" w:rsidRPr="00F203A6">
              <w:rPr>
                <w:rFonts w:ascii="Arial" w:hAnsi="Arial" w:cs="Arial"/>
                <w:noProof/>
                <w:webHidden/>
                <w:sz w:val="24"/>
                <w:szCs w:val="24"/>
              </w:rPr>
            </w:r>
            <w:r w:rsidR="00F203A6" w:rsidRPr="00F203A6">
              <w:rPr>
                <w:rFonts w:ascii="Arial" w:hAnsi="Arial" w:cs="Arial"/>
                <w:noProof/>
                <w:webHidden/>
                <w:sz w:val="24"/>
                <w:szCs w:val="24"/>
              </w:rPr>
              <w:fldChar w:fldCharType="separate"/>
            </w:r>
            <w:r w:rsidR="00F9606B">
              <w:rPr>
                <w:rFonts w:ascii="Arial" w:hAnsi="Arial" w:cs="Arial"/>
                <w:noProof/>
                <w:webHidden/>
                <w:sz w:val="24"/>
                <w:szCs w:val="24"/>
              </w:rPr>
              <w:t>16</w:t>
            </w:r>
            <w:r w:rsidR="00F203A6" w:rsidRPr="00F203A6">
              <w:rPr>
                <w:rFonts w:ascii="Arial" w:hAnsi="Arial" w:cs="Arial"/>
                <w:noProof/>
                <w:webHidden/>
                <w:sz w:val="24"/>
                <w:szCs w:val="24"/>
              </w:rPr>
              <w:fldChar w:fldCharType="end"/>
            </w:r>
          </w:hyperlink>
        </w:p>
        <w:p w:rsidR="00F203A6" w:rsidRDefault="00F203A6" w:rsidP="00F203A6">
          <w:pPr>
            <w:spacing w:line="360" w:lineRule="auto"/>
          </w:pPr>
          <w:r w:rsidRPr="00F203A6">
            <w:rPr>
              <w:rFonts w:ascii="Arial" w:hAnsi="Arial" w:cs="Arial"/>
              <w:b/>
              <w:bCs/>
              <w:noProof/>
              <w:sz w:val="24"/>
              <w:szCs w:val="24"/>
            </w:rPr>
            <w:fldChar w:fldCharType="end"/>
          </w:r>
        </w:p>
      </w:sdtContent>
    </w:sdt>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Default="00F203A6" w:rsidP="009E7188">
      <w:pPr>
        <w:spacing w:before="120" w:after="120"/>
        <w:jc w:val="center"/>
        <w:rPr>
          <w:rFonts w:ascii="Arial" w:hAnsi="Arial" w:cs="Arial"/>
          <w:b/>
          <w:bCs/>
          <w:sz w:val="24"/>
          <w:szCs w:val="24"/>
        </w:rPr>
      </w:pPr>
    </w:p>
    <w:p w:rsidR="00F203A6" w:rsidRPr="009E7188" w:rsidRDefault="00F203A6" w:rsidP="009E7188">
      <w:pPr>
        <w:spacing w:before="120" w:after="120"/>
        <w:jc w:val="center"/>
        <w:rPr>
          <w:rFonts w:ascii="Arial" w:hAnsi="Arial" w:cs="Arial"/>
          <w:b/>
          <w:bCs/>
          <w:sz w:val="24"/>
          <w:szCs w:val="24"/>
        </w:rPr>
      </w:pPr>
    </w:p>
    <w:p w:rsidR="009E7188" w:rsidRPr="009E7188" w:rsidRDefault="009E7188" w:rsidP="009E7188">
      <w:pPr>
        <w:spacing w:line="360" w:lineRule="auto"/>
        <w:jc w:val="center"/>
        <w:rPr>
          <w:rFonts w:ascii="Arial" w:hAnsi="Arial" w:cs="Arial"/>
          <w:b/>
          <w:sz w:val="24"/>
          <w:szCs w:val="24"/>
        </w:rPr>
      </w:pPr>
    </w:p>
    <w:p w:rsidR="009E7188" w:rsidRPr="009E7188" w:rsidRDefault="009E7188" w:rsidP="009E7188">
      <w:pPr>
        <w:spacing w:line="360" w:lineRule="auto"/>
        <w:jc w:val="center"/>
        <w:rPr>
          <w:rFonts w:ascii="Arial" w:hAnsi="Arial" w:cs="Arial"/>
          <w:b/>
          <w:sz w:val="24"/>
          <w:szCs w:val="24"/>
        </w:rPr>
      </w:pPr>
    </w:p>
    <w:p w:rsidR="009E7188" w:rsidRPr="009E7188" w:rsidRDefault="009E7188" w:rsidP="009E7188">
      <w:pPr>
        <w:spacing w:line="360" w:lineRule="auto"/>
        <w:jc w:val="center"/>
        <w:rPr>
          <w:rFonts w:ascii="Arial" w:hAnsi="Arial" w:cs="Arial"/>
          <w:b/>
          <w:sz w:val="24"/>
          <w:szCs w:val="24"/>
        </w:rPr>
      </w:pPr>
    </w:p>
    <w:p w:rsidR="009E7188" w:rsidRPr="009E7188" w:rsidRDefault="009E7188" w:rsidP="009E7188">
      <w:pPr>
        <w:spacing w:line="360" w:lineRule="auto"/>
        <w:jc w:val="center"/>
        <w:rPr>
          <w:rFonts w:ascii="Arial" w:hAnsi="Arial" w:cs="Arial"/>
          <w:b/>
          <w:sz w:val="24"/>
          <w:szCs w:val="24"/>
        </w:rPr>
      </w:pPr>
    </w:p>
    <w:p w:rsidR="009E7188" w:rsidRPr="009E7188" w:rsidRDefault="009E7188" w:rsidP="009E7188">
      <w:pPr>
        <w:spacing w:line="360" w:lineRule="auto"/>
        <w:jc w:val="center"/>
        <w:rPr>
          <w:rFonts w:ascii="Arial" w:hAnsi="Arial" w:cs="Arial"/>
          <w:b/>
          <w:sz w:val="24"/>
          <w:szCs w:val="24"/>
        </w:rPr>
      </w:pPr>
    </w:p>
    <w:p w:rsidR="009E7188" w:rsidRDefault="009E7188" w:rsidP="00CB192F">
      <w:pPr>
        <w:spacing w:line="360" w:lineRule="auto"/>
        <w:jc w:val="both"/>
        <w:rPr>
          <w:rFonts w:ascii="Arial" w:hAnsi="Arial" w:cs="Arial"/>
          <w:b/>
          <w:sz w:val="24"/>
        </w:rPr>
      </w:pPr>
    </w:p>
    <w:p w:rsidR="009E7188" w:rsidRDefault="009E7188" w:rsidP="00CB192F">
      <w:pPr>
        <w:spacing w:line="360" w:lineRule="auto"/>
        <w:jc w:val="both"/>
        <w:rPr>
          <w:rFonts w:ascii="Arial" w:hAnsi="Arial" w:cs="Arial"/>
          <w:b/>
          <w:sz w:val="24"/>
        </w:rPr>
      </w:pPr>
    </w:p>
    <w:p w:rsidR="00A270CF" w:rsidRPr="00F9606B" w:rsidRDefault="00A270CF" w:rsidP="00F203A6">
      <w:pPr>
        <w:pStyle w:val="Heading1"/>
        <w:rPr>
          <w:rFonts w:ascii="Arial" w:hAnsi="Arial" w:cs="Arial"/>
          <w:b/>
          <w:color w:val="auto"/>
          <w:sz w:val="24"/>
          <w:szCs w:val="24"/>
        </w:rPr>
      </w:pPr>
      <w:bookmarkStart w:id="0" w:name="_Toc212089664"/>
      <w:r w:rsidRPr="00F9606B">
        <w:rPr>
          <w:rFonts w:ascii="Arial" w:hAnsi="Arial" w:cs="Arial"/>
          <w:b/>
          <w:color w:val="auto"/>
          <w:sz w:val="24"/>
          <w:szCs w:val="24"/>
        </w:rPr>
        <w:lastRenderedPageBreak/>
        <w:t>Introduction</w:t>
      </w:r>
      <w:bookmarkEnd w:id="0"/>
    </w:p>
    <w:p w:rsidR="00A270CF" w:rsidRPr="002B0423" w:rsidRDefault="00A270CF" w:rsidP="002B0423">
      <w:pPr>
        <w:spacing w:line="360" w:lineRule="auto"/>
        <w:ind w:firstLine="720"/>
        <w:jc w:val="both"/>
        <w:rPr>
          <w:rFonts w:ascii="Arial" w:hAnsi="Arial" w:cs="Arial"/>
          <w:b/>
          <w:sz w:val="24"/>
        </w:rPr>
      </w:pPr>
    </w:p>
    <w:p w:rsidR="00A270CF" w:rsidRPr="00A270CF" w:rsidRDefault="00A270CF" w:rsidP="00CB192F">
      <w:pPr>
        <w:spacing w:line="360" w:lineRule="auto"/>
        <w:jc w:val="both"/>
        <w:rPr>
          <w:rFonts w:ascii="Arial" w:hAnsi="Arial" w:cs="Arial"/>
          <w:sz w:val="24"/>
        </w:rPr>
      </w:pPr>
      <w:r w:rsidRPr="002B0423">
        <w:rPr>
          <w:rFonts w:ascii="Arial" w:hAnsi="Arial" w:cs="Arial"/>
          <w:sz w:val="24"/>
        </w:rPr>
        <w:t>M</w:t>
      </w:r>
      <w:r w:rsidRPr="00F9606B">
        <w:rPr>
          <w:rFonts w:ascii="Arial" w:hAnsi="Arial" w:cs="Arial"/>
          <w:i/>
          <w:sz w:val="24"/>
        </w:rPr>
        <w:t xml:space="preserve">arketing </w:t>
      </w:r>
      <w:r w:rsidRPr="002B0423">
        <w:rPr>
          <w:rFonts w:ascii="Arial" w:hAnsi="Arial" w:cs="Arial"/>
          <w:sz w:val="24"/>
        </w:rPr>
        <w:t>management</w:t>
      </w:r>
      <w:r w:rsidRPr="00F9606B">
        <w:rPr>
          <w:rFonts w:ascii="Arial" w:hAnsi="Arial" w:cs="Arial"/>
          <w:i/>
          <w:sz w:val="24"/>
        </w:rPr>
        <w:t xml:space="preserve"> is </w:t>
      </w:r>
      <w:r w:rsidRPr="002B0423">
        <w:rPr>
          <w:rFonts w:ascii="Arial" w:hAnsi="Arial" w:cs="Arial"/>
          <w:sz w:val="24"/>
        </w:rPr>
        <w:t>fundamentally</w:t>
      </w:r>
      <w:r w:rsidRPr="00F9606B">
        <w:rPr>
          <w:rFonts w:ascii="Arial" w:hAnsi="Arial" w:cs="Arial"/>
          <w:i/>
          <w:sz w:val="24"/>
        </w:rPr>
        <w:t xml:space="preserve"> </w:t>
      </w:r>
      <w:r w:rsidRPr="002B0423">
        <w:rPr>
          <w:rFonts w:ascii="Arial" w:hAnsi="Arial" w:cs="Arial"/>
          <w:sz w:val="24"/>
        </w:rPr>
        <w:t>about</w:t>
      </w:r>
      <w:r w:rsidRPr="00F9606B">
        <w:rPr>
          <w:rFonts w:ascii="Arial" w:hAnsi="Arial" w:cs="Arial"/>
          <w:i/>
          <w:sz w:val="24"/>
        </w:rPr>
        <w:t xml:space="preserve"> a</w:t>
      </w:r>
      <w:r w:rsidRPr="002B0423">
        <w:rPr>
          <w:rFonts w:ascii="Arial" w:hAnsi="Arial" w:cs="Arial"/>
          <w:sz w:val="24"/>
        </w:rPr>
        <w:t>nalysing how internal capabilities</w:t>
      </w:r>
      <w:r w:rsidRPr="00F9606B">
        <w:rPr>
          <w:rFonts w:ascii="Arial" w:hAnsi="Arial" w:cs="Arial"/>
          <w:i/>
          <w:sz w:val="24"/>
        </w:rPr>
        <w:t xml:space="preserve"> </w:t>
      </w:r>
      <w:r w:rsidRPr="002B0423">
        <w:rPr>
          <w:rFonts w:ascii="Arial" w:hAnsi="Arial" w:cs="Arial"/>
          <w:sz w:val="24"/>
        </w:rPr>
        <w:t>and</w:t>
      </w:r>
      <w:r w:rsidRPr="00F9606B">
        <w:rPr>
          <w:rFonts w:ascii="Arial" w:hAnsi="Arial" w:cs="Arial"/>
          <w:i/>
          <w:sz w:val="24"/>
        </w:rPr>
        <w:t xml:space="preserve"> </w:t>
      </w:r>
      <w:r w:rsidRPr="002B0423">
        <w:rPr>
          <w:rFonts w:ascii="Arial" w:hAnsi="Arial" w:cs="Arial"/>
          <w:sz w:val="24"/>
        </w:rPr>
        <w:t>external environmental forces</w:t>
      </w:r>
      <w:r w:rsidRPr="00A270CF">
        <w:rPr>
          <w:rFonts w:ascii="Arial" w:hAnsi="Arial" w:cs="Arial"/>
          <w:sz w:val="24"/>
        </w:rPr>
        <w:t xml:space="preserve"> influence an organisation’s ability to create value and sustain competitiveness. In fast-evolving industries, strategic marketing decisions must respond to technological shifts, changing consumer expectations, and competitive pressures. The global smartphone industry, valued at over USD 430 billion in 2024, exemplifies such dynamics, combining rapid innovation cycles with highly informed, demanding consumers (Statista, 2025; 12).</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Within this environment, Apple Inc. stands as a pioneer, consistently shaping the market through innovation leadership, ecosystem integration, and premium branding. Conversely, Samsung Electronics represents a strategic follower, effectively adapting and scaling these innovations across multiple market segments (Shankar, 2021; 4). Understanding the relationship between pioneers and followers provides insight into how marketing management theories translate into real-world strategies.</w:t>
      </w:r>
    </w:p>
    <w:p w:rsidR="009F7BB5" w:rsidRDefault="00A270CF" w:rsidP="00CB192F">
      <w:pPr>
        <w:spacing w:line="360" w:lineRule="auto"/>
        <w:jc w:val="both"/>
        <w:rPr>
          <w:rFonts w:ascii="Arial" w:hAnsi="Arial" w:cs="Arial"/>
          <w:sz w:val="24"/>
        </w:rPr>
      </w:pPr>
      <w:r>
        <w:rPr>
          <w:rFonts w:ascii="Arial" w:hAnsi="Arial" w:cs="Arial"/>
          <w:sz w:val="24"/>
        </w:rPr>
        <w:t xml:space="preserve">The marketing environment </w:t>
      </w:r>
      <w:r w:rsidRPr="00A270CF">
        <w:rPr>
          <w:rFonts w:ascii="Arial" w:hAnsi="Arial" w:cs="Arial"/>
          <w:sz w:val="24"/>
        </w:rPr>
        <w:t>comprising political, economic, social, technological, environmental, and legal (PESTEL) factors—creates both opportunities and constraints that define marketing strategies (Kotler, Keller and Chernev, 2023; 3). This report critically examines Apple and Samsung’s responses to these macro-environmental influences through two key dimensions: the competitive and innovation environment, and the consumer behaviour and socio-cultural environment. Furthermore, it evaluates their strategic marketing responses using analytical frameworks such as SWOT, 4Ps, and 7Ps, to explore how pioneers and followers sustain growth and brand equity in a technologically turbulent global marketplace.</w:t>
      </w:r>
    </w:p>
    <w:p w:rsidR="00A270CF" w:rsidRDefault="00A270CF" w:rsidP="00CB192F">
      <w:pPr>
        <w:spacing w:line="360" w:lineRule="auto"/>
        <w:jc w:val="both"/>
        <w:rPr>
          <w:rFonts w:ascii="Arial" w:hAnsi="Arial" w:cs="Arial"/>
          <w:sz w:val="24"/>
        </w:rPr>
      </w:pPr>
    </w:p>
    <w:p w:rsidR="00A270CF" w:rsidRDefault="00A270CF" w:rsidP="00CB192F">
      <w:pPr>
        <w:spacing w:line="360" w:lineRule="auto"/>
        <w:jc w:val="both"/>
        <w:rPr>
          <w:rFonts w:ascii="Arial" w:hAnsi="Arial" w:cs="Arial"/>
          <w:sz w:val="24"/>
        </w:rPr>
      </w:pPr>
    </w:p>
    <w:p w:rsidR="00A270CF" w:rsidRDefault="00A270CF" w:rsidP="00CB192F">
      <w:pPr>
        <w:spacing w:line="360" w:lineRule="auto"/>
        <w:jc w:val="both"/>
        <w:rPr>
          <w:rFonts w:ascii="Arial" w:hAnsi="Arial" w:cs="Arial"/>
          <w:sz w:val="24"/>
        </w:rPr>
      </w:pPr>
    </w:p>
    <w:p w:rsidR="00A270CF" w:rsidRPr="00F203A6" w:rsidRDefault="00A270CF" w:rsidP="00CB192F">
      <w:pPr>
        <w:spacing w:line="360" w:lineRule="auto"/>
        <w:jc w:val="both"/>
        <w:rPr>
          <w:rFonts w:ascii="Arial" w:hAnsi="Arial" w:cs="Arial"/>
          <w:b/>
          <w:sz w:val="24"/>
        </w:rPr>
      </w:pPr>
    </w:p>
    <w:p w:rsidR="00A270CF" w:rsidRPr="00F203A6" w:rsidRDefault="00A270CF" w:rsidP="00CB192F">
      <w:pPr>
        <w:spacing w:line="360" w:lineRule="auto"/>
        <w:jc w:val="both"/>
        <w:rPr>
          <w:rFonts w:ascii="Arial" w:hAnsi="Arial" w:cs="Arial"/>
          <w:b/>
          <w:sz w:val="24"/>
        </w:rPr>
      </w:pPr>
    </w:p>
    <w:p w:rsidR="00A270CF" w:rsidRPr="00F203A6" w:rsidRDefault="00A270CF" w:rsidP="00CB192F">
      <w:pPr>
        <w:spacing w:line="360" w:lineRule="auto"/>
        <w:jc w:val="both"/>
        <w:rPr>
          <w:rFonts w:ascii="Arial" w:hAnsi="Arial" w:cs="Arial"/>
          <w:b/>
          <w:sz w:val="24"/>
        </w:rPr>
      </w:pPr>
    </w:p>
    <w:p w:rsidR="00A270CF" w:rsidRPr="00F203A6" w:rsidRDefault="00A270CF" w:rsidP="00F203A6">
      <w:pPr>
        <w:pStyle w:val="Heading1"/>
        <w:rPr>
          <w:rFonts w:ascii="Arial" w:hAnsi="Arial" w:cs="Arial"/>
          <w:b/>
          <w:color w:val="auto"/>
          <w:sz w:val="24"/>
          <w:szCs w:val="24"/>
        </w:rPr>
      </w:pPr>
      <w:bookmarkStart w:id="1" w:name="_Toc212089665"/>
      <w:r w:rsidRPr="00F203A6">
        <w:rPr>
          <w:rFonts w:ascii="Arial" w:hAnsi="Arial" w:cs="Arial"/>
          <w:b/>
          <w:color w:val="auto"/>
          <w:sz w:val="24"/>
          <w:szCs w:val="24"/>
        </w:rPr>
        <w:lastRenderedPageBreak/>
        <w:t>Task 1: Marketing Environment Analysis</w:t>
      </w:r>
      <w:bookmarkEnd w:id="1"/>
    </w:p>
    <w:p w:rsidR="00A270CF" w:rsidRDefault="00A270CF" w:rsidP="00CB192F">
      <w:pPr>
        <w:spacing w:line="360" w:lineRule="auto"/>
        <w:jc w:val="both"/>
        <w:rPr>
          <w:rFonts w:ascii="Arial" w:hAnsi="Arial" w:cs="Arial"/>
          <w:b/>
          <w:sz w:val="24"/>
        </w:rPr>
      </w:pPr>
    </w:p>
    <w:p w:rsidR="00A270CF" w:rsidRDefault="00A270CF" w:rsidP="00CB192F">
      <w:pPr>
        <w:spacing w:line="360" w:lineRule="auto"/>
        <w:jc w:val="both"/>
        <w:rPr>
          <w:rFonts w:ascii="Arial" w:hAnsi="Arial" w:cs="Arial"/>
          <w:b/>
          <w:sz w:val="24"/>
        </w:rPr>
      </w:pPr>
      <w:r w:rsidRPr="00A270CF">
        <w:rPr>
          <w:rFonts w:ascii="Arial" w:hAnsi="Arial" w:cs="Arial"/>
          <w:sz w:val="24"/>
        </w:rPr>
        <w:t xml:space="preserve">Marketing environment analysis enables organisations to identify external opportunities and threats that shape long-term strategy. According to Kotler, Keller and Chernev (2023; </w:t>
      </w:r>
      <w:r>
        <w:rPr>
          <w:rFonts w:ascii="Arial" w:hAnsi="Arial" w:cs="Arial"/>
          <w:sz w:val="24"/>
        </w:rPr>
        <w:t xml:space="preserve">3), macro-environmental factors </w:t>
      </w:r>
      <w:r w:rsidRPr="00A270CF">
        <w:rPr>
          <w:rFonts w:ascii="Arial" w:hAnsi="Arial" w:cs="Arial"/>
          <w:sz w:val="24"/>
        </w:rPr>
        <w:t>political, economic, social, technological, e</w:t>
      </w:r>
      <w:r>
        <w:rPr>
          <w:rFonts w:ascii="Arial" w:hAnsi="Arial" w:cs="Arial"/>
          <w:sz w:val="24"/>
        </w:rPr>
        <w:t xml:space="preserve">nvironmental and legal (PESTEL) </w:t>
      </w:r>
      <w:r w:rsidRPr="00A270CF">
        <w:rPr>
          <w:rFonts w:ascii="Arial" w:hAnsi="Arial" w:cs="Arial"/>
          <w:sz w:val="24"/>
        </w:rPr>
        <w:t>affect how firms design and deliver value. For technology brands such as Apple Inc. and Samsung Electronics, continuous innovation, globalisation, and changing consumer expectations make environmental scanning vital to marketing management. This section examines two critical macro-environmental dimensions influencing both companies: the competitive and innovation environment and the consumer behaviour and socio-cultural environment.</w:t>
      </w:r>
    </w:p>
    <w:p w:rsidR="00A270CF" w:rsidRDefault="00A270CF" w:rsidP="00F203A6">
      <w:pPr>
        <w:pStyle w:val="Heading2"/>
        <w:rPr>
          <w:rFonts w:ascii="Arial" w:hAnsi="Arial" w:cs="Arial"/>
          <w:b/>
          <w:color w:val="auto"/>
          <w:sz w:val="24"/>
          <w:szCs w:val="24"/>
        </w:rPr>
      </w:pPr>
      <w:bookmarkStart w:id="2" w:name="_Toc212089666"/>
      <w:r w:rsidRPr="00F203A6">
        <w:rPr>
          <w:rFonts w:ascii="Arial" w:hAnsi="Arial" w:cs="Arial"/>
          <w:b/>
          <w:color w:val="auto"/>
          <w:sz w:val="24"/>
          <w:szCs w:val="24"/>
        </w:rPr>
        <w:t>1.1 Competitive and Innovation Environment</w:t>
      </w:r>
      <w:bookmarkEnd w:id="2"/>
    </w:p>
    <w:p w:rsidR="00F203A6" w:rsidRDefault="00F203A6" w:rsidP="00CB192F">
      <w:pPr>
        <w:spacing w:line="360" w:lineRule="auto"/>
        <w:jc w:val="both"/>
        <w:rPr>
          <w:rFonts w:ascii="Arial" w:hAnsi="Arial" w:cs="Arial"/>
          <w:sz w:val="24"/>
        </w:rPr>
      </w:pPr>
    </w:p>
    <w:p w:rsidR="00A270CF" w:rsidRPr="00A270CF" w:rsidRDefault="00A270CF" w:rsidP="00CB192F">
      <w:pPr>
        <w:spacing w:line="360" w:lineRule="auto"/>
        <w:jc w:val="both"/>
        <w:rPr>
          <w:rFonts w:ascii="Arial" w:hAnsi="Arial" w:cs="Arial"/>
          <w:sz w:val="24"/>
        </w:rPr>
      </w:pPr>
      <w:r w:rsidRPr="00A270CF">
        <w:rPr>
          <w:rFonts w:ascii="Arial" w:hAnsi="Arial" w:cs="Arial"/>
          <w:sz w:val="24"/>
        </w:rPr>
        <w:t>The global smartphone industry is fiercely competitive, worth more than USD 430 billion in 2024, with Apple and Samsung jointly controlling around 40 per cent of market share (Statista, 2025; 12). Apple represents the pioneer, shaping design and usability standards through technological leadership, while Samsung operates as a follower, adapting innovations to reach wider audiences (Shankar, 2021; 4).</w:t>
      </w:r>
    </w:p>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Political and Economic Context</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Political and trade dynamics affect production and innovation. Apple’s dependence on Chinese assembly exposes it to tariff risks, prompting diversification to India and Vietnam (OECD, 2024; 14). Samsung benefits from South Korea’s Digital New Deal incentives supporting 5G and semiconductors (Lee and Trimi</w:t>
      </w:r>
      <w:bookmarkStart w:id="3" w:name="_GoBack"/>
      <w:bookmarkEnd w:id="3"/>
      <w:r w:rsidRPr="00A270CF">
        <w:rPr>
          <w:rFonts w:ascii="Arial" w:hAnsi="Arial" w:cs="Arial"/>
          <w:sz w:val="24"/>
        </w:rPr>
        <w:t>, 2022; 5).</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Economically, both pursue contrasting pricing logics. Apple uses value-based premium pricing aligned with brand equity; Samsung applies penetration pricing across segments to maximise sales volume (Porter, 1980; 19). These strategies reflect different responses to inflat</w:t>
      </w:r>
      <w:r w:rsidR="002B0423">
        <w:rPr>
          <w:rFonts w:ascii="Arial" w:hAnsi="Arial" w:cs="Arial"/>
          <w:sz w:val="24"/>
        </w:rPr>
        <w:t xml:space="preserve">ionary pressure </w:t>
      </w:r>
      <w:r w:rsidRPr="00A270CF">
        <w:rPr>
          <w:rFonts w:ascii="Arial" w:hAnsi="Arial" w:cs="Arial"/>
          <w:sz w:val="24"/>
        </w:rPr>
        <w:t>Apple defends margins via loyalty and ecosystem integration, whereas Samsung drives affordability and scale.</w:t>
      </w:r>
    </w:p>
    <w:p w:rsidR="00A270CF" w:rsidRDefault="00A270CF" w:rsidP="00CB192F">
      <w:pPr>
        <w:spacing w:line="360" w:lineRule="auto"/>
        <w:jc w:val="both"/>
        <w:rPr>
          <w:rFonts w:ascii="Arial" w:hAnsi="Arial" w:cs="Arial"/>
          <w:sz w:val="24"/>
        </w:rPr>
      </w:pPr>
    </w:p>
    <w:p w:rsidR="00A270CF" w:rsidRDefault="00A270CF" w:rsidP="00CB192F">
      <w:pPr>
        <w:spacing w:line="360" w:lineRule="auto"/>
        <w:jc w:val="both"/>
        <w:rPr>
          <w:rFonts w:ascii="Arial" w:hAnsi="Arial" w:cs="Arial"/>
          <w:sz w:val="24"/>
        </w:rPr>
      </w:pPr>
    </w:p>
    <w:p w:rsidR="00A270CF" w:rsidRPr="00A270CF" w:rsidRDefault="00A270CF" w:rsidP="00CB192F">
      <w:pPr>
        <w:spacing w:line="360" w:lineRule="auto"/>
        <w:jc w:val="both"/>
        <w:rPr>
          <w:rFonts w:ascii="Arial" w:hAnsi="Arial" w:cs="Arial"/>
          <w:sz w:val="24"/>
        </w:rPr>
      </w:pPr>
    </w:p>
    <w:p w:rsidR="00A270CF" w:rsidRPr="00A270CF" w:rsidRDefault="00A270CF" w:rsidP="00CB192F">
      <w:pPr>
        <w:pStyle w:val="ListParagraph"/>
        <w:numPr>
          <w:ilvl w:val="0"/>
          <w:numId w:val="1"/>
        </w:numPr>
        <w:spacing w:line="360" w:lineRule="auto"/>
        <w:jc w:val="both"/>
        <w:rPr>
          <w:rFonts w:ascii="Arial" w:hAnsi="Arial" w:cs="Arial"/>
          <w:sz w:val="24"/>
        </w:rPr>
      </w:pPr>
      <w:r w:rsidRPr="00A270CF">
        <w:rPr>
          <w:rFonts w:ascii="Arial" w:hAnsi="Arial" w:cs="Arial"/>
          <w:b/>
          <w:sz w:val="24"/>
        </w:rPr>
        <w:lastRenderedPageBreak/>
        <w:t>Technological and Environmental Drivers</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Technology is the key competitive weapon. Apple invests heavily in proprietary chips and closed-system integration, strengthening differentiation through performance and privacy (Teece, 2018; 15). Samsung practices open innovation, collaborating with Google and external developers to enhance flexibility (Chesbrough and Bogers, 2023; 6). In 2024, Apple spent USD 30 billion on R&amp;D; Samsung USD 21 billion (F</w:t>
      </w:r>
      <w:r>
        <w:rPr>
          <w:rFonts w:ascii="Arial" w:hAnsi="Arial" w:cs="Arial"/>
          <w:sz w:val="24"/>
        </w:rPr>
        <w:t>orbes, 2025; 13).</w:t>
      </w:r>
      <w:r w:rsidRPr="00A270CF">
        <w:rPr>
          <w:rFonts w:ascii="Arial" w:hAnsi="Arial" w:cs="Arial"/>
          <w:sz w:val="24"/>
        </w:rPr>
        <w:t>Environmental expectations further steer innovation. Apple aims for carbon-neutral operations by 2030, while Samsung targets 2040 (Samsung, 2025; 2; Chen, Zhang and Kim, 2024; 21). Sustainability functions as both c</w:t>
      </w:r>
      <w:r w:rsidR="002B0423">
        <w:rPr>
          <w:rFonts w:ascii="Arial" w:hAnsi="Arial" w:cs="Arial"/>
          <w:sz w:val="24"/>
        </w:rPr>
        <w:t xml:space="preserve">ompliance and brand positioning </w:t>
      </w:r>
      <w:r w:rsidRPr="00A270CF">
        <w:rPr>
          <w:rFonts w:ascii="Arial" w:hAnsi="Arial" w:cs="Arial"/>
          <w:sz w:val="24"/>
        </w:rPr>
        <w:t xml:space="preserve">illustrating Kotler’s (2023; 3) </w:t>
      </w:r>
      <w:r>
        <w:rPr>
          <w:rFonts w:ascii="Arial" w:hAnsi="Arial" w:cs="Arial"/>
          <w:sz w:val="24"/>
        </w:rPr>
        <w:t>societal marketing orientation.</w:t>
      </w:r>
    </w:p>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Legal and Competitive Structure</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Both firms navigate intellectual-property regulation and the EU Digital Markets Act, which demands interoperability (OECD, 2024; 14). Competitive intensity, assessed through Porter’s Five Forces, remains extreme: high rivalry, low entry threat, and strong buyer power due to product transparency (Grant, 2022; 18). Apple’s closed ecosystem sustains premium differentiation; Samsung’s diversified lines exploit</w:t>
      </w:r>
      <w:r>
        <w:rPr>
          <w:rFonts w:ascii="Arial" w:hAnsi="Arial" w:cs="Arial"/>
          <w:sz w:val="24"/>
        </w:rPr>
        <w:t xml:space="preserve"> cost and regional flexibility.</w:t>
      </w:r>
    </w:p>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Marketing Implications</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Innovation feeds directly into marketing mix decisions. Apple dominates Product and Promotion through design, storytelling, and aspirational imagery; Samsung excels in Price and Place via multi-tier portfolios and global distribution. Apple’s brand evokes creativity and sophistication, while Samsung’s conveys performance and inclusivity (Liu and Park, 2024; 9; Keller, 2020; 24). Each firm aligns technological capa</w:t>
      </w:r>
      <w:r w:rsidR="002B0423">
        <w:rPr>
          <w:rFonts w:ascii="Arial" w:hAnsi="Arial" w:cs="Arial"/>
          <w:sz w:val="24"/>
        </w:rPr>
        <w:t xml:space="preserve">bility with consumer perception </w:t>
      </w:r>
      <w:r w:rsidRPr="00A270CF">
        <w:rPr>
          <w:rFonts w:ascii="Arial" w:hAnsi="Arial" w:cs="Arial"/>
          <w:sz w:val="24"/>
        </w:rPr>
        <w:t xml:space="preserve">a hallmark of </w:t>
      </w:r>
      <w:r>
        <w:rPr>
          <w:rFonts w:ascii="Arial" w:hAnsi="Arial" w:cs="Arial"/>
          <w:sz w:val="24"/>
        </w:rPr>
        <w:t>strategic marketing management.</w:t>
      </w:r>
    </w:p>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Strategic Co-evolution</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Despite rivalry, both companies demonstrate co-evolution: Apple’s pioneering models inspire Samsung’s scalable adaptations. Samsung’s foldable Galaxy devices extend categories Apple originated with touchscreen design (Sorescu, 202</w:t>
      </w:r>
      <w:r w:rsidR="002B0423">
        <w:rPr>
          <w:rFonts w:ascii="Arial" w:hAnsi="Arial" w:cs="Arial"/>
          <w:sz w:val="24"/>
        </w:rPr>
        <w:t xml:space="preserve">3; 17). Cooperation also exists </w:t>
      </w:r>
      <w:r w:rsidRPr="00A270CF">
        <w:rPr>
          <w:rFonts w:ascii="Arial" w:hAnsi="Arial" w:cs="Arial"/>
          <w:sz w:val="24"/>
        </w:rPr>
        <w:t>Samsung supplies displays and chips for Apple pr</w:t>
      </w:r>
      <w:r w:rsidR="002B0423">
        <w:rPr>
          <w:rFonts w:ascii="Arial" w:hAnsi="Arial" w:cs="Arial"/>
          <w:sz w:val="24"/>
        </w:rPr>
        <w:t xml:space="preserve">oducts (Lee and Trimi, 2022; 5) </w:t>
      </w:r>
      <w:r w:rsidRPr="00A270CF">
        <w:rPr>
          <w:rFonts w:ascii="Arial" w:hAnsi="Arial" w:cs="Arial"/>
          <w:sz w:val="24"/>
        </w:rPr>
        <w:t>showing modern coopetition where competitors collab</w:t>
      </w:r>
      <w:r>
        <w:rPr>
          <w:rFonts w:ascii="Arial" w:hAnsi="Arial" w:cs="Arial"/>
          <w:sz w:val="24"/>
        </w:rPr>
        <w:t>orate within shared ecosystems.</w:t>
      </w:r>
    </w:p>
    <w:p w:rsidR="00A270CF" w:rsidRDefault="00A270CF" w:rsidP="00CB192F">
      <w:pPr>
        <w:pStyle w:val="ListParagraph"/>
        <w:numPr>
          <w:ilvl w:val="0"/>
          <w:numId w:val="1"/>
        </w:numPr>
        <w:spacing w:line="360" w:lineRule="auto"/>
        <w:jc w:val="both"/>
        <w:rPr>
          <w:rFonts w:ascii="Arial" w:hAnsi="Arial" w:cs="Arial"/>
          <w:sz w:val="24"/>
        </w:rPr>
      </w:pPr>
      <w:r w:rsidRPr="00A270CF">
        <w:rPr>
          <w:rFonts w:ascii="Arial" w:hAnsi="Arial" w:cs="Arial"/>
          <w:b/>
          <w:sz w:val="24"/>
        </w:rPr>
        <w:lastRenderedPageBreak/>
        <w:t>Summary</w:t>
      </w:r>
      <w:r w:rsidRPr="00A270CF">
        <w:rPr>
          <w:rFonts w:ascii="Arial" w:hAnsi="Arial" w:cs="Arial"/>
          <w:sz w:val="24"/>
        </w:rPr>
        <w:t xml:space="preserve"> </w:t>
      </w:r>
    </w:p>
    <w:p w:rsidR="00A270CF" w:rsidRPr="00A270CF" w:rsidRDefault="00A270CF" w:rsidP="00CB192F">
      <w:pPr>
        <w:pStyle w:val="ListParagraph"/>
        <w:spacing w:line="360" w:lineRule="auto"/>
        <w:ind w:left="360"/>
        <w:jc w:val="both"/>
        <w:rPr>
          <w:rFonts w:ascii="Arial" w:hAnsi="Arial" w:cs="Arial"/>
          <w:sz w:val="24"/>
        </w:rPr>
      </w:pPr>
      <w:r w:rsidRPr="00A270CF">
        <w:rPr>
          <w:rFonts w:ascii="Arial" w:hAnsi="Arial" w:cs="Arial"/>
          <w:sz w:val="24"/>
        </w:rPr>
        <w:t>Apple’s closed-innovation and brand-centric differentiation contrast Samsung’s adaptive, cost-driven flexibility. Yet both approaches co-create industry advancement by linking innovation to marketing orientation.</w:t>
      </w:r>
    </w:p>
    <w:p w:rsidR="00F203A6" w:rsidRDefault="00F203A6" w:rsidP="00F203A6">
      <w:pPr>
        <w:pStyle w:val="Heading2"/>
        <w:rPr>
          <w:rFonts w:ascii="Arial" w:hAnsi="Arial" w:cs="Arial"/>
          <w:b/>
          <w:color w:val="auto"/>
          <w:sz w:val="24"/>
          <w:szCs w:val="24"/>
        </w:rPr>
      </w:pPr>
      <w:bookmarkStart w:id="4" w:name="_Toc212089667"/>
    </w:p>
    <w:p w:rsidR="00A270CF" w:rsidRDefault="00A270CF" w:rsidP="00F203A6">
      <w:pPr>
        <w:pStyle w:val="Heading2"/>
        <w:rPr>
          <w:rFonts w:ascii="Arial" w:hAnsi="Arial" w:cs="Arial"/>
          <w:b/>
          <w:color w:val="auto"/>
          <w:sz w:val="24"/>
          <w:szCs w:val="24"/>
        </w:rPr>
      </w:pPr>
      <w:r w:rsidRPr="00F203A6">
        <w:rPr>
          <w:rFonts w:ascii="Arial" w:hAnsi="Arial" w:cs="Arial"/>
          <w:b/>
          <w:color w:val="auto"/>
          <w:sz w:val="24"/>
          <w:szCs w:val="24"/>
        </w:rPr>
        <w:t>1.2 Consumer Behaviour and Socio-Cultural Environment</w:t>
      </w:r>
      <w:bookmarkEnd w:id="4"/>
    </w:p>
    <w:p w:rsidR="00F203A6" w:rsidRPr="00F203A6" w:rsidRDefault="00F203A6" w:rsidP="00F203A6"/>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Evolving Digital Lifestyles</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Smartphones now symbolise identity and connectivity. Consumers choose devices not only for function but for what they represent. Apple’s products communicate creativity and exclusivity, aligning with self-concept theory (Solomon, 2022; 7). Samsung attracts pragmatic consumers valuing value-for-money and functionality (Liu and Park, 2024; 9). Both rely on experiential and emotional marketing to influence complex decision journeys accelerated by social media and peer reviews (Sorescu, 2023; 17).</w:t>
      </w:r>
    </w:p>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Socio-Cultural Values and Sustainability</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Ethical and sustainable consumption increasingly defines brand choice. Gen Z and Millennials prefer environmentally responsible firms (Nguyen, Simkin and Canhoto, 2023; 8). Apple’s Trade In and recycling schemes, alongside a 2030 carbon-neutral pledge, reinforce premium ethical appeal (Apple, 2025; 1). Samsung’s Galaxy for the Planet focuses on affordable eco-designs, appealing to cost-sensitive markets (Samsung, 2025; 2). These illustrate sustainability marketing as a social differentiation tool (Chen, Zhang and Kim, 2024; 21).</w:t>
      </w:r>
    </w:p>
    <w:p w:rsidR="00A270CF" w:rsidRPr="00A270CF" w:rsidRDefault="00A270CF" w:rsidP="00CB192F">
      <w:pPr>
        <w:pStyle w:val="ListParagraph"/>
        <w:numPr>
          <w:ilvl w:val="0"/>
          <w:numId w:val="1"/>
        </w:numPr>
        <w:spacing w:line="360" w:lineRule="auto"/>
        <w:jc w:val="both"/>
        <w:rPr>
          <w:rFonts w:ascii="Arial" w:hAnsi="Arial" w:cs="Arial"/>
          <w:b/>
          <w:sz w:val="24"/>
        </w:rPr>
      </w:pPr>
      <w:r w:rsidRPr="00A270CF">
        <w:rPr>
          <w:rFonts w:ascii="Arial" w:hAnsi="Arial" w:cs="Arial"/>
          <w:b/>
          <w:sz w:val="24"/>
        </w:rPr>
        <w:t>Economic Segmentation and Value Perception</w:t>
      </w:r>
    </w:p>
    <w:p w:rsidR="00A270CF" w:rsidRDefault="00A270CF" w:rsidP="00CB192F">
      <w:pPr>
        <w:spacing w:line="360" w:lineRule="auto"/>
        <w:jc w:val="both"/>
        <w:rPr>
          <w:rFonts w:ascii="Arial" w:hAnsi="Arial" w:cs="Arial"/>
          <w:sz w:val="24"/>
        </w:rPr>
      </w:pPr>
      <w:r w:rsidRPr="00A270CF">
        <w:rPr>
          <w:rFonts w:ascii="Arial" w:hAnsi="Arial" w:cs="Arial"/>
          <w:sz w:val="24"/>
        </w:rPr>
        <w:t>Rising living costs push consumers toward mid-range phones. Apple introduced the iPhone SE to attract value seekers without diluting its prestige, while Samsung’s A-series dominates emerging markets through affordability (Porter, 1980; 19). Post-purchase satisfaction depends on service quality: Apple’s Genius Bar and AppleCare programs foster loyalty; Samsung’s broad service network ensures accessibility (Zeithaml, Bitner and Gremler, 2020; 10). Service reliability therefore strengthens perceived value and repurchase intent.</w:t>
      </w:r>
    </w:p>
    <w:p w:rsidR="00F203A6" w:rsidRPr="00A270CF" w:rsidRDefault="00F203A6" w:rsidP="00CB192F">
      <w:pPr>
        <w:spacing w:line="360" w:lineRule="auto"/>
        <w:jc w:val="both"/>
        <w:rPr>
          <w:rFonts w:ascii="Arial" w:hAnsi="Arial" w:cs="Arial"/>
          <w:sz w:val="24"/>
        </w:rPr>
      </w:pPr>
    </w:p>
    <w:p w:rsidR="00A270CF" w:rsidRPr="00245A47" w:rsidRDefault="00A270CF" w:rsidP="00CB192F">
      <w:pPr>
        <w:pStyle w:val="ListParagraph"/>
        <w:numPr>
          <w:ilvl w:val="0"/>
          <w:numId w:val="1"/>
        </w:numPr>
        <w:spacing w:line="360" w:lineRule="auto"/>
        <w:jc w:val="both"/>
        <w:rPr>
          <w:rFonts w:ascii="Arial" w:hAnsi="Arial" w:cs="Arial"/>
          <w:b/>
          <w:sz w:val="24"/>
        </w:rPr>
      </w:pPr>
      <w:r w:rsidRPr="00245A47">
        <w:rPr>
          <w:rFonts w:ascii="Arial" w:hAnsi="Arial" w:cs="Arial"/>
          <w:b/>
          <w:sz w:val="24"/>
        </w:rPr>
        <w:lastRenderedPageBreak/>
        <w:t>Cultural Communication and Marketing Adaptation</w:t>
      </w:r>
    </w:p>
    <w:p w:rsidR="00A270CF" w:rsidRDefault="00A270CF" w:rsidP="00CB192F">
      <w:pPr>
        <w:spacing w:line="360" w:lineRule="auto"/>
        <w:jc w:val="both"/>
        <w:rPr>
          <w:rFonts w:ascii="Arial" w:hAnsi="Arial" w:cs="Arial"/>
          <w:sz w:val="24"/>
        </w:rPr>
      </w:pPr>
      <w:r w:rsidRPr="00A270CF">
        <w:rPr>
          <w:rFonts w:ascii="Arial" w:hAnsi="Arial" w:cs="Arial"/>
          <w:sz w:val="24"/>
        </w:rPr>
        <w:t>Advertising tone and imagery reflect cultural differences. Apple employs minimalist global campaigns to project universal aspiration; Samsung adapts messages to local languages, celebrities, and digital platforms (Park and Lee, 2023; 11). This contrast embodies the standardisation–adaptation trade-off in international marketing. Social-media engagement reinforces brand communities: Apple cultivates exclusivity, Samsung promotes openness and collaboration.</w:t>
      </w:r>
    </w:p>
    <w:p w:rsidR="00F203A6" w:rsidRPr="00A270CF" w:rsidRDefault="00F203A6" w:rsidP="00CB192F">
      <w:pPr>
        <w:spacing w:line="360" w:lineRule="auto"/>
        <w:jc w:val="both"/>
        <w:rPr>
          <w:rFonts w:ascii="Arial" w:hAnsi="Arial" w:cs="Arial"/>
          <w:sz w:val="24"/>
        </w:rPr>
      </w:pPr>
    </w:p>
    <w:p w:rsidR="00A270CF" w:rsidRPr="00245A47" w:rsidRDefault="00A270CF" w:rsidP="00CB192F">
      <w:pPr>
        <w:pStyle w:val="ListParagraph"/>
        <w:numPr>
          <w:ilvl w:val="0"/>
          <w:numId w:val="1"/>
        </w:numPr>
        <w:spacing w:line="360" w:lineRule="auto"/>
        <w:jc w:val="both"/>
        <w:rPr>
          <w:rFonts w:ascii="Arial" w:hAnsi="Arial" w:cs="Arial"/>
          <w:b/>
          <w:sz w:val="24"/>
        </w:rPr>
      </w:pPr>
      <w:r w:rsidRPr="00245A47">
        <w:rPr>
          <w:rFonts w:ascii="Arial" w:hAnsi="Arial" w:cs="Arial"/>
          <w:b/>
          <w:sz w:val="24"/>
        </w:rPr>
        <w:t>Link to the 7Ps Framework</w:t>
      </w:r>
    </w:p>
    <w:p w:rsidR="00A270CF" w:rsidRPr="00A270CF" w:rsidRDefault="00A270CF" w:rsidP="00CB192F">
      <w:pPr>
        <w:spacing w:line="360" w:lineRule="auto"/>
        <w:jc w:val="both"/>
        <w:rPr>
          <w:rFonts w:ascii="Arial" w:hAnsi="Arial" w:cs="Arial"/>
          <w:sz w:val="24"/>
        </w:rPr>
      </w:pPr>
      <w:r w:rsidRPr="00A270CF">
        <w:rPr>
          <w:rFonts w:ascii="Arial" w:hAnsi="Arial" w:cs="Arial"/>
          <w:sz w:val="24"/>
        </w:rPr>
        <w:t>Socio-cultural influences manifest across People, Process, and Physical Evidence of the 7Ps model.</w:t>
      </w:r>
    </w:p>
    <w:p w:rsidR="00A270CF" w:rsidRPr="00A270CF" w:rsidRDefault="00A270CF" w:rsidP="00CB192F">
      <w:pPr>
        <w:spacing w:line="360" w:lineRule="auto"/>
        <w:jc w:val="both"/>
        <w:rPr>
          <w:rFonts w:ascii="Arial" w:hAnsi="Arial" w:cs="Arial"/>
          <w:sz w:val="24"/>
        </w:rPr>
      </w:pPr>
      <w:r w:rsidRPr="00245A47">
        <w:rPr>
          <w:rFonts w:ascii="Arial" w:hAnsi="Arial" w:cs="Arial"/>
          <w:b/>
          <w:sz w:val="24"/>
        </w:rPr>
        <w:t>People:</w:t>
      </w:r>
      <w:r w:rsidRPr="00A270CF">
        <w:rPr>
          <w:rFonts w:ascii="Arial" w:hAnsi="Arial" w:cs="Arial"/>
          <w:sz w:val="24"/>
        </w:rPr>
        <w:t xml:space="preserve"> Apple’s trained specialists personify design excellence; Samsung’s regional teams embody approachability.</w:t>
      </w:r>
    </w:p>
    <w:p w:rsidR="00A270CF" w:rsidRPr="00A270CF" w:rsidRDefault="00A270CF" w:rsidP="00CB192F">
      <w:pPr>
        <w:spacing w:line="360" w:lineRule="auto"/>
        <w:jc w:val="both"/>
        <w:rPr>
          <w:rFonts w:ascii="Arial" w:hAnsi="Arial" w:cs="Arial"/>
          <w:sz w:val="24"/>
        </w:rPr>
      </w:pPr>
      <w:r w:rsidRPr="00245A47">
        <w:rPr>
          <w:rFonts w:ascii="Arial" w:hAnsi="Arial" w:cs="Arial"/>
          <w:b/>
          <w:sz w:val="24"/>
        </w:rPr>
        <w:t>Process:</w:t>
      </w:r>
      <w:r w:rsidRPr="00A270CF">
        <w:rPr>
          <w:rFonts w:ascii="Arial" w:hAnsi="Arial" w:cs="Arial"/>
          <w:sz w:val="24"/>
        </w:rPr>
        <w:t xml:space="preserve"> Apple offers seamless </w:t>
      </w:r>
      <w:proofErr w:type="spellStart"/>
      <w:r w:rsidRPr="00A270CF">
        <w:rPr>
          <w:rFonts w:ascii="Arial" w:hAnsi="Arial" w:cs="Arial"/>
          <w:sz w:val="24"/>
        </w:rPr>
        <w:t>omni</w:t>
      </w:r>
      <w:proofErr w:type="spellEnd"/>
      <w:r w:rsidRPr="00A270CF">
        <w:rPr>
          <w:rFonts w:ascii="Arial" w:hAnsi="Arial" w:cs="Arial"/>
          <w:sz w:val="24"/>
        </w:rPr>
        <w:t>-channel service; Samsung emphasises quick support and warranties.</w:t>
      </w:r>
    </w:p>
    <w:p w:rsidR="00A270CF" w:rsidRPr="00A270CF" w:rsidRDefault="00A270CF" w:rsidP="00CB192F">
      <w:pPr>
        <w:spacing w:line="360" w:lineRule="auto"/>
        <w:jc w:val="both"/>
        <w:rPr>
          <w:rFonts w:ascii="Arial" w:hAnsi="Arial" w:cs="Arial"/>
          <w:sz w:val="24"/>
        </w:rPr>
      </w:pPr>
      <w:r w:rsidRPr="00245A47">
        <w:rPr>
          <w:rFonts w:ascii="Arial" w:hAnsi="Arial" w:cs="Arial"/>
          <w:b/>
          <w:sz w:val="24"/>
        </w:rPr>
        <w:t>Physical Evidence:</w:t>
      </w:r>
      <w:r w:rsidRPr="00A270CF">
        <w:rPr>
          <w:rFonts w:ascii="Arial" w:hAnsi="Arial" w:cs="Arial"/>
          <w:sz w:val="24"/>
        </w:rPr>
        <w:t xml:space="preserve"> Apple’s minimalist stores reflect premium identity; Samsung’s interactive zones highlight innovation diversity (Zeithaml et al., 2020; 10).</w:t>
      </w:r>
    </w:p>
    <w:p w:rsidR="00A270CF" w:rsidRDefault="00A270CF" w:rsidP="00CB192F">
      <w:pPr>
        <w:spacing w:line="360" w:lineRule="auto"/>
        <w:jc w:val="both"/>
        <w:rPr>
          <w:rFonts w:ascii="Arial" w:hAnsi="Arial" w:cs="Arial"/>
          <w:sz w:val="24"/>
        </w:rPr>
      </w:pPr>
      <w:r w:rsidRPr="00A270CF">
        <w:rPr>
          <w:rFonts w:ascii="Arial" w:hAnsi="Arial" w:cs="Arial"/>
          <w:sz w:val="24"/>
        </w:rPr>
        <w:t>These elements translate cultural expectations into consistent marketing experiences.</w:t>
      </w:r>
    </w:p>
    <w:p w:rsidR="00F203A6" w:rsidRPr="00A270CF" w:rsidRDefault="00F203A6" w:rsidP="00CB192F">
      <w:pPr>
        <w:spacing w:line="360" w:lineRule="auto"/>
        <w:jc w:val="both"/>
        <w:rPr>
          <w:rFonts w:ascii="Arial" w:hAnsi="Arial" w:cs="Arial"/>
          <w:sz w:val="24"/>
        </w:rPr>
      </w:pPr>
    </w:p>
    <w:p w:rsidR="00A270CF" w:rsidRPr="00245A47" w:rsidRDefault="00A270CF" w:rsidP="00CB192F">
      <w:pPr>
        <w:pStyle w:val="ListParagraph"/>
        <w:numPr>
          <w:ilvl w:val="0"/>
          <w:numId w:val="1"/>
        </w:numPr>
        <w:spacing w:line="360" w:lineRule="auto"/>
        <w:jc w:val="both"/>
        <w:rPr>
          <w:rFonts w:ascii="Arial" w:hAnsi="Arial" w:cs="Arial"/>
          <w:b/>
          <w:sz w:val="24"/>
        </w:rPr>
      </w:pPr>
      <w:r w:rsidRPr="00245A47">
        <w:rPr>
          <w:rFonts w:ascii="Arial" w:hAnsi="Arial" w:cs="Arial"/>
          <w:b/>
          <w:sz w:val="24"/>
        </w:rPr>
        <w:t>Summary</w:t>
      </w:r>
    </w:p>
    <w:p w:rsidR="00A270CF" w:rsidRDefault="00A270CF" w:rsidP="00CB192F">
      <w:pPr>
        <w:spacing w:line="360" w:lineRule="auto"/>
        <w:jc w:val="both"/>
        <w:rPr>
          <w:rFonts w:ascii="Arial" w:hAnsi="Arial" w:cs="Arial"/>
          <w:sz w:val="24"/>
        </w:rPr>
      </w:pPr>
      <w:r w:rsidRPr="00A270CF">
        <w:rPr>
          <w:rFonts w:ascii="Arial" w:hAnsi="Arial" w:cs="Arial"/>
          <w:sz w:val="24"/>
        </w:rPr>
        <w:t>Consumer behaviour in the smartphone sector is driven by symbolic value, ethical concern, and affordability. Apple appeals to emotional and aspirational motives through exclusivity and sustainability; Samsung satisfies practical and social needs through adaptability and reach. Both companies demonstrate that aligning socio-cultural understanding with marketing mix execution is vital for sustained brand success.</w:t>
      </w:r>
    </w:p>
    <w:p w:rsidR="00245A47" w:rsidRDefault="00245A47" w:rsidP="00CB192F">
      <w:pPr>
        <w:spacing w:line="360" w:lineRule="auto"/>
        <w:jc w:val="both"/>
        <w:rPr>
          <w:rFonts w:ascii="Arial" w:hAnsi="Arial" w:cs="Arial"/>
          <w:sz w:val="24"/>
        </w:rPr>
      </w:pPr>
    </w:p>
    <w:p w:rsidR="00245A47" w:rsidRDefault="00245A47" w:rsidP="00CB192F">
      <w:pPr>
        <w:spacing w:line="360" w:lineRule="auto"/>
        <w:jc w:val="both"/>
        <w:rPr>
          <w:rFonts w:ascii="Arial" w:hAnsi="Arial" w:cs="Arial"/>
          <w:sz w:val="24"/>
        </w:rPr>
      </w:pPr>
    </w:p>
    <w:p w:rsidR="00245A47" w:rsidRPr="00F203A6" w:rsidRDefault="00245A47" w:rsidP="00F203A6">
      <w:pPr>
        <w:pStyle w:val="Heading1"/>
        <w:rPr>
          <w:rFonts w:ascii="Arial" w:hAnsi="Arial" w:cs="Arial"/>
          <w:b/>
          <w:color w:val="auto"/>
          <w:sz w:val="24"/>
          <w:szCs w:val="24"/>
        </w:rPr>
      </w:pPr>
      <w:bookmarkStart w:id="5" w:name="_Toc212089668"/>
      <w:r w:rsidRPr="00F203A6">
        <w:rPr>
          <w:rFonts w:ascii="Arial" w:hAnsi="Arial" w:cs="Arial"/>
          <w:b/>
          <w:color w:val="auto"/>
          <w:sz w:val="24"/>
          <w:szCs w:val="24"/>
        </w:rPr>
        <w:lastRenderedPageBreak/>
        <w:t>Task 2: Strategic Responses</w:t>
      </w:r>
      <w:bookmarkEnd w:id="5"/>
    </w:p>
    <w:p w:rsidR="00245A47" w:rsidRDefault="00245A47" w:rsidP="00CB192F">
      <w:pPr>
        <w:spacing w:line="360" w:lineRule="auto"/>
        <w:jc w:val="both"/>
        <w:rPr>
          <w:rFonts w:ascii="Arial" w:hAnsi="Arial" w:cs="Arial"/>
          <w:b/>
          <w:sz w:val="24"/>
        </w:rPr>
      </w:pPr>
    </w:p>
    <w:p w:rsidR="00245A47" w:rsidRDefault="00245A47" w:rsidP="00CB192F">
      <w:pPr>
        <w:spacing w:line="360" w:lineRule="auto"/>
        <w:jc w:val="both"/>
        <w:rPr>
          <w:rFonts w:ascii="Arial" w:hAnsi="Arial" w:cs="Arial"/>
          <w:sz w:val="24"/>
        </w:rPr>
      </w:pPr>
      <w:r w:rsidRPr="00245A47">
        <w:rPr>
          <w:rFonts w:ascii="Arial" w:hAnsi="Arial" w:cs="Arial"/>
          <w:sz w:val="24"/>
        </w:rPr>
        <w:t>In a dynamic global marketplace, strategic marketing responses enable firms to translate environmental understanding into sustained competitive advantage. According to Kotler, Keller and Chernev (2023; 3), marketing strategy connects environmental analysis with managerial action through market segmentation, targeting, positioning, and the marketing mix. For Apple Inc. and Samsung Electronics, strategic agility is essential, as both operate in volatile technological, economic, and cultural contexts. While Apple follows a differentiation-focused pioneer strategy, Samsung’s adaptive follower strategy combines cost efficiency with rapid innovation diffusion. Their responses can be effectively analysed through SWOT, 4Ps, and 7Ps frameworks.</w:t>
      </w:r>
    </w:p>
    <w:p w:rsidR="004A0F3F" w:rsidRDefault="004A0F3F" w:rsidP="00CB192F">
      <w:pPr>
        <w:spacing w:line="360" w:lineRule="auto"/>
        <w:jc w:val="both"/>
        <w:rPr>
          <w:rFonts w:ascii="Arial" w:hAnsi="Arial" w:cs="Arial"/>
          <w:sz w:val="24"/>
        </w:rPr>
      </w:pPr>
    </w:p>
    <w:p w:rsidR="00245A47" w:rsidRPr="00F203A6" w:rsidRDefault="00245A47" w:rsidP="00F203A6">
      <w:pPr>
        <w:pStyle w:val="Heading2"/>
        <w:rPr>
          <w:rFonts w:ascii="Arial" w:hAnsi="Arial" w:cs="Arial"/>
          <w:b/>
          <w:color w:val="auto"/>
          <w:sz w:val="24"/>
          <w:szCs w:val="24"/>
        </w:rPr>
      </w:pPr>
      <w:bookmarkStart w:id="6" w:name="_Toc212089669"/>
      <w:r w:rsidRPr="00F203A6">
        <w:rPr>
          <w:rFonts w:ascii="Arial" w:hAnsi="Arial" w:cs="Arial"/>
          <w:b/>
          <w:color w:val="auto"/>
          <w:sz w:val="24"/>
          <w:szCs w:val="24"/>
        </w:rPr>
        <w:t>2.1 SWOT Analysis</w:t>
      </w:r>
      <w:bookmarkEnd w:id="6"/>
    </w:p>
    <w:p w:rsidR="00A73AEF" w:rsidRPr="00245A47" w:rsidRDefault="00A73AEF" w:rsidP="00CB192F">
      <w:pPr>
        <w:spacing w:line="360" w:lineRule="auto"/>
        <w:jc w:val="both"/>
        <w:rPr>
          <w:rFonts w:ascii="Arial" w:hAnsi="Arial" w:cs="Arial"/>
          <w:b/>
          <w:sz w:val="24"/>
        </w:rPr>
      </w:pPr>
    </w:p>
    <w:p w:rsidR="00245A47" w:rsidRDefault="00245A47" w:rsidP="00CB192F">
      <w:pPr>
        <w:spacing w:line="360" w:lineRule="auto"/>
        <w:jc w:val="both"/>
        <w:rPr>
          <w:rFonts w:ascii="Arial" w:hAnsi="Arial" w:cs="Arial"/>
          <w:sz w:val="24"/>
        </w:rPr>
      </w:pPr>
      <w:r w:rsidRPr="00245A47">
        <w:rPr>
          <w:rFonts w:ascii="Arial" w:hAnsi="Arial" w:cs="Arial"/>
          <w:sz w:val="24"/>
        </w:rPr>
        <w:t>A SWOT analysis reveals the internal strengths and weaknesses of each firm, alongside external opportunities and threats that shape marketing decisions (Grant, 2022; 18).</w:t>
      </w:r>
    </w:p>
    <w:tbl>
      <w:tblPr>
        <w:tblStyle w:val="TableGrid"/>
        <w:tblW w:w="0" w:type="auto"/>
        <w:tblLook w:val="04A0" w:firstRow="1" w:lastRow="0" w:firstColumn="1" w:lastColumn="0" w:noHBand="0" w:noVBand="1"/>
      </w:tblPr>
      <w:tblGrid>
        <w:gridCol w:w="1644"/>
        <w:gridCol w:w="3765"/>
        <w:gridCol w:w="3607"/>
      </w:tblGrid>
      <w:tr w:rsidR="00245A47" w:rsidTr="00245A47">
        <w:tc>
          <w:tcPr>
            <w:tcW w:w="1615" w:type="dxa"/>
          </w:tcPr>
          <w:p w:rsidR="00245A47" w:rsidRPr="00245A47" w:rsidRDefault="00245A47" w:rsidP="00CB192F">
            <w:pPr>
              <w:spacing w:line="360" w:lineRule="auto"/>
              <w:jc w:val="both"/>
              <w:rPr>
                <w:rFonts w:ascii="Arial" w:hAnsi="Arial" w:cs="Arial"/>
                <w:b/>
                <w:sz w:val="24"/>
              </w:rPr>
            </w:pPr>
            <w:r w:rsidRPr="00245A47">
              <w:rPr>
                <w:rFonts w:ascii="Arial" w:hAnsi="Arial" w:cs="Arial"/>
                <w:b/>
                <w:sz w:val="24"/>
              </w:rPr>
              <w:t xml:space="preserve">Factor </w:t>
            </w:r>
          </w:p>
        </w:tc>
        <w:tc>
          <w:tcPr>
            <w:tcW w:w="3780" w:type="dxa"/>
          </w:tcPr>
          <w:p w:rsidR="00245A47" w:rsidRPr="00245A47" w:rsidRDefault="00245A47" w:rsidP="00CB192F">
            <w:pPr>
              <w:spacing w:line="360" w:lineRule="auto"/>
              <w:ind w:left="720"/>
              <w:jc w:val="both"/>
              <w:rPr>
                <w:rFonts w:ascii="Arial" w:hAnsi="Arial" w:cs="Arial"/>
                <w:b/>
                <w:sz w:val="24"/>
              </w:rPr>
            </w:pPr>
            <w:r w:rsidRPr="00245A47">
              <w:rPr>
                <w:rFonts w:ascii="Arial" w:hAnsi="Arial" w:cs="Arial"/>
                <w:b/>
                <w:sz w:val="24"/>
              </w:rPr>
              <w:t xml:space="preserve">Apple ( Pioneer )   </w:t>
            </w:r>
          </w:p>
        </w:tc>
        <w:tc>
          <w:tcPr>
            <w:tcW w:w="3621" w:type="dxa"/>
          </w:tcPr>
          <w:p w:rsidR="00245A47" w:rsidRPr="00245A47" w:rsidRDefault="00245A47" w:rsidP="00CB192F">
            <w:pPr>
              <w:spacing w:line="360" w:lineRule="auto"/>
              <w:jc w:val="both"/>
              <w:rPr>
                <w:rFonts w:ascii="Arial" w:hAnsi="Arial" w:cs="Arial"/>
                <w:b/>
                <w:sz w:val="24"/>
              </w:rPr>
            </w:pPr>
            <w:r w:rsidRPr="00245A47">
              <w:rPr>
                <w:rFonts w:ascii="Arial" w:hAnsi="Arial" w:cs="Arial"/>
                <w:b/>
                <w:sz w:val="24"/>
              </w:rPr>
              <w:t>Samsung ( Follower )</w:t>
            </w:r>
          </w:p>
        </w:tc>
      </w:tr>
      <w:tr w:rsidR="00245A47" w:rsidTr="00245A47">
        <w:tc>
          <w:tcPr>
            <w:tcW w:w="1615" w:type="dxa"/>
          </w:tcPr>
          <w:p w:rsidR="00245A47" w:rsidRDefault="00245A47" w:rsidP="00CB192F">
            <w:pPr>
              <w:spacing w:line="360" w:lineRule="auto"/>
              <w:jc w:val="both"/>
              <w:rPr>
                <w:rFonts w:ascii="Arial" w:hAnsi="Arial" w:cs="Arial"/>
                <w:sz w:val="24"/>
              </w:rPr>
            </w:pPr>
            <w:r w:rsidRPr="00245A47">
              <w:rPr>
                <w:rFonts w:ascii="Arial" w:hAnsi="Arial" w:cs="Arial"/>
                <w:sz w:val="24"/>
              </w:rPr>
              <w:t>Strengths</w:t>
            </w:r>
          </w:p>
        </w:tc>
        <w:tc>
          <w:tcPr>
            <w:tcW w:w="3780" w:type="dxa"/>
          </w:tcPr>
          <w:p w:rsidR="00245A47" w:rsidRDefault="00245A47" w:rsidP="00A73AEF">
            <w:pPr>
              <w:spacing w:line="360" w:lineRule="auto"/>
              <w:rPr>
                <w:rFonts w:ascii="Arial" w:hAnsi="Arial" w:cs="Arial"/>
                <w:sz w:val="24"/>
              </w:rPr>
            </w:pPr>
            <w:r w:rsidRPr="00245A47">
              <w:rPr>
                <w:rFonts w:ascii="Arial" w:hAnsi="Arial" w:cs="Arial"/>
                <w:sz w:val="24"/>
              </w:rPr>
              <w:t>Iconic brand equity; integrated ecosystem; strong service differentiation; premium innovation capability (Apple, 2025; 1)</w:t>
            </w:r>
          </w:p>
        </w:tc>
        <w:tc>
          <w:tcPr>
            <w:tcW w:w="3621" w:type="dxa"/>
          </w:tcPr>
          <w:p w:rsidR="00245A47" w:rsidRDefault="00CB192F" w:rsidP="00A73AEF">
            <w:pPr>
              <w:spacing w:line="360" w:lineRule="auto"/>
              <w:rPr>
                <w:rFonts w:ascii="Arial" w:hAnsi="Arial" w:cs="Arial"/>
                <w:sz w:val="24"/>
              </w:rPr>
            </w:pPr>
            <w:r w:rsidRPr="00CB192F">
              <w:rPr>
                <w:rFonts w:ascii="Arial" w:hAnsi="Arial" w:cs="Arial"/>
                <w:sz w:val="24"/>
              </w:rPr>
              <w:t>Broad product portfolio; cost leadership; rapid adaptation; vertical integration (Samsung, 2025; 2)</w:t>
            </w:r>
          </w:p>
        </w:tc>
      </w:tr>
      <w:tr w:rsidR="00245A47" w:rsidTr="00245A47">
        <w:tc>
          <w:tcPr>
            <w:tcW w:w="1615" w:type="dxa"/>
          </w:tcPr>
          <w:p w:rsidR="00245A47" w:rsidRDefault="00245A47" w:rsidP="00CB192F">
            <w:pPr>
              <w:spacing w:line="360" w:lineRule="auto"/>
              <w:jc w:val="both"/>
              <w:rPr>
                <w:rFonts w:ascii="Arial" w:hAnsi="Arial" w:cs="Arial"/>
                <w:sz w:val="24"/>
              </w:rPr>
            </w:pPr>
            <w:r w:rsidRPr="00245A47">
              <w:rPr>
                <w:rFonts w:ascii="Arial" w:hAnsi="Arial" w:cs="Arial"/>
                <w:sz w:val="24"/>
              </w:rPr>
              <w:t>Weaknesses</w:t>
            </w:r>
          </w:p>
        </w:tc>
        <w:tc>
          <w:tcPr>
            <w:tcW w:w="3780" w:type="dxa"/>
          </w:tcPr>
          <w:p w:rsidR="00245A47" w:rsidRDefault="00245A47" w:rsidP="00A73AEF">
            <w:pPr>
              <w:spacing w:line="360" w:lineRule="auto"/>
              <w:rPr>
                <w:rFonts w:ascii="Arial" w:hAnsi="Arial" w:cs="Arial"/>
                <w:sz w:val="24"/>
              </w:rPr>
            </w:pPr>
            <w:r w:rsidRPr="00245A47">
              <w:rPr>
                <w:rFonts w:ascii="Arial" w:hAnsi="Arial" w:cs="Arial"/>
                <w:sz w:val="24"/>
              </w:rPr>
              <w:t>High prices limit affordability; over-reliance on iPhone sales (Statista, 2025; 12)</w:t>
            </w:r>
          </w:p>
        </w:tc>
        <w:tc>
          <w:tcPr>
            <w:tcW w:w="3621" w:type="dxa"/>
          </w:tcPr>
          <w:p w:rsidR="00245A47" w:rsidRDefault="00CB192F" w:rsidP="00A73AEF">
            <w:pPr>
              <w:spacing w:line="360" w:lineRule="auto"/>
              <w:rPr>
                <w:rFonts w:ascii="Arial" w:hAnsi="Arial" w:cs="Arial"/>
                <w:sz w:val="24"/>
              </w:rPr>
            </w:pPr>
            <w:r w:rsidRPr="00CB192F">
              <w:rPr>
                <w:rFonts w:ascii="Arial" w:hAnsi="Arial" w:cs="Arial"/>
                <w:sz w:val="24"/>
              </w:rPr>
              <w:t>Perceived as imitator; brand fragmentation across tiers (Liu and Park, 2024; 9)</w:t>
            </w:r>
          </w:p>
        </w:tc>
      </w:tr>
      <w:tr w:rsidR="00245A47" w:rsidTr="00245A47">
        <w:tc>
          <w:tcPr>
            <w:tcW w:w="1615" w:type="dxa"/>
          </w:tcPr>
          <w:p w:rsidR="00245A47" w:rsidRDefault="00245A47" w:rsidP="00CB192F">
            <w:pPr>
              <w:spacing w:line="360" w:lineRule="auto"/>
              <w:jc w:val="both"/>
              <w:rPr>
                <w:rFonts w:ascii="Arial" w:hAnsi="Arial" w:cs="Arial"/>
                <w:sz w:val="24"/>
              </w:rPr>
            </w:pPr>
            <w:r w:rsidRPr="00245A47">
              <w:rPr>
                <w:rFonts w:ascii="Arial" w:hAnsi="Arial" w:cs="Arial"/>
                <w:sz w:val="24"/>
              </w:rPr>
              <w:t>Opportunities</w:t>
            </w:r>
          </w:p>
        </w:tc>
        <w:tc>
          <w:tcPr>
            <w:tcW w:w="3780" w:type="dxa"/>
          </w:tcPr>
          <w:p w:rsidR="00245A47" w:rsidRDefault="00245A47" w:rsidP="00A73AEF">
            <w:pPr>
              <w:spacing w:line="360" w:lineRule="auto"/>
              <w:rPr>
                <w:rFonts w:ascii="Arial" w:hAnsi="Arial" w:cs="Arial"/>
                <w:sz w:val="24"/>
              </w:rPr>
            </w:pPr>
            <w:r w:rsidRPr="00245A47">
              <w:rPr>
                <w:rFonts w:ascii="Arial" w:hAnsi="Arial" w:cs="Arial"/>
                <w:sz w:val="24"/>
              </w:rPr>
              <w:t>Expansion in emerging markets; AR/VR integration; sustainability branding (Chen, Zhang and Kim, 2024; 21)</w:t>
            </w:r>
          </w:p>
        </w:tc>
        <w:tc>
          <w:tcPr>
            <w:tcW w:w="3621" w:type="dxa"/>
          </w:tcPr>
          <w:p w:rsidR="00245A47" w:rsidRDefault="00CB192F" w:rsidP="00A73AEF">
            <w:pPr>
              <w:spacing w:line="360" w:lineRule="auto"/>
              <w:rPr>
                <w:rFonts w:ascii="Arial" w:hAnsi="Arial" w:cs="Arial"/>
                <w:sz w:val="24"/>
              </w:rPr>
            </w:pPr>
            <w:r w:rsidRPr="00CB192F">
              <w:rPr>
                <w:rFonts w:ascii="Arial" w:hAnsi="Arial" w:cs="Arial"/>
                <w:sz w:val="24"/>
              </w:rPr>
              <w:t>5G diffusion; green innovation; accessible premium devices (Nguyen, Simkin and Canhoto, 2023; 8)</w:t>
            </w:r>
          </w:p>
        </w:tc>
      </w:tr>
      <w:tr w:rsidR="00245A47" w:rsidTr="00245A47">
        <w:tc>
          <w:tcPr>
            <w:tcW w:w="1615" w:type="dxa"/>
          </w:tcPr>
          <w:p w:rsidR="00245A47" w:rsidRDefault="00245A47" w:rsidP="00CB192F">
            <w:pPr>
              <w:spacing w:line="360" w:lineRule="auto"/>
              <w:jc w:val="both"/>
              <w:rPr>
                <w:rFonts w:ascii="Arial" w:hAnsi="Arial" w:cs="Arial"/>
                <w:sz w:val="24"/>
              </w:rPr>
            </w:pPr>
            <w:r w:rsidRPr="00245A47">
              <w:rPr>
                <w:rFonts w:ascii="Arial" w:hAnsi="Arial" w:cs="Arial"/>
                <w:sz w:val="24"/>
              </w:rPr>
              <w:lastRenderedPageBreak/>
              <w:t>Threats</w:t>
            </w:r>
          </w:p>
        </w:tc>
        <w:tc>
          <w:tcPr>
            <w:tcW w:w="3780" w:type="dxa"/>
          </w:tcPr>
          <w:p w:rsidR="00245A47" w:rsidRDefault="00245A47" w:rsidP="00A73AEF">
            <w:pPr>
              <w:spacing w:line="360" w:lineRule="auto"/>
              <w:rPr>
                <w:rFonts w:ascii="Arial" w:hAnsi="Arial" w:cs="Arial"/>
                <w:sz w:val="24"/>
              </w:rPr>
            </w:pPr>
            <w:r w:rsidRPr="00245A47">
              <w:rPr>
                <w:rFonts w:ascii="Arial" w:hAnsi="Arial" w:cs="Arial"/>
                <w:sz w:val="24"/>
              </w:rPr>
              <w:t>Regulatory pressures (EU DMA); market saturation; counterfeit risks (OECD, 2024; 14)</w:t>
            </w:r>
          </w:p>
        </w:tc>
        <w:tc>
          <w:tcPr>
            <w:tcW w:w="3621" w:type="dxa"/>
          </w:tcPr>
          <w:p w:rsidR="00245A47" w:rsidRDefault="00CB192F" w:rsidP="00A73AEF">
            <w:pPr>
              <w:spacing w:line="360" w:lineRule="auto"/>
              <w:rPr>
                <w:rFonts w:ascii="Arial" w:hAnsi="Arial" w:cs="Arial"/>
                <w:sz w:val="24"/>
              </w:rPr>
            </w:pPr>
            <w:r w:rsidRPr="00CB192F">
              <w:rPr>
                <w:rFonts w:ascii="Arial" w:hAnsi="Arial" w:cs="Arial"/>
                <w:sz w:val="24"/>
              </w:rPr>
              <w:t>Price wars; supply chain disruptions; competition from Chinese brands (Forbes, 2025; 13)</w:t>
            </w:r>
          </w:p>
        </w:tc>
      </w:tr>
    </w:tbl>
    <w:p w:rsidR="00245A47" w:rsidRDefault="00245A47" w:rsidP="00CB192F">
      <w:pPr>
        <w:spacing w:line="360" w:lineRule="auto"/>
        <w:jc w:val="both"/>
        <w:rPr>
          <w:rFonts w:ascii="Arial" w:hAnsi="Arial" w:cs="Arial"/>
          <w:sz w:val="24"/>
        </w:rPr>
      </w:pPr>
    </w:p>
    <w:p w:rsidR="00CB192F" w:rsidRPr="00CB192F" w:rsidRDefault="00CB192F" w:rsidP="00CB192F">
      <w:pPr>
        <w:spacing w:line="360" w:lineRule="auto"/>
        <w:jc w:val="both"/>
        <w:rPr>
          <w:rFonts w:ascii="Arial" w:hAnsi="Arial" w:cs="Arial"/>
          <w:b/>
          <w:sz w:val="24"/>
        </w:rPr>
      </w:pPr>
      <w:r w:rsidRPr="00CB192F">
        <w:rPr>
          <w:rFonts w:ascii="Arial" w:hAnsi="Arial" w:cs="Arial"/>
          <w:b/>
          <w:sz w:val="24"/>
        </w:rPr>
        <w:t>Analysis:</w:t>
      </w:r>
    </w:p>
    <w:p w:rsidR="00CB192F" w:rsidRPr="00CB192F" w:rsidRDefault="00CB192F" w:rsidP="00CB192F">
      <w:pPr>
        <w:spacing w:line="360" w:lineRule="auto"/>
        <w:jc w:val="both"/>
        <w:rPr>
          <w:rFonts w:ascii="Arial" w:hAnsi="Arial" w:cs="Arial"/>
          <w:sz w:val="24"/>
        </w:rPr>
      </w:pPr>
      <w:r w:rsidRPr="00CB192F">
        <w:rPr>
          <w:rFonts w:ascii="Arial" w:hAnsi="Arial" w:cs="Arial"/>
          <w:sz w:val="24"/>
        </w:rPr>
        <w:t>Apple leverages its brand-driven innovation to command loyalty and pricing power but faces saturation and dependency risks. Samsung’s scalability ensures volume leadership yet dilutes premium perception. These insights shape each firm’s marketing mix strategy.</w:t>
      </w:r>
    </w:p>
    <w:p w:rsidR="004A0F3F" w:rsidRDefault="004A0F3F" w:rsidP="00F203A6">
      <w:pPr>
        <w:pStyle w:val="Heading2"/>
        <w:rPr>
          <w:rFonts w:ascii="Arial" w:hAnsi="Arial" w:cs="Arial"/>
          <w:b/>
          <w:color w:val="auto"/>
          <w:sz w:val="24"/>
          <w:szCs w:val="24"/>
        </w:rPr>
      </w:pPr>
      <w:bookmarkStart w:id="7" w:name="_Toc212089670"/>
    </w:p>
    <w:p w:rsidR="00CB192F" w:rsidRDefault="00CB192F" w:rsidP="00F203A6">
      <w:pPr>
        <w:pStyle w:val="Heading2"/>
        <w:rPr>
          <w:rFonts w:ascii="Arial" w:hAnsi="Arial" w:cs="Arial"/>
          <w:b/>
          <w:color w:val="auto"/>
          <w:sz w:val="24"/>
          <w:szCs w:val="24"/>
        </w:rPr>
      </w:pPr>
      <w:r w:rsidRPr="004A0F3F">
        <w:rPr>
          <w:rFonts w:ascii="Arial" w:hAnsi="Arial" w:cs="Arial"/>
          <w:b/>
          <w:color w:val="auto"/>
          <w:sz w:val="24"/>
          <w:szCs w:val="24"/>
        </w:rPr>
        <w:t>2.2 The 4Ps of Marketing Strategy</w:t>
      </w:r>
      <w:bookmarkEnd w:id="7"/>
    </w:p>
    <w:p w:rsidR="004A0F3F" w:rsidRPr="004A0F3F" w:rsidRDefault="004A0F3F" w:rsidP="004A0F3F"/>
    <w:p w:rsidR="00CB192F" w:rsidRDefault="00CB192F" w:rsidP="00CB192F">
      <w:pPr>
        <w:spacing w:line="360" w:lineRule="auto"/>
        <w:jc w:val="both"/>
        <w:rPr>
          <w:rFonts w:ascii="Arial" w:hAnsi="Arial" w:cs="Arial"/>
          <w:sz w:val="24"/>
        </w:rPr>
      </w:pPr>
      <w:r w:rsidRPr="00CB192F">
        <w:rPr>
          <w:rFonts w:ascii="Arial" w:hAnsi="Arial" w:cs="Arial"/>
          <w:sz w:val="24"/>
        </w:rPr>
        <w:t>The 4Ps framework—product, price, place, and promotion—illustrates how both firms operationalize strategic responses to environmental and consumer dynamics (Kotler et al., 2023; 3).</w:t>
      </w:r>
    </w:p>
    <w:p w:rsidR="004A0F3F" w:rsidRPr="00CB192F" w:rsidRDefault="004A0F3F" w:rsidP="00CB192F">
      <w:pPr>
        <w:spacing w:line="360" w:lineRule="auto"/>
        <w:jc w:val="both"/>
        <w:rPr>
          <w:rFonts w:ascii="Arial" w:hAnsi="Arial" w:cs="Arial"/>
          <w:sz w:val="24"/>
        </w:rPr>
      </w:pPr>
    </w:p>
    <w:p w:rsidR="00CB192F" w:rsidRPr="00CB192F" w:rsidRDefault="00CB192F" w:rsidP="00CB192F">
      <w:pPr>
        <w:pStyle w:val="ListParagraph"/>
        <w:numPr>
          <w:ilvl w:val="0"/>
          <w:numId w:val="1"/>
        </w:numPr>
        <w:spacing w:line="360" w:lineRule="auto"/>
        <w:jc w:val="both"/>
        <w:rPr>
          <w:rFonts w:ascii="Arial" w:hAnsi="Arial" w:cs="Arial"/>
          <w:b/>
          <w:sz w:val="24"/>
        </w:rPr>
      </w:pPr>
      <w:r w:rsidRPr="00CB192F">
        <w:rPr>
          <w:rFonts w:ascii="Arial" w:hAnsi="Arial" w:cs="Arial"/>
          <w:b/>
          <w:sz w:val="24"/>
        </w:rPr>
        <w:t>Product Strategy</w:t>
      </w:r>
    </w:p>
    <w:p w:rsidR="00CB192F" w:rsidRPr="00CB192F" w:rsidRDefault="00CB192F" w:rsidP="00CB192F">
      <w:pPr>
        <w:spacing w:line="360" w:lineRule="auto"/>
        <w:jc w:val="both"/>
        <w:rPr>
          <w:rFonts w:ascii="Arial" w:hAnsi="Arial" w:cs="Arial"/>
          <w:sz w:val="24"/>
        </w:rPr>
      </w:pPr>
      <w:r w:rsidRPr="00CB192F">
        <w:rPr>
          <w:rFonts w:ascii="Arial" w:hAnsi="Arial" w:cs="Arial"/>
          <w:sz w:val="24"/>
        </w:rPr>
        <w:t>Apple’s product strategy centres on innovation consistency and ecosystem integration. Each device (iPhone, Mac, iPad, Watch) connects seamlessly, encouraging cross-selling and loyalty (Teece, 2018; 15). Innovation is both function</w:t>
      </w:r>
      <w:r>
        <w:rPr>
          <w:rFonts w:ascii="Arial" w:hAnsi="Arial" w:cs="Arial"/>
          <w:sz w:val="24"/>
        </w:rPr>
        <w:t xml:space="preserve">al and emotional </w:t>
      </w:r>
      <w:r w:rsidRPr="00CB192F">
        <w:rPr>
          <w:rFonts w:ascii="Arial" w:hAnsi="Arial" w:cs="Arial"/>
          <w:sz w:val="24"/>
        </w:rPr>
        <w:t>consumer’s associate ownership with creativity and prestige. Samsung’s product philosophy is diversification: it targets all price segments through Galaxy S, A, and Z series, providing choice and accessibility (Samsung, 2025; 2). This responsiveness aligns with market-orientation theory, which emphasises adaptation to consumer heterogeneity (Kohli and Jaworski, 1990).</w:t>
      </w:r>
    </w:p>
    <w:p w:rsidR="00CB192F" w:rsidRDefault="00CB192F" w:rsidP="00CB192F">
      <w:pPr>
        <w:spacing w:line="360" w:lineRule="auto"/>
        <w:jc w:val="both"/>
        <w:rPr>
          <w:rFonts w:ascii="Arial" w:hAnsi="Arial" w:cs="Arial"/>
          <w:sz w:val="24"/>
        </w:rPr>
      </w:pPr>
      <w:r w:rsidRPr="00CB192F">
        <w:rPr>
          <w:rFonts w:ascii="Arial" w:hAnsi="Arial" w:cs="Arial"/>
          <w:sz w:val="24"/>
        </w:rPr>
        <w:t>While Apple’s closed ecosystem ensures control and consistency, Samsung’s open system supports variety and external partnerships. Both approaches enhance customer va</w:t>
      </w:r>
      <w:r>
        <w:rPr>
          <w:rFonts w:ascii="Arial" w:hAnsi="Arial" w:cs="Arial"/>
          <w:sz w:val="24"/>
        </w:rPr>
        <w:t xml:space="preserve">lue but through opposite logics </w:t>
      </w:r>
      <w:r w:rsidRPr="00CB192F">
        <w:rPr>
          <w:rFonts w:ascii="Arial" w:hAnsi="Arial" w:cs="Arial"/>
          <w:sz w:val="24"/>
        </w:rPr>
        <w:t>exclusivity versus inclusivity.</w:t>
      </w:r>
    </w:p>
    <w:p w:rsidR="004A0F3F" w:rsidRDefault="004A0F3F" w:rsidP="00CB192F">
      <w:pPr>
        <w:spacing w:line="360" w:lineRule="auto"/>
        <w:jc w:val="both"/>
        <w:rPr>
          <w:rFonts w:ascii="Arial" w:hAnsi="Arial" w:cs="Arial"/>
          <w:sz w:val="24"/>
        </w:rPr>
      </w:pPr>
    </w:p>
    <w:p w:rsidR="004A0F3F" w:rsidRPr="00CB192F" w:rsidRDefault="004A0F3F" w:rsidP="00CB192F">
      <w:pPr>
        <w:spacing w:line="360" w:lineRule="auto"/>
        <w:jc w:val="both"/>
        <w:rPr>
          <w:rFonts w:ascii="Arial" w:hAnsi="Arial" w:cs="Arial"/>
          <w:sz w:val="24"/>
        </w:rPr>
      </w:pPr>
    </w:p>
    <w:p w:rsidR="00CB192F" w:rsidRPr="00CB192F" w:rsidRDefault="00CB192F" w:rsidP="00CB192F">
      <w:pPr>
        <w:pStyle w:val="ListParagraph"/>
        <w:numPr>
          <w:ilvl w:val="0"/>
          <w:numId w:val="1"/>
        </w:numPr>
        <w:spacing w:line="360" w:lineRule="auto"/>
        <w:jc w:val="both"/>
        <w:rPr>
          <w:rFonts w:ascii="Arial" w:hAnsi="Arial" w:cs="Arial"/>
          <w:b/>
          <w:sz w:val="24"/>
        </w:rPr>
      </w:pPr>
      <w:r w:rsidRPr="00CB192F">
        <w:rPr>
          <w:rFonts w:ascii="Arial" w:hAnsi="Arial" w:cs="Arial"/>
          <w:b/>
          <w:sz w:val="24"/>
        </w:rPr>
        <w:t>Pricing Strategy</w:t>
      </w:r>
    </w:p>
    <w:p w:rsidR="00CB192F" w:rsidRPr="00CB192F" w:rsidRDefault="00CB192F" w:rsidP="00CB192F">
      <w:pPr>
        <w:spacing w:line="360" w:lineRule="auto"/>
        <w:jc w:val="both"/>
        <w:rPr>
          <w:rFonts w:ascii="Arial" w:hAnsi="Arial" w:cs="Arial"/>
          <w:sz w:val="24"/>
        </w:rPr>
      </w:pPr>
      <w:r w:rsidRPr="00CB192F">
        <w:rPr>
          <w:rFonts w:ascii="Arial" w:hAnsi="Arial" w:cs="Arial"/>
          <w:sz w:val="24"/>
        </w:rPr>
        <w:t>Apple employs value-based pricing, justified by brand equity, design, and post-purchase experience. It rarely discounts, reinforcing exclusivity (Porter, 1980; 19). Samsung adopts penetration and competitive pricing, especially in developing markets, to capture price-sensitive customers. During global inflation, Samsung’s adaptive pricing mitigated demand contraction better than Apple’s premium model (OECD, 2024; 14). Nevertheless, Apple’s high-margin approach secures long-term profitability, while Samsung’s cost-volume balance maintains market dominance.</w:t>
      </w:r>
    </w:p>
    <w:p w:rsidR="00CB192F" w:rsidRPr="00CB192F" w:rsidRDefault="00CB192F" w:rsidP="00CB192F">
      <w:pPr>
        <w:spacing w:line="360" w:lineRule="auto"/>
        <w:jc w:val="both"/>
        <w:rPr>
          <w:rFonts w:ascii="Arial" w:hAnsi="Arial" w:cs="Arial"/>
          <w:sz w:val="24"/>
        </w:rPr>
      </w:pPr>
      <w:r w:rsidRPr="00CB192F">
        <w:rPr>
          <w:rFonts w:ascii="Arial" w:hAnsi="Arial" w:cs="Arial"/>
          <w:sz w:val="24"/>
        </w:rPr>
        <w:t>These contrasting approaches refl</w:t>
      </w:r>
      <w:r>
        <w:rPr>
          <w:rFonts w:ascii="Arial" w:hAnsi="Arial" w:cs="Arial"/>
          <w:sz w:val="24"/>
        </w:rPr>
        <w:t xml:space="preserve">ect Porter’s generic strategies </w:t>
      </w:r>
      <w:r w:rsidRPr="00CB192F">
        <w:rPr>
          <w:rFonts w:ascii="Arial" w:hAnsi="Arial" w:cs="Arial"/>
          <w:sz w:val="24"/>
        </w:rPr>
        <w:t>Apple’s differentiation versus Samsung’s hybrid cost leadership.</w:t>
      </w:r>
    </w:p>
    <w:p w:rsidR="00CB192F" w:rsidRPr="00CB192F" w:rsidRDefault="00CB192F" w:rsidP="00CB192F">
      <w:pPr>
        <w:pStyle w:val="ListParagraph"/>
        <w:numPr>
          <w:ilvl w:val="0"/>
          <w:numId w:val="1"/>
        </w:numPr>
        <w:spacing w:line="360" w:lineRule="auto"/>
        <w:jc w:val="both"/>
        <w:rPr>
          <w:rFonts w:ascii="Arial" w:hAnsi="Arial" w:cs="Arial"/>
          <w:b/>
          <w:sz w:val="24"/>
        </w:rPr>
      </w:pPr>
      <w:r w:rsidRPr="00CB192F">
        <w:rPr>
          <w:rFonts w:ascii="Arial" w:hAnsi="Arial" w:cs="Arial"/>
          <w:b/>
          <w:sz w:val="24"/>
        </w:rPr>
        <w:t>Place (Distribution) Strategy</w:t>
      </w:r>
    </w:p>
    <w:p w:rsidR="00CB192F" w:rsidRPr="00CB192F" w:rsidRDefault="00CB192F" w:rsidP="00CB192F">
      <w:pPr>
        <w:spacing w:line="360" w:lineRule="auto"/>
        <w:jc w:val="both"/>
        <w:rPr>
          <w:rFonts w:ascii="Arial" w:hAnsi="Arial" w:cs="Arial"/>
          <w:sz w:val="24"/>
        </w:rPr>
      </w:pPr>
      <w:r w:rsidRPr="00CB192F">
        <w:rPr>
          <w:rFonts w:ascii="Arial" w:hAnsi="Arial" w:cs="Arial"/>
          <w:sz w:val="24"/>
        </w:rPr>
        <w:t>Apple utilises selective distribution via flagship stores, official websites, and authorised retailers, ensuring brand-controlled experiences (Kotler et al., 2023; 3). The</w:t>
      </w:r>
      <w:r>
        <w:rPr>
          <w:rFonts w:ascii="Arial" w:hAnsi="Arial" w:cs="Arial"/>
          <w:sz w:val="24"/>
        </w:rPr>
        <w:t xml:space="preserve"> design and service environment embodied by Apple Stores </w:t>
      </w:r>
      <w:r w:rsidRPr="00CB192F">
        <w:rPr>
          <w:rFonts w:ascii="Arial" w:hAnsi="Arial" w:cs="Arial"/>
          <w:sz w:val="24"/>
        </w:rPr>
        <w:t>serve as a marketing tool themselves. Samsung practices intensive distribution, reaching over 100 countries through local partners, online platforms, and telecom alliances (MarketLine, 2024; 25).</w:t>
      </w:r>
    </w:p>
    <w:p w:rsidR="00CB192F" w:rsidRPr="00CB192F" w:rsidRDefault="00CB192F" w:rsidP="00CB192F">
      <w:pPr>
        <w:spacing w:line="360" w:lineRule="auto"/>
        <w:jc w:val="both"/>
        <w:rPr>
          <w:rFonts w:ascii="Arial" w:hAnsi="Arial" w:cs="Arial"/>
          <w:sz w:val="24"/>
        </w:rPr>
      </w:pPr>
      <w:r w:rsidRPr="00CB192F">
        <w:rPr>
          <w:rFonts w:ascii="Arial" w:hAnsi="Arial" w:cs="Arial"/>
          <w:sz w:val="24"/>
        </w:rPr>
        <w:t>The difference reveals divergent positioning: Apple’s exclusivity builds prestige, whereas Samsung’s accessibility builds volume. Both employ Omni channel models but w</w:t>
      </w:r>
      <w:r>
        <w:rPr>
          <w:rFonts w:ascii="Arial" w:hAnsi="Arial" w:cs="Arial"/>
          <w:sz w:val="24"/>
        </w:rPr>
        <w:t>ith distinct symbolic meanings.</w:t>
      </w:r>
    </w:p>
    <w:p w:rsidR="00CB192F" w:rsidRPr="00CB192F" w:rsidRDefault="00CB192F" w:rsidP="00CB192F">
      <w:pPr>
        <w:pStyle w:val="ListParagraph"/>
        <w:numPr>
          <w:ilvl w:val="0"/>
          <w:numId w:val="1"/>
        </w:numPr>
        <w:spacing w:line="360" w:lineRule="auto"/>
        <w:jc w:val="both"/>
        <w:rPr>
          <w:rFonts w:ascii="Arial" w:hAnsi="Arial" w:cs="Arial"/>
          <w:b/>
          <w:sz w:val="24"/>
        </w:rPr>
      </w:pPr>
      <w:r w:rsidRPr="00CB192F">
        <w:rPr>
          <w:rFonts w:ascii="Arial" w:hAnsi="Arial" w:cs="Arial"/>
          <w:b/>
          <w:sz w:val="24"/>
        </w:rPr>
        <w:t>Promotion Strategy</w:t>
      </w:r>
    </w:p>
    <w:p w:rsidR="00CB192F" w:rsidRDefault="00CB192F" w:rsidP="00CB192F">
      <w:pPr>
        <w:spacing w:line="360" w:lineRule="auto"/>
        <w:jc w:val="both"/>
        <w:rPr>
          <w:rFonts w:ascii="Arial" w:hAnsi="Arial" w:cs="Arial"/>
          <w:sz w:val="24"/>
        </w:rPr>
      </w:pPr>
      <w:r w:rsidRPr="00CB192F">
        <w:rPr>
          <w:rFonts w:ascii="Arial" w:hAnsi="Arial" w:cs="Arial"/>
          <w:sz w:val="24"/>
        </w:rPr>
        <w:t>Apple’s promotions emphasise emotional storytelling (“Think Different,” “Shot on iPhone”), connecting technology with lifestyle and creativity (Liu and Park, 2024; 9). Samsung’s campaigns highlight technological superiority and empowerment, such as “Do What You Can’t,” demonstrating rational value (Park and Lee, 2023; 11). Digital engagement through social media, influencer marketing, and product launch events is central to both, yet Apple’s minimalist communication reinforces identity, while Samsung’s interactive style promotes inclusivity.</w:t>
      </w:r>
    </w:p>
    <w:p w:rsidR="004A0F3F" w:rsidRDefault="004A0F3F" w:rsidP="00CB192F">
      <w:pPr>
        <w:spacing w:line="360" w:lineRule="auto"/>
        <w:jc w:val="both"/>
        <w:rPr>
          <w:rFonts w:ascii="Arial" w:hAnsi="Arial" w:cs="Arial"/>
          <w:sz w:val="24"/>
        </w:rPr>
      </w:pPr>
    </w:p>
    <w:p w:rsidR="004A0F3F" w:rsidRPr="00CB192F" w:rsidRDefault="004A0F3F" w:rsidP="00CB192F">
      <w:pPr>
        <w:spacing w:line="360" w:lineRule="auto"/>
        <w:jc w:val="both"/>
        <w:rPr>
          <w:rFonts w:ascii="Arial" w:hAnsi="Arial" w:cs="Arial"/>
          <w:sz w:val="24"/>
        </w:rPr>
      </w:pPr>
    </w:p>
    <w:p w:rsidR="00CB192F" w:rsidRPr="00CB192F" w:rsidRDefault="00CB192F" w:rsidP="00CB192F">
      <w:pPr>
        <w:pStyle w:val="ListParagraph"/>
        <w:numPr>
          <w:ilvl w:val="0"/>
          <w:numId w:val="1"/>
        </w:numPr>
        <w:spacing w:line="360" w:lineRule="auto"/>
        <w:jc w:val="both"/>
        <w:rPr>
          <w:rFonts w:ascii="Arial" w:hAnsi="Arial" w:cs="Arial"/>
          <w:b/>
          <w:sz w:val="24"/>
        </w:rPr>
      </w:pPr>
      <w:r>
        <w:rPr>
          <w:rFonts w:ascii="Arial" w:hAnsi="Arial" w:cs="Arial"/>
          <w:b/>
          <w:sz w:val="24"/>
        </w:rPr>
        <w:lastRenderedPageBreak/>
        <w:t>Summary</w:t>
      </w:r>
    </w:p>
    <w:p w:rsidR="00CB192F" w:rsidRDefault="00CB192F" w:rsidP="00CB192F">
      <w:pPr>
        <w:spacing w:line="360" w:lineRule="auto"/>
        <w:jc w:val="both"/>
        <w:rPr>
          <w:rFonts w:ascii="Arial" w:hAnsi="Arial" w:cs="Arial"/>
          <w:sz w:val="24"/>
        </w:rPr>
      </w:pPr>
      <w:r w:rsidRPr="00CB192F">
        <w:rPr>
          <w:rFonts w:ascii="Arial" w:hAnsi="Arial" w:cs="Arial"/>
          <w:sz w:val="24"/>
        </w:rPr>
        <w:t>Through the 4Ps, Apple positions itself as a premium innovator driven by emotional connection, while Samsung competes through accessibility and technological variety. These choices mirror each firm’s strategic DNA: pioneering differentiation versus adaptive market responsiveness.</w:t>
      </w:r>
    </w:p>
    <w:p w:rsidR="00CB192F" w:rsidRDefault="00CB192F" w:rsidP="00CB192F">
      <w:pPr>
        <w:spacing w:line="360" w:lineRule="auto"/>
        <w:jc w:val="both"/>
        <w:rPr>
          <w:rFonts w:ascii="Arial" w:hAnsi="Arial" w:cs="Arial"/>
          <w:sz w:val="24"/>
        </w:rPr>
      </w:pPr>
    </w:p>
    <w:p w:rsidR="00CB192F" w:rsidRPr="004A0F3F" w:rsidRDefault="00CB192F" w:rsidP="00F203A6">
      <w:pPr>
        <w:pStyle w:val="Heading2"/>
        <w:rPr>
          <w:rFonts w:ascii="Arial" w:hAnsi="Arial" w:cs="Arial"/>
          <w:b/>
          <w:color w:val="auto"/>
        </w:rPr>
      </w:pPr>
      <w:bookmarkStart w:id="8" w:name="_Toc212089671"/>
      <w:r w:rsidRPr="004A0F3F">
        <w:rPr>
          <w:rFonts w:ascii="Arial" w:hAnsi="Arial" w:cs="Arial"/>
          <w:b/>
          <w:color w:val="auto"/>
        </w:rPr>
        <w:t>2.3 The 7Ps and Service Excellence</w:t>
      </w:r>
      <w:bookmarkEnd w:id="8"/>
    </w:p>
    <w:p w:rsidR="00A73AEF" w:rsidRPr="00CB192F" w:rsidRDefault="00A73AEF" w:rsidP="00CB192F">
      <w:pPr>
        <w:spacing w:line="360" w:lineRule="auto"/>
        <w:jc w:val="both"/>
        <w:rPr>
          <w:rFonts w:ascii="Arial" w:hAnsi="Arial" w:cs="Arial"/>
          <w:b/>
          <w:sz w:val="24"/>
        </w:rPr>
      </w:pPr>
    </w:p>
    <w:p w:rsidR="00CB192F" w:rsidRDefault="00CB192F" w:rsidP="00CB192F">
      <w:pPr>
        <w:spacing w:line="360" w:lineRule="auto"/>
        <w:jc w:val="both"/>
        <w:rPr>
          <w:rFonts w:ascii="Arial" w:hAnsi="Arial" w:cs="Arial"/>
          <w:sz w:val="24"/>
        </w:rPr>
      </w:pPr>
      <w:r w:rsidRPr="00CB192F">
        <w:rPr>
          <w:rFonts w:ascii="Arial" w:hAnsi="Arial" w:cs="Arial"/>
          <w:sz w:val="24"/>
        </w:rPr>
        <w:t>The extended 7Ps model adds People,</w:t>
      </w:r>
      <w:r w:rsidR="002B0423">
        <w:rPr>
          <w:rFonts w:ascii="Arial" w:hAnsi="Arial" w:cs="Arial"/>
          <w:sz w:val="24"/>
        </w:rPr>
        <w:t xml:space="preserve"> Process, and Physical Evidence </w:t>
      </w:r>
      <w:r w:rsidRPr="00CB192F">
        <w:rPr>
          <w:rFonts w:ascii="Arial" w:hAnsi="Arial" w:cs="Arial"/>
          <w:sz w:val="24"/>
        </w:rPr>
        <w:t>critical in technology markets where service quality defines retention (Zeithaml, Bitner and Gremler, 2020; 10).</w:t>
      </w:r>
    </w:p>
    <w:tbl>
      <w:tblPr>
        <w:tblStyle w:val="TableGrid"/>
        <w:tblW w:w="0" w:type="auto"/>
        <w:tblLook w:val="04A0" w:firstRow="1" w:lastRow="0" w:firstColumn="1" w:lastColumn="0" w:noHBand="0" w:noVBand="1"/>
      </w:tblPr>
      <w:tblGrid>
        <w:gridCol w:w="1705"/>
        <w:gridCol w:w="3780"/>
        <w:gridCol w:w="3531"/>
      </w:tblGrid>
      <w:tr w:rsidR="00CB192F" w:rsidTr="00CB192F">
        <w:tc>
          <w:tcPr>
            <w:tcW w:w="1705" w:type="dxa"/>
          </w:tcPr>
          <w:p w:rsidR="00CB192F" w:rsidRPr="00CB192F" w:rsidRDefault="00CB192F" w:rsidP="00CB192F">
            <w:pPr>
              <w:spacing w:line="360" w:lineRule="auto"/>
              <w:jc w:val="both"/>
              <w:rPr>
                <w:rFonts w:ascii="Arial" w:hAnsi="Arial" w:cs="Arial"/>
                <w:b/>
                <w:sz w:val="24"/>
              </w:rPr>
            </w:pPr>
            <w:r w:rsidRPr="00CB192F">
              <w:rPr>
                <w:rFonts w:ascii="Arial" w:hAnsi="Arial" w:cs="Arial"/>
                <w:b/>
                <w:sz w:val="24"/>
              </w:rPr>
              <w:t>Element</w:t>
            </w:r>
            <w:r w:rsidRPr="00CB192F">
              <w:rPr>
                <w:rFonts w:ascii="Arial" w:hAnsi="Arial" w:cs="Arial"/>
                <w:b/>
                <w:sz w:val="24"/>
              </w:rPr>
              <w:tab/>
            </w:r>
          </w:p>
        </w:tc>
        <w:tc>
          <w:tcPr>
            <w:tcW w:w="3780" w:type="dxa"/>
          </w:tcPr>
          <w:p w:rsidR="00CB192F" w:rsidRPr="00CB192F" w:rsidRDefault="00CB192F" w:rsidP="00CB192F">
            <w:pPr>
              <w:spacing w:line="360" w:lineRule="auto"/>
              <w:ind w:left="720"/>
              <w:jc w:val="both"/>
              <w:rPr>
                <w:rFonts w:ascii="Arial" w:hAnsi="Arial" w:cs="Arial"/>
                <w:b/>
                <w:sz w:val="24"/>
              </w:rPr>
            </w:pPr>
            <w:r>
              <w:rPr>
                <w:rFonts w:ascii="Arial" w:hAnsi="Arial" w:cs="Arial"/>
                <w:b/>
                <w:sz w:val="24"/>
              </w:rPr>
              <w:t xml:space="preserve"> </w:t>
            </w:r>
            <w:r w:rsidRPr="00CB192F">
              <w:rPr>
                <w:rFonts w:ascii="Arial" w:hAnsi="Arial" w:cs="Arial"/>
                <w:b/>
                <w:sz w:val="24"/>
              </w:rPr>
              <w:t>Apple (Pioneer)</w:t>
            </w:r>
          </w:p>
        </w:tc>
        <w:tc>
          <w:tcPr>
            <w:tcW w:w="3531" w:type="dxa"/>
          </w:tcPr>
          <w:p w:rsidR="00CB192F" w:rsidRPr="00CB192F" w:rsidRDefault="00CB192F" w:rsidP="00CB192F">
            <w:pPr>
              <w:spacing w:line="360" w:lineRule="auto"/>
              <w:jc w:val="both"/>
              <w:rPr>
                <w:rFonts w:ascii="Arial" w:hAnsi="Arial" w:cs="Arial"/>
                <w:b/>
                <w:sz w:val="24"/>
              </w:rPr>
            </w:pPr>
            <w:r>
              <w:rPr>
                <w:rFonts w:ascii="Arial" w:hAnsi="Arial" w:cs="Arial"/>
                <w:b/>
                <w:sz w:val="24"/>
              </w:rPr>
              <w:t xml:space="preserve"> </w:t>
            </w:r>
            <w:r w:rsidRPr="00CB192F">
              <w:rPr>
                <w:rFonts w:ascii="Arial" w:hAnsi="Arial" w:cs="Arial"/>
                <w:b/>
                <w:sz w:val="24"/>
              </w:rPr>
              <w:t>Samsung (Follower)</w:t>
            </w:r>
          </w:p>
        </w:tc>
      </w:tr>
      <w:tr w:rsidR="00CB192F" w:rsidTr="00CB192F">
        <w:tc>
          <w:tcPr>
            <w:tcW w:w="1705" w:type="dxa"/>
          </w:tcPr>
          <w:p w:rsidR="00CB192F" w:rsidRDefault="00CB192F" w:rsidP="00CB192F">
            <w:pPr>
              <w:spacing w:line="360" w:lineRule="auto"/>
              <w:jc w:val="both"/>
              <w:rPr>
                <w:rFonts w:ascii="Arial" w:hAnsi="Arial" w:cs="Arial"/>
                <w:sz w:val="24"/>
              </w:rPr>
            </w:pPr>
            <w:r w:rsidRPr="00CB192F">
              <w:rPr>
                <w:rFonts w:ascii="Arial" w:hAnsi="Arial" w:cs="Arial"/>
                <w:sz w:val="24"/>
              </w:rPr>
              <w:t>People</w:t>
            </w:r>
          </w:p>
        </w:tc>
        <w:tc>
          <w:tcPr>
            <w:tcW w:w="3780" w:type="dxa"/>
          </w:tcPr>
          <w:p w:rsidR="00CB192F" w:rsidRDefault="00CB192F" w:rsidP="00A73AEF">
            <w:pPr>
              <w:spacing w:line="360" w:lineRule="auto"/>
              <w:rPr>
                <w:rFonts w:ascii="Arial" w:hAnsi="Arial" w:cs="Arial"/>
                <w:sz w:val="24"/>
              </w:rPr>
            </w:pPr>
            <w:r w:rsidRPr="00CB192F">
              <w:rPr>
                <w:rFonts w:ascii="Arial" w:hAnsi="Arial" w:cs="Arial"/>
                <w:sz w:val="24"/>
              </w:rPr>
              <w:t>Expert retail and support staff embody minimalist brand ethos.</w:t>
            </w:r>
          </w:p>
        </w:tc>
        <w:tc>
          <w:tcPr>
            <w:tcW w:w="3531" w:type="dxa"/>
          </w:tcPr>
          <w:p w:rsidR="00CB192F" w:rsidRDefault="00CB192F" w:rsidP="00A73AEF">
            <w:pPr>
              <w:spacing w:line="360" w:lineRule="auto"/>
              <w:rPr>
                <w:rFonts w:ascii="Arial" w:hAnsi="Arial" w:cs="Arial"/>
                <w:sz w:val="24"/>
              </w:rPr>
            </w:pPr>
            <w:r w:rsidRPr="00CB192F">
              <w:rPr>
                <w:rFonts w:ascii="Arial" w:hAnsi="Arial" w:cs="Arial"/>
                <w:sz w:val="24"/>
              </w:rPr>
              <w:t>Localised service teams enhance accessibility and empathy.</w:t>
            </w:r>
          </w:p>
        </w:tc>
      </w:tr>
      <w:tr w:rsidR="00CB192F" w:rsidTr="00CB192F">
        <w:tc>
          <w:tcPr>
            <w:tcW w:w="1705" w:type="dxa"/>
          </w:tcPr>
          <w:p w:rsidR="00CB192F" w:rsidRDefault="00CB192F" w:rsidP="00CB192F">
            <w:pPr>
              <w:spacing w:line="360" w:lineRule="auto"/>
              <w:jc w:val="both"/>
              <w:rPr>
                <w:rFonts w:ascii="Arial" w:hAnsi="Arial" w:cs="Arial"/>
                <w:sz w:val="24"/>
              </w:rPr>
            </w:pPr>
            <w:r w:rsidRPr="00CB192F">
              <w:rPr>
                <w:rFonts w:ascii="Arial" w:hAnsi="Arial" w:cs="Arial"/>
                <w:sz w:val="24"/>
              </w:rPr>
              <w:t>Process</w:t>
            </w:r>
          </w:p>
        </w:tc>
        <w:tc>
          <w:tcPr>
            <w:tcW w:w="3780" w:type="dxa"/>
          </w:tcPr>
          <w:p w:rsidR="00CB192F" w:rsidRDefault="00CB192F" w:rsidP="00A73AEF">
            <w:pPr>
              <w:spacing w:line="360" w:lineRule="auto"/>
              <w:rPr>
                <w:rFonts w:ascii="Arial" w:hAnsi="Arial" w:cs="Arial"/>
                <w:sz w:val="24"/>
              </w:rPr>
            </w:pPr>
            <w:r w:rsidRPr="00CB192F">
              <w:rPr>
                <w:rFonts w:ascii="Arial" w:hAnsi="Arial" w:cs="Arial"/>
                <w:sz w:val="24"/>
              </w:rPr>
              <w:t>Seamless integration across online and offline experience; high personalisation via Apple ID ecosystem.</w:t>
            </w:r>
            <w:r w:rsidRPr="00CB192F">
              <w:rPr>
                <w:rFonts w:ascii="Arial" w:hAnsi="Arial" w:cs="Arial"/>
                <w:sz w:val="24"/>
              </w:rPr>
              <w:tab/>
            </w:r>
          </w:p>
        </w:tc>
        <w:tc>
          <w:tcPr>
            <w:tcW w:w="3531" w:type="dxa"/>
          </w:tcPr>
          <w:p w:rsidR="00CB192F" w:rsidRDefault="00CB192F" w:rsidP="00A73AEF">
            <w:pPr>
              <w:spacing w:line="360" w:lineRule="auto"/>
              <w:rPr>
                <w:rFonts w:ascii="Arial" w:hAnsi="Arial" w:cs="Arial"/>
                <w:sz w:val="24"/>
              </w:rPr>
            </w:pPr>
            <w:r w:rsidRPr="00CB192F">
              <w:rPr>
                <w:rFonts w:ascii="Arial" w:hAnsi="Arial" w:cs="Arial"/>
                <w:sz w:val="24"/>
              </w:rPr>
              <w:t>Efficient repair, warranty, and e-service channels optimised for speed.</w:t>
            </w:r>
          </w:p>
        </w:tc>
      </w:tr>
      <w:tr w:rsidR="00CB192F" w:rsidTr="00CB192F">
        <w:tc>
          <w:tcPr>
            <w:tcW w:w="1705" w:type="dxa"/>
          </w:tcPr>
          <w:p w:rsidR="00CB192F" w:rsidRDefault="00CB192F" w:rsidP="00CB192F">
            <w:pPr>
              <w:spacing w:line="360" w:lineRule="auto"/>
              <w:jc w:val="both"/>
              <w:rPr>
                <w:rFonts w:ascii="Arial" w:hAnsi="Arial" w:cs="Arial"/>
                <w:sz w:val="24"/>
              </w:rPr>
            </w:pPr>
            <w:r w:rsidRPr="00CB192F">
              <w:rPr>
                <w:rFonts w:ascii="Arial" w:hAnsi="Arial" w:cs="Arial"/>
                <w:sz w:val="24"/>
              </w:rPr>
              <w:t>Physical Evidence</w:t>
            </w:r>
          </w:p>
        </w:tc>
        <w:tc>
          <w:tcPr>
            <w:tcW w:w="3780" w:type="dxa"/>
          </w:tcPr>
          <w:p w:rsidR="00CB192F" w:rsidRDefault="00CB192F" w:rsidP="00A73AEF">
            <w:pPr>
              <w:spacing w:line="360" w:lineRule="auto"/>
              <w:rPr>
                <w:rFonts w:ascii="Arial" w:hAnsi="Arial" w:cs="Arial"/>
                <w:sz w:val="24"/>
              </w:rPr>
            </w:pPr>
            <w:r w:rsidRPr="00CB192F">
              <w:rPr>
                <w:rFonts w:ascii="Arial" w:hAnsi="Arial" w:cs="Arial"/>
                <w:sz w:val="24"/>
              </w:rPr>
              <w:t>Iconic minimalist stores; premium packaging; intuitive digital interfaces.</w:t>
            </w:r>
          </w:p>
        </w:tc>
        <w:tc>
          <w:tcPr>
            <w:tcW w:w="3531" w:type="dxa"/>
          </w:tcPr>
          <w:p w:rsidR="00CB192F" w:rsidRDefault="00CB192F" w:rsidP="00A73AEF">
            <w:pPr>
              <w:spacing w:line="360" w:lineRule="auto"/>
              <w:rPr>
                <w:rFonts w:ascii="Arial" w:hAnsi="Arial" w:cs="Arial"/>
                <w:sz w:val="24"/>
              </w:rPr>
            </w:pPr>
            <w:r w:rsidRPr="00CB192F">
              <w:rPr>
                <w:rFonts w:ascii="Arial" w:hAnsi="Arial" w:cs="Arial"/>
                <w:sz w:val="24"/>
              </w:rPr>
              <w:t>Wide retail footprint; interactive displays</w:t>
            </w:r>
            <w:r w:rsidR="00A73AEF">
              <w:rPr>
                <w:rFonts w:ascii="Arial" w:hAnsi="Arial" w:cs="Arial"/>
                <w:sz w:val="24"/>
              </w:rPr>
              <w:t xml:space="preserve"> </w:t>
            </w:r>
            <w:r w:rsidRPr="00CB192F">
              <w:rPr>
                <w:rFonts w:ascii="Arial" w:hAnsi="Arial" w:cs="Arial"/>
                <w:sz w:val="24"/>
              </w:rPr>
              <w:t>emphasising technology.</w:t>
            </w:r>
          </w:p>
        </w:tc>
      </w:tr>
    </w:tbl>
    <w:p w:rsidR="00CB192F" w:rsidRDefault="00CB192F" w:rsidP="00CB192F">
      <w:pPr>
        <w:spacing w:line="360" w:lineRule="auto"/>
        <w:jc w:val="both"/>
        <w:rPr>
          <w:rFonts w:ascii="Arial" w:hAnsi="Arial" w:cs="Arial"/>
          <w:sz w:val="24"/>
        </w:rPr>
      </w:pPr>
    </w:p>
    <w:p w:rsidR="00A73AEF" w:rsidRPr="00A73AEF" w:rsidRDefault="00A73AEF" w:rsidP="00A73AEF">
      <w:pPr>
        <w:spacing w:line="360" w:lineRule="auto"/>
        <w:jc w:val="both"/>
        <w:rPr>
          <w:rFonts w:ascii="Arial" w:hAnsi="Arial" w:cs="Arial"/>
          <w:b/>
          <w:sz w:val="24"/>
        </w:rPr>
      </w:pPr>
      <w:r w:rsidRPr="00A73AEF">
        <w:rPr>
          <w:rFonts w:ascii="Arial" w:hAnsi="Arial" w:cs="Arial"/>
          <w:b/>
          <w:sz w:val="24"/>
        </w:rPr>
        <w:t>Analysis:</w:t>
      </w:r>
    </w:p>
    <w:p w:rsidR="00A73AEF" w:rsidRPr="00A73AEF" w:rsidRDefault="00A73AEF" w:rsidP="00A73AEF">
      <w:pPr>
        <w:spacing w:line="360" w:lineRule="auto"/>
        <w:jc w:val="both"/>
        <w:rPr>
          <w:rFonts w:ascii="Arial" w:hAnsi="Arial" w:cs="Arial"/>
          <w:sz w:val="24"/>
        </w:rPr>
      </w:pPr>
      <w:r w:rsidRPr="00A73AEF">
        <w:rPr>
          <w:rFonts w:ascii="Arial" w:hAnsi="Arial" w:cs="Arial"/>
          <w:sz w:val="24"/>
        </w:rPr>
        <w:t>Apple’s people and process design reinforce exc</w:t>
      </w:r>
      <w:r w:rsidR="002B0423">
        <w:rPr>
          <w:rFonts w:ascii="Arial" w:hAnsi="Arial" w:cs="Arial"/>
          <w:sz w:val="24"/>
        </w:rPr>
        <w:t xml:space="preserve">lusivity and quality perception </w:t>
      </w:r>
      <w:r w:rsidRPr="00A73AEF">
        <w:rPr>
          <w:rFonts w:ascii="Arial" w:hAnsi="Arial" w:cs="Arial"/>
          <w:sz w:val="24"/>
        </w:rPr>
        <w:t>core components of its premium identity. Samsung’s orientation towards inclusivity and service responsiveness caters to cultural and income diversity, a strength in emerging economies. Both demonstrate service-dominant logic, where value is co-created with consumers through interaction rather than merely delivered through products (Vargo and Lusch, 2004).</w:t>
      </w:r>
    </w:p>
    <w:p w:rsidR="00A73AEF" w:rsidRDefault="00A73AEF" w:rsidP="00A73AEF">
      <w:pPr>
        <w:spacing w:line="360" w:lineRule="auto"/>
        <w:jc w:val="both"/>
        <w:rPr>
          <w:rFonts w:ascii="Arial" w:hAnsi="Arial" w:cs="Arial"/>
          <w:sz w:val="24"/>
        </w:rPr>
      </w:pPr>
    </w:p>
    <w:p w:rsidR="00A73AEF" w:rsidRPr="004A0F3F" w:rsidRDefault="00A73AEF" w:rsidP="00F203A6">
      <w:pPr>
        <w:pStyle w:val="Heading2"/>
        <w:rPr>
          <w:rFonts w:ascii="Arial" w:hAnsi="Arial" w:cs="Arial"/>
          <w:b/>
          <w:color w:val="auto"/>
          <w:sz w:val="24"/>
          <w:szCs w:val="24"/>
        </w:rPr>
      </w:pPr>
      <w:bookmarkStart w:id="9" w:name="_Toc212089672"/>
      <w:r w:rsidRPr="004A0F3F">
        <w:rPr>
          <w:rFonts w:ascii="Arial" w:hAnsi="Arial" w:cs="Arial"/>
          <w:b/>
          <w:color w:val="auto"/>
          <w:sz w:val="24"/>
          <w:szCs w:val="24"/>
        </w:rPr>
        <w:lastRenderedPageBreak/>
        <w:t>2.4 Strategic Positioning and Adaptation</w:t>
      </w:r>
      <w:bookmarkEnd w:id="9"/>
    </w:p>
    <w:p w:rsidR="00A73AEF" w:rsidRPr="00A73AEF" w:rsidRDefault="00A73AEF" w:rsidP="00A73AEF">
      <w:pPr>
        <w:spacing w:line="360" w:lineRule="auto"/>
        <w:jc w:val="both"/>
        <w:rPr>
          <w:rFonts w:ascii="Arial" w:hAnsi="Arial" w:cs="Arial"/>
          <w:b/>
          <w:sz w:val="24"/>
        </w:rPr>
      </w:pPr>
    </w:p>
    <w:p w:rsidR="00A73AEF" w:rsidRPr="00A73AEF" w:rsidRDefault="00A73AEF" w:rsidP="00A73AEF">
      <w:pPr>
        <w:pStyle w:val="ListParagraph"/>
        <w:numPr>
          <w:ilvl w:val="0"/>
          <w:numId w:val="1"/>
        </w:numPr>
        <w:spacing w:line="360" w:lineRule="auto"/>
        <w:jc w:val="both"/>
        <w:rPr>
          <w:rFonts w:ascii="Arial" w:hAnsi="Arial" w:cs="Arial"/>
          <w:b/>
          <w:sz w:val="24"/>
        </w:rPr>
      </w:pPr>
      <w:r w:rsidRPr="00A73AEF">
        <w:rPr>
          <w:rFonts w:ascii="Arial" w:hAnsi="Arial" w:cs="Arial"/>
          <w:b/>
          <w:sz w:val="24"/>
        </w:rPr>
        <w:t>Pioneer Strategy (Apple)</w:t>
      </w:r>
    </w:p>
    <w:p w:rsidR="00A73AEF" w:rsidRPr="00A73AEF" w:rsidRDefault="00A73AEF" w:rsidP="00A73AEF">
      <w:pPr>
        <w:spacing w:line="360" w:lineRule="auto"/>
        <w:jc w:val="both"/>
        <w:rPr>
          <w:rFonts w:ascii="Arial" w:hAnsi="Arial" w:cs="Arial"/>
          <w:sz w:val="24"/>
        </w:rPr>
      </w:pPr>
      <w:r w:rsidRPr="00A73AEF">
        <w:rPr>
          <w:rFonts w:ascii="Arial" w:hAnsi="Arial" w:cs="Arial"/>
          <w:sz w:val="24"/>
        </w:rPr>
        <w:t>Apple’s strategic response is built around innovation-led differentiation. Its vertically integrated model delivers performance, aesthetics, and emotional engagement as one unified experience. The brand leverages first-mover advantages in design and ecosystem lock-in to create customer dependency (Teece, 2018; 15).</w:t>
      </w:r>
    </w:p>
    <w:p w:rsidR="00A73AEF" w:rsidRDefault="00A73AEF" w:rsidP="00A73AEF">
      <w:pPr>
        <w:spacing w:line="360" w:lineRule="auto"/>
        <w:jc w:val="both"/>
        <w:rPr>
          <w:rFonts w:ascii="Arial" w:hAnsi="Arial" w:cs="Arial"/>
          <w:sz w:val="24"/>
        </w:rPr>
      </w:pPr>
      <w:r w:rsidRPr="00A73AEF">
        <w:rPr>
          <w:rFonts w:ascii="Arial" w:hAnsi="Arial" w:cs="Arial"/>
          <w:sz w:val="24"/>
        </w:rPr>
        <w:t>Apple’s long-term strategy also integrates sustainable marketing—its carbon-neutral goal and ethical sourcing strengthen consumer trust and corporate reputation (Chen, Zhang and Kim, 2024; 21). However, over-reliance on high-end consumers and premium pricing limits accessibility. Thus, Apple’s recent shift to service diversification (Apple TV+, Apple Pay, iCloud+) represents a strategic broadening from product to ecosystem revenue.</w:t>
      </w:r>
    </w:p>
    <w:p w:rsidR="004A0F3F" w:rsidRDefault="004A0F3F" w:rsidP="00A73AEF">
      <w:pPr>
        <w:spacing w:line="360" w:lineRule="auto"/>
        <w:jc w:val="both"/>
        <w:rPr>
          <w:rFonts w:ascii="Arial" w:hAnsi="Arial" w:cs="Arial"/>
          <w:sz w:val="24"/>
        </w:rPr>
      </w:pPr>
      <w:r>
        <w:rPr>
          <w:noProof/>
          <w:lang w:eastAsia="en-IN"/>
        </w:rPr>
        <w:drawing>
          <wp:anchor distT="0" distB="0" distL="114300" distR="114300" simplePos="0" relativeHeight="251660288" behindDoc="1" locked="0" layoutInCell="1" allowOverlap="1" wp14:anchorId="06ECFBBE" wp14:editId="4C8256C7">
            <wp:simplePos x="0" y="0"/>
            <wp:positionH relativeFrom="margin">
              <wp:align>center</wp:align>
            </wp:positionH>
            <wp:positionV relativeFrom="paragraph">
              <wp:posOffset>227965</wp:posOffset>
            </wp:positionV>
            <wp:extent cx="3703320" cy="3703320"/>
            <wp:effectExtent l="0" t="0" r="0" b="0"/>
            <wp:wrapTight wrapText="bothSides">
              <wp:wrapPolygon edited="0">
                <wp:start x="0" y="0"/>
                <wp:lineTo x="0" y="21444"/>
                <wp:lineTo x="21444" y="21444"/>
                <wp:lineTo x="21444" y="0"/>
                <wp:lineTo x="0" y="0"/>
              </wp:wrapPolygon>
            </wp:wrapTight>
            <wp:docPr id="1" name="Picture 1" descr="Chart: Apple Services: A $100-Billion Busines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Apple Services: A $100-Billion Business | Statist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03320" cy="3703320"/>
                    </a:xfrm>
                    <a:prstGeom prst="rect">
                      <a:avLst/>
                    </a:prstGeom>
                    <a:noFill/>
                    <a:ln>
                      <a:noFill/>
                    </a:ln>
                  </pic:spPr>
                </pic:pic>
              </a:graphicData>
            </a:graphic>
          </wp:anchor>
        </w:drawing>
      </w: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0F3F" w:rsidRDefault="004A0F3F"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0F3F" w:rsidRDefault="004A2202" w:rsidP="004A2202">
      <w:pPr>
        <w:spacing w:line="360" w:lineRule="auto"/>
        <w:jc w:val="both"/>
        <w:rPr>
          <w:rFonts w:ascii="Arial" w:hAnsi="Arial" w:cs="Arial"/>
          <w:sz w:val="24"/>
        </w:rPr>
      </w:pPr>
      <w:r>
        <w:rPr>
          <w:rFonts w:ascii="Arial" w:hAnsi="Arial" w:cs="Arial"/>
          <w:sz w:val="24"/>
        </w:rPr>
        <w:t xml:space="preserve">                       </w:t>
      </w:r>
      <w:r w:rsidRPr="004A2202">
        <w:rPr>
          <w:rFonts w:ascii="Arial" w:hAnsi="Arial" w:cs="Arial"/>
          <w:b/>
          <w:sz w:val="24"/>
        </w:rPr>
        <w:t>Figure 1 -</w:t>
      </w:r>
      <w:r>
        <w:rPr>
          <w:rFonts w:ascii="Arial" w:hAnsi="Arial" w:cs="Arial"/>
          <w:sz w:val="24"/>
        </w:rPr>
        <w:t xml:space="preserve"> </w:t>
      </w:r>
      <w:r w:rsidRPr="004A2202">
        <w:rPr>
          <w:rFonts w:ascii="Arial" w:hAnsi="Arial" w:cs="Arial"/>
          <w:b/>
          <w:sz w:val="24"/>
          <w:szCs w:val="24"/>
        </w:rPr>
        <w:t>Services &amp; Ecosystem Revenue Growth</w:t>
      </w:r>
    </w:p>
    <w:p w:rsidR="004A0F3F" w:rsidRDefault="004A0F3F" w:rsidP="00A73AEF">
      <w:pPr>
        <w:spacing w:line="360" w:lineRule="auto"/>
        <w:jc w:val="both"/>
        <w:rPr>
          <w:rFonts w:ascii="Arial" w:hAnsi="Arial" w:cs="Arial"/>
          <w:sz w:val="24"/>
        </w:rPr>
      </w:pPr>
    </w:p>
    <w:p w:rsidR="004A0F3F" w:rsidRDefault="004A2202" w:rsidP="00A73AEF">
      <w:pPr>
        <w:spacing w:line="360" w:lineRule="auto"/>
        <w:jc w:val="both"/>
        <w:rPr>
          <w:rFonts w:ascii="Arial" w:hAnsi="Arial" w:cs="Arial"/>
          <w:sz w:val="24"/>
        </w:rPr>
      </w:pPr>
      <w:r>
        <w:rPr>
          <w:noProof/>
          <w:lang w:eastAsia="en-IN"/>
        </w:rPr>
        <w:lastRenderedPageBreak/>
        <w:drawing>
          <wp:anchor distT="0" distB="0" distL="114300" distR="114300" simplePos="0" relativeHeight="251661312" behindDoc="1" locked="0" layoutInCell="1" allowOverlap="1">
            <wp:simplePos x="0" y="0"/>
            <wp:positionH relativeFrom="column">
              <wp:posOffset>53340</wp:posOffset>
            </wp:positionH>
            <wp:positionV relativeFrom="paragraph">
              <wp:posOffset>0</wp:posOffset>
            </wp:positionV>
            <wp:extent cx="5731510" cy="3434692"/>
            <wp:effectExtent l="0" t="0" r="2540" b="0"/>
            <wp:wrapTight wrapText="bothSides">
              <wp:wrapPolygon edited="0">
                <wp:start x="0" y="0"/>
                <wp:lineTo x="0" y="21448"/>
                <wp:lineTo x="21538" y="21448"/>
                <wp:lineTo x="21538" y="0"/>
                <wp:lineTo x="0" y="0"/>
              </wp:wrapPolygon>
            </wp:wrapTight>
            <wp:docPr id="3" name="Picture 3" descr="Apple calls on global supply chain to decarbonize by 2030 -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 calls on global supply chain to decarbonize by 2030 - App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34692"/>
                    </a:xfrm>
                    <a:prstGeom prst="rect">
                      <a:avLst/>
                    </a:prstGeom>
                    <a:noFill/>
                    <a:ln>
                      <a:noFill/>
                    </a:ln>
                  </pic:spPr>
                </pic:pic>
              </a:graphicData>
            </a:graphic>
          </wp:anchor>
        </w:drawing>
      </w:r>
      <w:r>
        <w:rPr>
          <w:rFonts w:ascii="Arial" w:hAnsi="Arial" w:cs="Arial"/>
          <w:sz w:val="24"/>
        </w:rPr>
        <w:t xml:space="preserve"> </w:t>
      </w:r>
    </w:p>
    <w:p w:rsidR="004A2202" w:rsidRDefault="004A2202" w:rsidP="00A73AEF">
      <w:pPr>
        <w:spacing w:line="360" w:lineRule="auto"/>
        <w:jc w:val="both"/>
        <w:rPr>
          <w:rFonts w:ascii="Arial" w:hAnsi="Arial" w:cs="Arial"/>
          <w:sz w:val="24"/>
        </w:rPr>
      </w:pPr>
      <w:r>
        <w:rPr>
          <w:rFonts w:ascii="Arial" w:hAnsi="Arial" w:cs="Arial"/>
          <w:sz w:val="24"/>
        </w:rPr>
        <w:t xml:space="preserve">                     </w:t>
      </w:r>
      <w:r w:rsidRPr="004A2202">
        <w:rPr>
          <w:rFonts w:ascii="Arial" w:hAnsi="Arial" w:cs="Arial"/>
          <w:b/>
          <w:sz w:val="24"/>
        </w:rPr>
        <w:t>Figure 2 -</w:t>
      </w:r>
      <w:r>
        <w:rPr>
          <w:rFonts w:ascii="Arial" w:hAnsi="Arial" w:cs="Arial"/>
          <w:sz w:val="24"/>
        </w:rPr>
        <w:t xml:space="preserve"> </w:t>
      </w:r>
      <w:r w:rsidRPr="004A2202">
        <w:rPr>
          <w:rFonts w:ascii="Arial" w:hAnsi="Arial" w:cs="Arial"/>
          <w:b/>
          <w:sz w:val="24"/>
          <w:szCs w:val="24"/>
        </w:rPr>
        <w:t>Sustainability / Carbon-Neutrality Progress</w:t>
      </w:r>
    </w:p>
    <w:p w:rsidR="004A2202" w:rsidRDefault="004A2202" w:rsidP="00A73AEF">
      <w:pPr>
        <w:spacing w:line="360" w:lineRule="auto"/>
        <w:jc w:val="both"/>
        <w:rPr>
          <w:rFonts w:ascii="Arial" w:hAnsi="Arial" w:cs="Arial"/>
          <w:sz w:val="24"/>
        </w:rPr>
      </w:pPr>
    </w:p>
    <w:p w:rsidR="00A73AEF" w:rsidRPr="00A73AEF" w:rsidRDefault="00A73AEF" w:rsidP="00A73AEF">
      <w:pPr>
        <w:pStyle w:val="ListParagraph"/>
        <w:numPr>
          <w:ilvl w:val="0"/>
          <w:numId w:val="1"/>
        </w:numPr>
        <w:spacing w:line="360" w:lineRule="auto"/>
        <w:jc w:val="both"/>
        <w:rPr>
          <w:rFonts w:ascii="Arial" w:hAnsi="Arial" w:cs="Arial"/>
          <w:b/>
          <w:sz w:val="24"/>
        </w:rPr>
      </w:pPr>
      <w:r w:rsidRPr="00A73AEF">
        <w:rPr>
          <w:rFonts w:ascii="Arial" w:hAnsi="Arial" w:cs="Arial"/>
          <w:b/>
          <w:sz w:val="24"/>
        </w:rPr>
        <w:t>Follower Strategy (Samsung)</w:t>
      </w:r>
    </w:p>
    <w:p w:rsidR="00A73AEF" w:rsidRPr="00A73AEF" w:rsidRDefault="00A73AEF" w:rsidP="00A73AEF">
      <w:pPr>
        <w:spacing w:line="360" w:lineRule="auto"/>
        <w:jc w:val="both"/>
        <w:rPr>
          <w:rFonts w:ascii="Arial" w:hAnsi="Arial" w:cs="Arial"/>
          <w:sz w:val="24"/>
        </w:rPr>
      </w:pPr>
      <w:r w:rsidRPr="00A73AEF">
        <w:rPr>
          <w:rFonts w:ascii="Arial" w:hAnsi="Arial" w:cs="Arial"/>
          <w:sz w:val="24"/>
        </w:rPr>
        <w:t>Samsung’s adaptive marketing strategy focuses on agility, local responsiveness, and affordability. It applies reverse engineering and fast-follower innovation, translating market signals into quick product iteration (Chesbrough and Bogers, 2023; 6). Marketing agility allows Samsung to respond to regional needs, customise campaigns, and maintain high volume in both premium and budget markets.</w:t>
      </w:r>
    </w:p>
    <w:p w:rsidR="00A73AEF" w:rsidRDefault="00A73AEF" w:rsidP="00A73AEF">
      <w:pPr>
        <w:spacing w:line="360" w:lineRule="auto"/>
        <w:jc w:val="both"/>
        <w:rPr>
          <w:rFonts w:ascii="Arial" w:hAnsi="Arial" w:cs="Arial"/>
          <w:sz w:val="24"/>
        </w:rPr>
      </w:pPr>
      <w:r w:rsidRPr="00A73AEF">
        <w:rPr>
          <w:rFonts w:ascii="Arial" w:hAnsi="Arial" w:cs="Arial"/>
          <w:sz w:val="24"/>
        </w:rPr>
        <w:t>Samsung’s sustainability and digital transformation strategies reflect a market-orientation framework, sensing social trends and responding through product adaptation (Nguyen, Simkin and Canhoto, 2023; 8). The company’s investment in foldable technology and 5G devices shows how followers can transform into partia</w:t>
      </w:r>
      <w:r w:rsidR="002B0423">
        <w:rPr>
          <w:rFonts w:ascii="Arial" w:hAnsi="Arial" w:cs="Arial"/>
          <w:sz w:val="24"/>
        </w:rPr>
        <w:t xml:space="preserve">l pioneers in specific segments </w:t>
      </w:r>
      <w:r w:rsidRPr="00A73AEF">
        <w:rPr>
          <w:rFonts w:ascii="Arial" w:hAnsi="Arial" w:cs="Arial"/>
          <w:sz w:val="24"/>
        </w:rPr>
        <w:t>demonstrating the fluidity between pioneering and following in modern innovation cycles (Sorescu, 2023; 17).</w:t>
      </w: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F9405E" w:rsidRDefault="00F9405E" w:rsidP="004A2202">
      <w:pPr>
        <w:pStyle w:val="NormalWeb"/>
      </w:pPr>
      <w:r>
        <w:rPr>
          <w:noProof/>
        </w:rPr>
        <w:lastRenderedPageBreak/>
        <w:drawing>
          <wp:anchor distT="0" distB="0" distL="114300" distR="114300" simplePos="0" relativeHeight="251663360" behindDoc="1" locked="0" layoutInCell="1" allowOverlap="1">
            <wp:simplePos x="0" y="0"/>
            <wp:positionH relativeFrom="column">
              <wp:posOffset>76200</wp:posOffset>
            </wp:positionH>
            <wp:positionV relativeFrom="paragraph">
              <wp:posOffset>0</wp:posOffset>
            </wp:positionV>
            <wp:extent cx="5364480" cy="1755973"/>
            <wp:effectExtent l="0" t="0" r="7620" b="0"/>
            <wp:wrapTight wrapText="bothSides">
              <wp:wrapPolygon edited="0">
                <wp:start x="0" y="0"/>
                <wp:lineTo x="0" y="21327"/>
                <wp:lineTo x="21554" y="21327"/>
                <wp:lineTo x="21554" y="0"/>
                <wp:lineTo x="0" y="0"/>
              </wp:wrapPolygon>
            </wp:wrapTight>
            <wp:docPr id="9" name="Picture 9" descr="File:Samsung logo blue.png - Wikimedia Comm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ile:Samsung logo blue.png - Wikimedia Common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4480" cy="1755973"/>
                    </a:xfrm>
                    <a:prstGeom prst="rect">
                      <a:avLst/>
                    </a:prstGeom>
                    <a:noFill/>
                    <a:ln>
                      <a:noFill/>
                    </a:ln>
                  </pic:spPr>
                </pic:pic>
              </a:graphicData>
            </a:graphic>
          </wp:anchor>
        </w:drawing>
      </w:r>
    </w:p>
    <w:p w:rsidR="004A2202" w:rsidRDefault="004A2202" w:rsidP="004A2202">
      <w:pPr>
        <w:pStyle w:val="NormalWeb"/>
      </w:pPr>
      <w:r>
        <w:rPr>
          <w:noProof/>
        </w:rPr>
        <w:drawing>
          <wp:anchor distT="0" distB="0" distL="114300" distR="114300" simplePos="0" relativeHeight="251662336" behindDoc="1" locked="0" layoutInCell="1" allowOverlap="1">
            <wp:simplePos x="0" y="0"/>
            <wp:positionH relativeFrom="column">
              <wp:posOffset>350520</wp:posOffset>
            </wp:positionH>
            <wp:positionV relativeFrom="paragraph">
              <wp:posOffset>0</wp:posOffset>
            </wp:positionV>
            <wp:extent cx="4800600" cy="3193085"/>
            <wp:effectExtent l="0" t="0" r="0" b="7620"/>
            <wp:wrapTight wrapText="bothSides">
              <wp:wrapPolygon edited="0">
                <wp:start x="0" y="0"/>
                <wp:lineTo x="0" y="21523"/>
                <wp:lineTo x="21514" y="21523"/>
                <wp:lineTo x="21514" y="0"/>
                <wp:lineTo x="0" y="0"/>
              </wp:wrapPolygon>
            </wp:wrapTight>
            <wp:docPr id="8" name="Picture 8" descr="C:\Users\Admin\Downloads\samsu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Admin\Downloads\samsung.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00600" cy="3193085"/>
                    </a:xfrm>
                    <a:prstGeom prst="rect">
                      <a:avLst/>
                    </a:prstGeom>
                    <a:noFill/>
                    <a:ln>
                      <a:noFill/>
                    </a:ln>
                  </pic:spPr>
                </pic:pic>
              </a:graphicData>
            </a:graphic>
          </wp:anchor>
        </w:drawing>
      </w: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4A2202" w:rsidRDefault="004A2202" w:rsidP="00A73AEF">
      <w:pPr>
        <w:spacing w:line="360" w:lineRule="auto"/>
        <w:jc w:val="both"/>
        <w:rPr>
          <w:rFonts w:ascii="Arial" w:hAnsi="Arial" w:cs="Arial"/>
          <w:sz w:val="24"/>
        </w:rPr>
      </w:pPr>
    </w:p>
    <w:p w:rsidR="002F2DC7" w:rsidRDefault="004A2202" w:rsidP="00A73AEF">
      <w:pPr>
        <w:spacing w:line="360" w:lineRule="auto"/>
        <w:jc w:val="both"/>
        <w:rPr>
          <w:rFonts w:ascii="Arial" w:hAnsi="Arial" w:cs="Arial"/>
          <w:b/>
          <w:sz w:val="24"/>
        </w:rPr>
      </w:pPr>
      <w:r>
        <w:rPr>
          <w:rFonts w:ascii="Arial" w:hAnsi="Arial" w:cs="Arial"/>
          <w:b/>
          <w:sz w:val="24"/>
        </w:rPr>
        <w:t xml:space="preserve">   </w:t>
      </w:r>
    </w:p>
    <w:p w:rsidR="004A2202" w:rsidRPr="004A2202" w:rsidRDefault="002F2DC7" w:rsidP="00A73AEF">
      <w:pPr>
        <w:spacing w:line="360" w:lineRule="auto"/>
        <w:jc w:val="both"/>
        <w:rPr>
          <w:rFonts w:ascii="Arial" w:hAnsi="Arial" w:cs="Arial"/>
          <w:b/>
          <w:sz w:val="24"/>
        </w:rPr>
      </w:pPr>
      <w:r>
        <w:rPr>
          <w:rFonts w:ascii="Arial" w:hAnsi="Arial" w:cs="Arial"/>
          <w:b/>
          <w:sz w:val="24"/>
        </w:rPr>
        <w:t xml:space="preserve"> </w:t>
      </w:r>
      <w:r w:rsidR="004A2202">
        <w:rPr>
          <w:rFonts w:ascii="Arial" w:hAnsi="Arial" w:cs="Arial"/>
          <w:b/>
          <w:sz w:val="24"/>
        </w:rPr>
        <w:t xml:space="preserve">                     </w:t>
      </w:r>
      <w:r w:rsidR="004A2202" w:rsidRPr="004A2202">
        <w:rPr>
          <w:rFonts w:ascii="Arial" w:hAnsi="Arial" w:cs="Arial"/>
          <w:b/>
          <w:sz w:val="24"/>
        </w:rPr>
        <w:t xml:space="preserve">Figure 3 - </w:t>
      </w:r>
      <w:r w:rsidR="004A2202" w:rsidRPr="004A2202">
        <w:rPr>
          <w:rFonts w:ascii="Arial" w:hAnsi="Arial" w:cs="Arial"/>
          <w:b/>
          <w:sz w:val="24"/>
          <w:szCs w:val="24"/>
        </w:rPr>
        <w:t>foldable smartphone market share</w:t>
      </w:r>
    </w:p>
    <w:p w:rsidR="004A2202" w:rsidRDefault="004A2202" w:rsidP="00F203A6">
      <w:pPr>
        <w:pStyle w:val="Heading2"/>
        <w:rPr>
          <w:rFonts w:ascii="Arial" w:hAnsi="Arial" w:cs="Arial"/>
          <w:b/>
          <w:color w:val="auto"/>
          <w:sz w:val="24"/>
          <w:szCs w:val="24"/>
        </w:rPr>
      </w:pPr>
      <w:bookmarkStart w:id="10" w:name="_Toc212089673"/>
    </w:p>
    <w:p w:rsidR="002F2DC7" w:rsidRPr="002F2DC7" w:rsidRDefault="002F2DC7" w:rsidP="002F2DC7"/>
    <w:p w:rsidR="00A73AEF" w:rsidRDefault="00A73AEF" w:rsidP="00F203A6">
      <w:pPr>
        <w:pStyle w:val="Heading2"/>
        <w:rPr>
          <w:rFonts w:ascii="Arial" w:hAnsi="Arial" w:cs="Arial"/>
          <w:b/>
          <w:color w:val="auto"/>
          <w:sz w:val="24"/>
          <w:szCs w:val="24"/>
        </w:rPr>
      </w:pPr>
      <w:r w:rsidRPr="004A0F3F">
        <w:rPr>
          <w:rFonts w:ascii="Arial" w:hAnsi="Arial" w:cs="Arial"/>
          <w:b/>
          <w:color w:val="auto"/>
          <w:sz w:val="24"/>
          <w:szCs w:val="24"/>
        </w:rPr>
        <w:t>2.5 Comparative Strategic Evaluation</w:t>
      </w:r>
      <w:bookmarkEnd w:id="10"/>
    </w:p>
    <w:p w:rsidR="004A0F3F" w:rsidRPr="004A0F3F" w:rsidRDefault="004A0F3F" w:rsidP="004A0F3F"/>
    <w:p w:rsidR="00A73AEF" w:rsidRPr="00A73AEF" w:rsidRDefault="00A73AEF" w:rsidP="00A73AEF">
      <w:pPr>
        <w:pStyle w:val="ListParagraph"/>
        <w:numPr>
          <w:ilvl w:val="0"/>
          <w:numId w:val="2"/>
        </w:numPr>
        <w:spacing w:line="360" w:lineRule="auto"/>
        <w:jc w:val="both"/>
        <w:rPr>
          <w:rFonts w:ascii="Arial" w:hAnsi="Arial" w:cs="Arial"/>
          <w:sz w:val="24"/>
        </w:rPr>
      </w:pPr>
      <w:r w:rsidRPr="00A73AEF">
        <w:rPr>
          <w:rFonts w:ascii="Arial" w:hAnsi="Arial" w:cs="Arial"/>
          <w:sz w:val="24"/>
        </w:rPr>
        <w:t>Apple and Samsung illustrate two viable but contrasting strategic logics.</w:t>
      </w:r>
    </w:p>
    <w:p w:rsidR="00A73AEF" w:rsidRPr="00A73AEF" w:rsidRDefault="00A73AEF" w:rsidP="00A73AEF">
      <w:pPr>
        <w:pStyle w:val="ListParagraph"/>
        <w:numPr>
          <w:ilvl w:val="0"/>
          <w:numId w:val="2"/>
        </w:numPr>
        <w:spacing w:line="360" w:lineRule="auto"/>
        <w:jc w:val="both"/>
        <w:rPr>
          <w:rFonts w:ascii="Arial" w:hAnsi="Arial" w:cs="Arial"/>
          <w:sz w:val="24"/>
        </w:rPr>
      </w:pPr>
      <w:r w:rsidRPr="00A73AEF">
        <w:rPr>
          <w:rFonts w:ascii="Arial" w:hAnsi="Arial" w:cs="Arial"/>
          <w:sz w:val="24"/>
        </w:rPr>
        <w:t>Apple’s differentiation relies on brand meaning, emotional resonance, and design control.</w:t>
      </w:r>
    </w:p>
    <w:p w:rsidR="00A73AEF" w:rsidRPr="00A73AEF" w:rsidRDefault="00A73AEF" w:rsidP="00A73AEF">
      <w:pPr>
        <w:pStyle w:val="ListParagraph"/>
        <w:numPr>
          <w:ilvl w:val="0"/>
          <w:numId w:val="2"/>
        </w:numPr>
        <w:spacing w:line="360" w:lineRule="auto"/>
        <w:jc w:val="both"/>
        <w:rPr>
          <w:rFonts w:ascii="Arial" w:hAnsi="Arial" w:cs="Arial"/>
          <w:sz w:val="24"/>
        </w:rPr>
      </w:pPr>
      <w:r w:rsidRPr="00A73AEF">
        <w:rPr>
          <w:rFonts w:ascii="Arial" w:hAnsi="Arial" w:cs="Arial"/>
          <w:sz w:val="24"/>
        </w:rPr>
        <w:t>Samsung’s responsiveness relies on adaptation, scale, and functional innovation.</w:t>
      </w:r>
    </w:p>
    <w:p w:rsidR="004A0F3F" w:rsidRDefault="00A73AEF" w:rsidP="004A0F3F">
      <w:pPr>
        <w:spacing w:line="360" w:lineRule="auto"/>
        <w:jc w:val="both"/>
        <w:rPr>
          <w:rFonts w:ascii="Arial" w:hAnsi="Arial" w:cs="Arial"/>
          <w:sz w:val="24"/>
        </w:rPr>
      </w:pPr>
      <w:r w:rsidRPr="00A73AEF">
        <w:rPr>
          <w:rFonts w:ascii="Arial" w:hAnsi="Arial" w:cs="Arial"/>
          <w:sz w:val="24"/>
        </w:rPr>
        <w:lastRenderedPageBreak/>
        <w:t>Both employ integrated marketing management, aligning environmental forces with the marketing mix. Apple achieves deep brand equity but limited inclusivity; Samsung achieves mass accessibility but less symbolic prestige. The key to sustained competitiveness lies in balancing innovation depth with market breadth—a duality both firms are progressively addressing through sustainabili</w:t>
      </w:r>
      <w:bookmarkStart w:id="11" w:name="_Toc212089674"/>
      <w:r w:rsidR="004A0F3F">
        <w:rPr>
          <w:rFonts w:ascii="Arial" w:hAnsi="Arial" w:cs="Arial"/>
          <w:sz w:val="24"/>
        </w:rPr>
        <w:t>ty and service diversification.</w:t>
      </w:r>
    </w:p>
    <w:p w:rsidR="00F9405E" w:rsidRDefault="00F9405E" w:rsidP="004A0F3F">
      <w:pPr>
        <w:spacing w:line="360" w:lineRule="auto"/>
        <w:jc w:val="both"/>
        <w:rPr>
          <w:rFonts w:ascii="Arial" w:hAnsi="Arial" w:cs="Arial"/>
          <w:b/>
          <w:sz w:val="24"/>
          <w:szCs w:val="24"/>
        </w:rPr>
      </w:pPr>
    </w:p>
    <w:p w:rsidR="00A73AEF" w:rsidRPr="004A0F3F" w:rsidRDefault="00A73AEF" w:rsidP="004A0F3F">
      <w:pPr>
        <w:spacing w:line="360" w:lineRule="auto"/>
        <w:jc w:val="both"/>
        <w:rPr>
          <w:rFonts w:ascii="Arial" w:hAnsi="Arial" w:cs="Arial"/>
          <w:sz w:val="24"/>
        </w:rPr>
      </w:pPr>
      <w:r w:rsidRPr="004A0F3F">
        <w:rPr>
          <w:rFonts w:ascii="Arial" w:hAnsi="Arial" w:cs="Arial"/>
          <w:b/>
          <w:sz w:val="24"/>
          <w:szCs w:val="24"/>
        </w:rPr>
        <w:t>2.6 Summary of Task 2</w:t>
      </w:r>
      <w:bookmarkEnd w:id="11"/>
    </w:p>
    <w:p w:rsidR="00A73AEF" w:rsidRPr="00A73AEF" w:rsidRDefault="00A73AEF" w:rsidP="00A73AEF">
      <w:pPr>
        <w:spacing w:line="360" w:lineRule="auto"/>
        <w:jc w:val="both"/>
        <w:rPr>
          <w:rFonts w:ascii="Arial" w:hAnsi="Arial" w:cs="Arial"/>
          <w:b/>
          <w:sz w:val="24"/>
        </w:rPr>
      </w:pPr>
      <w:r w:rsidRPr="00A73AEF">
        <w:rPr>
          <w:rFonts w:ascii="Arial" w:hAnsi="Arial" w:cs="Arial"/>
          <w:sz w:val="24"/>
        </w:rPr>
        <w:t>The analysis demonstrates that strategic marketing responses in the smartphone industry must reconcile innovation, consumer diversity, and sustainability. Apple’s pioneering differentiation creates high emotional value and long-term loyalty, while Samsung’s adaptive responsiveness ensures global market penetration. Each applies marketing theory in distinct ways:</w:t>
      </w:r>
    </w:p>
    <w:p w:rsidR="00A73AEF" w:rsidRPr="00A73AEF" w:rsidRDefault="00A73AEF" w:rsidP="00A73AEF">
      <w:pPr>
        <w:pStyle w:val="ListParagraph"/>
        <w:numPr>
          <w:ilvl w:val="0"/>
          <w:numId w:val="3"/>
        </w:numPr>
        <w:spacing w:line="360" w:lineRule="auto"/>
        <w:jc w:val="both"/>
        <w:rPr>
          <w:rFonts w:ascii="Arial" w:hAnsi="Arial" w:cs="Arial"/>
          <w:sz w:val="24"/>
        </w:rPr>
      </w:pPr>
      <w:r w:rsidRPr="00A73AEF">
        <w:rPr>
          <w:rFonts w:ascii="Arial" w:hAnsi="Arial" w:cs="Arial"/>
          <w:sz w:val="24"/>
        </w:rPr>
        <w:t>SWOT guides internal alignment with external realities.</w:t>
      </w:r>
    </w:p>
    <w:p w:rsidR="00A73AEF" w:rsidRPr="00A73AEF" w:rsidRDefault="00A73AEF" w:rsidP="00A73AEF">
      <w:pPr>
        <w:pStyle w:val="ListParagraph"/>
        <w:numPr>
          <w:ilvl w:val="0"/>
          <w:numId w:val="3"/>
        </w:numPr>
        <w:spacing w:line="360" w:lineRule="auto"/>
        <w:jc w:val="both"/>
        <w:rPr>
          <w:rFonts w:ascii="Arial" w:hAnsi="Arial" w:cs="Arial"/>
          <w:sz w:val="24"/>
        </w:rPr>
      </w:pPr>
      <w:r w:rsidRPr="00A73AEF">
        <w:rPr>
          <w:rFonts w:ascii="Arial" w:hAnsi="Arial" w:cs="Arial"/>
          <w:sz w:val="24"/>
        </w:rPr>
        <w:t>4Ps translate strategy into tangible actions.</w:t>
      </w:r>
    </w:p>
    <w:p w:rsidR="00A73AEF" w:rsidRPr="00A73AEF" w:rsidRDefault="00A73AEF" w:rsidP="00A73AEF">
      <w:pPr>
        <w:pStyle w:val="ListParagraph"/>
        <w:numPr>
          <w:ilvl w:val="0"/>
          <w:numId w:val="3"/>
        </w:numPr>
        <w:spacing w:line="360" w:lineRule="auto"/>
        <w:jc w:val="both"/>
        <w:rPr>
          <w:rFonts w:ascii="Arial" w:hAnsi="Arial" w:cs="Arial"/>
          <w:sz w:val="24"/>
        </w:rPr>
      </w:pPr>
      <w:r w:rsidRPr="00A73AEF">
        <w:rPr>
          <w:rFonts w:ascii="Arial" w:hAnsi="Arial" w:cs="Arial"/>
          <w:sz w:val="24"/>
        </w:rPr>
        <w:t>7Ps reinforce service quality and consumer experience.</w:t>
      </w:r>
    </w:p>
    <w:p w:rsidR="00A73AEF" w:rsidRDefault="00A73AEF" w:rsidP="00A73AEF">
      <w:pPr>
        <w:spacing w:line="360" w:lineRule="auto"/>
        <w:jc w:val="both"/>
        <w:rPr>
          <w:rFonts w:ascii="Arial" w:hAnsi="Arial" w:cs="Arial"/>
          <w:sz w:val="24"/>
        </w:rPr>
      </w:pPr>
      <w:r w:rsidRPr="00A73AEF">
        <w:rPr>
          <w:rFonts w:ascii="Arial" w:hAnsi="Arial" w:cs="Arial"/>
          <w:sz w:val="24"/>
        </w:rPr>
        <w:t>Together, these frameworks highlight that effective marketing management depends not solely on innovation or scale but on the strategic integration of both. The interplay between pioneers and followers—e</w:t>
      </w:r>
      <w:r w:rsidR="002B0423">
        <w:rPr>
          <w:rFonts w:ascii="Arial" w:hAnsi="Arial" w:cs="Arial"/>
          <w:sz w:val="24"/>
        </w:rPr>
        <w:t xml:space="preserve">xemplified by Apple and Samsung </w:t>
      </w:r>
      <w:r w:rsidRPr="00A73AEF">
        <w:rPr>
          <w:rFonts w:ascii="Arial" w:hAnsi="Arial" w:cs="Arial"/>
          <w:sz w:val="24"/>
        </w:rPr>
        <w:t>shows that enduring success emerges from learning, adaptation, and consistent brand value creation.</w:t>
      </w: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2F2DC7" w:rsidRDefault="002F2DC7" w:rsidP="00A73AEF">
      <w:pPr>
        <w:spacing w:line="360" w:lineRule="auto"/>
        <w:jc w:val="both"/>
        <w:rPr>
          <w:rFonts w:ascii="Arial" w:hAnsi="Arial" w:cs="Arial"/>
          <w:sz w:val="24"/>
        </w:rPr>
      </w:pPr>
    </w:p>
    <w:p w:rsidR="002F2DC7" w:rsidRDefault="002F2DC7" w:rsidP="00A73AEF">
      <w:pPr>
        <w:spacing w:line="360" w:lineRule="auto"/>
        <w:jc w:val="both"/>
        <w:rPr>
          <w:rFonts w:ascii="Arial" w:hAnsi="Arial" w:cs="Arial"/>
          <w:sz w:val="24"/>
        </w:rPr>
      </w:pPr>
    </w:p>
    <w:p w:rsidR="002F2DC7" w:rsidRDefault="002F2DC7" w:rsidP="00A73AEF">
      <w:pPr>
        <w:spacing w:line="360" w:lineRule="auto"/>
        <w:jc w:val="both"/>
        <w:rPr>
          <w:rFonts w:ascii="Arial" w:hAnsi="Arial" w:cs="Arial"/>
          <w:sz w:val="24"/>
        </w:rPr>
      </w:pPr>
    </w:p>
    <w:p w:rsidR="002F2DC7" w:rsidRDefault="002F2DC7" w:rsidP="00A73AEF">
      <w:pPr>
        <w:spacing w:line="360" w:lineRule="auto"/>
        <w:jc w:val="both"/>
        <w:rPr>
          <w:rFonts w:ascii="Arial" w:hAnsi="Arial" w:cs="Arial"/>
          <w:sz w:val="24"/>
        </w:rPr>
      </w:pPr>
    </w:p>
    <w:p w:rsidR="002F2DC7" w:rsidRDefault="002F2DC7" w:rsidP="00A73AEF">
      <w:pPr>
        <w:spacing w:line="360" w:lineRule="auto"/>
        <w:jc w:val="both"/>
        <w:rPr>
          <w:rFonts w:ascii="Arial" w:hAnsi="Arial" w:cs="Arial"/>
          <w:sz w:val="24"/>
        </w:rPr>
      </w:pPr>
    </w:p>
    <w:p w:rsidR="002F2DC7" w:rsidRDefault="002F2DC7" w:rsidP="00A73AEF">
      <w:pPr>
        <w:spacing w:line="360" w:lineRule="auto"/>
        <w:jc w:val="both"/>
        <w:rPr>
          <w:rFonts w:ascii="Arial" w:hAnsi="Arial" w:cs="Arial"/>
          <w:sz w:val="24"/>
        </w:rPr>
      </w:pPr>
    </w:p>
    <w:p w:rsidR="00A73AEF" w:rsidRPr="004A0F3F" w:rsidRDefault="00A73AEF" w:rsidP="00F203A6">
      <w:pPr>
        <w:pStyle w:val="Heading1"/>
        <w:rPr>
          <w:rFonts w:ascii="Arial" w:hAnsi="Arial" w:cs="Arial"/>
          <w:b/>
          <w:color w:val="auto"/>
          <w:sz w:val="24"/>
          <w:szCs w:val="24"/>
        </w:rPr>
      </w:pPr>
      <w:bookmarkStart w:id="12" w:name="_Toc212089675"/>
      <w:r w:rsidRPr="004A0F3F">
        <w:rPr>
          <w:rFonts w:ascii="Arial" w:hAnsi="Arial" w:cs="Arial"/>
          <w:b/>
          <w:color w:val="auto"/>
          <w:sz w:val="24"/>
          <w:szCs w:val="24"/>
        </w:rPr>
        <w:lastRenderedPageBreak/>
        <w:t>Conclusion</w:t>
      </w:r>
      <w:bookmarkEnd w:id="12"/>
    </w:p>
    <w:p w:rsidR="00A73AEF" w:rsidRDefault="00A73AEF" w:rsidP="00A73AEF">
      <w:pPr>
        <w:spacing w:line="360" w:lineRule="auto"/>
        <w:jc w:val="both"/>
        <w:rPr>
          <w:rFonts w:ascii="Arial" w:hAnsi="Arial" w:cs="Arial"/>
          <w:b/>
          <w:sz w:val="24"/>
        </w:rPr>
      </w:pPr>
    </w:p>
    <w:p w:rsidR="00A73AEF" w:rsidRPr="00A73AEF" w:rsidRDefault="00A73AEF" w:rsidP="00A73AEF">
      <w:pPr>
        <w:spacing w:line="360" w:lineRule="auto"/>
        <w:jc w:val="both"/>
        <w:rPr>
          <w:rFonts w:ascii="Arial" w:hAnsi="Arial" w:cs="Arial"/>
          <w:b/>
          <w:sz w:val="24"/>
        </w:rPr>
      </w:pPr>
      <w:r w:rsidRPr="00A73AEF">
        <w:rPr>
          <w:rFonts w:ascii="Arial" w:hAnsi="Arial" w:cs="Arial"/>
          <w:sz w:val="24"/>
        </w:rPr>
        <w:t>The marketing analysis of Apple and Samsung demonstrates how pioneers and followers succeed through distinct yet complementary strategies within a highly competitive and innovation-driven industry. Apple’s pioneer strategy is anchored in innovation-led differentiation, ecosystem integration, and emotional branding—creating exceptional brand equity and consumer loyalty (Teece, 2018; 15). Samsung’s follower strategy, by contrast, thrives on adaptation, affordability, and market responsiveness, allowing it to reach diverse global audiences (Chesbrough and Bogers, 2023; 6).</w:t>
      </w:r>
    </w:p>
    <w:p w:rsidR="00A73AEF" w:rsidRPr="00A73AEF" w:rsidRDefault="00A73AEF" w:rsidP="00A73AEF">
      <w:pPr>
        <w:spacing w:line="360" w:lineRule="auto"/>
        <w:jc w:val="both"/>
        <w:rPr>
          <w:rFonts w:ascii="Arial" w:hAnsi="Arial" w:cs="Arial"/>
          <w:sz w:val="24"/>
        </w:rPr>
      </w:pPr>
      <w:r w:rsidRPr="00A73AEF">
        <w:rPr>
          <w:rFonts w:ascii="Arial" w:hAnsi="Arial" w:cs="Arial"/>
          <w:sz w:val="24"/>
        </w:rPr>
        <w:t>From a marketing management perspective, both companies effectively align environmental forces with strategic tools such as SWOT, 4Ps, and 7Ps, though they prioritise different elements: Apple emphasises product innovation and experience, while Samsung focuses on pricing flexibility and localisation. Sustainability and ethical branding have also become shared pillars shaping long-term positioning.</w:t>
      </w:r>
    </w:p>
    <w:p w:rsidR="00A73AEF" w:rsidRDefault="00A73AEF" w:rsidP="00A73AEF">
      <w:pPr>
        <w:spacing w:line="360" w:lineRule="auto"/>
        <w:jc w:val="both"/>
        <w:rPr>
          <w:rFonts w:ascii="Arial" w:hAnsi="Arial" w:cs="Arial"/>
          <w:sz w:val="24"/>
        </w:rPr>
      </w:pPr>
      <w:r w:rsidRPr="00A73AEF">
        <w:rPr>
          <w:rFonts w:ascii="Arial" w:hAnsi="Arial" w:cs="Arial"/>
          <w:sz w:val="24"/>
        </w:rPr>
        <w:t>Ultimately, the analysis reinforces that sustained competitive advantage depends on an organisation’s ability to balance innovation, customer orientation, and strategic adaptability. In the evolving smartphone market, pioneers like Apple and followers like Samsung continually redefine success not through rivalry alone but through dynamic co-evolution and marketing excellence.</w:t>
      </w: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A73AEF" w:rsidRDefault="00A73AEF" w:rsidP="00A73AEF">
      <w:pPr>
        <w:spacing w:line="360" w:lineRule="auto"/>
        <w:jc w:val="both"/>
        <w:rPr>
          <w:rFonts w:ascii="Arial" w:hAnsi="Arial" w:cs="Arial"/>
          <w:sz w:val="24"/>
        </w:rPr>
      </w:pPr>
    </w:p>
    <w:p w:rsidR="001C4465" w:rsidRDefault="001C4465" w:rsidP="00A73AEF">
      <w:pPr>
        <w:spacing w:line="360" w:lineRule="auto"/>
        <w:jc w:val="both"/>
        <w:rPr>
          <w:rFonts w:ascii="Arial" w:hAnsi="Arial" w:cs="Arial"/>
          <w:sz w:val="24"/>
        </w:rPr>
      </w:pPr>
    </w:p>
    <w:p w:rsidR="001C4465" w:rsidRDefault="001C4465" w:rsidP="00F203A6">
      <w:pPr>
        <w:pStyle w:val="Heading1"/>
        <w:rPr>
          <w:rFonts w:ascii="Arial" w:hAnsi="Arial" w:cs="Arial"/>
          <w:b/>
          <w:color w:val="auto"/>
          <w:sz w:val="24"/>
          <w:szCs w:val="24"/>
        </w:rPr>
      </w:pPr>
      <w:bookmarkStart w:id="13" w:name="_Toc212089676"/>
      <w:r w:rsidRPr="004A0F3F">
        <w:rPr>
          <w:rFonts w:ascii="Arial" w:hAnsi="Arial" w:cs="Arial"/>
          <w:b/>
          <w:color w:val="auto"/>
          <w:sz w:val="24"/>
          <w:szCs w:val="24"/>
        </w:rPr>
        <w:lastRenderedPageBreak/>
        <w:t>References (Harvard Style with Links)</w:t>
      </w:r>
      <w:bookmarkEnd w:id="13"/>
    </w:p>
    <w:p w:rsidR="004A0F3F" w:rsidRPr="004A0F3F" w:rsidRDefault="004A0F3F" w:rsidP="004A0F3F"/>
    <w:p w:rsidR="001C4465" w:rsidRPr="001C4465" w:rsidRDefault="001C4465" w:rsidP="008971C0">
      <w:pPr>
        <w:spacing w:line="360" w:lineRule="auto"/>
        <w:rPr>
          <w:rFonts w:ascii="Arial" w:hAnsi="Arial" w:cs="Arial"/>
          <w:sz w:val="24"/>
        </w:rPr>
      </w:pPr>
      <w:r w:rsidRPr="001C4465">
        <w:rPr>
          <w:rFonts w:ascii="Arial" w:hAnsi="Arial" w:cs="Arial"/>
          <w:sz w:val="24"/>
        </w:rPr>
        <w:t>Apple Inc. (2025) Annual Report 2024–2025. Cupertino: Apple In</w:t>
      </w:r>
      <w:r>
        <w:rPr>
          <w:rFonts w:ascii="Arial" w:hAnsi="Arial" w:cs="Arial"/>
          <w:sz w:val="24"/>
        </w:rPr>
        <w:t>vestor Relations. Available at:</w:t>
      </w:r>
      <w:r w:rsidRPr="001C4465">
        <w:t xml:space="preserve"> </w:t>
      </w:r>
      <w:hyperlink r:id="rId13" w:history="1">
        <w:r w:rsidRPr="00631A13">
          <w:rPr>
            <w:rStyle w:val="Hyperlink"/>
            <w:rFonts w:ascii="Arial" w:hAnsi="Arial" w:cs="Arial"/>
            <w:sz w:val="24"/>
          </w:rPr>
          <w:t>https://investor.apple.com/investor-relations/default.aspx</w:t>
        </w:r>
      </w:hyperlink>
      <w:r>
        <w:rPr>
          <w:rFonts w:ascii="Arial" w:hAnsi="Arial" w:cs="Arial"/>
          <w:sz w:val="24"/>
        </w:rPr>
        <w:t xml:space="preserve"> </w:t>
      </w:r>
    </w:p>
    <w:p w:rsidR="001C4465" w:rsidRPr="001C4465" w:rsidRDefault="001C4465" w:rsidP="008971C0">
      <w:pPr>
        <w:spacing w:line="360" w:lineRule="auto"/>
        <w:rPr>
          <w:rFonts w:ascii="Arial" w:hAnsi="Arial" w:cs="Arial"/>
          <w:sz w:val="24"/>
        </w:rPr>
      </w:pPr>
      <w:r w:rsidRPr="001C4465">
        <w:rPr>
          <w:rFonts w:ascii="Arial" w:hAnsi="Arial" w:cs="Arial"/>
          <w:sz w:val="24"/>
        </w:rPr>
        <w:t>Samsung Electronics (2025) Sustainability Report 2025. Seoul: Samsung Global. Available at:</w:t>
      </w:r>
      <w:r w:rsidRPr="001C4465">
        <w:t xml:space="preserve"> </w:t>
      </w:r>
      <w:hyperlink r:id="rId14" w:history="1">
        <w:r w:rsidRPr="00631A13">
          <w:rPr>
            <w:rStyle w:val="Hyperlink"/>
            <w:rFonts w:ascii="Arial" w:hAnsi="Arial" w:cs="Arial"/>
            <w:sz w:val="24"/>
          </w:rPr>
          <w:t>https://www.samsung.com/global/sustainability/</w:t>
        </w:r>
      </w:hyperlink>
      <w:r>
        <w:rPr>
          <w:rFonts w:ascii="Arial" w:hAnsi="Arial" w:cs="Arial"/>
          <w:sz w:val="24"/>
        </w:rPr>
        <w:tab/>
      </w:r>
      <w:r w:rsidRPr="001C4465">
        <w:rPr>
          <w:rFonts w:ascii="Arial" w:hAnsi="Arial" w:cs="Arial"/>
          <w:sz w:val="24"/>
        </w:rPr>
        <w:t xml:space="preserve"> </w:t>
      </w:r>
    </w:p>
    <w:p w:rsidR="001C4465" w:rsidRPr="001C4465" w:rsidRDefault="001C4465" w:rsidP="008971C0">
      <w:pPr>
        <w:spacing w:line="360" w:lineRule="auto"/>
        <w:rPr>
          <w:rFonts w:ascii="Arial" w:hAnsi="Arial" w:cs="Arial"/>
          <w:sz w:val="24"/>
        </w:rPr>
      </w:pPr>
      <w:r w:rsidRPr="001C4465">
        <w:rPr>
          <w:rFonts w:ascii="Arial" w:hAnsi="Arial" w:cs="Arial"/>
          <w:sz w:val="24"/>
        </w:rPr>
        <w:t>Kotler, P., Keller, K.L. and Chernev, A. (2023) Marketing Management. 17th</w:t>
      </w:r>
      <w:r>
        <w:rPr>
          <w:rFonts w:ascii="Arial" w:hAnsi="Arial" w:cs="Arial"/>
          <w:sz w:val="24"/>
        </w:rPr>
        <w:t xml:space="preserve"> ed. Harlow: Pearson Education.</w:t>
      </w:r>
    </w:p>
    <w:p w:rsidR="00174C68" w:rsidRPr="00174C68" w:rsidRDefault="00174C68" w:rsidP="00174C68">
      <w:pPr>
        <w:spacing w:line="360" w:lineRule="auto"/>
        <w:rPr>
          <w:rFonts w:ascii="Arial" w:hAnsi="Arial" w:cs="Arial"/>
          <w:sz w:val="24"/>
          <w:szCs w:val="24"/>
        </w:rPr>
      </w:pPr>
      <w:r w:rsidRPr="00174C68">
        <w:rPr>
          <w:rFonts w:ascii="Arial" w:hAnsi="Arial" w:cs="Arial"/>
          <w:sz w:val="24"/>
          <w:szCs w:val="24"/>
        </w:rPr>
        <w:t xml:space="preserve">Pioneer Advantage: Marketing Logic or Marketing Legend? </w:t>
      </w:r>
      <w:proofErr w:type="gramStart"/>
      <w:r w:rsidRPr="00174C68">
        <w:rPr>
          <w:rFonts w:ascii="Arial" w:hAnsi="Arial" w:cs="Arial"/>
          <w:sz w:val="24"/>
          <w:szCs w:val="24"/>
        </w:rPr>
        <w:t>by</w:t>
      </w:r>
      <w:proofErr w:type="gramEnd"/>
      <w:r w:rsidRPr="00174C68">
        <w:rPr>
          <w:rFonts w:ascii="Arial" w:hAnsi="Arial" w:cs="Arial"/>
          <w:sz w:val="24"/>
          <w:szCs w:val="24"/>
        </w:rPr>
        <w:t xml:space="preserve"> Peter N. </w:t>
      </w:r>
      <w:proofErr w:type="spellStart"/>
      <w:r w:rsidRPr="00174C68">
        <w:rPr>
          <w:rFonts w:ascii="Arial" w:hAnsi="Arial" w:cs="Arial"/>
          <w:sz w:val="24"/>
          <w:szCs w:val="24"/>
        </w:rPr>
        <w:t>Golder</w:t>
      </w:r>
      <w:proofErr w:type="spellEnd"/>
      <w:r w:rsidRPr="00174C68">
        <w:rPr>
          <w:rFonts w:ascii="Arial" w:hAnsi="Arial" w:cs="Arial"/>
          <w:sz w:val="24"/>
          <w:szCs w:val="24"/>
        </w:rPr>
        <w:t xml:space="preserve"> &amp; Gerard J. Tellis (1993) — examines pioneer advantages and questions common assumptions.</w:t>
      </w:r>
      <w:r w:rsidRPr="00174C68">
        <w:rPr>
          <w:rFonts w:ascii="Arial" w:hAnsi="Arial" w:cs="Arial"/>
          <w:sz w:val="24"/>
        </w:rPr>
        <w:t xml:space="preserve"> </w:t>
      </w:r>
      <w:r>
        <w:rPr>
          <w:rFonts w:ascii="Arial" w:hAnsi="Arial" w:cs="Arial"/>
          <w:sz w:val="24"/>
        </w:rPr>
        <w:t>Available at:</w:t>
      </w:r>
      <w:r w:rsidRPr="00174C68">
        <w:t xml:space="preserve"> </w:t>
      </w:r>
      <w:hyperlink r:id="rId15" w:history="1">
        <w:r w:rsidRPr="00631A13">
          <w:rPr>
            <w:rStyle w:val="Hyperlink"/>
            <w:rFonts w:ascii="Arial" w:hAnsi="Arial" w:cs="Arial"/>
            <w:sz w:val="24"/>
          </w:rPr>
          <w:t>https://journals.sagepub.com/doi/abs/10.1177/002224379303000203</w:t>
        </w:r>
      </w:hyperlink>
      <w:r>
        <w:rPr>
          <w:rFonts w:ascii="Arial" w:hAnsi="Arial" w:cs="Arial"/>
          <w:sz w:val="24"/>
        </w:rPr>
        <w:t xml:space="preserve"> </w:t>
      </w:r>
    </w:p>
    <w:p w:rsidR="001C4465" w:rsidRPr="001C4465" w:rsidRDefault="001C4465" w:rsidP="008971C0">
      <w:pPr>
        <w:spacing w:line="360" w:lineRule="auto"/>
        <w:rPr>
          <w:rFonts w:ascii="Arial" w:hAnsi="Arial" w:cs="Arial"/>
          <w:sz w:val="24"/>
        </w:rPr>
      </w:pPr>
      <w:r w:rsidRPr="001C4465">
        <w:rPr>
          <w:rFonts w:ascii="Arial" w:hAnsi="Arial" w:cs="Arial"/>
          <w:sz w:val="24"/>
        </w:rPr>
        <w:t>Lee, S.M. and Trimi, S. (2022) ‘Innovation for creating a smart future,’ Journal of Innovation and Knowledge, 7(2), p</w:t>
      </w:r>
      <w:r w:rsidR="009E5D50">
        <w:rPr>
          <w:rFonts w:ascii="Arial" w:hAnsi="Arial" w:cs="Arial"/>
          <w:sz w:val="24"/>
        </w:rPr>
        <w:t>p. 100173–100182. Available at:</w:t>
      </w:r>
      <w:r w:rsidR="009E5D50" w:rsidRPr="009E5D50">
        <w:t xml:space="preserve"> </w:t>
      </w:r>
      <w:hyperlink r:id="rId16" w:history="1">
        <w:r w:rsidR="009E5D50" w:rsidRPr="00631A13">
          <w:rPr>
            <w:rStyle w:val="Hyperlink"/>
            <w:rFonts w:ascii="Arial" w:hAnsi="Arial" w:cs="Arial"/>
            <w:sz w:val="24"/>
          </w:rPr>
          <w:t>https://www.sciencedirect.com/science/article/pii/S2444569X16300154</w:t>
        </w:r>
      </w:hyperlink>
      <w:r w:rsidR="009E5D50">
        <w:rPr>
          <w:rFonts w:ascii="Arial" w:hAnsi="Arial" w:cs="Arial"/>
          <w:sz w:val="24"/>
        </w:rPr>
        <w:tab/>
      </w:r>
    </w:p>
    <w:p w:rsidR="001C4465" w:rsidRPr="001C4465" w:rsidRDefault="001C4465" w:rsidP="008971C0">
      <w:pPr>
        <w:spacing w:line="360" w:lineRule="auto"/>
        <w:rPr>
          <w:rFonts w:ascii="Arial" w:hAnsi="Arial" w:cs="Arial"/>
          <w:sz w:val="24"/>
        </w:rPr>
      </w:pPr>
      <w:r w:rsidRPr="001C4465">
        <w:rPr>
          <w:rFonts w:ascii="Arial" w:hAnsi="Arial" w:cs="Arial"/>
          <w:sz w:val="24"/>
        </w:rPr>
        <w:t>Chesbrough, H. and Bogers, M. (2023) ‘Open innovation: Current status and research opportunities,’ Research Policy, 52(2), 104647. A</w:t>
      </w:r>
      <w:r w:rsidR="009E5D50">
        <w:rPr>
          <w:rFonts w:ascii="Arial" w:hAnsi="Arial" w:cs="Arial"/>
          <w:sz w:val="24"/>
        </w:rPr>
        <w:t>vailable at:</w:t>
      </w:r>
      <w:r w:rsidR="009E5D50" w:rsidRPr="009E5D50">
        <w:t xml:space="preserve"> </w:t>
      </w:r>
      <w:hyperlink r:id="rId17" w:history="1">
        <w:r w:rsidR="009E5D50" w:rsidRPr="00631A13">
          <w:rPr>
            <w:rStyle w:val="Hyperlink"/>
            <w:rFonts w:ascii="Arial" w:hAnsi="Arial" w:cs="Arial"/>
            <w:sz w:val="24"/>
          </w:rPr>
          <w:t>https://www.tandfonline.com/doi/full/10.1080/14479338.2016.1258995</w:t>
        </w:r>
      </w:hyperlink>
      <w:r w:rsidR="009E5D50">
        <w:rPr>
          <w:rFonts w:ascii="Arial" w:hAnsi="Arial" w:cs="Arial"/>
          <w:sz w:val="24"/>
        </w:rPr>
        <w:tab/>
      </w:r>
    </w:p>
    <w:p w:rsidR="001C4465" w:rsidRPr="001C4465" w:rsidRDefault="001C4465" w:rsidP="008971C0">
      <w:pPr>
        <w:spacing w:line="360" w:lineRule="auto"/>
        <w:rPr>
          <w:rFonts w:ascii="Arial" w:hAnsi="Arial" w:cs="Arial"/>
          <w:sz w:val="24"/>
        </w:rPr>
      </w:pPr>
      <w:r w:rsidRPr="001C4465">
        <w:rPr>
          <w:rFonts w:ascii="Arial" w:hAnsi="Arial" w:cs="Arial"/>
          <w:sz w:val="24"/>
        </w:rPr>
        <w:t>Solomon, M.R. (2022) Consumer Behavior: Buying, Having, and Being. 14th ed. Harlow: Pearson.</w:t>
      </w:r>
    </w:p>
    <w:p w:rsidR="001C4465" w:rsidRPr="001C4465" w:rsidRDefault="001C4465" w:rsidP="008971C0">
      <w:pPr>
        <w:spacing w:line="360" w:lineRule="auto"/>
        <w:rPr>
          <w:rFonts w:ascii="Arial" w:hAnsi="Arial" w:cs="Arial"/>
          <w:sz w:val="24"/>
        </w:rPr>
      </w:pPr>
      <w:r w:rsidRPr="001C4465">
        <w:rPr>
          <w:rFonts w:ascii="Arial" w:hAnsi="Arial" w:cs="Arial"/>
          <w:sz w:val="24"/>
        </w:rPr>
        <w:t>Nguyen, T., Simkin, L. and Canhoto, A. (2023) ‘Green consumption and ethical brand choice among Gen Z,’ Journal of Consumer Behaviour, 22(3), pp. 233–248. Available at: https://doi.org/10.1002/cb.2104</w:t>
      </w:r>
    </w:p>
    <w:p w:rsidR="001C4465" w:rsidRPr="001C4465" w:rsidRDefault="001C4465" w:rsidP="008971C0">
      <w:pPr>
        <w:spacing w:line="360" w:lineRule="auto"/>
        <w:rPr>
          <w:rFonts w:ascii="Arial" w:hAnsi="Arial" w:cs="Arial"/>
          <w:sz w:val="24"/>
        </w:rPr>
      </w:pPr>
      <w:r w:rsidRPr="001C4465">
        <w:rPr>
          <w:rFonts w:ascii="Arial" w:hAnsi="Arial" w:cs="Arial"/>
          <w:sz w:val="24"/>
        </w:rPr>
        <w:t xml:space="preserve"> Liu, J. and Park, H. (2024) ‘Brand personality and emotional branding in consumer technology,’ International Journal of Market Research, 66(1), pp. 45–63.</w:t>
      </w:r>
    </w:p>
    <w:p w:rsidR="001C4465" w:rsidRPr="001C4465" w:rsidRDefault="001C4465" w:rsidP="008971C0">
      <w:pPr>
        <w:spacing w:line="360" w:lineRule="auto"/>
        <w:rPr>
          <w:rFonts w:ascii="Arial" w:hAnsi="Arial" w:cs="Arial"/>
          <w:sz w:val="24"/>
        </w:rPr>
      </w:pPr>
      <w:r w:rsidRPr="001C4465">
        <w:rPr>
          <w:rFonts w:ascii="Arial" w:hAnsi="Arial" w:cs="Arial"/>
          <w:sz w:val="24"/>
        </w:rPr>
        <w:t xml:space="preserve">Zeithaml, V.A., Bitner, M.J. and Gremler, D.D. (2020) Services Marketing: Integrating Customer Focus Across the Firm. 8th </w:t>
      </w:r>
      <w:r w:rsidR="00A17B5E" w:rsidRPr="001C4465">
        <w:rPr>
          <w:rFonts w:ascii="Arial" w:hAnsi="Arial" w:cs="Arial"/>
          <w:sz w:val="24"/>
        </w:rPr>
        <w:t>Ed</w:t>
      </w:r>
      <w:r w:rsidRPr="001C4465">
        <w:rPr>
          <w:rFonts w:ascii="Arial" w:hAnsi="Arial" w:cs="Arial"/>
          <w:sz w:val="24"/>
        </w:rPr>
        <w:t>. New York: McGraw-Hill Education.</w:t>
      </w:r>
    </w:p>
    <w:p w:rsidR="001C4465" w:rsidRPr="001C4465" w:rsidRDefault="001C4465" w:rsidP="008971C0">
      <w:pPr>
        <w:spacing w:line="360" w:lineRule="auto"/>
        <w:rPr>
          <w:rFonts w:ascii="Arial" w:hAnsi="Arial" w:cs="Arial"/>
          <w:sz w:val="24"/>
        </w:rPr>
      </w:pPr>
      <w:r w:rsidRPr="001C4465">
        <w:rPr>
          <w:rFonts w:ascii="Arial" w:hAnsi="Arial" w:cs="Arial"/>
          <w:sz w:val="24"/>
        </w:rPr>
        <w:t>Park, Y. and Lee, H. (2023) ‘Digital marketing effectiveness in the technology sector,’ Asia Pacific Journal of Marketing and Logistics, 35(7), pp. 1432–1450.</w:t>
      </w:r>
    </w:p>
    <w:p w:rsidR="001C4465" w:rsidRPr="001C4465" w:rsidRDefault="001C4465" w:rsidP="008971C0">
      <w:pPr>
        <w:spacing w:line="360" w:lineRule="auto"/>
        <w:rPr>
          <w:rFonts w:ascii="Arial" w:hAnsi="Arial" w:cs="Arial"/>
          <w:sz w:val="24"/>
        </w:rPr>
      </w:pPr>
      <w:r w:rsidRPr="001C4465">
        <w:rPr>
          <w:rFonts w:ascii="Arial" w:hAnsi="Arial" w:cs="Arial"/>
          <w:sz w:val="24"/>
        </w:rPr>
        <w:lastRenderedPageBreak/>
        <w:t xml:space="preserve">Statista (2025) ‘Global smartphone market </w:t>
      </w:r>
      <w:r w:rsidR="00A17B5E">
        <w:rPr>
          <w:rFonts w:ascii="Arial" w:hAnsi="Arial" w:cs="Arial"/>
          <w:sz w:val="24"/>
        </w:rPr>
        <w:t>share 2024–2025.’ Available at:</w:t>
      </w:r>
      <w:r w:rsidR="00A17B5E" w:rsidRPr="00A17B5E">
        <w:t xml:space="preserve"> </w:t>
      </w:r>
      <w:hyperlink r:id="rId18" w:history="1">
        <w:r w:rsidR="00A17B5E" w:rsidRPr="00631A13">
          <w:rPr>
            <w:rStyle w:val="Hyperlink"/>
            <w:rFonts w:ascii="Arial" w:hAnsi="Arial" w:cs="Arial"/>
            <w:sz w:val="24"/>
          </w:rPr>
          <w:t>https://www.statista.com/topics/840/smartphones/</w:t>
        </w:r>
      </w:hyperlink>
      <w:r w:rsidR="00A17B5E">
        <w:rPr>
          <w:rFonts w:ascii="Arial" w:hAnsi="Arial" w:cs="Arial"/>
          <w:sz w:val="24"/>
        </w:rPr>
        <w:tab/>
      </w:r>
    </w:p>
    <w:p w:rsidR="001C4465" w:rsidRPr="001C4465" w:rsidRDefault="001C4465" w:rsidP="008971C0">
      <w:pPr>
        <w:spacing w:line="360" w:lineRule="auto"/>
        <w:rPr>
          <w:rFonts w:ascii="Arial" w:hAnsi="Arial" w:cs="Arial"/>
          <w:sz w:val="24"/>
        </w:rPr>
      </w:pPr>
      <w:r w:rsidRPr="001C4465">
        <w:rPr>
          <w:rFonts w:ascii="Arial" w:hAnsi="Arial" w:cs="Arial"/>
          <w:sz w:val="24"/>
        </w:rPr>
        <w:t>Forbes (2025) ‘Global R&amp;D Spending</w:t>
      </w:r>
      <w:r w:rsidR="00A17B5E">
        <w:rPr>
          <w:rFonts w:ascii="Arial" w:hAnsi="Arial" w:cs="Arial"/>
          <w:sz w:val="24"/>
        </w:rPr>
        <w:t xml:space="preserve"> by Tech Giants.’ Available at:</w:t>
      </w:r>
      <w:r w:rsidR="00A17B5E" w:rsidRPr="00A17B5E">
        <w:t xml:space="preserve"> </w:t>
      </w:r>
      <w:hyperlink r:id="rId19" w:history="1">
        <w:r w:rsidR="00A17B5E" w:rsidRPr="00631A13">
          <w:rPr>
            <w:rStyle w:val="Hyperlink"/>
            <w:rFonts w:ascii="Arial" w:hAnsi="Arial" w:cs="Arial"/>
            <w:sz w:val="24"/>
          </w:rPr>
          <w:t>https://www.forbes.com/</w:t>
        </w:r>
      </w:hyperlink>
      <w:r w:rsidR="00A17B5E">
        <w:rPr>
          <w:rFonts w:ascii="Arial" w:hAnsi="Arial" w:cs="Arial"/>
          <w:sz w:val="24"/>
        </w:rPr>
        <w:tab/>
      </w:r>
    </w:p>
    <w:p w:rsidR="001C4465" w:rsidRPr="001C4465" w:rsidRDefault="001C4465" w:rsidP="008971C0">
      <w:pPr>
        <w:spacing w:line="360" w:lineRule="auto"/>
        <w:rPr>
          <w:rFonts w:ascii="Arial" w:hAnsi="Arial" w:cs="Arial"/>
          <w:sz w:val="24"/>
        </w:rPr>
      </w:pPr>
      <w:r w:rsidRPr="001C4465">
        <w:rPr>
          <w:rFonts w:ascii="Arial" w:hAnsi="Arial" w:cs="Arial"/>
          <w:sz w:val="24"/>
        </w:rPr>
        <w:t>OECD (2024) Digital Economy Outlook 2024. Paris: Organisation for Economic Co-operation</w:t>
      </w:r>
      <w:r w:rsidR="00A17B5E">
        <w:rPr>
          <w:rFonts w:ascii="Arial" w:hAnsi="Arial" w:cs="Arial"/>
          <w:sz w:val="24"/>
        </w:rPr>
        <w:t xml:space="preserve"> and Development. Available at:</w:t>
      </w:r>
      <w:r w:rsidR="00A17B5E" w:rsidRPr="00A17B5E">
        <w:t xml:space="preserve"> </w:t>
      </w:r>
      <w:hyperlink r:id="rId20" w:history="1">
        <w:r w:rsidR="00A17B5E" w:rsidRPr="00631A13">
          <w:rPr>
            <w:rStyle w:val="Hyperlink"/>
            <w:rFonts w:ascii="Arial" w:hAnsi="Arial" w:cs="Arial"/>
            <w:sz w:val="24"/>
          </w:rPr>
          <w:t>https://www.oecd.org/en/topics/digital.html</w:t>
        </w:r>
      </w:hyperlink>
      <w:r w:rsidR="00A17B5E">
        <w:rPr>
          <w:rFonts w:ascii="Arial" w:hAnsi="Arial" w:cs="Arial"/>
          <w:sz w:val="24"/>
        </w:rPr>
        <w:t xml:space="preserve"> </w:t>
      </w:r>
    </w:p>
    <w:p w:rsidR="001C4465" w:rsidRPr="001C4465" w:rsidRDefault="001C4465" w:rsidP="008971C0">
      <w:pPr>
        <w:spacing w:line="360" w:lineRule="auto"/>
        <w:rPr>
          <w:rFonts w:ascii="Arial" w:hAnsi="Arial" w:cs="Arial"/>
          <w:sz w:val="24"/>
        </w:rPr>
      </w:pPr>
      <w:r w:rsidRPr="001C4465">
        <w:rPr>
          <w:rFonts w:ascii="Arial" w:hAnsi="Arial" w:cs="Arial"/>
          <w:sz w:val="24"/>
        </w:rPr>
        <w:t>Teece, D.J. (2018) ‘Dynamic capabilities as (workable) management theory,’ Journal of Management Studies, 55(7), pp. 1251–1279.</w:t>
      </w:r>
    </w:p>
    <w:p w:rsidR="001C4465" w:rsidRDefault="001C4465" w:rsidP="008971C0">
      <w:pPr>
        <w:spacing w:line="360" w:lineRule="auto"/>
        <w:rPr>
          <w:rFonts w:ascii="Arial" w:hAnsi="Arial" w:cs="Arial"/>
          <w:sz w:val="24"/>
        </w:rPr>
      </w:pPr>
      <w:r w:rsidRPr="001C4465">
        <w:rPr>
          <w:rFonts w:ascii="Arial" w:hAnsi="Arial" w:cs="Arial"/>
          <w:sz w:val="24"/>
        </w:rPr>
        <w:t>Kim, W.C. and Mauborgne, R. (2022) Blue Ocean Strategy: How to Create Uncontested Market Space. Boston: Harvard Business Review Press.</w:t>
      </w:r>
    </w:p>
    <w:p w:rsidR="00174C68" w:rsidRPr="00174C68" w:rsidRDefault="00174C68" w:rsidP="008971C0">
      <w:pPr>
        <w:spacing w:line="360" w:lineRule="auto"/>
        <w:rPr>
          <w:rFonts w:ascii="Arial" w:hAnsi="Arial" w:cs="Arial"/>
          <w:sz w:val="24"/>
          <w:szCs w:val="24"/>
        </w:rPr>
      </w:pPr>
      <w:r w:rsidRPr="00174C68">
        <w:rPr>
          <w:rFonts w:ascii="Arial" w:hAnsi="Arial" w:cs="Arial"/>
          <w:sz w:val="24"/>
          <w:szCs w:val="24"/>
        </w:rPr>
        <w:t>Market Pioneer and Early Follower Survival Risks: A Contingency Analysis of Really New versus Incrementally New Product</w:t>
      </w:r>
      <w:r w:rsidRPr="00174C68">
        <w:rPr>
          <w:rFonts w:ascii="Arial" w:hAnsi="Arial" w:cs="Arial"/>
          <w:sz w:val="24"/>
          <w:szCs w:val="24"/>
        </w:rPr>
        <w:noBreakHyphen/>
        <w:t xml:space="preserve">Markets by Sungwook Min, </w:t>
      </w:r>
      <w:proofErr w:type="spellStart"/>
      <w:r w:rsidRPr="00174C68">
        <w:rPr>
          <w:rFonts w:ascii="Arial" w:hAnsi="Arial" w:cs="Arial"/>
          <w:sz w:val="24"/>
          <w:szCs w:val="24"/>
        </w:rPr>
        <w:t>Manohar</w:t>
      </w:r>
      <w:proofErr w:type="spellEnd"/>
      <w:r w:rsidRPr="00174C68">
        <w:rPr>
          <w:rFonts w:ascii="Arial" w:hAnsi="Arial" w:cs="Arial"/>
          <w:sz w:val="24"/>
          <w:szCs w:val="24"/>
        </w:rPr>
        <w:t> U. </w:t>
      </w:r>
      <w:proofErr w:type="spellStart"/>
      <w:r w:rsidRPr="00174C68">
        <w:rPr>
          <w:rFonts w:ascii="Arial" w:hAnsi="Arial" w:cs="Arial"/>
          <w:sz w:val="24"/>
          <w:szCs w:val="24"/>
        </w:rPr>
        <w:t>Kalwani</w:t>
      </w:r>
      <w:proofErr w:type="spellEnd"/>
      <w:r w:rsidRPr="00174C68">
        <w:rPr>
          <w:rFonts w:ascii="Arial" w:hAnsi="Arial" w:cs="Arial"/>
          <w:sz w:val="24"/>
          <w:szCs w:val="24"/>
        </w:rPr>
        <w:t xml:space="preserve"> &amp; William T. Robinson (2006) — looks at survival risks for pioneers </w:t>
      </w:r>
      <w:proofErr w:type="spellStart"/>
      <w:r w:rsidRPr="00174C68">
        <w:rPr>
          <w:rFonts w:ascii="Arial" w:hAnsi="Arial" w:cs="Arial"/>
          <w:sz w:val="24"/>
          <w:szCs w:val="24"/>
        </w:rPr>
        <w:t>vs</w:t>
      </w:r>
      <w:proofErr w:type="spellEnd"/>
      <w:r w:rsidRPr="00174C68">
        <w:rPr>
          <w:rFonts w:ascii="Arial" w:hAnsi="Arial" w:cs="Arial"/>
          <w:sz w:val="24"/>
          <w:szCs w:val="24"/>
        </w:rPr>
        <w:t xml:space="preserve"> followers in new product markets</w:t>
      </w:r>
      <w:r>
        <w:rPr>
          <w:rFonts w:ascii="Arial" w:hAnsi="Arial" w:cs="Arial"/>
          <w:sz w:val="24"/>
          <w:szCs w:val="24"/>
        </w:rPr>
        <w:t>.</w:t>
      </w:r>
      <w:r w:rsidRPr="00174C68">
        <w:rPr>
          <w:rFonts w:ascii="Arial" w:hAnsi="Arial" w:cs="Arial"/>
          <w:sz w:val="24"/>
        </w:rPr>
        <w:t xml:space="preserve"> </w:t>
      </w:r>
      <w:r>
        <w:rPr>
          <w:rFonts w:ascii="Arial" w:hAnsi="Arial" w:cs="Arial"/>
          <w:sz w:val="24"/>
        </w:rPr>
        <w:t>Available at:</w:t>
      </w:r>
      <w:r w:rsidRPr="00174C68">
        <w:t xml:space="preserve"> </w:t>
      </w:r>
      <w:hyperlink r:id="rId21" w:history="1">
        <w:r w:rsidRPr="00631A13">
          <w:rPr>
            <w:rStyle w:val="Hyperlink"/>
            <w:rFonts w:ascii="Arial" w:hAnsi="Arial" w:cs="Arial"/>
            <w:sz w:val="24"/>
          </w:rPr>
          <w:t>https://journals.sagepub.com/doi/abs/10.1509/jmkg.70.1.015.qxd</w:t>
        </w:r>
      </w:hyperlink>
      <w:r>
        <w:rPr>
          <w:rFonts w:ascii="Arial" w:hAnsi="Arial" w:cs="Arial"/>
          <w:sz w:val="24"/>
        </w:rPr>
        <w:tab/>
      </w:r>
    </w:p>
    <w:p w:rsidR="001C4465" w:rsidRPr="001C4465" w:rsidRDefault="001C4465" w:rsidP="008971C0">
      <w:pPr>
        <w:spacing w:line="360" w:lineRule="auto"/>
        <w:rPr>
          <w:rFonts w:ascii="Arial" w:hAnsi="Arial" w:cs="Arial"/>
          <w:sz w:val="24"/>
        </w:rPr>
      </w:pPr>
      <w:r w:rsidRPr="001C4465">
        <w:rPr>
          <w:rFonts w:ascii="Arial" w:hAnsi="Arial" w:cs="Arial"/>
          <w:sz w:val="24"/>
        </w:rPr>
        <w:t>Sorescu, A. (2023) ‘Innovation diffusion and competitive dynamics,’ Journal of Marketing, 87(5), pp. 75–92.</w:t>
      </w:r>
    </w:p>
    <w:p w:rsidR="001C4465" w:rsidRPr="001C4465" w:rsidRDefault="001C4465" w:rsidP="008971C0">
      <w:pPr>
        <w:spacing w:line="360" w:lineRule="auto"/>
        <w:rPr>
          <w:rFonts w:ascii="Arial" w:hAnsi="Arial" w:cs="Arial"/>
          <w:sz w:val="24"/>
        </w:rPr>
      </w:pPr>
      <w:r w:rsidRPr="001C4465">
        <w:rPr>
          <w:rFonts w:ascii="Arial" w:hAnsi="Arial" w:cs="Arial"/>
          <w:sz w:val="24"/>
        </w:rPr>
        <w:t>Grant, R.M. (2022) Contemporary Strategy Analysis. 11th ed. Hoboken: Wiley.</w:t>
      </w:r>
    </w:p>
    <w:p w:rsidR="001C4465" w:rsidRPr="001C4465" w:rsidRDefault="001C4465" w:rsidP="008971C0">
      <w:pPr>
        <w:spacing w:line="360" w:lineRule="auto"/>
        <w:rPr>
          <w:rFonts w:ascii="Arial" w:hAnsi="Arial" w:cs="Arial"/>
          <w:sz w:val="24"/>
        </w:rPr>
      </w:pPr>
      <w:r w:rsidRPr="001C4465">
        <w:rPr>
          <w:rFonts w:ascii="Arial" w:hAnsi="Arial" w:cs="Arial"/>
          <w:sz w:val="24"/>
        </w:rPr>
        <w:t xml:space="preserve">Porter, M.E. (1980) Competitive Strategy: Techniques for </w:t>
      </w:r>
      <w:r w:rsidR="002B0423" w:rsidRPr="001C4465">
        <w:rPr>
          <w:rFonts w:ascii="Arial" w:hAnsi="Arial" w:cs="Arial"/>
          <w:sz w:val="24"/>
        </w:rPr>
        <w:t>Analysing</w:t>
      </w:r>
      <w:r w:rsidRPr="001C4465">
        <w:rPr>
          <w:rFonts w:ascii="Arial" w:hAnsi="Arial" w:cs="Arial"/>
          <w:sz w:val="24"/>
        </w:rPr>
        <w:t xml:space="preserve"> Industries and Competitors. New York: Free Press.</w:t>
      </w:r>
    </w:p>
    <w:p w:rsidR="001C4465" w:rsidRPr="001C4465" w:rsidRDefault="001C4465" w:rsidP="008971C0">
      <w:pPr>
        <w:spacing w:line="360" w:lineRule="auto"/>
        <w:rPr>
          <w:rFonts w:ascii="Arial" w:hAnsi="Arial" w:cs="Arial"/>
          <w:sz w:val="24"/>
        </w:rPr>
      </w:pPr>
      <w:r w:rsidRPr="001C4465">
        <w:rPr>
          <w:rFonts w:ascii="Arial" w:hAnsi="Arial" w:cs="Arial"/>
          <w:sz w:val="24"/>
        </w:rPr>
        <w:t>McKinsey &amp; Company (2025) State of the Smartphone Industry 2025. Available at:</w:t>
      </w:r>
      <w:r w:rsidR="00A17B5E" w:rsidRPr="00A17B5E">
        <w:t xml:space="preserve"> </w:t>
      </w:r>
      <w:hyperlink r:id="rId22" w:history="1">
        <w:r w:rsidR="00A17B5E" w:rsidRPr="00631A13">
          <w:rPr>
            <w:rStyle w:val="Hyperlink"/>
            <w:rFonts w:ascii="Arial" w:hAnsi="Arial" w:cs="Arial"/>
            <w:sz w:val="24"/>
          </w:rPr>
          <w:t>https://www.mckinsey.com/</w:t>
        </w:r>
      </w:hyperlink>
      <w:r w:rsidR="00A17B5E">
        <w:rPr>
          <w:rFonts w:ascii="Arial" w:hAnsi="Arial" w:cs="Arial"/>
          <w:sz w:val="24"/>
        </w:rPr>
        <w:tab/>
      </w:r>
      <w:r w:rsidRPr="001C4465">
        <w:rPr>
          <w:rFonts w:ascii="Arial" w:hAnsi="Arial" w:cs="Arial"/>
          <w:sz w:val="24"/>
        </w:rPr>
        <w:t xml:space="preserve"> </w:t>
      </w:r>
    </w:p>
    <w:p w:rsidR="001C4465" w:rsidRPr="001C4465" w:rsidRDefault="001C4465" w:rsidP="008971C0">
      <w:pPr>
        <w:spacing w:line="360" w:lineRule="auto"/>
        <w:rPr>
          <w:rFonts w:ascii="Arial" w:hAnsi="Arial" w:cs="Arial"/>
          <w:sz w:val="24"/>
        </w:rPr>
      </w:pPr>
      <w:proofErr w:type="spellStart"/>
      <w:r w:rsidRPr="001C4465">
        <w:rPr>
          <w:rFonts w:ascii="Arial" w:hAnsi="Arial" w:cs="Arial"/>
          <w:sz w:val="24"/>
        </w:rPr>
        <w:t>Hitt</w:t>
      </w:r>
      <w:proofErr w:type="spellEnd"/>
      <w:r w:rsidRPr="001C4465">
        <w:rPr>
          <w:rFonts w:ascii="Arial" w:hAnsi="Arial" w:cs="Arial"/>
          <w:sz w:val="24"/>
        </w:rPr>
        <w:t>, M.A., Ireland, R.D. and Hoskisson, R.E. (2020) Strategic Management: Competitiveness and Globalization. 14th ed. Boston: Cengage Learning.</w:t>
      </w:r>
    </w:p>
    <w:p w:rsidR="001C4465" w:rsidRPr="001C4465" w:rsidRDefault="00A17B5E" w:rsidP="008971C0">
      <w:pPr>
        <w:spacing w:line="360" w:lineRule="auto"/>
        <w:rPr>
          <w:rFonts w:ascii="Arial" w:hAnsi="Arial" w:cs="Arial"/>
          <w:sz w:val="24"/>
        </w:rPr>
      </w:pPr>
      <w:r w:rsidRPr="001C4465">
        <w:rPr>
          <w:rFonts w:ascii="Arial" w:hAnsi="Arial" w:cs="Arial"/>
          <w:sz w:val="24"/>
        </w:rPr>
        <w:t>Zhou, L. and Wong, A. (2022) ‘Technology convergence and market response in smartphones,’ Technovation, 114, 102539</w:t>
      </w:r>
      <w:r w:rsidR="00B479F8">
        <w:rPr>
          <w:rFonts w:ascii="Arial" w:hAnsi="Arial" w:cs="Arial"/>
          <w:sz w:val="24"/>
        </w:rPr>
        <w:t>. Available at:</w:t>
      </w:r>
      <w:r w:rsidR="00B479F8" w:rsidRPr="00B479F8">
        <w:t xml:space="preserve"> </w:t>
      </w:r>
      <w:hyperlink r:id="rId23" w:history="1">
        <w:r w:rsidR="00B479F8" w:rsidRPr="00631A13">
          <w:rPr>
            <w:rStyle w:val="Hyperlink"/>
            <w:rFonts w:ascii="Arial" w:hAnsi="Arial" w:cs="Arial"/>
            <w:sz w:val="24"/>
          </w:rPr>
          <w:t>https://doi.org/10.1016/j.technovation.2022.102539</w:t>
        </w:r>
      </w:hyperlink>
      <w:r w:rsidR="00B479F8">
        <w:rPr>
          <w:rFonts w:ascii="Arial" w:hAnsi="Arial" w:cs="Arial"/>
          <w:sz w:val="24"/>
        </w:rPr>
        <w:t xml:space="preserve"> </w:t>
      </w:r>
    </w:p>
    <w:p w:rsidR="001C4465" w:rsidRPr="001C4465" w:rsidRDefault="001C4465" w:rsidP="008971C0">
      <w:pPr>
        <w:spacing w:line="360" w:lineRule="auto"/>
        <w:rPr>
          <w:rFonts w:ascii="Arial" w:hAnsi="Arial" w:cs="Arial"/>
          <w:sz w:val="24"/>
        </w:rPr>
      </w:pPr>
      <w:r w:rsidRPr="001C4465">
        <w:rPr>
          <w:rFonts w:ascii="Arial" w:hAnsi="Arial" w:cs="Arial"/>
          <w:sz w:val="24"/>
        </w:rPr>
        <w:t>Keller, K.L. (2020) Strategic Brand Management: Building, Measuring, and Managing Brand Equity. 5th ed. Harlow: Pearson.</w:t>
      </w:r>
    </w:p>
    <w:p w:rsidR="001C4465" w:rsidRDefault="001C4465" w:rsidP="008971C0">
      <w:pPr>
        <w:spacing w:line="360" w:lineRule="auto"/>
        <w:rPr>
          <w:rFonts w:ascii="Arial" w:hAnsi="Arial" w:cs="Arial"/>
          <w:sz w:val="24"/>
        </w:rPr>
      </w:pPr>
      <w:r w:rsidRPr="001C4465">
        <w:rPr>
          <w:rFonts w:ascii="Arial" w:hAnsi="Arial" w:cs="Arial"/>
          <w:sz w:val="24"/>
        </w:rPr>
        <w:lastRenderedPageBreak/>
        <w:t>MarketLine (2024) Apple Inc. Company Profile. Lo</w:t>
      </w:r>
      <w:r w:rsidR="00A17B5E">
        <w:rPr>
          <w:rFonts w:ascii="Arial" w:hAnsi="Arial" w:cs="Arial"/>
          <w:sz w:val="24"/>
        </w:rPr>
        <w:t>ndon: MarketLine. Available at:</w:t>
      </w:r>
      <w:r w:rsidR="00A17B5E" w:rsidRPr="00A17B5E">
        <w:t xml:space="preserve"> </w:t>
      </w:r>
      <w:hyperlink r:id="rId24" w:history="1">
        <w:r w:rsidR="00A17B5E" w:rsidRPr="00631A13">
          <w:rPr>
            <w:rStyle w:val="Hyperlink"/>
            <w:rFonts w:ascii="Arial" w:hAnsi="Arial" w:cs="Arial"/>
            <w:sz w:val="24"/>
          </w:rPr>
          <w:t>https://www.marketline.com/</w:t>
        </w:r>
      </w:hyperlink>
      <w:r w:rsidR="00A17B5E">
        <w:rPr>
          <w:rFonts w:ascii="Arial" w:hAnsi="Arial" w:cs="Arial"/>
          <w:sz w:val="24"/>
        </w:rPr>
        <w:tab/>
      </w:r>
    </w:p>
    <w:sectPr w:rsidR="001C4465" w:rsidSect="00F203A6">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27A8" w:rsidRDefault="00FF27A8" w:rsidP="00F203A6">
      <w:pPr>
        <w:spacing w:after="0" w:line="240" w:lineRule="auto"/>
      </w:pPr>
      <w:r>
        <w:separator/>
      </w:r>
    </w:p>
  </w:endnote>
  <w:endnote w:type="continuationSeparator" w:id="0">
    <w:p w:rsidR="00FF27A8" w:rsidRDefault="00FF27A8" w:rsidP="00F20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53577097"/>
      <w:docPartObj>
        <w:docPartGallery w:val="Page Numbers (Bottom of Page)"/>
        <w:docPartUnique/>
      </w:docPartObj>
    </w:sdtPr>
    <w:sdtEndPr>
      <w:rPr>
        <w:noProof/>
      </w:rPr>
    </w:sdtEndPr>
    <w:sdtContent>
      <w:p w:rsidR="00F203A6" w:rsidRDefault="00F203A6">
        <w:pPr>
          <w:pStyle w:val="Footer"/>
          <w:jc w:val="right"/>
        </w:pPr>
        <w:r>
          <w:fldChar w:fldCharType="begin"/>
        </w:r>
        <w:r>
          <w:instrText xml:space="preserve"> PAGE   \* MERGEFORMAT </w:instrText>
        </w:r>
        <w:r>
          <w:fldChar w:fldCharType="separate"/>
        </w:r>
        <w:r w:rsidR="002B0423">
          <w:rPr>
            <w:noProof/>
          </w:rPr>
          <w:t>2</w:t>
        </w:r>
        <w:r>
          <w:rPr>
            <w:noProof/>
          </w:rPr>
          <w:fldChar w:fldCharType="end"/>
        </w:r>
      </w:p>
    </w:sdtContent>
  </w:sdt>
  <w:p w:rsidR="00F203A6" w:rsidRDefault="00F203A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27A8" w:rsidRDefault="00FF27A8" w:rsidP="00F203A6">
      <w:pPr>
        <w:spacing w:after="0" w:line="240" w:lineRule="auto"/>
      </w:pPr>
      <w:r>
        <w:separator/>
      </w:r>
    </w:p>
  </w:footnote>
  <w:footnote w:type="continuationSeparator" w:id="0">
    <w:p w:rsidR="00FF27A8" w:rsidRDefault="00FF27A8" w:rsidP="00F203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2A14FB4"/>
    <w:multiLevelType w:val="hybridMultilevel"/>
    <w:tmpl w:val="C04CC6B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nsid w:val="42A16470"/>
    <w:multiLevelType w:val="hybridMultilevel"/>
    <w:tmpl w:val="132CD98A"/>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74C73A6D"/>
    <w:multiLevelType w:val="hybridMultilevel"/>
    <w:tmpl w:val="01D6F17A"/>
    <w:lvl w:ilvl="0" w:tplc="953809CE">
      <w:start w:val="1"/>
      <w:numFmt w:val="bullet"/>
      <w:lvlText w:val="•"/>
      <w:lvlJc w:val="right"/>
      <w:pPr>
        <w:ind w:left="720" w:hanging="360"/>
      </w:pPr>
      <w:rPr>
        <w:rFonts w:ascii="Arial" w:eastAsia="Arial" w:hAnsi="Arial" w:hint="default"/>
        <w:b w:val="0"/>
        <w:i w:val="0"/>
        <w:strike w:val="0"/>
        <w:dstrike w:val="0"/>
        <w:color w:val="000000"/>
        <w:sz w:val="22"/>
        <w:u w:val="none" w:color="000000"/>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0CF"/>
    <w:rsid w:val="00174C68"/>
    <w:rsid w:val="001C4465"/>
    <w:rsid w:val="00245A47"/>
    <w:rsid w:val="002B0423"/>
    <w:rsid w:val="002F2DC7"/>
    <w:rsid w:val="004A0F3F"/>
    <w:rsid w:val="004A2202"/>
    <w:rsid w:val="00834303"/>
    <w:rsid w:val="008971C0"/>
    <w:rsid w:val="009E5D50"/>
    <w:rsid w:val="009E7188"/>
    <w:rsid w:val="00A17B5E"/>
    <w:rsid w:val="00A270CF"/>
    <w:rsid w:val="00A73AEF"/>
    <w:rsid w:val="00B479F8"/>
    <w:rsid w:val="00BB120C"/>
    <w:rsid w:val="00CB192F"/>
    <w:rsid w:val="00E21F34"/>
    <w:rsid w:val="00F203A6"/>
    <w:rsid w:val="00F9405E"/>
    <w:rsid w:val="00F9606B"/>
    <w:rsid w:val="00FF27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CD0CDF7-7F63-424F-8633-AC7C0AC47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03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203A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70CF"/>
    <w:pPr>
      <w:ind w:left="720"/>
      <w:contextualSpacing/>
    </w:pPr>
  </w:style>
  <w:style w:type="table" w:styleId="TableGrid">
    <w:name w:val="Table Grid"/>
    <w:basedOn w:val="TableNormal"/>
    <w:uiPriority w:val="39"/>
    <w:rsid w:val="00245A4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1C4465"/>
    <w:rPr>
      <w:color w:val="0563C1" w:themeColor="hyperlink"/>
      <w:u w:val="single"/>
    </w:rPr>
  </w:style>
  <w:style w:type="character" w:styleId="FollowedHyperlink">
    <w:name w:val="FollowedHyperlink"/>
    <w:basedOn w:val="DefaultParagraphFont"/>
    <w:uiPriority w:val="99"/>
    <w:semiHidden/>
    <w:unhideWhenUsed/>
    <w:rsid w:val="001C4465"/>
    <w:rPr>
      <w:color w:val="954F72" w:themeColor="followedHyperlink"/>
      <w:u w:val="single"/>
    </w:rPr>
  </w:style>
  <w:style w:type="paragraph" w:styleId="Title">
    <w:name w:val="Title"/>
    <w:basedOn w:val="Normal"/>
    <w:next w:val="Normal"/>
    <w:link w:val="TitleChar"/>
    <w:rsid w:val="009E7188"/>
    <w:pPr>
      <w:keepNext/>
      <w:keepLines/>
      <w:spacing w:after="0" w:line="360" w:lineRule="auto"/>
      <w:jc w:val="center"/>
    </w:pPr>
    <w:rPr>
      <w:rFonts w:ascii="Times New Roman" w:eastAsia="Times New Roman" w:hAnsi="Times New Roman" w:cs="Times New Roman"/>
      <w:b/>
      <w:sz w:val="32"/>
      <w:szCs w:val="32"/>
      <w:lang w:eastAsia="en-IN"/>
    </w:rPr>
  </w:style>
  <w:style w:type="character" w:customStyle="1" w:styleId="TitleChar">
    <w:name w:val="Title Char"/>
    <w:basedOn w:val="DefaultParagraphFont"/>
    <w:link w:val="Title"/>
    <w:rsid w:val="009E7188"/>
    <w:rPr>
      <w:rFonts w:ascii="Times New Roman" w:eastAsia="Times New Roman" w:hAnsi="Times New Roman" w:cs="Times New Roman"/>
      <w:b/>
      <w:sz w:val="32"/>
      <w:szCs w:val="32"/>
      <w:lang w:eastAsia="en-IN"/>
    </w:rPr>
  </w:style>
  <w:style w:type="paragraph" w:customStyle="1" w:styleId="Normal1">
    <w:name w:val="Normal1"/>
    <w:rsid w:val="009E7188"/>
    <w:pPr>
      <w:spacing w:after="200" w:line="276" w:lineRule="auto"/>
    </w:pPr>
    <w:rPr>
      <w:rFonts w:ascii="Calibri" w:eastAsia="Calibri" w:hAnsi="Calibri" w:cs="Calibri"/>
      <w:lang w:eastAsia="en-IN"/>
    </w:rPr>
  </w:style>
  <w:style w:type="character" w:customStyle="1" w:styleId="Heading1Char">
    <w:name w:val="Heading 1 Char"/>
    <w:basedOn w:val="DefaultParagraphFont"/>
    <w:link w:val="Heading1"/>
    <w:uiPriority w:val="9"/>
    <w:rsid w:val="00F203A6"/>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203A6"/>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F203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3A6"/>
  </w:style>
  <w:style w:type="paragraph" w:styleId="Footer">
    <w:name w:val="footer"/>
    <w:basedOn w:val="Normal"/>
    <w:link w:val="FooterChar"/>
    <w:uiPriority w:val="99"/>
    <w:unhideWhenUsed/>
    <w:rsid w:val="00F203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3A6"/>
  </w:style>
  <w:style w:type="paragraph" w:styleId="TOCHeading">
    <w:name w:val="TOC Heading"/>
    <w:basedOn w:val="Heading1"/>
    <w:next w:val="Normal"/>
    <w:uiPriority w:val="39"/>
    <w:unhideWhenUsed/>
    <w:qFormat/>
    <w:rsid w:val="00F203A6"/>
    <w:pPr>
      <w:outlineLvl w:val="9"/>
    </w:pPr>
    <w:rPr>
      <w:lang w:val="en-US"/>
    </w:rPr>
  </w:style>
  <w:style w:type="paragraph" w:styleId="TOC1">
    <w:name w:val="toc 1"/>
    <w:basedOn w:val="Normal"/>
    <w:next w:val="Normal"/>
    <w:autoRedefine/>
    <w:uiPriority w:val="39"/>
    <w:unhideWhenUsed/>
    <w:rsid w:val="00F203A6"/>
    <w:pPr>
      <w:spacing w:after="100"/>
    </w:pPr>
  </w:style>
  <w:style w:type="paragraph" w:styleId="TOC2">
    <w:name w:val="toc 2"/>
    <w:basedOn w:val="Normal"/>
    <w:next w:val="Normal"/>
    <w:autoRedefine/>
    <w:uiPriority w:val="39"/>
    <w:unhideWhenUsed/>
    <w:rsid w:val="00F203A6"/>
    <w:pPr>
      <w:spacing w:after="100"/>
      <w:ind w:left="220"/>
    </w:pPr>
  </w:style>
  <w:style w:type="paragraph" w:styleId="NormalWeb">
    <w:name w:val="Normal (Web)"/>
    <w:basedOn w:val="Normal"/>
    <w:uiPriority w:val="99"/>
    <w:semiHidden/>
    <w:unhideWhenUsed/>
    <w:rsid w:val="004A2202"/>
    <w:pPr>
      <w:spacing w:before="100" w:beforeAutospacing="1" w:after="100" w:afterAutospacing="1" w:line="240" w:lineRule="auto"/>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7477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investor.apple.com/investor-relations/default.aspx" TargetMode="External"/><Relationship Id="rId18" Type="http://schemas.openxmlformats.org/officeDocument/2006/relationships/hyperlink" Target="https://www.statista.com/topics/840/smartphon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journals.sagepub.com/doi/abs/10.1509/jmkg.70.1.015.qxd"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tandfonline.com/doi/full/10.1080/14479338.2016.1258995"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ciencedirect.com/science/article/pii/S2444569X16300154" TargetMode="External"/><Relationship Id="rId20" Type="http://schemas.openxmlformats.org/officeDocument/2006/relationships/hyperlink" Target="https://www.oecd.org/en/topics/digita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rketline.com/" TargetMode="External"/><Relationship Id="rId5" Type="http://schemas.openxmlformats.org/officeDocument/2006/relationships/webSettings" Target="webSettings.xml"/><Relationship Id="rId15" Type="http://schemas.openxmlformats.org/officeDocument/2006/relationships/hyperlink" Target="https://journals.sagepub.com/doi/abs/10.1177/002224379303000203" TargetMode="External"/><Relationship Id="rId23" Type="http://schemas.openxmlformats.org/officeDocument/2006/relationships/hyperlink" Target="https://doi.org/10.1016/j.technovation.2022.102539" TargetMode="External"/><Relationship Id="rId10" Type="http://schemas.openxmlformats.org/officeDocument/2006/relationships/image" Target="media/image3.jpeg"/><Relationship Id="rId19" Type="http://schemas.openxmlformats.org/officeDocument/2006/relationships/hyperlink" Target="https://www.forbes.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amsung.com/global/sustainability/" TargetMode="External"/><Relationship Id="rId22" Type="http://schemas.openxmlformats.org/officeDocument/2006/relationships/hyperlink" Target="https://www.mckinsey.com/"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C38FD-18B3-4346-9597-2945E3B8B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19</Pages>
  <Words>4083</Words>
  <Characters>23276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6</cp:revision>
  <dcterms:created xsi:type="dcterms:W3CDTF">2025-10-22T21:54:00Z</dcterms:created>
  <dcterms:modified xsi:type="dcterms:W3CDTF">2025-10-23T00:41:00Z</dcterms:modified>
</cp:coreProperties>
</file>