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DA5BBF" w14:textId="1BF195DC" w:rsidR="004E6700" w:rsidRDefault="004E6700">
      <w:r w:rsidRPr="00A406E5">
        <w:rPr>
          <w:noProof/>
        </w:rPr>
        <w:drawing>
          <wp:anchor distT="0" distB="0" distL="114300" distR="114300" simplePos="0" relativeHeight="251659264" behindDoc="0" locked="0" layoutInCell="1" allowOverlap="1" wp14:anchorId="120336D9" wp14:editId="4778BB3C">
            <wp:simplePos x="0" y="0"/>
            <wp:positionH relativeFrom="margin">
              <wp:posOffset>-693420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D8DE7C0" w14:textId="4E36D3C6" w:rsidR="004E6700" w:rsidRDefault="004E6700"/>
    <w:p w14:paraId="39CB7DC4" w14:textId="77777777" w:rsidR="004E6700" w:rsidRDefault="004E6700" w:rsidP="004E6700">
      <w:pPr>
        <w:jc w:val="both"/>
      </w:pPr>
    </w:p>
    <w:p w14:paraId="7297291C" w14:textId="7C234957" w:rsidR="004E6700" w:rsidRPr="00ED5E44" w:rsidRDefault="004E6700" w:rsidP="004E6700">
      <w:pPr>
        <w:jc w:val="center"/>
        <w:rPr>
          <w:b/>
          <w:bCs/>
          <w:noProof/>
          <w:sz w:val="28"/>
          <w:szCs w:val="28"/>
        </w:rPr>
      </w:pPr>
      <w:r>
        <w:rPr>
          <w:b/>
          <w:bCs/>
          <w:noProof/>
          <w:sz w:val="28"/>
          <w:szCs w:val="28"/>
        </w:rPr>
        <w:t xml:space="preserve">                                                          </w:t>
      </w:r>
      <w:r w:rsidRPr="00ED5E44">
        <w:rPr>
          <w:b/>
          <w:bCs/>
          <w:noProof/>
          <w:sz w:val="28"/>
          <w:szCs w:val="28"/>
        </w:rPr>
        <w:t>STUDENT NAME: SIMRET WELDEKDIAN MANNA</w:t>
      </w:r>
    </w:p>
    <w:p w14:paraId="2C111880" w14:textId="77777777" w:rsidR="004E6700" w:rsidRPr="00ED5E44" w:rsidRDefault="004E6700" w:rsidP="004E6700">
      <w:pPr>
        <w:ind w:left="3600"/>
        <w:jc w:val="center"/>
        <w:rPr>
          <w:b/>
          <w:bCs/>
          <w:noProof/>
          <w:sz w:val="28"/>
          <w:szCs w:val="28"/>
        </w:rPr>
      </w:pPr>
      <w:r w:rsidRPr="00ED5E44">
        <w:rPr>
          <w:b/>
          <w:bCs/>
          <w:noProof/>
          <w:sz w:val="28"/>
          <w:szCs w:val="28"/>
        </w:rPr>
        <w:t>Student ID: 2318869</w:t>
      </w:r>
    </w:p>
    <w:p w14:paraId="26E5ADC2" w14:textId="77777777" w:rsidR="004E6700" w:rsidRPr="00ED5E44" w:rsidRDefault="004E6700" w:rsidP="004E6700">
      <w:pPr>
        <w:ind w:left="3600"/>
        <w:jc w:val="center"/>
        <w:rPr>
          <w:b/>
          <w:bCs/>
          <w:noProof/>
          <w:sz w:val="28"/>
          <w:szCs w:val="28"/>
        </w:rPr>
      </w:pPr>
      <w:r w:rsidRPr="00ED5E44">
        <w:rPr>
          <w:b/>
          <w:bCs/>
          <w:noProof/>
          <w:sz w:val="28"/>
          <w:szCs w:val="28"/>
        </w:rPr>
        <w:t>PROGRAMME: BSc Applied Computing</w:t>
      </w:r>
    </w:p>
    <w:p w14:paraId="5447BB59" w14:textId="77777777" w:rsidR="004E6700" w:rsidRPr="00ED5E44" w:rsidRDefault="004E6700" w:rsidP="004E6700">
      <w:pPr>
        <w:ind w:left="3600"/>
        <w:jc w:val="center"/>
        <w:rPr>
          <w:b/>
          <w:bCs/>
          <w:noProof/>
          <w:sz w:val="28"/>
          <w:szCs w:val="28"/>
        </w:rPr>
      </w:pPr>
      <w:r w:rsidRPr="00ED5E44">
        <w:rPr>
          <w:b/>
          <w:bCs/>
          <w:noProof/>
          <w:sz w:val="28"/>
          <w:szCs w:val="28"/>
        </w:rPr>
        <w:t>Module: Data warehousing and data mining</w:t>
      </w:r>
    </w:p>
    <w:p w14:paraId="5EEB374C" w14:textId="77777777" w:rsidR="004E6700" w:rsidRPr="00ED5E44" w:rsidRDefault="004E6700" w:rsidP="004E6700">
      <w:pPr>
        <w:ind w:left="3600"/>
        <w:jc w:val="center"/>
        <w:rPr>
          <w:b/>
          <w:bCs/>
          <w:noProof/>
          <w:sz w:val="28"/>
          <w:szCs w:val="28"/>
        </w:rPr>
      </w:pPr>
      <w:r w:rsidRPr="00ED5E44">
        <w:rPr>
          <w:b/>
          <w:bCs/>
          <w:noProof/>
          <w:sz w:val="28"/>
          <w:szCs w:val="28"/>
        </w:rPr>
        <w:t>Module code: ACCA6026</w:t>
      </w:r>
    </w:p>
    <w:p w14:paraId="00B54304" w14:textId="77777777" w:rsidR="004E6700" w:rsidRPr="00ED5E44" w:rsidRDefault="004E6700" w:rsidP="004E6700">
      <w:pPr>
        <w:ind w:left="3600"/>
        <w:jc w:val="center"/>
        <w:rPr>
          <w:b/>
          <w:bCs/>
          <w:noProof/>
          <w:sz w:val="28"/>
          <w:szCs w:val="28"/>
        </w:rPr>
      </w:pPr>
      <w:r w:rsidRPr="00ED5E44">
        <w:rPr>
          <w:b/>
          <w:bCs/>
          <w:noProof/>
          <w:sz w:val="28"/>
          <w:szCs w:val="28"/>
        </w:rPr>
        <w:t>Lecturer: MD Abrar Jahin Almazi Bipon</w:t>
      </w:r>
    </w:p>
    <w:sdt>
      <w:sdtPr>
        <w:id w:val="670846718"/>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14:paraId="2CC5F3B0" w14:textId="5B8B8F1F" w:rsidR="004E6700" w:rsidRDefault="004E6700">
          <w:pPr>
            <w:pStyle w:val="TOCHeading"/>
          </w:pPr>
          <w:r>
            <w:t>Table of Contents</w:t>
          </w:r>
        </w:p>
        <w:p w14:paraId="1D3E22EE" w14:textId="20314443" w:rsidR="006A3F7F" w:rsidRDefault="004E6700">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34284285" w:history="1">
            <w:r w:rsidR="006A3F7F" w:rsidRPr="003C6E83">
              <w:rPr>
                <w:rStyle w:val="Hyperlink"/>
                <w:rFonts w:ascii="Calibri" w:hAnsi="Calibri" w:cs="Calibri"/>
                <w:b/>
                <w:bCs/>
                <w:noProof/>
              </w:rPr>
              <w:t>Abstract</w:t>
            </w:r>
            <w:r w:rsidR="006A3F7F">
              <w:rPr>
                <w:noProof/>
                <w:webHidden/>
              </w:rPr>
              <w:tab/>
            </w:r>
            <w:r w:rsidR="006A3F7F">
              <w:rPr>
                <w:noProof/>
                <w:webHidden/>
              </w:rPr>
              <w:fldChar w:fldCharType="begin"/>
            </w:r>
            <w:r w:rsidR="006A3F7F">
              <w:rPr>
                <w:noProof/>
                <w:webHidden/>
              </w:rPr>
              <w:instrText xml:space="preserve"> PAGEREF _Toc234284285 \h </w:instrText>
            </w:r>
            <w:r w:rsidR="006A3F7F">
              <w:rPr>
                <w:noProof/>
                <w:webHidden/>
              </w:rPr>
            </w:r>
            <w:r w:rsidR="006A3F7F">
              <w:rPr>
                <w:noProof/>
                <w:webHidden/>
              </w:rPr>
              <w:fldChar w:fldCharType="separate"/>
            </w:r>
            <w:r w:rsidR="006A3F7F">
              <w:rPr>
                <w:noProof/>
                <w:webHidden/>
              </w:rPr>
              <w:t>2</w:t>
            </w:r>
            <w:r w:rsidR="006A3F7F">
              <w:rPr>
                <w:noProof/>
                <w:webHidden/>
              </w:rPr>
              <w:fldChar w:fldCharType="end"/>
            </w:r>
          </w:hyperlink>
        </w:p>
        <w:p w14:paraId="73CED1B6" w14:textId="38EE3C18" w:rsidR="006A3F7F" w:rsidRDefault="006A3F7F">
          <w:pPr>
            <w:pStyle w:val="TOC1"/>
            <w:tabs>
              <w:tab w:val="right" w:leader="dot" w:pos="9350"/>
            </w:tabs>
            <w:rPr>
              <w:rFonts w:eastAsiaTheme="minorEastAsia"/>
              <w:noProof/>
            </w:rPr>
          </w:pPr>
          <w:hyperlink w:anchor="_Toc234284286" w:history="1">
            <w:r w:rsidRPr="003C6E83">
              <w:rPr>
                <w:rStyle w:val="Hyperlink"/>
                <w:rFonts w:ascii="Calibri" w:hAnsi="Calibri" w:cs="Calibri"/>
                <w:b/>
                <w:bCs/>
                <w:noProof/>
              </w:rPr>
              <w:t>Introduction</w:t>
            </w:r>
            <w:r>
              <w:rPr>
                <w:noProof/>
                <w:webHidden/>
              </w:rPr>
              <w:tab/>
            </w:r>
            <w:r>
              <w:rPr>
                <w:noProof/>
                <w:webHidden/>
              </w:rPr>
              <w:fldChar w:fldCharType="begin"/>
            </w:r>
            <w:r>
              <w:rPr>
                <w:noProof/>
                <w:webHidden/>
              </w:rPr>
              <w:instrText xml:space="preserve"> PAGEREF _Toc234284286 \h </w:instrText>
            </w:r>
            <w:r>
              <w:rPr>
                <w:noProof/>
                <w:webHidden/>
              </w:rPr>
            </w:r>
            <w:r>
              <w:rPr>
                <w:noProof/>
                <w:webHidden/>
              </w:rPr>
              <w:fldChar w:fldCharType="separate"/>
            </w:r>
            <w:r>
              <w:rPr>
                <w:noProof/>
                <w:webHidden/>
              </w:rPr>
              <w:t>2</w:t>
            </w:r>
            <w:r>
              <w:rPr>
                <w:noProof/>
                <w:webHidden/>
              </w:rPr>
              <w:fldChar w:fldCharType="end"/>
            </w:r>
          </w:hyperlink>
        </w:p>
        <w:p w14:paraId="6050175F" w14:textId="36C8EF02" w:rsidR="006A3F7F" w:rsidRDefault="006A3F7F">
          <w:pPr>
            <w:pStyle w:val="TOC1"/>
            <w:tabs>
              <w:tab w:val="right" w:leader="dot" w:pos="9350"/>
            </w:tabs>
            <w:rPr>
              <w:rFonts w:eastAsiaTheme="minorEastAsia"/>
              <w:noProof/>
            </w:rPr>
          </w:pPr>
          <w:hyperlink w:anchor="_Toc234284287" w:history="1">
            <w:r w:rsidRPr="003C6E83">
              <w:rPr>
                <w:rStyle w:val="Hyperlink"/>
                <w:rFonts w:ascii="Calibri" w:hAnsi="Calibri" w:cs="Calibri"/>
                <w:b/>
                <w:bCs/>
                <w:noProof/>
              </w:rPr>
              <w:t>Strategic Data Warehouse for NHS England</w:t>
            </w:r>
            <w:r>
              <w:rPr>
                <w:noProof/>
                <w:webHidden/>
              </w:rPr>
              <w:tab/>
            </w:r>
            <w:r>
              <w:rPr>
                <w:noProof/>
                <w:webHidden/>
              </w:rPr>
              <w:fldChar w:fldCharType="begin"/>
            </w:r>
            <w:r>
              <w:rPr>
                <w:noProof/>
                <w:webHidden/>
              </w:rPr>
              <w:instrText xml:space="preserve"> PAGEREF _Toc234284287 \h </w:instrText>
            </w:r>
            <w:r>
              <w:rPr>
                <w:noProof/>
                <w:webHidden/>
              </w:rPr>
            </w:r>
            <w:r>
              <w:rPr>
                <w:noProof/>
                <w:webHidden/>
              </w:rPr>
              <w:fldChar w:fldCharType="separate"/>
            </w:r>
            <w:r>
              <w:rPr>
                <w:noProof/>
                <w:webHidden/>
              </w:rPr>
              <w:t>3</w:t>
            </w:r>
            <w:r>
              <w:rPr>
                <w:noProof/>
                <w:webHidden/>
              </w:rPr>
              <w:fldChar w:fldCharType="end"/>
            </w:r>
          </w:hyperlink>
        </w:p>
        <w:p w14:paraId="7B9D72D9" w14:textId="0C1AEB83" w:rsidR="006A3F7F" w:rsidRDefault="006A3F7F">
          <w:pPr>
            <w:pStyle w:val="TOC1"/>
            <w:tabs>
              <w:tab w:val="right" w:leader="dot" w:pos="9350"/>
            </w:tabs>
            <w:rPr>
              <w:rFonts w:eastAsiaTheme="minorEastAsia"/>
              <w:noProof/>
            </w:rPr>
          </w:pPr>
          <w:hyperlink w:anchor="_Toc234284288" w:history="1">
            <w:r w:rsidRPr="003C6E83">
              <w:rPr>
                <w:rStyle w:val="Hyperlink"/>
                <w:rFonts w:ascii="Calibri" w:hAnsi="Calibri" w:cs="Calibri"/>
                <w:b/>
                <w:bCs/>
                <w:noProof/>
              </w:rPr>
              <w:t>Task 1, Foundational Understanding and Initial Design</w:t>
            </w:r>
            <w:r>
              <w:rPr>
                <w:noProof/>
                <w:webHidden/>
              </w:rPr>
              <w:tab/>
            </w:r>
            <w:r>
              <w:rPr>
                <w:noProof/>
                <w:webHidden/>
              </w:rPr>
              <w:fldChar w:fldCharType="begin"/>
            </w:r>
            <w:r>
              <w:rPr>
                <w:noProof/>
                <w:webHidden/>
              </w:rPr>
              <w:instrText xml:space="preserve"> PAGEREF _Toc234284288 \h </w:instrText>
            </w:r>
            <w:r>
              <w:rPr>
                <w:noProof/>
                <w:webHidden/>
              </w:rPr>
            </w:r>
            <w:r>
              <w:rPr>
                <w:noProof/>
                <w:webHidden/>
              </w:rPr>
              <w:fldChar w:fldCharType="separate"/>
            </w:r>
            <w:r>
              <w:rPr>
                <w:noProof/>
                <w:webHidden/>
              </w:rPr>
              <w:t>3</w:t>
            </w:r>
            <w:r>
              <w:rPr>
                <w:noProof/>
                <w:webHidden/>
              </w:rPr>
              <w:fldChar w:fldCharType="end"/>
            </w:r>
          </w:hyperlink>
        </w:p>
        <w:p w14:paraId="624BD8C7" w14:textId="78194154" w:rsidR="006A3F7F" w:rsidRDefault="006A3F7F">
          <w:pPr>
            <w:pStyle w:val="TOC1"/>
            <w:tabs>
              <w:tab w:val="right" w:leader="dot" w:pos="9350"/>
            </w:tabs>
            <w:rPr>
              <w:rFonts w:eastAsiaTheme="minorEastAsia"/>
              <w:noProof/>
            </w:rPr>
          </w:pPr>
          <w:hyperlink w:anchor="_Toc234284289" w:history="1">
            <w:r w:rsidRPr="003C6E83">
              <w:rPr>
                <w:rStyle w:val="Hyperlink"/>
                <w:rFonts w:ascii="Calibri" w:hAnsi="Calibri" w:cs="Calibri"/>
                <w:b/>
                <w:bCs/>
                <w:noProof/>
              </w:rPr>
              <w:t>1.2  Data Warehouse Architecture and ETL</w:t>
            </w:r>
            <w:r>
              <w:rPr>
                <w:noProof/>
                <w:webHidden/>
              </w:rPr>
              <w:tab/>
            </w:r>
            <w:r>
              <w:rPr>
                <w:noProof/>
                <w:webHidden/>
              </w:rPr>
              <w:fldChar w:fldCharType="begin"/>
            </w:r>
            <w:r>
              <w:rPr>
                <w:noProof/>
                <w:webHidden/>
              </w:rPr>
              <w:instrText xml:space="preserve"> PAGEREF _Toc234284289 \h </w:instrText>
            </w:r>
            <w:r>
              <w:rPr>
                <w:noProof/>
                <w:webHidden/>
              </w:rPr>
            </w:r>
            <w:r>
              <w:rPr>
                <w:noProof/>
                <w:webHidden/>
              </w:rPr>
              <w:fldChar w:fldCharType="separate"/>
            </w:r>
            <w:r>
              <w:rPr>
                <w:noProof/>
                <w:webHidden/>
              </w:rPr>
              <w:t>4</w:t>
            </w:r>
            <w:r>
              <w:rPr>
                <w:noProof/>
                <w:webHidden/>
              </w:rPr>
              <w:fldChar w:fldCharType="end"/>
            </w:r>
          </w:hyperlink>
        </w:p>
        <w:p w14:paraId="12C84481" w14:textId="2D050890" w:rsidR="006A3F7F" w:rsidRDefault="006A3F7F">
          <w:pPr>
            <w:pStyle w:val="TOC1"/>
            <w:tabs>
              <w:tab w:val="right" w:leader="dot" w:pos="9350"/>
            </w:tabs>
            <w:rPr>
              <w:rFonts w:eastAsiaTheme="minorEastAsia"/>
              <w:noProof/>
            </w:rPr>
          </w:pPr>
          <w:hyperlink w:anchor="_Toc234284290" w:history="1">
            <w:r w:rsidRPr="003C6E83">
              <w:rPr>
                <w:rStyle w:val="Hyperlink"/>
                <w:rFonts w:ascii="Calibri" w:hAnsi="Calibri" w:cs="Calibri"/>
                <w:b/>
                <w:bCs/>
                <w:noProof/>
              </w:rPr>
              <w:t>1.3   Data Marts for Executive Decision-Making</w:t>
            </w:r>
            <w:r>
              <w:rPr>
                <w:noProof/>
                <w:webHidden/>
              </w:rPr>
              <w:tab/>
            </w:r>
            <w:r>
              <w:rPr>
                <w:noProof/>
                <w:webHidden/>
              </w:rPr>
              <w:fldChar w:fldCharType="begin"/>
            </w:r>
            <w:r>
              <w:rPr>
                <w:noProof/>
                <w:webHidden/>
              </w:rPr>
              <w:instrText xml:space="preserve"> PAGEREF _Toc234284290 \h </w:instrText>
            </w:r>
            <w:r>
              <w:rPr>
                <w:noProof/>
                <w:webHidden/>
              </w:rPr>
            </w:r>
            <w:r>
              <w:rPr>
                <w:noProof/>
                <w:webHidden/>
              </w:rPr>
              <w:fldChar w:fldCharType="separate"/>
            </w:r>
            <w:r>
              <w:rPr>
                <w:noProof/>
                <w:webHidden/>
              </w:rPr>
              <w:t>5</w:t>
            </w:r>
            <w:r>
              <w:rPr>
                <w:noProof/>
                <w:webHidden/>
              </w:rPr>
              <w:fldChar w:fldCharType="end"/>
            </w:r>
          </w:hyperlink>
        </w:p>
        <w:p w14:paraId="27F8C628" w14:textId="165D1A8A" w:rsidR="006A3F7F" w:rsidRDefault="006A3F7F">
          <w:pPr>
            <w:pStyle w:val="TOC1"/>
            <w:tabs>
              <w:tab w:val="right" w:leader="dot" w:pos="9350"/>
            </w:tabs>
            <w:rPr>
              <w:rFonts w:eastAsiaTheme="minorEastAsia"/>
              <w:noProof/>
            </w:rPr>
          </w:pPr>
          <w:hyperlink w:anchor="_Toc234284291" w:history="1">
            <w:r w:rsidRPr="003C6E83">
              <w:rPr>
                <w:rStyle w:val="Hyperlink"/>
                <w:rFonts w:ascii="Calibri" w:hAnsi="Calibri" w:cs="Calibri"/>
                <w:b/>
                <w:bCs/>
                <w:noProof/>
              </w:rPr>
              <w:t>1.4  Normalisation vs. Dimensional Modelling</w:t>
            </w:r>
            <w:r>
              <w:rPr>
                <w:noProof/>
                <w:webHidden/>
              </w:rPr>
              <w:tab/>
            </w:r>
            <w:r>
              <w:rPr>
                <w:noProof/>
                <w:webHidden/>
              </w:rPr>
              <w:fldChar w:fldCharType="begin"/>
            </w:r>
            <w:r>
              <w:rPr>
                <w:noProof/>
                <w:webHidden/>
              </w:rPr>
              <w:instrText xml:space="preserve"> PAGEREF _Toc234284291 \h </w:instrText>
            </w:r>
            <w:r>
              <w:rPr>
                <w:noProof/>
                <w:webHidden/>
              </w:rPr>
            </w:r>
            <w:r>
              <w:rPr>
                <w:noProof/>
                <w:webHidden/>
              </w:rPr>
              <w:fldChar w:fldCharType="separate"/>
            </w:r>
            <w:r>
              <w:rPr>
                <w:noProof/>
                <w:webHidden/>
              </w:rPr>
              <w:t>6</w:t>
            </w:r>
            <w:r>
              <w:rPr>
                <w:noProof/>
                <w:webHidden/>
              </w:rPr>
              <w:fldChar w:fldCharType="end"/>
            </w:r>
          </w:hyperlink>
        </w:p>
        <w:p w14:paraId="0DD6B657" w14:textId="1C8592E1" w:rsidR="006A3F7F" w:rsidRDefault="006A3F7F">
          <w:pPr>
            <w:pStyle w:val="TOC1"/>
            <w:tabs>
              <w:tab w:val="right" w:leader="dot" w:pos="9350"/>
            </w:tabs>
            <w:rPr>
              <w:rFonts w:eastAsiaTheme="minorEastAsia"/>
              <w:noProof/>
            </w:rPr>
          </w:pPr>
          <w:hyperlink w:anchor="_Toc234284292" w:history="1">
            <w:r w:rsidRPr="003C6E83">
              <w:rPr>
                <w:rStyle w:val="Hyperlink"/>
                <w:rFonts w:ascii="Calibri" w:hAnsi="Calibri" w:cs="Calibri"/>
                <w:b/>
                <w:bCs/>
                <w:noProof/>
              </w:rPr>
              <w:t>Task 2  Design and Implementation Plan</w:t>
            </w:r>
            <w:r>
              <w:rPr>
                <w:noProof/>
                <w:webHidden/>
              </w:rPr>
              <w:tab/>
            </w:r>
            <w:r>
              <w:rPr>
                <w:noProof/>
                <w:webHidden/>
              </w:rPr>
              <w:fldChar w:fldCharType="begin"/>
            </w:r>
            <w:r>
              <w:rPr>
                <w:noProof/>
                <w:webHidden/>
              </w:rPr>
              <w:instrText xml:space="preserve"> PAGEREF _Toc234284292 \h </w:instrText>
            </w:r>
            <w:r>
              <w:rPr>
                <w:noProof/>
                <w:webHidden/>
              </w:rPr>
            </w:r>
            <w:r>
              <w:rPr>
                <w:noProof/>
                <w:webHidden/>
              </w:rPr>
              <w:fldChar w:fldCharType="separate"/>
            </w:r>
            <w:r>
              <w:rPr>
                <w:noProof/>
                <w:webHidden/>
              </w:rPr>
              <w:t>8</w:t>
            </w:r>
            <w:r>
              <w:rPr>
                <w:noProof/>
                <w:webHidden/>
              </w:rPr>
              <w:fldChar w:fldCharType="end"/>
            </w:r>
          </w:hyperlink>
        </w:p>
        <w:p w14:paraId="011DD7DD" w14:textId="5209E7C9" w:rsidR="006A3F7F" w:rsidRDefault="006A3F7F">
          <w:pPr>
            <w:pStyle w:val="TOC1"/>
            <w:tabs>
              <w:tab w:val="right" w:leader="dot" w:pos="9350"/>
            </w:tabs>
            <w:rPr>
              <w:rFonts w:eastAsiaTheme="minorEastAsia"/>
              <w:noProof/>
            </w:rPr>
          </w:pPr>
          <w:hyperlink w:anchor="_Toc234284293" w:history="1">
            <w:r w:rsidRPr="003C6E83">
              <w:rPr>
                <w:rStyle w:val="Hyperlink"/>
                <w:rFonts w:ascii="Calibri" w:hAnsi="Calibri" w:cs="Calibri"/>
                <w:b/>
                <w:bCs/>
                <w:noProof/>
              </w:rPr>
              <w:t>2.1  Source System Identification</w:t>
            </w:r>
            <w:r>
              <w:rPr>
                <w:noProof/>
                <w:webHidden/>
              </w:rPr>
              <w:tab/>
            </w:r>
            <w:r>
              <w:rPr>
                <w:noProof/>
                <w:webHidden/>
              </w:rPr>
              <w:fldChar w:fldCharType="begin"/>
            </w:r>
            <w:r>
              <w:rPr>
                <w:noProof/>
                <w:webHidden/>
              </w:rPr>
              <w:instrText xml:space="preserve"> PAGEREF _Toc234284293 \h </w:instrText>
            </w:r>
            <w:r>
              <w:rPr>
                <w:noProof/>
                <w:webHidden/>
              </w:rPr>
            </w:r>
            <w:r>
              <w:rPr>
                <w:noProof/>
                <w:webHidden/>
              </w:rPr>
              <w:fldChar w:fldCharType="separate"/>
            </w:r>
            <w:r>
              <w:rPr>
                <w:noProof/>
                <w:webHidden/>
              </w:rPr>
              <w:t>8</w:t>
            </w:r>
            <w:r>
              <w:rPr>
                <w:noProof/>
                <w:webHidden/>
              </w:rPr>
              <w:fldChar w:fldCharType="end"/>
            </w:r>
          </w:hyperlink>
        </w:p>
        <w:p w14:paraId="70EEEBDC" w14:textId="6D2A7DBF" w:rsidR="006A3F7F" w:rsidRDefault="006A3F7F">
          <w:pPr>
            <w:pStyle w:val="TOC1"/>
            <w:tabs>
              <w:tab w:val="right" w:leader="dot" w:pos="9350"/>
            </w:tabs>
            <w:rPr>
              <w:rFonts w:eastAsiaTheme="minorEastAsia"/>
              <w:noProof/>
            </w:rPr>
          </w:pPr>
          <w:hyperlink w:anchor="_Toc234284294" w:history="1">
            <w:r w:rsidRPr="003C6E83">
              <w:rPr>
                <w:rStyle w:val="Hyperlink"/>
                <w:rFonts w:ascii="Calibri" w:hAnsi="Calibri" w:cs="Calibri"/>
                <w:b/>
                <w:bCs/>
                <w:noProof/>
              </w:rPr>
              <w:t>2.2  Star Schema Design</w:t>
            </w:r>
            <w:r>
              <w:rPr>
                <w:noProof/>
                <w:webHidden/>
              </w:rPr>
              <w:tab/>
            </w:r>
            <w:r>
              <w:rPr>
                <w:noProof/>
                <w:webHidden/>
              </w:rPr>
              <w:fldChar w:fldCharType="begin"/>
            </w:r>
            <w:r>
              <w:rPr>
                <w:noProof/>
                <w:webHidden/>
              </w:rPr>
              <w:instrText xml:space="preserve"> PAGEREF _Toc234284294 \h </w:instrText>
            </w:r>
            <w:r>
              <w:rPr>
                <w:noProof/>
                <w:webHidden/>
              </w:rPr>
            </w:r>
            <w:r>
              <w:rPr>
                <w:noProof/>
                <w:webHidden/>
              </w:rPr>
              <w:fldChar w:fldCharType="separate"/>
            </w:r>
            <w:r>
              <w:rPr>
                <w:noProof/>
                <w:webHidden/>
              </w:rPr>
              <w:t>8</w:t>
            </w:r>
            <w:r>
              <w:rPr>
                <w:noProof/>
                <w:webHidden/>
              </w:rPr>
              <w:fldChar w:fldCharType="end"/>
            </w:r>
          </w:hyperlink>
        </w:p>
        <w:p w14:paraId="18DB4811" w14:textId="7C59736E" w:rsidR="006A3F7F" w:rsidRDefault="006A3F7F">
          <w:pPr>
            <w:pStyle w:val="TOC1"/>
            <w:tabs>
              <w:tab w:val="right" w:leader="dot" w:pos="9350"/>
            </w:tabs>
            <w:rPr>
              <w:rFonts w:eastAsiaTheme="minorEastAsia"/>
              <w:noProof/>
            </w:rPr>
          </w:pPr>
          <w:hyperlink w:anchor="_Toc234284295" w:history="1">
            <w:r w:rsidRPr="003C6E83">
              <w:rPr>
                <w:rStyle w:val="Hyperlink"/>
                <w:rFonts w:ascii="Calibri" w:hAnsi="Calibri" w:cs="Calibri"/>
                <w:b/>
                <w:bCs/>
                <w:noProof/>
              </w:rPr>
              <w:t>2.3  Data Marts and Schemas</w:t>
            </w:r>
            <w:r>
              <w:rPr>
                <w:noProof/>
                <w:webHidden/>
              </w:rPr>
              <w:tab/>
            </w:r>
            <w:r>
              <w:rPr>
                <w:noProof/>
                <w:webHidden/>
              </w:rPr>
              <w:fldChar w:fldCharType="begin"/>
            </w:r>
            <w:r>
              <w:rPr>
                <w:noProof/>
                <w:webHidden/>
              </w:rPr>
              <w:instrText xml:space="preserve"> PAGEREF _Toc234284295 \h </w:instrText>
            </w:r>
            <w:r>
              <w:rPr>
                <w:noProof/>
                <w:webHidden/>
              </w:rPr>
            </w:r>
            <w:r>
              <w:rPr>
                <w:noProof/>
                <w:webHidden/>
              </w:rPr>
              <w:fldChar w:fldCharType="separate"/>
            </w:r>
            <w:r>
              <w:rPr>
                <w:noProof/>
                <w:webHidden/>
              </w:rPr>
              <w:t>9</w:t>
            </w:r>
            <w:r>
              <w:rPr>
                <w:noProof/>
                <w:webHidden/>
              </w:rPr>
              <w:fldChar w:fldCharType="end"/>
            </w:r>
          </w:hyperlink>
        </w:p>
        <w:p w14:paraId="2F687DD5" w14:textId="4D25A1A9" w:rsidR="006A3F7F" w:rsidRDefault="006A3F7F">
          <w:pPr>
            <w:pStyle w:val="TOC1"/>
            <w:tabs>
              <w:tab w:val="right" w:leader="dot" w:pos="9350"/>
            </w:tabs>
            <w:rPr>
              <w:rFonts w:eastAsiaTheme="minorEastAsia"/>
              <w:noProof/>
            </w:rPr>
          </w:pPr>
          <w:hyperlink w:anchor="_Toc234284296" w:history="1">
            <w:r w:rsidRPr="003C6E83">
              <w:rPr>
                <w:rStyle w:val="Hyperlink"/>
                <w:rFonts w:ascii="Calibri" w:hAnsi="Calibri" w:cs="Calibri"/>
                <w:b/>
                <w:bCs/>
                <w:noProof/>
              </w:rPr>
              <w:t>2.4  ETL Plan</w:t>
            </w:r>
            <w:r>
              <w:rPr>
                <w:noProof/>
                <w:webHidden/>
              </w:rPr>
              <w:tab/>
            </w:r>
            <w:r>
              <w:rPr>
                <w:noProof/>
                <w:webHidden/>
              </w:rPr>
              <w:fldChar w:fldCharType="begin"/>
            </w:r>
            <w:r>
              <w:rPr>
                <w:noProof/>
                <w:webHidden/>
              </w:rPr>
              <w:instrText xml:space="preserve"> PAGEREF _Toc234284296 \h </w:instrText>
            </w:r>
            <w:r>
              <w:rPr>
                <w:noProof/>
                <w:webHidden/>
              </w:rPr>
            </w:r>
            <w:r>
              <w:rPr>
                <w:noProof/>
                <w:webHidden/>
              </w:rPr>
              <w:fldChar w:fldCharType="separate"/>
            </w:r>
            <w:r>
              <w:rPr>
                <w:noProof/>
                <w:webHidden/>
              </w:rPr>
              <w:t>11</w:t>
            </w:r>
            <w:r>
              <w:rPr>
                <w:noProof/>
                <w:webHidden/>
              </w:rPr>
              <w:fldChar w:fldCharType="end"/>
            </w:r>
          </w:hyperlink>
        </w:p>
        <w:p w14:paraId="56B01D0F" w14:textId="19EB49EA" w:rsidR="006A3F7F" w:rsidRDefault="006A3F7F">
          <w:pPr>
            <w:pStyle w:val="TOC1"/>
            <w:tabs>
              <w:tab w:val="right" w:leader="dot" w:pos="9350"/>
            </w:tabs>
            <w:rPr>
              <w:rFonts w:eastAsiaTheme="minorEastAsia"/>
              <w:noProof/>
            </w:rPr>
          </w:pPr>
          <w:hyperlink w:anchor="_Toc234284297" w:history="1">
            <w:r w:rsidRPr="003C6E83">
              <w:rPr>
                <w:rStyle w:val="Hyperlink"/>
                <w:rFonts w:ascii="Calibri" w:hAnsi="Calibri" w:cs="Calibri"/>
                <w:b/>
                <w:bCs/>
                <w:noProof/>
              </w:rPr>
              <w:t>2.5  Data Quality and Governance</w:t>
            </w:r>
            <w:r>
              <w:rPr>
                <w:noProof/>
                <w:webHidden/>
              </w:rPr>
              <w:tab/>
            </w:r>
            <w:r>
              <w:rPr>
                <w:noProof/>
                <w:webHidden/>
              </w:rPr>
              <w:fldChar w:fldCharType="begin"/>
            </w:r>
            <w:r>
              <w:rPr>
                <w:noProof/>
                <w:webHidden/>
              </w:rPr>
              <w:instrText xml:space="preserve"> PAGEREF _Toc234284297 \h </w:instrText>
            </w:r>
            <w:r>
              <w:rPr>
                <w:noProof/>
                <w:webHidden/>
              </w:rPr>
            </w:r>
            <w:r>
              <w:rPr>
                <w:noProof/>
                <w:webHidden/>
              </w:rPr>
              <w:fldChar w:fldCharType="separate"/>
            </w:r>
            <w:r>
              <w:rPr>
                <w:noProof/>
                <w:webHidden/>
              </w:rPr>
              <w:t>12</w:t>
            </w:r>
            <w:r>
              <w:rPr>
                <w:noProof/>
                <w:webHidden/>
              </w:rPr>
              <w:fldChar w:fldCharType="end"/>
            </w:r>
          </w:hyperlink>
        </w:p>
        <w:p w14:paraId="3D57A9A2" w14:textId="19DF3874" w:rsidR="006A3F7F" w:rsidRDefault="006A3F7F">
          <w:pPr>
            <w:pStyle w:val="TOC1"/>
            <w:tabs>
              <w:tab w:val="right" w:leader="dot" w:pos="9350"/>
            </w:tabs>
            <w:rPr>
              <w:rFonts w:eastAsiaTheme="minorEastAsia"/>
              <w:noProof/>
            </w:rPr>
          </w:pPr>
          <w:hyperlink w:anchor="_Toc234284298" w:history="1">
            <w:r w:rsidRPr="003C6E83">
              <w:rPr>
                <w:rStyle w:val="Hyperlink"/>
                <w:rFonts w:ascii="Calibri" w:hAnsi="Calibri" w:cs="Calibri"/>
                <w:b/>
                <w:bCs/>
                <w:noProof/>
              </w:rPr>
              <w:t>Conclusion</w:t>
            </w:r>
            <w:r>
              <w:rPr>
                <w:noProof/>
                <w:webHidden/>
              </w:rPr>
              <w:tab/>
            </w:r>
            <w:r>
              <w:rPr>
                <w:noProof/>
                <w:webHidden/>
              </w:rPr>
              <w:fldChar w:fldCharType="begin"/>
            </w:r>
            <w:r>
              <w:rPr>
                <w:noProof/>
                <w:webHidden/>
              </w:rPr>
              <w:instrText xml:space="preserve"> PAGEREF _Toc234284298 \h </w:instrText>
            </w:r>
            <w:r>
              <w:rPr>
                <w:noProof/>
                <w:webHidden/>
              </w:rPr>
            </w:r>
            <w:r>
              <w:rPr>
                <w:noProof/>
                <w:webHidden/>
              </w:rPr>
              <w:fldChar w:fldCharType="separate"/>
            </w:r>
            <w:r>
              <w:rPr>
                <w:noProof/>
                <w:webHidden/>
              </w:rPr>
              <w:t>12</w:t>
            </w:r>
            <w:r>
              <w:rPr>
                <w:noProof/>
                <w:webHidden/>
              </w:rPr>
              <w:fldChar w:fldCharType="end"/>
            </w:r>
          </w:hyperlink>
        </w:p>
        <w:p w14:paraId="671375E1" w14:textId="50B4191B" w:rsidR="006A3F7F" w:rsidRDefault="006A3F7F">
          <w:pPr>
            <w:pStyle w:val="TOC1"/>
            <w:tabs>
              <w:tab w:val="right" w:leader="dot" w:pos="9350"/>
            </w:tabs>
            <w:rPr>
              <w:rFonts w:eastAsiaTheme="minorEastAsia"/>
              <w:noProof/>
            </w:rPr>
          </w:pPr>
          <w:hyperlink w:anchor="_Toc234284299" w:history="1">
            <w:r w:rsidRPr="003C6E83">
              <w:rPr>
                <w:rStyle w:val="Hyperlink"/>
                <w:rFonts w:ascii="Calibri" w:hAnsi="Calibri" w:cs="Calibri"/>
                <w:b/>
                <w:bCs/>
                <w:noProof/>
              </w:rPr>
              <w:t>References (IEEE)</w:t>
            </w:r>
            <w:r>
              <w:rPr>
                <w:noProof/>
                <w:webHidden/>
              </w:rPr>
              <w:tab/>
            </w:r>
            <w:r>
              <w:rPr>
                <w:noProof/>
                <w:webHidden/>
              </w:rPr>
              <w:fldChar w:fldCharType="begin"/>
            </w:r>
            <w:r>
              <w:rPr>
                <w:noProof/>
                <w:webHidden/>
              </w:rPr>
              <w:instrText xml:space="preserve"> PAGEREF _Toc234284299 \h </w:instrText>
            </w:r>
            <w:r>
              <w:rPr>
                <w:noProof/>
                <w:webHidden/>
              </w:rPr>
            </w:r>
            <w:r>
              <w:rPr>
                <w:noProof/>
                <w:webHidden/>
              </w:rPr>
              <w:fldChar w:fldCharType="separate"/>
            </w:r>
            <w:r>
              <w:rPr>
                <w:noProof/>
                <w:webHidden/>
              </w:rPr>
              <w:t>13</w:t>
            </w:r>
            <w:r>
              <w:rPr>
                <w:noProof/>
                <w:webHidden/>
              </w:rPr>
              <w:fldChar w:fldCharType="end"/>
            </w:r>
          </w:hyperlink>
        </w:p>
        <w:p w14:paraId="412260B6" w14:textId="709E2442" w:rsidR="004E6700" w:rsidRDefault="004E6700">
          <w:r>
            <w:rPr>
              <w:b/>
              <w:bCs/>
              <w:noProof/>
            </w:rPr>
            <w:fldChar w:fldCharType="end"/>
          </w:r>
        </w:p>
      </w:sdtContent>
    </w:sdt>
    <w:p w14:paraId="441C861F" w14:textId="77777777" w:rsidR="004E6700" w:rsidRDefault="004E6700" w:rsidP="004E6700">
      <w:pPr>
        <w:jc w:val="both"/>
      </w:pPr>
    </w:p>
    <w:p w14:paraId="6A74EBAE" w14:textId="77777777" w:rsidR="004E6700" w:rsidRPr="00EE2A63" w:rsidRDefault="004E6700" w:rsidP="004E6700">
      <w:pPr>
        <w:pStyle w:val="Heading1"/>
        <w:rPr>
          <w:rFonts w:ascii="Calibri" w:hAnsi="Calibri" w:cs="Calibri"/>
          <w:b/>
          <w:bCs/>
          <w:sz w:val="32"/>
          <w:szCs w:val="32"/>
        </w:rPr>
      </w:pPr>
      <w:bookmarkStart w:id="0" w:name="_Toc234260192"/>
      <w:bookmarkStart w:id="1" w:name="_Toc234284285"/>
      <w:r w:rsidRPr="00EE2A63">
        <w:rPr>
          <w:rFonts w:ascii="Calibri" w:hAnsi="Calibri" w:cs="Calibri"/>
          <w:b/>
          <w:bCs/>
          <w:sz w:val="32"/>
          <w:szCs w:val="32"/>
        </w:rPr>
        <w:lastRenderedPageBreak/>
        <w:t>Abstract</w:t>
      </w:r>
      <w:bookmarkEnd w:id="0"/>
      <w:bookmarkEnd w:id="1"/>
    </w:p>
    <w:p w14:paraId="228262D5" w14:textId="5D7230ED" w:rsidR="004E6700" w:rsidRDefault="004E6700" w:rsidP="00DF059B">
      <w:pPr>
        <w:jc w:val="both"/>
      </w:pPr>
      <w:r w:rsidRPr="004954AA">
        <w:t>Today, the NHS has information stored in systems that are primarily intended for day-to-day processes and not analysis. That creates a situation where data is spread thin across a wide array of tools, resulting in misaligned numbers, delayed reporting and inability to get a broader view of data from across services. This report outlines a plan to implement a centrally located, secure data warehouse. It discusses the difference between the systems used for everyday working and this new "central store" system and how one type works for everyday use and is simple and quick, while the other type works in the other way with information easily searched, compared and analyzed over months or years. The design is built in clear steps: Information is copied from existing systems in a safe way, checked and cleaned, and stored in a standard manner, with a consistent meaning for all. Patient information is secure in compliance with privacy regulations and access is limited. There are special views for each team: one for performance, one for money and one for patient safety. The result is a trusted source of information. It can help the NHS to be more efficient, identify issues earlier, plan more effectively for the future and ensure that decisions are made on accurate facts</w:t>
      </w:r>
      <w:r w:rsidR="007077AB">
        <w:t>.</w:t>
      </w:r>
    </w:p>
    <w:p w14:paraId="7503BEAD" w14:textId="77777777" w:rsidR="004E6700" w:rsidRDefault="004E6700" w:rsidP="00DF059B">
      <w:pPr>
        <w:jc w:val="both"/>
      </w:pPr>
    </w:p>
    <w:p w14:paraId="7CECD1A3" w14:textId="77777777" w:rsidR="004E6700" w:rsidRPr="00EE2A63" w:rsidRDefault="004E6700" w:rsidP="00DF059B">
      <w:pPr>
        <w:pStyle w:val="Heading1"/>
        <w:jc w:val="both"/>
        <w:rPr>
          <w:rFonts w:ascii="Calibri" w:hAnsi="Calibri" w:cs="Calibri"/>
          <w:b/>
          <w:bCs/>
          <w:sz w:val="32"/>
          <w:szCs w:val="32"/>
        </w:rPr>
      </w:pPr>
      <w:bookmarkStart w:id="2" w:name="_Toc234260193"/>
      <w:bookmarkStart w:id="3" w:name="_Toc234284286"/>
      <w:r w:rsidRPr="00EE2A63">
        <w:rPr>
          <w:rFonts w:ascii="Calibri" w:hAnsi="Calibri" w:cs="Calibri"/>
          <w:b/>
          <w:bCs/>
          <w:sz w:val="32"/>
          <w:szCs w:val="32"/>
        </w:rPr>
        <w:t>Introduction</w:t>
      </w:r>
      <w:bookmarkEnd w:id="2"/>
      <w:bookmarkEnd w:id="3"/>
    </w:p>
    <w:p w14:paraId="24334F2E" w14:textId="77777777" w:rsidR="004E6700" w:rsidRDefault="004E6700" w:rsidP="00DF059B">
      <w:pPr>
        <w:jc w:val="both"/>
      </w:pPr>
    </w:p>
    <w:p w14:paraId="5F716004" w14:textId="77777777" w:rsidR="004E6700" w:rsidRPr="005D2EE8" w:rsidRDefault="004E6700" w:rsidP="00DF059B">
      <w:pPr>
        <w:jc w:val="both"/>
      </w:pPr>
      <w:r w:rsidRPr="005D2EE8">
        <w:t>NHS England is one of the world's largest healthcare systems, with vast amounts of data stored on patients, staff, finance and services. Now, however, all that information is stored on hundreds of individual computer systems that book appointments, store patient records, pay employees and deal with budgets.</w:t>
      </w:r>
    </w:p>
    <w:p w14:paraId="1B7D5E29" w14:textId="77777777" w:rsidR="004E6700" w:rsidRPr="005D2EE8" w:rsidRDefault="004E6700" w:rsidP="00DF059B">
      <w:pPr>
        <w:jc w:val="both"/>
      </w:pPr>
      <w:r w:rsidRPr="005D2EE8">
        <w:t>When it comes to big questions – such as admission or ordering medicines for the day these systems work well. The information is not consolidated, different teams have different numbers for the same information, reports take a long time to put together, and it is difficult to see long-term trends or act on them appropriately.</w:t>
      </w:r>
    </w:p>
    <w:p w14:paraId="24B989EB" w14:textId="4D015940" w:rsidR="004E6700" w:rsidRDefault="004E6700" w:rsidP="00DF059B">
      <w:pPr>
        <w:jc w:val="both"/>
      </w:pPr>
      <w:r w:rsidRPr="005D2EE8">
        <w:t>This document describes the Strategic Data Warehouse – a secure repository in which all this information is consolidated and synchronized in a consistent format. It will not jam the medical treatment systems used by doctors and nurses. Rather, it will transform discrete pieces of information into clear, reliable information that can be used by leaders, finance, and clinical staff to make better decisions, run services more smoothly, enhance the care that patients receive without incurring unnecessary costs.</w:t>
      </w:r>
    </w:p>
    <w:p w14:paraId="4D0FAE2F" w14:textId="77777777" w:rsidR="004E6700" w:rsidRPr="004E6700" w:rsidRDefault="004E6700" w:rsidP="004E6700">
      <w:pPr>
        <w:pStyle w:val="Heading1"/>
        <w:rPr>
          <w:rFonts w:ascii="Calibri" w:hAnsi="Calibri" w:cs="Calibri"/>
          <w:b/>
          <w:bCs/>
          <w:sz w:val="32"/>
          <w:szCs w:val="32"/>
        </w:rPr>
      </w:pPr>
      <w:bookmarkStart w:id="4" w:name="_Toc234260194"/>
      <w:bookmarkStart w:id="5" w:name="_Toc234284287"/>
      <w:r w:rsidRPr="004E6700">
        <w:rPr>
          <w:rFonts w:ascii="Calibri" w:hAnsi="Calibri" w:cs="Calibri"/>
          <w:b/>
          <w:bCs/>
          <w:sz w:val="32"/>
          <w:szCs w:val="32"/>
        </w:rPr>
        <w:lastRenderedPageBreak/>
        <w:t>Strategic Data Warehouse for NHS England</w:t>
      </w:r>
      <w:bookmarkEnd w:id="4"/>
      <w:bookmarkEnd w:id="5"/>
    </w:p>
    <w:p w14:paraId="6D9A154B" w14:textId="74A26190" w:rsidR="004E6700" w:rsidRPr="00516991" w:rsidRDefault="004E6700" w:rsidP="004E6700">
      <w:pPr>
        <w:rPr>
          <w:iCs/>
          <w:color w:val="000000" w:themeColor="text1"/>
        </w:rPr>
      </w:pPr>
      <w:r w:rsidRPr="00516991">
        <w:rPr>
          <w:iCs/>
          <w:color w:val="000000" w:themeColor="text1"/>
        </w:rPr>
        <w:t>One analytics platform to enhance operational efficiency, patient care and sustainability</w:t>
      </w:r>
      <w:r w:rsidR="00EA46C6">
        <w:rPr>
          <w:iCs/>
          <w:color w:val="000000" w:themeColor="text1"/>
        </w:rPr>
        <w:t xml:space="preserve"> </w:t>
      </w:r>
      <w:sdt>
        <w:sdtPr>
          <w:rPr>
            <w:iCs/>
            <w:color w:val="000000" w:themeColor="text1"/>
          </w:rPr>
          <w:id w:val="91667340"/>
          <w:citation/>
        </w:sdtPr>
        <w:sdtContent>
          <w:r w:rsidR="00EA46C6">
            <w:rPr>
              <w:iCs/>
              <w:color w:val="000000" w:themeColor="text1"/>
            </w:rPr>
            <w:fldChar w:fldCharType="begin"/>
          </w:r>
          <w:r w:rsidR="00EA46C6">
            <w:rPr>
              <w:iCs/>
              <w:color w:val="000000" w:themeColor="text1"/>
              <w:lang w:val="en-GB"/>
            </w:rPr>
            <w:instrText xml:space="preserve"> CITATION Wyl15 \l 2057 </w:instrText>
          </w:r>
          <w:r w:rsidR="00EA46C6">
            <w:rPr>
              <w:iCs/>
              <w:color w:val="000000" w:themeColor="text1"/>
            </w:rPr>
            <w:fldChar w:fldCharType="separate"/>
          </w:r>
          <w:r w:rsidR="006F7CD4" w:rsidRPr="006F7CD4">
            <w:rPr>
              <w:noProof/>
              <w:color w:val="000000" w:themeColor="text1"/>
              <w:lang w:val="en-GB"/>
            </w:rPr>
            <w:t>[1]</w:t>
          </w:r>
          <w:r w:rsidR="00EA46C6">
            <w:rPr>
              <w:iCs/>
              <w:color w:val="000000" w:themeColor="text1"/>
            </w:rPr>
            <w:fldChar w:fldCharType="end"/>
          </w:r>
        </w:sdtContent>
      </w:sdt>
      <w:r w:rsidRPr="00516991">
        <w:rPr>
          <w:iCs/>
          <w:color w:val="000000" w:themeColor="text1"/>
        </w:rPr>
        <w:t>.</w:t>
      </w:r>
    </w:p>
    <w:p w14:paraId="4B2FBE61" w14:textId="77777777" w:rsidR="004E6700" w:rsidRDefault="004E6700" w:rsidP="004E6700">
      <w:pPr>
        <w:rPr>
          <w:b/>
          <w:bCs/>
          <w:sz w:val="28"/>
          <w:szCs w:val="28"/>
        </w:rPr>
      </w:pPr>
      <w:r w:rsidRPr="00AD4F55">
        <w:rPr>
          <w:b/>
          <w:bCs/>
          <w:sz w:val="28"/>
          <w:szCs w:val="28"/>
        </w:rPr>
        <w:t>Executive Summary</w:t>
      </w:r>
    </w:p>
    <w:p w14:paraId="01A76AE1" w14:textId="1A731026" w:rsidR="004E6700" w:rsidRPr="003109AC" w:rsidRDefault="004E6700" w:rsidP="004E6700">
      <w:pPr>
        <w:spacing w:after="200"/>
        <w:jc w:val="both"/>
      </w:pPr>
      <w:r w:rsidRPr="003109AC">
        <w:t>Today, NHS England runs one of the world's largest and most data rich healthcare systems, but the operational data is spread across hundreds of Electronic Patient Record (EPR), Patient Administration (PAS), workforce and finance systems. This report proposes an approach to the strategic data warehouse</w:t>
      </w:r>
      <w:r>
        <w:t xml:space="preserve"> </w:t>
      </w:r>
      <w:r w:rsidRPr="003109AC">
        <w:t>solution that brings these sources together to form a single, controlled analytical platform. The proposed architecture includes a normalized staging layer, a dimensionally designed enterprise warehouse and data marts designed for roles, allowing the Chief Executive, Finance Director and Medical Director to make decisions based on real-time, trust-wide information without having to impact the transactional systems that physicians use daily</w:t>
      </w:r>
      <w:r w:rsidR="00EA46C6">
        <w:t xml:space="preserve"> </w:t>
      </w:r>
      <w:sdt>
        <w:sdtPr>
          <w:id w:val="607788625"/>
          <w:citation/>
        </w:sdtPr>
        <w:sdtContent>
          <w:r w:rsidR="00EA46C6">
            <w:fldChar w:fldCharType="begin"/>
          </w:r>
          <w:r w:rsidR="00EA46C6">
            <w:rPr>
              <w:lang w:val="en-GB"/>
            </w:rPr>
            <w:instrText xml:space="preserve"> CITATION Whi10 \l 2057 </w:instrText>
          </w:r>
          <w:r w:rsidR="00EA46C6">
            <w:fldChar w:fldCharType="separate"/>
          </w:r>
          <w:r w:rsidR="006F7CD4" w:rsidRPr="006F7CD4">
            <w:rPr>
              <w:noProof/>
              <w:lang w:val="en-GB"/>
            </w:rPr>
            <w:t>[2]</w:t>
          </w:r>
          <w:r w:rsidR="00EA46C6">
            <w:fldChar w:fldCharType="end"/>
          </w:r>
        </w:sdtContent>
      </w:sdt>
      <w:r w:rsidRPr="003109AC">
        <w:t>.</w:t>
      </w:r>
    </w:p>
    <w:p w14:paraId="2717FA7E" w14:textId="77777777" w:rsidR="004E6700" w:rsidRPr="004E6700" w:rsidRDefault="004E6700" w:rsidP="004E6700">
      <w:pPr>
        <w:pStyle w:val="Heading1"/>
        <w:rPr>
          <w:rFonts w:ascii="Calibri" w:hAnsi="Calibri" w:cs="Calibri"/>
          <w:b/>
          <w:bCs/>
          <w:sz w:val="32"/>
          <w:szCs w:val="32"/>
        </w:rPr>
      </w:pPr>
      <w:bookmarkStart w:id="6" w:name="_Toc234260195"/>
      <w:bookmarkStart w:id="7" w:name="_Toc234284288"/>
      <w:r w:rsidRPr="004E6700">
        <w:rPr>
          <w:rFonts w:ascii="Calibri" w:hAnsi="Calibri" w:cs="Calibri"/>
          <w:b/>
          <w:bCs/>
          <w:sz w:val="32"/>
          <w:szCs w:val="32"/>
        </w:rPr>
        <w:t>Task 1, Foundational Understanding and Initial Design</w:t>
      </w:r>
      <w:bookmarkEnd w:id="6"/>
      <w:bookmarkEnd w:id="7"/>
    </w:p>
    <w:p w14:paraId="13330372" w14:textId="6BA6496F" w:rsidR="004E6700" w:rsidRPr="008E4C53" w:rsidRDefault="004E6700" w:rsidP="008E4C53">
      <w:pPr>
        <w:pStyle w:val="ListParagraph"/>
        <w:numPr>
          <w:ilvl w:val="1"/>
          <w:numId w:val="1"/>
        </w:numPr>
        <w:rPr>
          <w:rFonts w:ascii="Calibri" w:hAnsi="Calibri" w:cs="Calibri"/>
          <w:b/>
          <w:bCs/>
          <w:sz w:val="32"/>
          <w:szCs w:val="32"/>
        </w:rPr>
      </w:pPr>
      <w:bookmarkStart w:id="8" w:name="_Toc234260196"/>
      <w:r w:rsidRPr="008E4C53">
        <w:rPr>
          <w:rFonts w:ascii="Calibri" w:hAnsi="Calibri" w:cs="Calibri"/>
          <w:b/>
          <w:bCs/>
          <w:sz w:val="32"/>
          <w:szCs w:val="32"/>
        </w:rPr>
        <w:t>OLTP Systems vs. Data Warehouses</w:t>
      </w:r>
      <w:bookmarkEnd w:id="8"/>
    </w:p>
    <w:p w14:paraId="4C558346" w14:textId="598C9C28" w:rsidR="008E4C53" w:rsidRDefault="008E4C53" w:rsidP="008E4C53">
      <w:pPr>
        <w:jc w:val="both"/>
      </w:pPr>
      <w:r>
        <w:t xml:space="preserve">The Electronic Patient Record (EPR), PAS, and the Electronic Staff Record (ESR) are all Online Transaction Processing (OLTP) systems designed to deal with many very short, atomic transactions such as admitting a patient, prescribed medicine, schedule a clinic appointment etc. They are extremely normalized, contain no data redundancy, referential integrity and protect concurrency with ACID transactions . These systems are designed for writing optimization and generally contain a short </w:t>
      </w:r>
      <w:r>
        <w:t>time</w:t>
      </w:r>
      <w:r>
        <w:t xml:space="preserve"> only</w:t>
      </w:r>
      <w:r w:rsidR="00EA46C6">
        <w:t xml:space="preserve"> </w:t>
      </w:r>
      <w:sdt>
        <w:sdtPr>
          <w:id w:val="174931803"/>
          <w:citation/>
        </w:sdtPr>
        <w:sdtContent>
          <w:r w:rsidR="00EA46C6">
            <w:fldChar w:fldCharType="begin"/>
          </w:r>
          <w:r w:rsidR="00EA46C6">
            <w:rPr>
              <w:lang w:val="en-GB"/>
            </w:rPr>
            <w:instrText xml:space="preserve"> CITATION Nor20 \l 2057 </w:instrText>
          </w:r>
          <w:r w:rsidR="00EA46C6">
            <w:fldChar w:fldCharType="separate"/>
          </w:r>
          <w:r w:rsidR="006F7CD4" w:rsidRPr="006F7CD4">
            <w:rPr>
              <w:noProof/>
              <w:lang w:val="en-GB"/>
            </w:rPr>
            <w:t>[3]</w:t>
          </w:r>
          <w:r w:rsidR="00EA46C6">
            <w:fldChar w:fldCharType="end"/>
          </w:r>
        </w:sdtContent>
      </w:sdt>
      <w:r>
        <w:t>.</w:t>
      </w:r>
    </w:p>
    <w:p w14:paraId="0799E3B5" w14:textId="77777777" w:rsidR="008E4C53" w:rsidRDefault="008E4C53" w:rsidP="008E4C53">
      <w:pPr>
        <w:jc w:val="both"/>
      </w:pPr>
      <w:r>
        <w:t>In contrast, a Data Warehouse is a subject-oriented, integrated, time-variant and non-volatile repository that is built for decision support . The schema is denormalized around facts and conformed dimensions optimized for reading intensive analytics and scans billions of records across many years. The OLTP question can be the equivalent of ‘is bed 12 occupied?’ the Warehouse question could be ‘how have A&amp;E wait times changed over the past 36 months in the 42 ICSs (adjusted for case-mix)’.</w:t>
      </w:r>
    </w:p>
    <w:p w14:paraId="03BEA875" w14:textId="35C150F9" w:rsidR="008E4C53" w:rsidRPr="00536C49" w:rsidRDefault="008E4C53" w:rsidP="008E4C53">
      <w:pPr>
        <w:jc w:val="both"/>
        <w:rPr>
          <w:sz w:val="22"/>
          <w:szCs w:val="22"/>
        </w:rPr>
      </w:pPr>
      <w:r w:rsidRPr="00536C49">
        <w:rPr>
          <w:sz w:val="22"/>
          <w:szCs w:val="22"/>
        </w:rPr>
        <w:t xml:space="preserve">NHS England has identified three step change benefits for a warehouse: firstly it moves the analytical burden away from OLTP systems and protect front-line responsiveness; secondly, it gives a “one version of the truth” for all the Trusts which will resolve a number of current discrepancies between the different conflicting KPIs that exist within national reporting ; and thirdly it enables a long history to be stored, harmonized, which can be used to train machine learning models for the purposes of </w:t>
      </w:r>
      <w:r w:rsidRPr="00536C49">
        <w:rPr>
          <w:sz w:val="22"/>
          <w:szCs w:val="22"/>
        </w:rPr>
        <w:lastRenderedPageBreak/>
        <w:t>modelling for future demand forecasting, Modelling the size of future workforce, modelling for capability for health stratifications, etc. None of which would be possible in a transactional database.</w:t>
      </w:r>
    </w:p>
    <w:p w14:paraId="6C5E0784" w14:textId="77777777" w:rsidR="004E6700" w:rsidRDefault="004E6700" w:rsidP="004E6700">
      <w:pPr>
        <w:pStyle w:val="Heading1"/>
        <w:rPr>
          <w:rFonts w:ascii="Calibri" w:hAnsi="Calibri" w:cs="Calibri"/>
          <w:color w:val="005EB8"/>
          <w:sz w:val="32"/>
          <w:szCs w:val="32"/>
        </w:rPr>
      </w:pPr>
      <w:bookmarkStart w:id="9" w:name="_Toc234260197"/>
      <w:bookmarkStart w:id="10" w:name="_Toc234284289"/>
      <w:r w:rsidRPr="00BB440E">
        <w:rPr>
          <w:rFonts w:ascii="Calibri" w:hAnsi="Calibri" w:cs="Calibri"/>
          <w:b/>
          <w:bCs/>
          <w:sz w:val="32"/>
          <w:szCs w:val="32"/>
        </w:rPr>
        <w:t>1.2  Data Warehouse Architecture and ETL</w:t>
      </w:r>
      <w:bookmarkEnd w:id="9"/>
      <w:bookmarkEnd w:id="10"/>
      <w:r w:rsidRPr="00BB440E">
        <w:rPr>
          <w:rFonts w:ascii="Calibri" w:hAnsi="Calibri" w:cs="Calibri"/>
          <w:b/>
          <w:color w:val="005EB8"/>
          <w:sz w:val="32"/>
          <w:szCs w:val="32"/>
        </w:rPr>
        <w:t xml:space="preserve"> </w:t>
      </w:r>
    </w:p>
    <w:p w14:paraId="6E534225" w14:textId="77777777" w:rsidR="004E6700" w:rsidRPr="00BB440E" w:rsidRDefault="004E6700" w:rsidP="004E6700"/>
    <w:p w14:paraId="0B1D7490" w14:textId="0258B98F" w:rsidR="004E6700" w:rsidRPr="008E4C53" w:rsidRDefault="004E6700" w:rsidP="008E4C53">
      <w:pPr>
        <w:spacing w:after="120"/>
        <w:jc w:val="both"/>
        <w:rPr>
          <w:rFonts w:ascii="Calibri" w:hAnsi="Calibri" w:cs="Calibri"/>
        </w:rPr>
      </w:pPr>
      <w:r w:rsidRPr="008E4C53">
        <w:rPr>
          <w:rFonts w:ascii="Calibri" w:hAnsi="Calibri" w:cs="Calibri"/>
        </w:rPr>
        <w:t>Figure 1 The overall design of the DDP follows a classic Inmon-based hub-and-spoke model scaled to NHS-size and information-governance requirements</w:t>
      </w:r>
      <w:r w:rsidR="00966094">
        <w:rPr>
          <w:rFonts w:ascii="Calibri" w:hAnsi="Calibri" w:cs="Calibri"/>
        </w:rPr>
        <w:t xml:space="preserve"> </w:t>
      </w:r>
      <w:sdt>
        <w:sdtPr>
          <w:rPr>
            <w:rFonts w:ascii="Calibri" w:hAnsi="Calibri" w:cs="Calibri"/>
          </w:rPr>
          <w:id w:val="512338660"/>
          <w:citation/>
        </w:sdtPr>
        <w:sdtContent>
          <w:r w:rsidR="00966094">
            <w:rPr>
              <w:rFonts w:ascii="Calibri" w:hAnsi="Calibri" w:cs="Calibri"/>
            </w:rPr>
            <w:fldChar w:fldCharType="begin"/>
          </w:r>
          <w:r w:rsidR="00966094">
            <w:rPr>
              <w:rFonts w:ascii="Calibri" w:hAnsi="Calibri" w:cs="Calibri"/>
              <w:lang w:val="en-GB"/>
            </w:rPr>
            <w:instrText xml:space="preserve"> CITATION Kak12 \l 2057 </w:instrText>
          </w:r>
          <w:r w:rsidR="00966094">
            <w:rPr>
              <w:rFonts w:ascii="Calibri" w:hAnsi="Calibri" w:cs="Calibri"/>
            </w:rPr>
            <w:fldChar w:fldCharType="separate"/>
          </w:r>
          <w:r w:rsidR="006F7CD4" w:rsidRPr="006F7CD4">
            <w:rPr>
              <w:rFonts w:ascii="Calibri" w:hAnsi="Calibri" w:cs="Calibri"/>
              <w:noProof/>
              <w:lang w:val="en-GB"/>
            </w:rPr>
            <w:t>[4]</w:t>
          </w:r>
          <w:r w:rsidR="00966094">
            <w:rPr>
              <w:rFonts w:ascii="Calibri" w:hAnsi="Calibri" w:cs="Calibri"/>
            </w:rPr>
            <w:fldChar w:fldCharType="end"/>
          </w:r>
        </w:sdtContent>
      </w:sdt>
      <w:r w:rsidRPr="008E4C53">
        <w:rPr>
          <w:rFonts w:ascii="Calibri" w:hAnsi="Calibri" w:cs="Calibri"/>
        </w:rPr>
        <w:t>. The system uses five logical layers working together for stratification-force and capabilities for stratified health purposes where transactional databases can’t help.</w:t>
      </w:r>
    </w:p>
    <w:tbl>
      <w:tblPr>
        <w:tblStyle w:val="TableGrid"/>
        <w:tblW w:w="11341" w:type="dxa"/>
        <w:tblInd w:w="-714" w:type="dxa"/>
        <w:tblLook w:val="04A0" w:firstRow="1" w:lastRow="0" w:firstColumn="1" w:lastColumn="0" w:noHBand="0" w:noVBand="1"/>
      </w:tblPr>
      <w:tblGrid>
        <w:gridCol w:w="2338"/>
        <w:gridCol w:w="2324"/>
        <w:gridCol w:w="2116"/>
        <w:gridCol w:w="2342"/>
        <w:gridCol w:w="2221"/>
      </w:tblGrid>
      <w:tr w:rsidR="004E6700" w14:paraId="64F4BA15" w14:textId="77777777" w:rsidTr="004E6700">
        <w:tc>
          <w:tcPr>
            <w:tcW w:w="2338" w:type="dxa"/>
          </w:tcPr>
          <w:p w14:paraId="361EDFEB" w14:textId="77777777" w:rsidR="004E6700" w:rsidRDefault="004E6700" w:rsidP="00AC3493">
            <w:pPr>
              <w:spacing w:after="120"/>
              <w:jc w:val="both"/>
              <w:rPr>
                <w:b/>
                <w:bCs/>
                <w:sz w:val="24"/>
                <w:szCs w:val="24"/>
              </w:rPr>
            </w:pPr>
            <w:r w:rsidRPr="006C5167">
              <w:rPr>
                <w:b/>
                <w:bCs/>
                <w:sz w:val="24"/>
                <w:szCs w:val="24"/>
              </w:rPr>
              <w:t>SOURCE SYSTEMS</w:t>
            </w:r>
          </w:p>
          <w:p w14:paraId="5981109D" w14:textId="77777777" w:rsidR="004E6700" w:rsidRPr="00814B54" w:rsidRDefault="004E6700" w:rsidP="00AC3493">
            <w:pPr>
              <w:spacing w:after="120"/>
              <w:jc w:val="both"/>
              <w:rPr>
                <w:sz w:val="24"/>
                <w:szCs w:val="24"/>
              </w:rPr>
            </w:pPr>
            <w:r w:rsidRPr="00814B54">
              <w:rPr>
                <w:sz w:val="24"/>
                <w:szCs w:val="24"/>
              </w:rPr>
              <w:t>EPR.</w:t>
            </w:r>
            <w:r>
              <w:rPr>
                <w:sz w:val="24"/>
                <w:szCs w:val="24"/>
              </w:rPr>
              <w:t xml:space="preserve"> </w:t>
            </w:r>
            <w:r w:rsidRPr="00814B54">
              <w:rPr>
                <w:sz w:val="24"/>
                <w:szCs w:val="24"/>
              </w:rPr>
              <w:t>PSA.</w:t>
            </w:r>
            <w:r>
              <w:rPr>
                <w:sz w:val="24"/>
                <w:szCs w:val="24"/>
              </w:rPr>
              <w:t xml:space="preserve"> </w:t>
            </w:r>
            <w:r w:rsidRPr="00814B54">
              <w:rPr>
                <w:sz w:val="24"/>
                <w:szCs w:val="24"/>
              </w:rPr>
              <w:t>Work force</w:t>
            </w:r>
          </w:p>
          <w:p w14:paraId="4767337F" w14:textId="77777777" w:rsidR="004E6700" w:rsidRPr="00814B54" w:rsidRDefault="004E6700" w:rsidP="00AC3493">
            <w:pPr>
              <w:spacing w:after="120"/>
              <w:jc w:val="both"/>
              <w:rPr>
                <w:sz w:val="24"/>
                <w:szCs w:val="24"/>
              </w:rPr>
            </w:pPr>
            <w:r w:rsidRPr="00814B54">
              <w:rPr>
                <w:sz w:val="24"/>
                <w:szCs w:val="24"/>
              </w:rPr>
              <w:t xml:space="preserve">Finance. External </w:t>
            </w:r>
          </w:p>
          <w:p w14:paraId="5D2F6E85" w14:textId="77777777" w:rsidR="004E6700" w:rsidRPr="00814B54" w:rsidRDefault="004E6700" w:rsidP="00AC3493">
            <w:pPr>
              <w:spacing w:after="120"/>
              <w:jc w:val="both"/>
              <w:rPr>
                <w:sz w:val="24"/>
                <w:szCs w:val="24"/>
              </w:rPr>
            </w:pPr>
            <w:r w:rsidRPr="00814B54">
              <w:rPr>
                <w:sz w:val="24"/>
                <w:szCs w:val="24"/>
              </w:rPr>
              <w:t>feeds</w:t>
            </w:r>
          </w:p>
          <w:p w14:paraId="7FAFC6EB" w14:textId="77777777" w:rsidR="004E6700" w:rsidRDefault="004E6700" w:rsidP="00AC3493">
            <w:pPr>
              <w:spacing w:after="120"/>
              <w:jc w:val="both"/>
              <w:rPr>
                <w:sz w:val="24"/>
                <w:szCs w:val="24"/>
              </w:rPr>
            </w:pPr>
          </w:p>
        </w:tc>
        <w:tc>
          <w:tcPr>
            <w:tcW w:w="2324" w:type="dxa"/>
          </w:tcPr>
          <w:p w14:paraId="156F2713" w14:textId="77777777" w:rsidR="004E6700" w:rsidRPr="00B66CEF" w:rsidRDefault="004E6700" w:rsidP="00AC3493">
            <w:pPr>
              <w:spacing w:after="120"/>
              <w:jc w:val="both"/>
              <w:rPr>
                <w:b/>
                <w:bCs/>
                <w:sz w:val="24"/>
                <w:szCs w:val="24"/>
              </w:rPr>
            </w:pPr>
            <w:r w:rsidRPr="00B66CEF">
              <w:rPr>
                <w:b/>
                <w:bCs/>
                <w:sz w:val="24"/>
                <w:szCs w:val="24"/>
              </w:rPr>
              <w:t xml:space="preserve">STAGING </w:t>
            </w:r>
          </w:p>
          <w:p w14:paraId="643AC790" w14:textId="77777777" w:rsidR="004E6700" w:rsidRDefault="004E6700" w:rsidP="00AC3493">
            <w:pPr>
              <w:spacing w:after="120"/>
              <w:jc w:val="both"/>
              <w:rPr>
                <w:b/>
                <w:bCs/>
                <w:sz w:val="24"/>
                <w:szCs w:val="24"/>
              </w:rPr>
            </w:pPr>
            <w:r w:rsidRPr="00B66CEF">
              <w:rPr>
                <w:b/>
                <w:bCs/>
                <w:sz w:val="24"/>
                <w:szCs w:val="24"/>
              </w:rPr>
              <w:t xml:space="preserve">  AREA</w:t>
            </w:r>
          </w:p>
          <w:p w14:paraId="3E06B9FA" w14:textId="77777777" w:rsidR="004E6700" w:rsidRDefault="004E6700" w:rsidP="00AC3493">
            <w:pPr>
              <w:spacing w:after="120"/>
              <w:jc w:val="both"/>
              <w:rPr>
                <w:sz w:val="24"/>
                <w:szCs w:val="24"/>
              </w:rPr>
            </w:pPr>
            <w:r w:rsidRPr="001B1093">
              <w:rPr>
                <w:sz w:val="24"/>
                <w:szCs w:val="24"/>
              </w:rPr>
              <w:t xml:space="preserve">Validation.Cleaning. </w:t>
            </w:r>
          </w:p>
          <w:p w14:paraId="23197D6B" w14:textId="77777777" w:rsidR="004E6700" w:rsidRPr="001B1093" w:rsidRDefault="004E6700" w:rsidP="00AC3493">
            <w:pPr>
              <w:spacing w:after="120"/>
              <w:jc w:val="both"/>
              <w:rPr>
                <w:sz w:val="24"/>
                <w:szCs w:val="24"/>
              </w:rPr>
            </w:pPr>
            <w:r w:rsidRPr="001B1093">
              <w:rPr>
                <w:sz w:val="24"/>
                <w:szCs w:val="24"/>
              </w:rPr>
              <w:t>De-duplication</w:t>
            </w:r>
          </w:p>
        </w:tc>
        <w:tc>
          <w:tcPr>
            <w:tcW w:w="2116" w:type="dxa"/>
          </w:tcPr>
          <w:p w14:paraId="23ED444B" w14:textId="77777777" w:rsidR="004E6700" w:rsidRDefault="004E6700" w:rsidP="00AC3493">
            <w:pPr>
              <w:spacing w:after="120"/>
              <w:jc w:val="both"/>
              <w:rPr>
                <w:b/>
                <w:bCs/>
                <w:sz w:val="24"/>
                <w:szCs w:val="24"/>
              </w:rPr>
            </w:pPr>
            <w:r>
              <w:rPr>
                <w:b/>
                <w:bCs/>
                <w:sz w:val="24"/>
                <w:szCs w:val="24"/>
              </w:rPr>
              <w:t xml:space="preserve">        </w:t>
            </w:r>
            <w:r w:rsidRPr="00767684">
              <w:rPr>
                <w:b/>
                <w:bCs/>
                <w:sz w:val="24"/>
                <w:szCs w:val="24"/>
              </w:rPr>
              <w:t>ENTERPRISE DATA</w:t>
            </w:r>
            <w:r>
              <w:rPr>
                <w:b/>
                <w:bCs/>
                <w:sz w:val="24"/>
                <w:szCs w:val="24"/>
              </w:rPr>
              <w:t xml:space="preserve"> </w:t>
            </w:r>
            <w:r w:rsidRPr="00767684">
              <w:rPr>
                <w:b/>
                <w:bCs/>
                <w:sz w:val="24"/>
                <w:szCs w:val="24"/>
              </w:rPr>
              <w:t>WAREHOUSE</w:t>
            </w:r>
          </w:p>
          <w:p w14:paraId="6061C397" w14:textId="77777777" w:rsidR="004E6700" w:rsidRDefault="004E6700" w:rsidP="00AC3493">
            <w:pPr>
              <w:spacing w:after="120"/>
              <w:jc w:val="both"/>
              <w:rPr>
                <w:sz w:val="24"/>
                <w:szCs w:val="24"/>
              </w:rPr>
            </w:pPr>
            <w:r>
              <w:rPr>
                <w:sz w:val="24"/>
                <w:szCs w:val="24"/>
              </w:rPr>
              <w:t>Fact +Dimension</w:t>
            </w:r>
          </w:p>
          <w:p w14:paraId="21996999" w14:textId="77777777" w:rsidR="004E6700" w:rsidRDefault="004E6700" w:rsidP="00AC3493">
            <w:pPr>
              <w:spacing w:after="120"/>
              <w:jc w:val="both"/>
              <w:rPr>
                <w:sz w:val="24"/>
                <w:szCs w:val="24"/>
              </w:rPr>
            </w:pPr>
            <w:r>
              <w:rPr>
                <w:sz w:val="24"/>
                <w:szCs w:val="24"/>
              </w:rPr>
              <w:t xml:space="preserve">       Tables</w:t>
            </w:r>
          </w:p>
          <w:p w14:paraId="1574E215" w14:textId="77777777" w:rsidR="004E6700" w:rsidRPr="003611A6" w:rsidRDefault="004E6700" w:rsidP="00AC3493">
            <w:pPr>
              <w:spacing w:after="120"/>
              <w:jc w:val="both"/>
              <w:rPr>
                <w:sz w:val="24"/>
                <w:szCs w:val="24"/>
              </w:rPr>
            </w:pPr>
            <w:r>
              <w:rPr>
                <w:sz w:val="24"/>
                <w:szCs w:val="24"/>
              </w:rPr>
              <w:t>(Star Schema)</w:t>
            </w:r>
          </w:p>
        </w:tc>
        <w:tc>
          <w:tcPr>
            <w:tcW w:w="2342" w:type="dxa"/>
          </w:tcPr>
          <w:p w14:paraId="40120EC1" w14:textId="77777777" w:rsidR="004E6700" w:rsidRDefault="004E6700" w:rsidP="00AC3493">
            <w:pPr>
              <w:spacing w:after="120"/>
              <w:jc w:val="both"/>
              <w:rPr>
                <w:b/>
                <w:bCs/>
                <w:sz w:val="24"/>
                <w:szCs w:val="24"/>
              </w:rPr>
            </w:pPr>
            <w:r>
              <w:rPr>
                <w:sz w:val="24"/>
                <w:szCs w:val="24"/>
              </w:rPr>
              <w:t xml:space="preserve">      </w:t>
            </w:r>
            <w:r w:rsidRPr="00F14433">
              <w:rPr>
                <w:b/>
                <w:bCs/>
                <w:sz w:val="24"/>
                <w:szCs w:val="24"/>
              </w:rPr>
              <w:t xml:space="preserve">DATA     </w:t>
            </w:r>
            <w:r>
              <w:rPr>
                <w:b/>
                <w:bCs/>
                <w:sz w:val="24"/>
                <w:szCs w:val="24"/>
              </w:rPr>
              <w:t xml:space="preserve">    </w:t>
            </w:r>
          </w:p>
          <w:p w14:paraId="0FCCD4C3" w14:textId="77777777" w:rsidR="004E6700" w:rsidRDefault="004E6700" w:rsidP="00AC3493">
            <w:pPr>
              <w:spacing w:after="120"/>
              <w:jc w:val="both"/>
              <w:rPr>
                <w:b/>
                <w:bCs/>
                <w:sz w:val="24"/>
                <w:szCs w:val="24"/>
              </w:rPr>
            </w:pPr>
            <w:r>
              <w:rPr>
                <w:b/>
                <w:bCs/>
                <w:sz w:val="24"/>
                <w:szCs w:val="24"/>
              </w:rPr>
              <w:t xml:space="preserve">    </w:t>
            </w:r>
            <w:r w:rsidRPr="00F14433">
              <w:rPr>
                <w:b/>
                <w:bCs/>
                <w:sz w:val="24"/>
                <w:szCs w:val="24"/>
              </w:rPr>
              <w:t>MARTS</w:t>
            </w:r>
          </w:p>
          <w:p w14:paraId="400AFDBA" w14:textId="77777777" w:rsidR="004E6700" w:rsidRDefault="004E6700" w:rsidP="00AC3493">
            <w:pPr>
              <w:spacing w:after="120"/>
              <w:jc w:val="both"/>
              <w:rPr>
                <w:sz w:val="24"/>
                <w:szCs w:val="24"/>
              </w:rPr>
            </w:pPr>
            <w:r>
              <w:rPr>
                <w:sz w:val="24"/>
                <w:szCs w:val="24"/>
              </w:rPr>
              <w:t xml:space="preserve">Finance.Operations.  </w:t>
            </w:r>
          </w:p>
          <w:p w14:paraId="00B4ADF4" w14:textId="77777777" w:rsidR="004E6700" w:rsidRPr="00F14433" w:rsidRDefault="004E6700" w:rsidP="00AC3493">
            <w:pPr>
              <w:spacing w:after="120"/>
              <w:jc w:val="both"/>
              <w:rPr>
                <w:sz w:val="24"/>
                <w:szCs w:val="24"/>
              </w:rPr>
            </w:pPr>
            <w:r>
              <w:rPr>
                <w:sz w:val="24"/>
                <w:szCs w:val="24"/>
              </w:rPr>
              <w:t>Clinical quality</w:t>
            </w:r>
          </w:p>
        </w:tc>
        <w:tc>
          <w:tcPr>
            <w:tcW w:w="2221" w:type="dxa"/>
          </w:tcPr>
          <w:p w14:paraId="2E8213E7" w14:textId="77777777" w:rsidR="004E6700" w:rsidRPr="00D03516" w:rsidRDefault="004E6700" w:rsidP="00AC3493">
            <w:pPr>
              <w:spacing w:after="120"/>
              <w:jc w:val="both"/>
              <w:rPr>
                <w:b/>
                <w:bCs/>
                <w:sz w:val="24"/>
                <w:szCs w:val="24"/>
              </w:rPr>
            </w:pPr>
            <w:r>
              <w:rPr>
                <w:b/>
                <w:bCs/>
                <w:sz w:val="24"/>
                <w:szCs w:val="24"/>
              </w:rPr>
              <w:t xml:space="preserve">    </w:t>
            </w:r>
            <w:r w:rsidRPr="00D03516">
              <w:rPr>
                <w:b/>
                <w:bCs/>
                <w:sz w:val="24"/>
                <w:szCs w:val="24"/>
              </w:rPr>
              <w:t>BI &amp;</w:t>
            </w:r>
          </w:p>
          <w:p w14:paraId="4F42497A" w14:textId="77777777" w:rsidR="004E6700" w:rsidRDefault="004E6700" w:rsidP="00AC3493">
            <w:pPr>
              <w:spacing w:after="120"/>
              <w:jc w:val="both"/>
              <w:rPr>
                <w:b/>
                <w:bCs/>
                <w:sz w:val="24"/>
                <w:szCs w:val="24"/>
              </w:rPr>
            </w:pPr>
            <w:r w:rsidRPr="00D03516">
              <w:rPr>
                <w:b/>
                <w:bCs/>
                <w:sz w:val="24"/>
                <w:szCs w:val="24"/>
              </w:rPr>
              <w:t>ANALYTICS</w:t>
            </w:r>
          </w:p>
          <w:p w14:paraId="3D09BA61" w14:textId="77777777" w:rsidR="004E6700" w:rsidRPr="00AA40EF" w:rsidRDefault="004E6700" w:rsidP="00AC3493">
            <w:pPr>
              <w:spacing w:after="120"/>
              <w:jc w:val="both"/>
              <w:rPr>
                <w:b/>
                <w:bCs/>
                <w:color w:val="000000" w:themeColor="text1"/>
                <w:sz w:val="24"/>
                <w:szCs w:val="24"/>
              </w:rPr>
            </w:pPr>
            <w:r w:rsidRPr="00AA40EF">
              <w:rPr>
                <w:color w:val="000000" w:themeColor="text1"/>
                <w:sz w:val="24"/>
                <w:szCs w:val="24"/>
              </w:rPr>
              <w:t>Power BI · Tableau ·</w:t>
            </w:r>
            <w:r w:rsidRPr="00AA40EF">
              <w:rPr>
                <w:color w:val="000000" w:themeColor="text1"/>
                <w:sz w:val="24"/>
                <w:szCs w:val="24"/>
              </w:rPr>
              <w:br/>
              <w:t>Qlik dashboards</w:t>
            </w:r>
          </w:p>
          <w:p w14:paraId="393FF05C" w14:textId="77777777" w:rsidR="004E6700" w:rsidRPr="00FC5530" w:rsidRDefault="004E6700" w:rsidP="00AC3493">
            <w:pPr>
              <w:spacing w:after="120"/>
              <w:jc w:val="both"/>
              <w:rPr>
                <w:sz w:val="24"/>
                <w:szCs w:val="24"/>
              </w:rPr>
            </w:pPr>
          </w:p>
        </w:tc>
      </w:tr>
    </w:tbl>
    <w:p w14:paraId="13A18D7E" w14:textId="77777777" w:rsidR="004E6700" w:rsidRPr="00C96801" w:rsidRDefault="004E6700" w:rsidP="004E6700">
      <w:pPr>
        <w:spacing w:after="120" w:line="276" w:lineRule="auto"/>
        <w:jc w:val="both"/>
        <w:rPr>
          <w:b/>
          <w:bCs/>
          <w:i/>
          <w:iCs/>
          <w:color w:val="000000" w:themeColor="text1"/>
        </w:rPr>
      </w:pPr>
      <w:r w:rsidRPr="00C96801">
        <w:rPr>
          <w:b/>
          <w:bCs/>
          <w:i/>
          <w:iCs/>
          <w:color w:val="000000" w:themeColor="text1"/>
        </w:rPr>
        <w:t>Figure 1, High level Data warehouse architecture for NHS England (ETL flows left → right)</w:t>
      </w:r>
    </w:p>
    <w:p w14:paraId="41B8DF5F" w14:textId="77777777" w:rsidR="004E6700" w:rsidRDefault="004E6700" w:rsidP="004E6700">
      <w:pPr>
        <w:spacing w:before="200" w:after="80" w:line="276" w:lineRule="auto"/>
      </w:pPr>
    </w:p>
    <w:p w14:paraId="29E1C88F" w14:textId="77777777" w:rsidR="005834D9" w:rsidRPr="005834D9" w:rsidRDefault="005834D9" w:rsidP="005834D9">
      <w:pPr>
        <w:spacing w:before="200" w:after="80" w:line="276" w:lineRule="auto"/>
        <w:jc w:val="both"/>
        <w:rPr>
          <w:rFonts w:ascii="Calibri" w:hAnsi="Calibri" w:cs="Calibri"/>
        </w:rPr>
      </w:pPr>
      <w:r w:rsidRPr="005834D9">
        <w:rPr>
          <w:rFonts w:ascii="Calibri" w:hAnsi="Calibri" w:cs="Calibri"/>
        </w:rPr>
        <w:t xml:space="preserve">Source systems can be thought of as trust EPRs (e.g. Epic, Cerner, System C), the nationalPAS, the Electronic Staff Record, finance ledgers and authorized external feeds, such as ONS demographics or weather data for demand modelling. Extracts from source systems are achieved using a mixture of change-data-capture(for high volume tables) and scheduled batch extracts (for slow moving reference data), minimizing the load on production systems. </w:t>
      </w:r>
    </w:p>
    <w:p w14:paraId="55D7D27E" w14:textId="77777777" w:rsidR="005834D9" w:rsidRPr="005834D9" w:rsidRDefault="005834D9" w:rsidP="005834D9">
      <w:pPr>
        <w:spacing w:before="200" w:after="80" w:line="276" w:lineRule="auto"/>
        <w:jc w:val="both"/>
        <w:rPr>
          <w:rFonts w:ascii="Calibri" w:hAnsi="Calibri" w:cs="Calibri"/>
        </w:rPr>
      </w:pPr>
      <w:r w:rsidRPr="005834D9">
        <w:rPr>
          <w:rFonts w:ascii="Calibri" w:hAnsi="Calibri" w:cs="Calibri"/>
        </w:rPr>
        <w:t xml:space="preserve">Landing zone After the raw data is extracted it landed into a landing zone which is separate from the enterprise warehouse. </w:t>
      </w:r>
    </w:p>
    <w:p w14:paraId="53B2FC9F" w14:textId="77777777" w:rsidR="005834D9" w:rsidRPr="005834D9" w:rsidRDefault="005834D9" w:rsidP="005834D9">
      <w:pPr>
        <w:spacing w:before="200" w:after="80" w:line="276" w:lineRule="auto"/>
        <w:jc w:val="both"/>
        <w:rPr>
          <w:rFonts w:ascii="Calibri" w:hAnsi="Calibri" w:cs="Calibri"/>
        </w:rPr>
      </w:pPr>
      <w:r w:rsidRPr="005834D9">
        <w:rPr>
          <w:rFonts w:ascii="Calibri" w:hAnsi="Calibri" w:cs="Calibri"/>
        </w:rPr>
        <w:t xml:space="preserve">The raw extracts are then validated, cleansed, de-duplicated, de-pseudonymized prior to business logic being applied to them. Enterprise warehouse the integrated, historically rich data is then held in the enterprise warehouse using dimensional model. Data marts on top of the warehouse sit role-specific data marts and a Presentation Layer consisting of Power BI and Tableau dashboards.ETL The ETL process  represents the connective tissue between the source systems and the warehouse. It performs extraction from each of the sources on a defined cadence commonly every 15 minutes for clinical activity and daily for finances. </w:t>
      </w:r>
    </w:p>
    <w:p w14:paraId="1492393B" w14:textId="77777777" w:rsidR="005834D9" w:rsidRPr="005834D9" w:rsidRDefault="005834D9" w:rsidP="005834D9">
      <w:pPr>
        <w:spacing w:before="200" w:after="80" w:line="276" w:lineRule="auto"/>
        <w:jc w:val="both"/>
        <w:rPr>
          <w:rFonts w:ascii="Calibri" w:hAnsi="Calibri" w:cs="Calibri"/>
        </w:rPr>
      </w:pPr>
      <w:r w:rsidRPr="005834D9">
        <w:rPr>
          <w:rFonts w:ascii="Calibri" w:hAnsi="Calibri" w:cs="Calibri"/>
        </w:rPr>
        <w:lastRenderedPageBreak/>
        <w:t xml:space="preserve">Transformation uses business rules normalizing units, mapping local codes to national standard (ICD-10, HRG, ODS site codes), de-identifying NHS number using salted SHA-256 and calculating various measures such as length of stay and 30-day readmission indicators. </w:t>
      </w:r>
    </w:p>
    <w:p w14:paraId="3F61E6D8" w14:textId="1A885A6E" w:rsidR="005834D9" w:rsidRDefault="005834D9" w:rsidP="005834D9">
      <w:pPr>
        <w:spacing w:before="200" w:after="80" w:line="276" w:lineRule="auto"/>
        <w:jc w:val="both"/>
        <w:rPr>
          <w:rFonts w:ascii="Calibri" w:hAnsi="Calibri" w:cs="Calibri"/>
        </w:rPr>
      </w:pPr>
      <w:r w:rsidRPr="005834D9">
        <w:rPr>
          <w:rFonts w:ascii="Calibri" w:hAnsi="Calibri" w:cs="Calibri"/>
        </w:rPr>
        <w:t>Loading is done using bulk, set based insert into fact tables which is further partitioned to provide flexibility, and slowly changing dimension(SCD Type 2) methods are employed to store historical data changes for staff and locations. ET L always extracts data from read-only sources (e.g. Replica databases or log-shipped copies of production servers) and runs this activity outside core clinical hours to ensure minimal impact on OLTP system performance, as this is the primary concern expressed by trust IT Directors to us during digital transformation programmes</w:t>
      </w:r>
      <w:r>
        <w:rPr>
          <w:rFonts w:ascii="Calibri" w:hAnsi="Calibri" w:cs="Calibri"/>
        </w:rPr>
        <w:t>.</w:t>
      </w:r>
    </w:p>
    <w:p w14:paraId="6591C037" w14:textId="77777777" w:rsidR="00853415" w:rsidRDefault="00853415" w:rsidP="005834D9">
      <w:pPr>
        <w:spacing w:before="200" w:after="80" w:line="276" w:lineRule="auto"/>
        <w:jc w:val="both"/>
        <w:rPr>
          <w:rFonts w:ascii="Calibri" w:hAnsi="Calibri" w:cs="Calibri"/>
        </w:rPr>
      </w:pPr>
    </w:p>
    <w:p w14:paraId="08D3423C" w14:textId="77777777" w:rsidR="00853415" w:rsidRPr="00853415" w:rsidRDefault="00853415" w:rsidP="00853415">
      <w:pPr>
        <w:pStyle w:val="Heading1"/>
        <w:rPr>
          <w:rFonts w:ascii="Calibri" w:hAnsi="Calibri" w:cs="Calibri"/>
          <w:b/>
          <w:bCs/>
          <w:color w:val="auto"/>
          <w:sz w:val="32"/>
          <w:szCs w:val="32"/>
        </w:rPr>
      </w:pPr>
      <w:bookmarkStart w:id="11" w:name="_Toc234260198"/>
      <w:bookmarkStart w:id="12" w:name="_Toc234284290"/>
      <w:r w:rsidRPr="00853415">
        <w:rPr>
          <w:rFonts w:ascii="Calibri" w:hAnsi="Calibri" w:cs="Calibri"/>
          <w:b/>
          <w:bCs/>
          <w:sz w:val="32"/>
          <w:szCs w:val="32"/>
        </w:rPr>
        <w:t>1.3   Data Marts for Executive Decision-Making</w:t>
      </w:r>
      <w:bookmarkEnd w:id="11"/>
      <w:bookmarkEnd w:id="12"/>
      <w:r w:rsidRPr="00853415">
        <w:rPr>
          <w:rFonts w:ascii="Calibri" w:hAnsi="Calibri" w:cs="Calibri"/>
          <w:b/>
          <w:bCs/>
          <w:color w:val="005EB8"/>
          <w:sz w:val="32"/>
          <w:szCs w:val="32"/>
        </w:rPr>
        <w:t xml:space="preserve"> </w:t>
      </w:r>
    </w:p>
    <w:p w14:paraId="00FCBDA6" w14:textId="77777777" w:rsidR="00853415" w:rsidRDefault="00853415" w:rsidP="005834D9">
      <w:pPr>
        <w:spacing w:before="200" w:after="80" w:line="276" w:lineRule="auto"/>
        <w:jc w:val="both"/>
        <w:rPr>
          <w:rFonts w:ascii="Calibri" w:hAnsi="Calibri" w:cs="Calibri"/>
        </w:rPr>
      </w:pPr>
    </w:p>
    <w:p w14:paraId="4D983CF1" w14:textId="5D277C87" w:rsidR="003C423B" w:rsidRPr="003C423B" w:rsidRDefault="003C423B" w:rsidP="003C423B">
      <w:pPr>
        <w:spacing w:before="200" w:after="80" w:line="276" w:lineRule="auto"/>
        <w:jc w:val="both"/>
        <w:rPr>
          <w:rFonts w:ascii="Calibri" w:hAnsi="Calibri" w:cs="Calibri"/>
        </w:rPr>
      </w:pPr>
      <w:r w:rsidRPr="003C423B">
        <w:rPr>
          <w:rFonts w:ascii="Calibri" w:hAnsi="Calibri" w:cs="Calibri"/>
        </w:rPr>
        <w:t>A data mart is a subject-oriented slice of the warehouse that has been pre-aggregated and structured for a specific user group</w:t>
      </w:r>
      <w:r w:rsidR="00966094">
        <w:rPr>
          <w:rFonts w:ascii="Calibri" w:hAnsi="Calibri" w:cs="Calibri"/>
        </w:rPr>
        <w:t xml:space="preserve"> </w:t>
      </w:r>
      <w:sdt>
        <w:sdtPr>
          <w:rPr>
            <w:rFonts w:ascii="Calibri" w:hAnsi="Calibri" w:cs="Calibri"/>
          </w:rPr>
          <w:id w:val="745535694"/>
          <w:citation/>
        </w:sdtPr>
        <w:sdtContent>
          <w:r w:rsidR="00966094">
            <w:rPr>
              <w:rFonts w:ascii="Calibri" w:hAnsi="Calibri" w:cs="Calibri"/>
            </w:rPr>
            <w:fldChar w:fldCharType="begin"/>
          </w:r>
          <w:r w:rsidR="00966094">
            <w:rPr>
              <w:rFonts w:ascii="Calibri" w:hAnsi="Calibri" w:cs="Calibri"/>
              <w:lang w:val="en-GB"/>
            </w:rPr>
            <w:instrText xml:space="preserve"> CITATION Ver11 \l 2057 </w:instrText>
          </w:r>
          <w:r w:rsidR="00966094">
            <w:rPr>
              <w:rFonts w:ascii="Calibri" w:hAnsi="Calibri" w:cs="Calibri"/>
            </w:rPr>
            <w:fldChar w:fldCharType="separate"/>
          </w:r>
          <w:r w:rsidR="006F7CD4" w:rsidRPr="006F7CD4">
            <w:rPr>
              <w:rFonts w:ascii="Calibri" w:hAnsi="Calibri" w:cs="Calibri"/>
              <w:noProof/>
              <w:lang w:val="en-GB"/>
            </w:rPr>
            <w:t>[5]</w:t>
          </w:r>
          <w:r w:rsidR="00966094">
            <w:rPr>
              <w:rFonts w:ascii="Calibri" w:hAnsi="Calibri" w:cs="Calibri"/>
            </w:rPr>
            <w:fldChar w:fldCharType="end"/>
          </w:r>
        </w:sdtContent>
      </w:sdt>
      <w:r w:rsidRPr="003C423B">
        <w:rPr>
          <w:rFonts w:ascii="Calibri" w:hAnsi="Calibri" w:cs="Calibri"/>
        </w:rPr>
        <w:t xml:space="preserve">. </w:t>
      </w:r>
    </w:p>
    <w:p w14:paraId="1F2683D3" w14:textId="6466C915" w:rsidR="003C423B" w:rsidRDefault="003C423B" w:rsidP="003C423B">
      <w:pPr>
        <w:spacing w:before="200" w:after="80" w:line="276" w:lineRule="auto"/>
        <w:jc w:val="both"/>
        <w:rPr>
          <w:rFonts w:ascii="Calibri" w:hAnsi="Calibri" w:cs="Calibri"/>
        </w:rPr>
      </w:pPr>
      <w:r w:rsidRPr="003C423B">
        <w:rPr>
          <w:rFonts w:ascii="Calibri" w:hAnsi="Calibri" w:cs="Calibri"/>
        </w:rPr>
        <w:t>The three executive data marts required for NHS England are:</w:t>
      </w:r>
    </w:p>
    <w:p w14:paraId="6A510FBD" w14:textId="77777777" w:rsidR="003C423B" w:rsidRPr="003C423B" w:rsidRDefault="003C423B" w:rsidP="003C423B">
      <w:pPr>
        <w:spacing w:before="200" w:after="80" w:line="276" w:lineRule="auto"/>
        <w:jc w:val="both"/>
        <w:rPr>
          <w:rFonts w:ascii="Calibri" w:hAnsi="Calibri" w:cs="Calibri"/>
          <w:b/>
          <w:bCs/>
          <w:sz w:val="28"/>
          <w:szCs w:val="28"/>
        </w:rPr>
      </w:pPr>
      <w:r w:rsidRPr="003C423B">
        <w:rPr>
          <w:rFonts w:ascii="Calibri" w:hAnsi="Calibri" w:cs="Calibri"/>
          <w:b/>
          <w:bCs/>
          <w:sz w:val="28"/>
          <w:szCs w:val="28"/>
        </w:rPr>
        <w:t xml:space="preserve">Executive (CEO) Mart: </w:t>
      </w:r>
    </w:p>
    <w:p w14:paraId="42D5A485" w14:textId="77777777" w:rsidR="003C423B" w:rsidRPr="003C423B" w:rsidRDefault="003C423B" w:rsidP="003C423B">
      <w:pPr>
        <w:spacing w:before="200" w:after="80" w:line="276" w:lineRule="auto"/>
        <w:jc w:val="both"/>
        <w:rPr>
          <w:rFonts w:ascii="Calibri" w:hAnsi="Calibri" w:cs="Calibri"/>
        </w:rPr>
      </w:pPr>
    </w:p>
    <w:p w14:paraId="19155A82" w14:textId="3F3BCBC3" w:rsidR="003C423B" w:rsidRPr="003C423B" w:rsidRDefault="003C423B" w:rsidP="003C423B">
      <w:pPr>
        <w:spacing w:before="200" w:after="80" w:line="276" w:lineRule="auto"/>
        <w:jc w:val="both"/>
        <w:rPr>
          <w:rFonts w:ascii="Calibri" w:hAnsi="Calibri" w:cs="Calibri"/>
        </w:rPr>
      </w:pPr>
      <w:r w:rsidRPr="003C423B">
        <w:rPr>
          <w:rFonts w:ascii="Calibri" w:hAnsi="Calibri" w:cs="Calibri"/>
        </w:rPr>
        <w:t>For the Chief Executive who require a cross-system, top-down view of the system, this marts contains the highest level of KPIs (emergency care 4-hour performance, elective waiting times, total bed occupancy, ambulance handover, mortality indices, net financial position) rolled up to ICS and region and is updated every 30 minutes and monthly in order for the CEO to identify system wide pressures and confidently brief ministers</w:t>
      </w:r>
      <w:r w:rsidR="00977E0E">
        <w:rPr>
          <w:rFonts w:ascii="Calibri" w:hAnsi="Calibri" w:cs="Calibri"/>
        </w:rPr>
        <w:t xml:space="preserve"> </w:t>
      </w:r>
      <w:sdt>
        <w:sdtPr>
          <w:rPr>
            <w:rFonts w:ascii="Calibri" w:hAnsi="Calibri" w:cs="Calibri"/>
          </w:rPr>
          <w:id w:val="-507521091"/>
          <w:citation/>
        </w:sdtPr>
        <w:sdtContent>
          <w:r w:rsidR="00977E0E">
            <w:rPr>
              <w:rFonts w:ascii="Calibri" w:hAnsi="Calibri" w:cs="Calibri"/>
            </w:rPr>
            <w:fldChar w:fldCharType="begin"/>
          </w:r>
          <w:r w:rsidR="00977E0E">
            <w:rPr>
              <w:rFonts w:ascii="Calibri" w:hAnsi="Calibri" w:cs="Calibri"/>
              <w:lang w:val="en-GB"/>
            </w:rPr>
            <w:instrText xml:space="preserve"> CITATION Rat17 \l 2057 </w:instrText>
          </w:r>
          <w:r w:rsidR="00977E0E">
            <w:rPr>
              <w:rFonts w:ascii="Calibri" w:hAnsi="Calibri" w:cs="Calibri"/>
            </w:rPr>
            <w:fldChar w:fldCharType="separate"/>
          </w:r>
          <w:r w:rsidR="006F7CD4" w:rsidRPr="006F7CD4">
            <w:rPr>
              <w:rFonts w:ascii="Calibri" w:hAnsi="Calibri" w:cs="Calibri"/>
              <w:noProof/>
              <w:lang w:val="en-GB"/>
            </w:rPr>
            <w:t>[6]</w:t>
          </w:r>
          <w:r w:rsidR="00977E0E">
            <w:rPr>
              <w:rFonts w:ascii="Calibri" w:hAnsi="Calibri" w:cs="Calibri"/>
            </w:rPr>
            <w:fldChar w:fldCharType="end"/>
          </w:r>
        </w:sdtContent>
      </w:sdt>
      <w:r w:rsidRPr="003C423B">
        <w:rPr>
          <w:rFonts w:ascii="Calibri" w:hAnsi="Calibri" w:cs="Calibri"/>
        </w:rPr>
        <w:t xml:space="preserve">. </w:t>
      </w:r>
    </w:p>
    <w:p w14:paraId="633DFF0C" w14:textId="77777777" w:rsidR="003C423B" w:rsidRPr="003C423B" w:rsidRDefault="003C423B" w:rsidP="003C423B">
      <w:pPr>
        <w:spacing w:before="200" w:after="80" w:line="276" w:lineRule="auto"/>
        <w:jc w:val="both"/>
        <w:rPr>
          <w:rFonts w:ascii="Calibri" w:hAnsi="Calibri" w:cs="Calibri"/>
        </w:rPr>
      </w:pPr>
    </w:p>
    <w:p w14:paraId="5C6E56AF" w14:textId="77777777" w:rsidR="003C423B" w:rsidRPr="003C423B" w:rsidRDefault="003C423B" w:rsidP="003C423B">
      <w:pPr>
        <w:spacing w:before="200" w:after="80" w:line="276" w:lineRule="auto"/>
        <w:jc w:val="both"/>
        <w:rPr>
          <w:rFonts w:ascii="Calibri" w:hAnsi="Calibri" w:cs="Calibri"/>
          <w:b/>
          <w:bCs/>
          <w:sz w:val="28"/>
          <w:szCs w:val="28"/>
        </w:rPr>
      </w:pPr>
      <w:r w:rsidRPr="003C423B">
        <w:rPr>
          <w:rFonts w:ascii="Calibri" w:hAnsi="Calibri" w:cs="Calibri"/>
          <w:b/>
          <w:bCs/>
          <w:sz w:val="28"/>
          <w:szCs w:val="28"/>
        </w:rPr>
        <w:t xml:space="preserve">Finance Director Mart: </w:t>
      </w:r>
    </w:p>
    <w:p w14:paraId="100063EC" w14:textId="77777777" w:rsidR="003C423B" w:rsidRPr="003C423B" w:rsidRDefault="003C423B" w:rsidP="003C423B">
      <w:pPr>
        <w:spacing w:before="200" w:after="80" w:line="276" w:lineRule="auto"/>
        <w:jc w:val="both"/>
        <w:rPr>
          <w:rFonts w:ascii="Calibri" w:hAnsi="Calibri" w:cs="Calibri"/>
        </w:rPr>
      </w:pPr>
    </w:p>
    <w:p w14:paraId="7A06213C" w14:textId="77777777" w:rsidR="003C423B" w:rsidRPr="003C423B" w:rsidRDefault="003C423B" w:rsidP="008E4C53">
      <w:pPr>
        <w:spacing w:before="200" w:after="80" w:line="276" w:lineRule="auto"/>
        <w:jc w:val="both"/>
        <w:rPr>
          <w:rFonts w:ascii="Calibri" w:hAnsi="Calibri" w:cs="Calibri"/>
        </w:rPr>
      </w:pPr>
      <w:r w:rsidRPr="003C423B">
        <w:rPr>
          <w:rFonts w:ascii="Calibri" w:hAnsi="Calibri" w:cs="Calibri"/>
        </w:rPr>
        <w:t xml:space="preserve">For the Finance Director, who needs to track and understand income, expenditure and value. </w:t>
      </w:r>
    </w:p>
    <w:p w14:paraId="5835E618" w14:textId="50F0801F" w:rsidR="003C423B" w:rsidRPr="003C423B" w:rsidRDefault="003C423B" w:rsidP="008E4C53">
      <w:pPr>
        <w:spacing w:before="200" w:after="80" w:line="276" w:lineRule="auto"/>
        <w:jc w:val="both"/>
        <w:rPr>
          <w:rFonts w:ascii="Calibri" w:hAnsi="Calibri" w:cs="Calibri"/>
        </w:rPr>
      </w:pPr>
      <w:r w:rsidRPr="003C423B">
        <w:rPr>
          <w:rFonts w:ascii="Calibri" w:hAnsi="Calibri" w:cs="Calibri"/>
        </w:rPr>
        <w:t>This involves bringing together activity facts with cost HRGs and contracted tariffs, performing variance analysis against plan, benchmarking of cost per case within a cohort of trusts, monitoring agency spending and capital programme activity</w:t>
      </w:r>
      <w:r w:rsidR="00977E0E">
        <w:rPr>
          <w:rFonts w:ascii="Calibri" w:hAnsi="Calibri" w:cs="Calibri"/>
        </w:rPr>
        <w:t xml:space="preserve"> </w:t>
      </w:r>
      <w:sdt>
        <w:sdtPr>
          <w:rPr>
            <w:rFonts w:ascii="Calibri" w:hAnsi="Calibri" w:cs="Calibri"/>
          </w:rPr>
          <w:id w:val="595524066"/>
          <w:citation/>
        </w:sdtPr>
        <w:sdtContent>
          <w:r w:rsidR="00977E0E">
            <w:rPr>
              <w:rFonts w:ascii="Calibri" w:hAnsi="Calibri" w:cs="Calibri"/>
            </w:rPr>
            <w:fldChar w:fldCharType="begin"/>
          </w:r>
          <w:r w:rsidR="00977E0E">
            <w:rPr>
              <w:rFonts w:ascii="Calibri" w:hAnsi="Calibri" w:cs="Calibri"/>
              <w:lang w:val="en-GB"/>
            </w:rPr>
            <w:instrText xml:space="preserve"> CITATION Zha231 \l 2057 </w:instrText>
          </w:r>
          <w:r w:rsidR="00977E0E">
            <w:rPr>
              <w:rFonts w:ascii="Calibri" w:hAnsi="Calibri" w:cs="Calibri"/>
            </w:rPr>
            <w:fldChar w:fldCharType="separate"/>
          </w:r>
          <w:r w:rsidR="006F7CD4" w:rsidRPr="006F7CD4">
            <w:rPr>
              <w:rFonts w:ascii="Calibri" w:hAnsi="Calibri" w:cs="Calibri"/>
              <w:noProof/>
              <w:lang w:val="en-GB"/>
            </w:rPr>
            <w:t>[7]</w:t>
          </w:r>
          <w:r w:rsidR="00977E0E">
            <w:rPr>
              <w:rFonts w:ascii="Calibri" w:hAnsi="Calibri" w:cs="Calibri"/>
            </w:rPr>
            <w:fldChar w:fldCharType="end"/>
          </w:r>
        </w:sdtContent>
      </w:sdt>
      <w:r w:rsidRPr="003C423B">
        <w:rPr>
          <w:rFonts w:ascii="Calibri" w:hAnsi="Calibri" w:cs="Calibri"/>
        </w:rPr>
        <w:t xml:space="preserve">. </w:t>
      </w:r>
    </w:p>
    <w:p w14:paraId="26C904C1" w14:textId="77777777" w:rsidR="003C423B" w:rsidRPr="003C423B" w:rsidRDefault="003C423B" w:rsidP="008E4C53">
      <w:pPr>
        <w:spacing w:before="200" w:after="80" w:line="276" w:lineRule="auto"/>
        <w:jc w:val="both"/>
        <w:rPr>
          <w:rFonts w:ascii="Calibri" w:hAnsi="Calibri" w:cs="Calibri"/>
        </w:rPr>
      </w:pPr>
      <w:r w:rsidRPr="003C423B">
        <w:rPr>
          <w:rFonts w:ascii="Calibri" w:hAnsi="Calibri" w:cs="Calibri"/>
        </w:rPr>
        <w:lastRenderedPageBreak/>
        <w:t xml:space="preserve">It also highlights leading indicators (such as high-cost drug usage, theater utilization) which will predict the next month’s run-rate. The slowly changing dimensions maintain organizational change and so the ability to compare trends over time is preserved. </w:t>
      </w:r>
    </w:p>
    <w:p w14:paraId="08C83862" w14:textId="77777777" w:rsidR="003C423B" w:rsidRPr="003C423B" w:rsidRDefault="003C423B" w:rsidP="003C423B">
      <w:pPr>
        <w:spacing w:before="200" w:after="80" w:line="276" w:lineRule="auto"/>
        <w:jc w:val="both"/>
        <w:rPr>
          <w:rFonts w:ascii="Calibri" w:hAnsi="Calibri" w:cs="Calibri"/>
        </w:rPr>
      </w:pPr>
    </w:p>
    <w:p w14:paraId="0427BA08" w14:textId="77777777" w:rsidR="003C423B" w:rsidRPr="003C423B" w:rsidRDefault="003C423B" w:rsidP="003C423B">
      <w:pPr>
        <w:spacing w:before="200" w:after="80" w:line="276" w:lineRule="auto"/>
        <w:jc w:val="both"/>
        <w:rPr>
          <w:rFonts w:ascii="Calibri" w:hAnsi="Calibri" w:cs="Calibri"/>
          <w:b/>
          <w:bCs/>
          <w:sz w:val="28"/>
          <w:szCs w:val="28"/>
        </w:rPr>
      </w:pPr>
      <w:r w:rsidRPr="003C423B">
        <w:rPr>
          <w:rFonts w:ascii="Calibri" w:hAnsi="Calibri" w:cs="Calibri"/>
          <w:b/>
          <w:bCs/>
          <w:sz w:val="28"/>
          <w:szCs w:val="28"/>
        </w:rPr>
        <w:t xml:space="preserve">Medical Director Mart: </w:t>
      </w:r>
    </w:p>
    <w:p w14:paraId="031881C1" w14:textId="7ABE1667" w:rsidR="003C423B" w:rsidRPr="003C423B" w:rsidRDefault="003C423B" w:rsidP="003C423B">
      <w:pPr>
        <w:spacing w:before="200" w:after="80" w:line="276" w:lineRule="auto"/>
        <w:jc w:val="both"/>
        <w:rPr>
          <w:rFonts w:ascii="Calibri" w:hAnsi="Calibri" w:cs="Calibri"/>
        </w:rPr>
      </w:pPr>
      <w:r w:rsidRPr="003C423B">
        <w:rPr>
          <w:rFonts w:ascii="Calibri" w:hAnsi="Calibri" w:cs="Calibri"/>
        </w:rPr>
        <w:t>For the Medical Director who must understand clinical quality and patient safety, the mart shows 30-day readmissions, hospital-acquired infections, surgical site infections, events, mortality reviews, sepsis compliance and PROMs. The data in the marts can be drilled down from a national level down through trust, specialty, to team and then to individual case to support the Medical Director’s statutory responsibility for clinical governance in the context of the CQC. The three marts share conformed dimensions within the data warehouse, ensuring that ‘a patient’, ‘a trust’ and ‘a financial month ‘are understood to mean the exact same thing across all board reports, the greatest cultural shift to be achieved by the data warehouse</w:t>
      </w:r>
      <w:r w:rsidR="00977E0E">
        <w:rPr>
          <w:rFonts w:ascii="Calibri" w:hAnsi="Calibri" w:cs="Calibri"/>
        </w:rPr>
        <w:t xml:space="preserve"> </w:t>
      </w:r>
      <w:sdt>
        <w:sdtPr>
          <w:rPr>
            <w:rFonts w:ascii="Calibri" w:hAnsi="Calibri" w:cs="Calibri"/>
          </w:rPr>
          <w:id w:val="-1991931713"/>
          <w:citation/>
        </w:sdtPr>
        <w:sdtContent>
          <w:r w:rsidR="00977E0E">
            <w:rPr>
              <w:rFonts w:ascii="Calibri" w:hAnsi="Calibri" w:cs="Calibri"/>
            </w:rPr>
            <w:fldChar w:fldCharType="begin"/>
          </w:r>
          <w:r w:rsidR="00977E0E">
            <w:rPr>
              <w:rFonts w:ascii="Calibri" w:hAnsi="Calibri" w:cs="Calibri"/>
              <w:lang w:val="en-GB"/>
            </w:rPr>
            <w:instrText xml:space="preserve"> CITATION DeL23 \l 2057 </w:instrText>
          </w:r>
          <w:r w:rsidR="00977E0E">
            <w:rPr>
              <w:rFonts w:ascii="Calibri" w:hAnsi="Calibri" w:cs="Calibri"/>
            </w:rPr>
            <w:fldChar w:fldCharType="separate"/>
          </w:r>
          <w:r w:rsidR="006F7CD4" w:rsidRPr="006F7CD4">
            <w:rPr>
              <w:rFonts w:ascii="Calibri" w:hAnsi="Calibri" w:cs="Calibri"/>
              <w:noProof/>
              <w:lang w:val="en-GB"/>
            </w:rPr>
            <w:t>[8]</w:t>
          </w:r>
          <w:r w:rsidR="00977E0E">
            <w:rPr>
              <w:rFonts w:ascii="Calibri" w:hAnsi="Calibri" w:cs="Calibri"/>
            </w:rPr>
            <w:fldChar w:fldCharType="end"/>
          </w:r>
        </w:sdtContent>
      </w:sdt>
      <w:r w:rsidRPr="003C423B">
        <w:rPr>
          <w:rFonts w:ascii="Calibri" w:hAnsi="Calibri" w:cs="Calibri"/>
        </w:rPr>
        <w:t>.</w:t>
      </w:r>
    </w:p>
    <w:p w14:paraId="5E36691B" w14:textId="77777777" w:rsidR="003C423B" w:rsidRPr="003C423B" w:rsidRDefault="003C423B" w:rsidP="003C423B">
      <w:pPr>
        <w:spacing w:before="200" w:after="80" w:line="276" w:lineRule="auto"/>
        <w:jc w:val="both"/>
        <w:rPr>
          <w:rFonts w:ascii="Calibri" w:hAnsi="Calibri" w:cs="Calibri"/>
        </w:rPr>
      </w:pPr>
    </w:p>
    <w:p w14:paraId="2C640F30" w14:textId="77777777" w:rsidR="00656457" w:rsidRDefault="00656457" w:rsidP="003C423B">
      <w:pPr>
        <w:spacing w:before="200" w:after="80" w:line="276" w:lineRule="auto"/>
        <w:jc w:val="both"/>
        <w:rPr>
          <w:rFonts w:ascii="Calibri" w:hAnsi="Calibri" w:cs="Calibri"/>
        </w:rPr>
      </w:pPr>
    </w:p>
    <w:p w14:paraId="6804EF2A" w14:textId="77777777" w:rsidR="00656457" w:rsidRPr="00656457" w:rsidRDefault="00656457" w:rsidP="00656457">
      <w:pPr>
        <w:pStyle w:val="Heading1"/>
        <w:rPr>
          <w:rFonts w:ascii="Calibri" w:hAnsi="Calibri" w:cs="Calibri"/>
          <w:b/>
          <w:bCs/>
          <w:sz w:val="32"/>
          <w:szCs w:val="32"/>
        </w:rPr>
      </w:pPr>
      <w:bookmarkStart w:id="13" w:name="_Toc234260207"/>
      <w:bookmarkStart w:id="14" w:name="_Toc234284291"/>
      <w:r w:rsidRPr="00656457">
        <w:rPr>
          <w:rFonts w:ascii="Calibri" w:hAnsi="Calibri" w:cs="Calibri"/>
          <w:b/>
          <w:bCs/>
          <w:sz w:val="32"/>
          <w:szCs w:val="32"/>
        </w:rPr>
        <w:t>1.4  Normalisation vs. Dimensional Modelling</w:t>
      </w:r>
      <w:bookmarkEnd w:id="13"/>
      <w:bookmarkEnd w:id="14"/>
      <w:r w:rsidRPr="00656457">
        <w:rPr>
          <w:rFonts w:ascii="Calibri" w:hAnsi="Calibri" w:cs="Calibri"/>
          <w:b/>
          <w:bCs/>
          <w:sz w:val="32"/>
          <w:szCs w:val="32"/>
        </w:rPr>
        <w:t xml:space="preserve"> </w:t>
      </w:r>
    </w:p>
    <w:p w14:paraId="20581DF0" w14:textId="77777777" w:rsidR="00656457" w:rsidRPr="0034630E" w:rsidRDefault="00656457" w:rsidP="00656457">
      <w:pPr>
        <w:jc w:val="both"/>
      </w:pPr>
    </w:p>
    <w:p w14:paraId="6F814771" w14:textId="77777777" w:rsidR="00656457" w:rsidRPr="00656457" w:rsidRDefault="00656457" w:rsidP="00656457">
      <w:pPr>
        <w:spacing w:after="200" w:line="276" w:lineRule="auto"/>
        <w:jc w:val="both"/>
        <w:rPr>
          <w:rFonts w:ascii="Calibri" w:hAnsi="Calibri" w:cs="Calibri"/>
        </w:rPr>
      </w:pPr>
      <w:r w:rsidRPr="00656457">
        <w:rPr>
          <w:rFonts w:ascii="Calibri" w:hAnsi="Calibri" w:cs="Calibri"/>
        </w:rPr>
        <w:t xml:space="preserve">Typical OLTP database tables are normalized to remove duplicate information. Patient information will be stored in one table, addresses in another, episode details in a third and so on. Foreign keys join these tables together. </w:t>
      </w:r>
    </w:p>
    <w:p w14:paraId="4D9EB04A" w14:textId="77777777" w:rsidR="00656457" w:rsidRPr="00656457" w:rsidRDefault="00656457" w:rsidP="00656457">
      <w:pPr>
        <w:spacing w:after="200" w:line="276" w:lineRule="auto"/>
        <w:jc w:val="both"/>
        <w:rPr>
          <w:rFonts w:ascii="Calibri" w:hAnsi="Calibri" w:cs="Calibri"/>
        </w:rPr>
      </w:pPr>
      <w:r w:rsidRPr="00656457">
        <w:rPr>
          <w:rFonts w:ascii="Calibri" w:hAnsi="Calibri" w:cs="Calibri"/>
        </w:rPr>
        <w:t xml:space="preserve">While this requires less storage space and avoids the update anomaly, to answer one question about an analytics domain, it might mean querying a dozen tables, requiring effort from the user, both cognitive and in terms of performance. </w:t>
      </w:r>
    </w:p>
    <w:p w14:paraId="5BDDD2A2" w14:textId="6BD29418" w:rsidR="00656457" w:rsidRPr="00656457" w:rsidRDefault="00656457" w:rsidP="00656457">
      <w:pPr>
        <w:jc w:val="both"/>
        <w:rPr>
          <w:rFonts w:ascii="Calibri" w:hAnsi="Calibri" w:cs="Calibri"/>
        </w:rPr>
      </w:pPr>
      <w:r w:rsidRPr="00656457">
        <w:rPr>
          <w:rFonts w:ascii="Calibri" w:hAnsi="Calibri" w:cs="Calibri"/>
        </w:rPr>
        <w:t>Dimensional modelling (Kimball) presents a trade off the other way; the facts or measurable events of the business (the equivalent of a finance transaction, or a patient episode in this case for NHS) is placed in one table (fact table), surrounded by deformalized descriptive or dimension tables who, what, when, where information. Space required may be higher, but the user benefit and performance benefits are considerable</w:t>
      </w:r>
      <w:r w:rsidR="00977E0E">
        <w:rPr>
          <w:rFonts w:ascii="Calibri" w:hAnsi="Calibri" w:cs="Calibri"/>
        </w:rPr>
        <w:t xml:space="preserve"> </w:t>
      </w:r>
      <w:sdt>
        <w:sdtPr>
          <w:rPr>
            <w:rFonts w:ascii="Calibri" w:hAnsi="Calibri" w:cs="Calibri"/>
          </w:rPr>
          <w:id w:val="-26806357"/>
          <w:citation/>
        </w:sdtPr>
        <w:sdtContent>
          <w:r w:rsidR="00977E0E">
            <w:rPr>
              <w:rFonts w:ascii="Calibri" w:hAnsi="Calibri" w:cs="Calibri"/>
            </w:rPr>
            <w:fldChar w:fldCharType="begin"/>
          </w:r>
          <w:r w:rsidR="00977E0E">
            <w:rPr>
              <w:rFonts w:ascii="Calibri" w:hAnsi="Calibri" w:cs="Calibri"/>
              <w:lang w:val="en-GB"/>
            </w:rPr>
            <w:instrText xml:space="preserve"> CITATION Kan20 \l 2057 </w:instrText>
          </w:r>
          <w:r w:rsidR="00977E0E">
            <w:rPr>
              <w:rFonts w:ascii="Calibri" w:hAnsi="Calibri" w:cs="Calibri"/>
            </w:rPr>
            <w:fldChar w:fldCharType="separate"/>
          </w:r>
          <w:r w:rsidR="006F7CD4" w:rsidRPr="006F7CD4">
            <w:rPr>
              <w:rFonts w:ascii="Calibri" w:hAnsi="Calibri" w:cs="Calibri"/>
              <w:noProof/>
              <w:lang w:val="en-GB"/>
            </w:rPr>
            <w:t>[9]</w:t>
          </w:r>
          <w:r w:rsidR="00977E0E">
            <w:rPr>
              <w:rFonts w:ascii="Calibri" w:hAnsi="Calibri" w:cs="Calibri"/>
            </w:rPr>
            <w:fldChar w:fldCharType="end"/>
          </w:r>
        </w:sdtContent>
      </w:sdt>
      <w:r w:rsidRPr="00656457">
        <w:rPr>
          <w:rFonts w:ascii="Calibri" w:hAnsi="Calibri" w:cs="Calibri"/>
        </w:rPr>
        <w:t>.</w:t>
      </w:r>
    </w:p>
    <w:p w14:paraId="67E68331" w14:textId="77777777" w:rsidR="00656457" w:rsidRPr="00DF059B" w:rsidRDefault="00656457" w:rsidP="00656457">
      <w:pPr>
        <w:spacing w:after="200" w:line="276" w:lineRule="auto"/>
        <w:jc w:val="both"/>
        <w:rPr>
          <w:rFonts w:ascii="Calibri" w:hAnsi="Calibri" w:cs="Calibri"/>
        </w:rPr>
      </w:pPr>
      <w:r w:rsidRPr="00F263E1">
        <w:lastRenderedPageBreak/>
        <w:drawing>
          <wp:anchor distT="0" distB="0" distL="114300" distR="114300" simplePos="0" relativeHeight="251661312" behindDoc="0" locked="0" layoutInCell="1" allowOverlap="1" wp14:anchorId="71834117" wp14:editId="53650B5C">
            <wp:simplePos x="0" y="0"/>
            <wp:positionH relativeFrom="page">
              <wp:posOffset>791845</wp:posOffset>
            </wp:positionH>
            <wp:positionV relativeFrom="paragraph">
              <wp:posOffset>334645</wp:posOffset>
            </wp:positionV>
            <wp:extent cx="6150610" cy="4236720"/>
            <wp:effectExtent l="0" t="0" r="2540" b="0"/>
            <wp:wrapTopAndBottom/>
            <wp:docPr id="1422708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708202" name=""/>
                    <pic:cNvPicPr/>
                  </pic:nvPicPr>
                  <pic:blipFill>
                    <a:blip r:embed="rId8"/>
                    <a:stretch>
                      <a:fillRect/>
                    </a:stretch>
                  </pic:blipFill>
                  <pic:spPr>
                    <a:xfrm>
                      <a:off x="0" y="0"/>
                      <a:ext cx="6150610" cy="4236720"/>
                    </a:xfrm>
                    <a:prstGeom prst="rect">
                      <a:avLst/>
                    </a:prstGeom>
                  </pic:spPr>
                </pic:pic>
              </a:graphicData>
            </a:graphic>
            <wp14:sizeRelH relativeFrom="margin">
              <wp14:pctWidth>0</wp14:pctWidth>
            </wp14:sizeRelH>
            <wp14:sizeRelV relativeFrom="margin">
              <wp14:pctHeight>0</wp14:pctHeight>
            </wp14:sizeRelV>
          </wp:anchor>
        </w:drawing>
      </w:r>
    </w:p>
    <w:p w14:paraId="515FEC9C" w14:textId="26CA677C" w:rsidR="00656457" w:rsidRPr="00DF059B" w:rsidRDefault="00656457" w:rsidP="00656457">
      <w:pPr>
        <w:spacing w:after="200"/>
        <w:jc w:val="center"/>
        <w:rPr>
          <w:rFonts w:ascii="Calibri" w:hAnsi="Calibri" w:cs="Calibri"/>
          <w:b/>
          <w:bCs/>
          <w:iCs/>
          <w:color w:val="000000" w:themeColor="text1"/>
          <w:sz w:val="20"/>
          <w:szCs w:val="20"/>
        </w:rPr>
      </w:pPr>
      <w:r w:rsidRPr="00DF059B">
        <w:rPr>
          <w:rFonts w:ascii="Calibri" w:hAnsi="Calibri" w:cs="Calibri"/>
          <w:b/>
          <w:bCs/>
          <w:iCs/>
          <w:color w:val="000000" w:themeColor="text1"/>
          <w:sz w:val="20"/>
          <w:szCs w:val="20"/>
        </w:rPr>
        <w:t>Figure 2. Star schema for NHS patient-activity analytics, with one central fact and five conformed dimensions.</w:t>
      </w:r>
    </w:p>
    <w:p w14:paraId="587B3316" w14:textId="6F54E462" w:rsidR="00656457" w:rsidRDefault="00656457" w:rsidP="003C423B">
      <w:pPr>
        <w:spacing w:before="200" w:after="80" w:line="276" w:lineRule="auto"/>
        <w:jc w:val="both"/>
        <w:rPr>
          <w:rFonts w:ascii="Calibri" w:hAnsi="Calibri" w:cs="Calibri"/>
        </w:rPr>
      </w:pPr>
      <w:r w:rsidRPr="00656457">
        <w:rPr>
          <w:rFonts w:ascii="Calibri" w:hAnsi="Calibri" w:cs="Calibri"/>
        </w:rPr>
        <w:t>Figure 2 shows a star schema for NHS patient activity, with the fact table consisting of a record for every completed episode, and metrics (stay length, wait minutes, cost and readmission) and keys into 5 conformed dimensions (patient pseudonymized time, location, staff and treatment) stored in that fact. Such a query ( “average stay length by specialty and region last quarter “ ) involves a join per dimension, which is efficiently mapped by BI tools to partition-pruned scans in seconds, not minutes.</w:t>
      </w:r>
    </w:p>
    <w:p w14:paraId="72516A0F" w14:textId="77777777" w:rsidR="00DF059B" w:rsidRDefault="00DF059B" w:rsidP="003C423B">
      <w:pPr>
        <w:spacing w:before="200" w:after="80" w:line="276" w:lineRule="auto"/>
        <w:jc w:val="both"/>
        <w:rPr>
          <w:rFonts w:ascii="Calibri" w:hAnsi="Calibri" w:cs="Calibri"/>
        </w:rPr>
      </w:pPr>
    </w:p>
    <w:p w14:paraId="3934E613" w14:textId="77777777" w:rsidR="00DF059B" w:rsidRDefault="00DF059B" w:rsidP="003C423B">
      <w:pPr>
        <w:spacing w:before="200" w:after="80" w:line="276" w:lineRule="auto"/>
        <w:jc w:val="both"/>
        <w:rPr>
          <w:rFonts w:ascii="Calibri" w:hAnsi="Calibri" w:cs="Calibri"/>
        </w:rPr>
      </w:pPr>
    </w:p>
    <w:p w14:paraId="3AE664BF" w14:textId="77777777" w:rsidR="00536C49" w:rsidRDefault="00536C49" w:rsidP="003C423B">
      <w:pPr>
        <w:spacing w:before="200" w:after="80" w:line="276" w:lineRule="auto"/>
        <w:jc w:val="both"/>
        <w:rPr>
          <w:rFonts w:ascii="Calibri" w:hAnsi="Calibri" w:cs="Calibri"/>
        </w:rPr>
      </w:pPr>
    </w:p>
    <w:p w14:paraId="0CD8B3AF" w14:textId="77777777" w:rsidR="00536C49" w:rsidRDefault="00536C49" w:rsidP="003C423B">
      <w:pPr>
        <w:spacing w:before="200" w:after="80" w:line="276" w:lineRule="auto"/>
        <w:jc w:val="both"/>
        <w:rPr>
          <w:rFonts w:ascii="Calibri" w:hAnsi="Calibri" w:cs="Calibri"/>
        </w:rPr>
      </w:pPr>
    </w:p>
    <w:p w14:paraId="53B0DBA4" w14:textId="77777777" w:rsidR="00DF059B" w:rsidRPr="00DF059B" w:rsidRDefault="00DF059B" w:rsidP="00DF059B">
      <w:pPr>
        <w:pStyle w:val="Heading1"/>
        <w:rPr>
          <w:rFonts w:ascii="Calibri" w:hAnsi="Calibri" w:cs="Calibri"/>
          <w:b/>
          <w:bCs/>
          <w:sz w:val="32"/>
          <w:szCs w:val="32"/>
        </w:rPr>
      </w:pPr>
      <w:bookmarkStart w:id="15" w:name="_Toc234260209"/>
      <w:bookmarkStart w:id="16" w:name="_Toc234284292"/>
      <w:r w:rsidRPr="00DF059B">
        <w:rPr>
          <w:rFonts w:ascii="Calibri" w:hAnsi="Calibri" w:cs="Calibri"/>
          <w:b/>
          <w:bCs/>
          <w:sz w:val="32"/>
          <w:szCs w:val="32"/>
        </w:rPr>
        <w:lastRenderedPageBreak/>
        <w:t>Task 2  Design and Implementation Plan</w:t>
      </w:r>
      <w:bookmarkEnd w:id="15"/>
      <w:bookmarkEnd w:id="16"/>
    </w:p>
    <w:p w14:paraId="71C53555" w14:textId="7083F38F" w:rsidR="00DF059B" w:rsidRDefault="00DF059B" w:rsidP="00DF059B">
      <w:pPr>
        <w:pStyle w:val="Heading1"/>
        <w:rPr>
          <w:rFonts w:ascii="Calibri" w:hAnsi="Calibri" w:cs="Calibri"/>
          <w:b/>
          <w:bCs/>
          <w:sz w:val="32"/>
          <w:szCs w:val="32"/>
        </w:rPr>
      </w:pPr>
      <w:bookmarkStart w:id="17" w:name="_Toc234260210"/>
      <w:bookmarkStart w:id="18" w:name="_Toc234284293"/>
      <w:r w:rsidRPr="00DF059B">
        <w:rPr>
          <w:rFonts w:ascii="Calibri" w:hAnsi="Calibri" w:cs="Calibri"/>
          <w:b/>
          <w:bCs/>
          <w:sz w:val="32"/>
          <w:szCs w:val="32"/>
        </w:rPr>
        <w:t>2.1  Source System Identification</w:t>
      </w:r>
      <w:bookmarkEnd w:id="17"/>
      <w:bookmarkEnd w:id="18"/>
      <w:r w:rsidRPr="00DF059B">
        <w:rPr>
          <w:rFonts w:ascii="Calibri" w:hAnsi="Calibri" w:cs="Calibri"/>
          <w:b/>
          <w:bCs/>
          <w:sz w:val="32"/>
          <w:szCs w:val="32"/>
        </w:rPr>
        <w:t xml:space="preserve"> </w:t>
      </w:r>
    </w:p>
    <w:p w14:paraId="1F99458F" w14:textId="77777777" w:rsidR="00DF059B" w:rsidRDefault="00DF059B" w:rsidP="008E4C53">
      <w:pPr>
        <w:jc w:val="both"/>
      </w:pPr>
    </w:p>
    <w:p w14:paraId="7B691D7B" w14:textId="7F7D2B12" w:rsidR="00DF059B" w:rsidRDefault="00DF059B" w:rsidP="008E4C53">
      <w:pPr>
        <w:jc w:val="both"/>
        <w:rPr>
          <w:rFonts w:ascii="Calibri" w:hAnsi="Calibri" w:cs="Calibri"/>
          <w:color w:val="000000" w:themeColor="text1"/>
        </w:rPr>
      </w:pPr>
      <w:r w:rsidRPr="00DF059B">
        <w:rPr>
          <w:rFonts w:ascii="Calibri" w:hAnsi="Calibri" w:cs="Calibri"/>
          <w:color w:val="000000" w:themeColor="text1"/>
        </w:rPr>
        <w:t>The sources of internal data include trust Electronic Patient Record systems (Epic, Cerner, System C Medway), the Patient Administration System for patient demographics and admissions, departmental clinical systems (radiology RIS/PACS, pathology LIMS, theatres, maternity etc.), Electronic Staff Record for workforce, finance ledgers (Oracle/SAP) and Estates &amp; Facilities CAFM system. The external sources of data include ONS for population denominators, OS for geography, met office for weather related demand, CQC inspection feed and approved research datasets including HES. All internal and external sources are catalogued with source owner, frequency of refresh, governance category and justification under the Caldicott principles prior to data integration into the service</w:t>
      </w:r>
      <w:r w:rsidR="006F1DDC">
        <w:rPr>
          <w:rFonts w:ascii="Calibri" w:hAnsi="Calibri" w:cs="Calibri"/>
          <w:color w:val="000000" w:themeColor="text1"/>
        </w:rPr>
        <w:t xml:space="preserve"> </w:t>
      </w:r>
      <w:sdt>
        <w:sdtPr>
          <w:rPr>
            <w:rFonts w:ascii="Calibri" w:hAnsi="Calibri" w:cs="Calibri"/>
            <w:color w:val="000000" w:themeColor="text1"/>
          </w:rPr>
          <w:id w:val="805980447"/>
          <w:citation/>
        </w:sdtPr>
        <w:sdtContent>
          <w:r w:rsidR="006F1DDC">
            <w:rPr>
              <w:rFonts w:ascii="Calibri" w:hAnsi="Calibri" w:cs="Calibri"/>
              <w:color w:val="000000" w:themeColor="text1"/>
            </w:rPr>
            <w:fldChar w:fldCharType="begin"/>
          </w:r>
          <w:r w:rsidR="006F1DDC">
            <w:rPr>
              <w:rFonts w:ascii="Calibri" w:hAnsi="Calibri" w:cs="Calibri"/>
              <w:color w:val="000000" w:themeColor="text1"/>
              <w:lang w:val="en-GB"/>
            </w:rPr>
            <w:instrText xml:space="preserve"> CITATION Hof16 \l 2057 </w:instrText>
          </w:r>
          <w:r w:rsidR="006F1DDC">
            <w:rPr>
              <w:rFonts w:ascii="Calibri" w:hAnsi="Calibri" w:cs="Calibri"/>
              <w:color w:val="000000" w:themeColor="text1"/>
            </w:rPr>
            <w:fldChar w:fldCharType="separate"/>
          </w:r>
          <w:r w:rsidR="006F7CD4" w:rsidRPr="006F7CD4">
            <w:rPr>
              <w:rFonts w:ascii="Calibri" w:hAnsi="Calibri" w:cs="Calibri"/>
              <w:noProof/>
              <w:color w:val="000000" w:themeColor="text1"/>
              <w:lang w:val="en-GB"/>
            </w:rPr>
            <w:t>[10]</w:t>
          </w:r>
          <w:r w:rsidR="006F1DDC">
            <w:rPr>
              <w:rFonts w:ascii="Calibri" w:hAnsi="Calibri" w:cs="Calibri"/>
              <w:color w:val="000000" w:themeColor="text1"/>
            </w:rPr>
            <w:fldChar w:fldCharType="end"/>
          </w:r>
        </w:sdtContent>
      </w:sdt>
      <w:r>
        <w:rPr>
          <w:rFonts w:ascii="Calibri" w:hAnsi="Calibri" w:cs="Calibri"/>
          <w:color w:val="000000" w:themeColor="text1"/>
        </w:rPr>
        <w:t>.</w:t>
      </w:r>
    </w:p>
    <w:p w14:paraId="490F093E" w14:textId="77777777" w:rsidR="00DF059B" w:rsidRDefault="00DF059B" w:rsidP="00DF059B">
      <w:pPr>
        <w:rPr>
          <w:rFonts w:ascii="Calibri" w:hAnsi="Calibri" w:cs="Calibri"/>
          <w:color w:val="000000" w:themeColor="text1"/>
        </w:rPr>
      </w:pPr>
    </w:p>
    <w:p w14:paraId="76589C8C" w14:textId="77777777" w:rsidR="00DF059B" w:rsidRPr="00DF059B" w:rsidRDefault="00DF059B" w:rsidP="00DF059B">
      <w:pPr>
        <w:pStyle w:val="Heading1"/>
        <w:rPr>
          <w:rFonts w:ascii="Calibri" w:hAnsi="Calibri" w:cs="Calibri"/>
          <w:b/>
          <w:bCs/>
          <w:sz w:val="32"/>
          <w:szCs w:val="32"/>
        </w:rPr>
      </w:pPr>
      <w:bookmarkStart w:id="19" w:name="_Toc234260212"/>
      <w:bookmarkStart w:id="20" w:name="_Toc234284294"/>
      <w:r w:rsidRPr="00DF059B">
        <w:rPr>
          <w:rFonts w:ascii="Calibri" w:hAnsi="Calibri" w:cs="Calibri"/>
          <w:b/>
          <w:bCs/>
          <w:sz w:val="32"/>
          <w:szCs w:val="32"/>
        </w:rPr>
        <w:t>2.2  Star Schema Design</w:t>
      </w:r>
      <w:bookmarkEnd w:id="19"/>
      <w:bookmarkEnd w:id="20"/>
      <w:r w:rsidRPr="00DF059B">
        <w:rPr>
          <w:rFonts w:ascii="Calibri" w:hAnsi="Calibri" w:cs="Calibri"/>
          <w:b/>
          <w:bCs/>
          <w:sz w:val="32"/>
          <w:szCs w:val="32"/>
        </w:rPr>
        <w:t xml:space="preserve"> </w:t>
      </w:r>
    </w:p>
    <w:p w14:paraId="691C1B85" w14:textId="77777777" w:rsidR="00DF059B" w:rsidRPr="00DF059B" w:rsidRDefault="00DF059B" w:rsidP="00DF059B">
      <w:pPr>
        <w:jc w:val="both"/>
        <w:rPr>
          <w:rFonts w:ascii="Calibri" w:hAnsi="Calibri" w:cs="Calibri"/>
        </w:rPr>
      </w:pPr>
    </w:p>
    <w:p w14:paraId="1252C342" w14:textId="77777777" w:rsidR="00DF059B" w:rsidRPr="00DF059B" w:rsidRDefault="00DF059B" w:rsidP="00DF059B">
      <w:pPr>
        <w:jc w:val="both"/>
        <w:rPr>
          <w:rFonts w:ascii="Calibri" w:hAnsi="Calibri" w:cs="Calibri"/>
        </w:rPr>
      </w:pPr>
      <w:r w:rsidRPr="00DF059B">
        <w:rPr>
          <w:rFonts w:ascii="Calibri" w:hAnsi="Calibri" w:cs="Calibri"/>
        </w:rPr>
        <w:t xml:space="preserve">The center of the warehouse is a constellation of star schemas with conformed dimensions. </w:t>
      </w:r>
    </w:p>
    <w:p w14:paraId="0C1976B3" w14:textId="10BBF2A2" w:rsidR="00DF059B" w:rsidRPr="00DF059B" w:rsidRDefault="00DF059B" w:rsidP="00DF059B">
      <w:pPr>
        <w:jc w:val="both"/>
        <w:rPr>
          <w:rFonts w:ascii="Calibri" w:hAnsi="Calibri" w:cs="Calibri"/>
        </w:rPr>
      </w:pPr>
      <w:r w:rsidRPr="00DF059B">
        <w:rPr>
          <w:rFonts w:ascii="Calibri" w:hAnsi="Calibri" w:cs="Calibri"/>
        </w:rPr>
        <w:t xml:space="preserve">The premier example is FACTPATIENTACTIVITY </w:t>
      </w:r>
      <w:r w:rsidRPr="00536C49">
        <w:rPr>
          <w:rFonts w:ascii="Calibri" w:hAnsi="Calibri" w:cs="Calibri"/>
          <w:b/>
          <w:bCs/>
        </w:rPr>
        <w:t>(figure 2).</w:t>
      </w:r>
      <w:r w:rsidRPr="00DF059B">
        <w:rPr>
          <w:rFonts w:ascii="Calibri" w:hAnsi="Calibri" w:cs="Calibri"/>
        </w:rPr>
        <w:t xml:space="preserve"> Grain is explicitly stated</w:t>
      </w:r>
      <w:r w:rsidR="00536C49">
        <w:rPr>
          <w:rFonts w:ascii="Calibri" w:hAnsi="Calibri" w:cs="Calibri"/>
        </w:rPr>
        <w:t>.</w:t>
      </w:r>
      <w:r w:rsidRPr="00DF059B">
        <w:rPr>
          <w:rFonts w:ascii="Calibri" w:hAnsi="Calibri" w:cs="Calibri"/>
        </w:rPr>
        <w:t xml:space="preserve"> </w:t>
      </w:r>
      <w:r w:rsidR="00536C49">
        <w:rPr>
          <w:rFonts w:ascii="Calibri" w:hAnsi="Calibri" w:cs="Calibri"/>
        </w:rPr>
        <w:t>O</w:t>
      </w:r>
      <w:r w:rsidRPr="00DF059B">
        <w:rPr>
          <w:rFonts w:ascii="Calibri" w:hAnsi="Calibri" w:cs="Calibri"/>
        </w:rPr>
        <w:t>ne row for each completed inpatient, outpatient or emergency episode. Defining the grain so precisely is a conscious Kimballian decision and it is a key feature for preventing double counting in NHS reporting returns</w:t>
      </w:r>
      <w:r w:rsidR="006F1DDC">
        <w:rPr>
          <w:rFonts w:ascii="Calibri" w:hAnsi="Calibri" w:cs="Calibri"/>
        </w:rPr>
        <w:t xml:space="preserve"> </w:t>
      </w:r>
      <w:sdt>
        <w:sdtPr>
          <w:rPr>
            <w:rFonts w:ascii="Calibri" w:hAnsi="Calibri" w:cs="Calibri"/>
          </w:rPr>
          <w:id w:val="1758633458"/>
          <w:citation/>
        </w:sdtPr>
        <w:sdtContent>
          <w:r w:rsidR="006F1DDC">
            <w:rPr>
              <w:rFonts w:ascii="Calibri" w:hAnsi="Calibri" w:cs="Calibri"/>
            </w:rPr>
            <w:fldChar w:fldCharType="begin"/>
          </w:r>
          <w:r w:rsidR="006F1DDC">
            <w:rPr>
              <w:rFonts w:ascii="Calibri" w:hAnsi="Calibri" w:cs="Calibri"/>
              <w:lang w:val="en-GB"/>
            </w:rPr>
            <w:instrText xml:space="preserve"> CITATION Ada12 \l 2057 </w:instrText>
          </w:r>
          <w:r w:rsidR="006F1DDC">
            <w:rPr>
              <w:rFonts w:ascii="Calibri" w:hAnsi="Calibri" w:cs="Calibri"/>
            </w:rPr>
            <w:fldChar w:fldCharType="separate"/>
          </w:r>
          <w:r w:rsidR="006F7CD4" w:rsidRPr="006F7CD4">
            <w:rPr>
              <w:rFonts w:ascii="Calibri" w:hAnsi="Calibri" w:cs="Calibri"/>
              <w:noProof/>
              <w:lang w:val="en-GB"/>
            </w:rPr>
            <w:t>[11]</w:t>
          </w:r>
          <w:r w:rsidR="006F1DDC">
            <w:rPr>
              <w:rFonts w:ascii="Calibri" w:hAnsi="Calibri" w:cs="Calibri"/>
            </w:rPr>
            <w:fldChar w:fldCharType="end"/>
          </w:r>
        </w:sdtContent>
      </w:sdt>
      <w:r w:rsidRPr="00DF059B">
        <w:rPr>
          <w:rFonts w:ascii="Calibri" w:hAnsi="Calibri" w:cs="Calibri"/>
        </w:rPr>
        <w:t>.</w:t>
      </w:r>
    </w:p>
    <w:p w14:paraId="47EB5B96" w14:textId="1A407E11" w:rsidR="00DF059B" w:rsidRPr="00DF059B" w:rsidRDefault="00DF059B" w:rsidP="00DF059B">
      <w:pPr>
        <w:jc w:val="both"/>
        <w:rPr>
          <w:rFonts w:ascii="Calibri" w:hAnsi="Calibri" w:cs="Calibri"/>
        </w:rPr>
      </w:pPr>
      <w:r w:rsidRPr="00DF059B">
        <w:rPr>
          <w:rFonts w:ascii="Calibri" w:hAnsi="Calibri" w:cs="Calibri"/>
        </w:rPr>
        <w:t>Measures on the fact table are fully additive</w:t>
      </w:r>
      <w:r w:rsidR="00536C49">
        <w:rPr>
          <w:rFonts w:ascii="Calibri" w:hAnsi="Calibri" w:cs="Calibri"/>
        </w:rPr>
        <w:t xml:space="preserve"> </w:t>
      </w:r>
      <w:r w:rsidRPr="00DF059B">
        <w:rPr>
          <w:rFonts w:ascii="Calibri" w:hAnsi="Calibri" w:cs="Calibri"/>
        </w:rPr>
        <w:t>such as days of stay, minutes of wait, cost gbp, number of episodes, readmitted30d (0 or 1), and died in episode (0 or 1). 0/1 integers used for Booleans allow rates to be summed and pound cost data, rather than a mixture of currencies, ensures clarity.</w:t>
      </w:r>
    </w:p>
    <w:p w14:paraId="2B2569ED" w14:textId="77777777" w:rsidR="00DF059B" w:rsidRPr="00DF059B" w:rsidRDefault="00DF059B" w:rsidP="00DF059B">
      <w:pPr>
        <w:jc w:val="both"/>
        <w:rPr>
          <w:rFonts w:ascii="Calibri" w:hAnsi="Calibri" w:cs="Calibri"/>
        </w:rPr>
      </w:pPr>
      <w:r w:rsidRPr="00DF059B">
        <w:rPr>
          <w:rFonts w:ascii="Calibri" w:hAnsi="Calibri" w:cs="Calibri"/>
        </w:rPr>
        <w:t>DIM_PATIENT is anonymized; all patient ID fields were pseudonymized by substituting them for salted SHA-256 hashes so longitudinal data can be analyzed without compromising patient identity . Descriptive elements (age group, sex, race category, IMD rank) enable inequality analysis whilst respecting Data Protection Act 2018 and Caldicott guidelines .</w:t>
      </w:r>
    </w:p>
    <w:p w14:paraId="555D7A2B" w14:textId="77777777" w:rsidR="00DF059B" w:rsidRPr="00DF059B" w:rsidRDefault="00DF059B" w:rsidP="00DF059B">
      <w:pPr>
        <w:jc w:val="both"/>
        <w:rPr>
          <w:rFonts w:ascii="Calibri" w:hAnsi="Calibri" w:cs="Calibri"/>
        </w:rPr>
      </w:pPr>
      <w:r w:rsidRPr="00DF059B">
        <w:rPr>
          <w:rFonts w:ascii="Calibri" w:hAnsi="Calibri" w:cs="Calibri"/>
        </w:rPr>
        <w:t xml:space="preserve">DIMTIME has data up to 2050 and includes day of week, financial year (April to March), a flag indicating bank holidays, and a flag for winter pressure periods - small but very useful bits of information to aid operational reporting. DIMLOCATION describes all NHS trusts using ODS site </w:t>
      </w:r>
      <w:r w:rsidRPr="00DF059B">
        <w:rPr>
          <w:rFonts w:ascii="Calibri" w:hAnsi="Calibri" w:cs="Calibri"/>
        </w:rPr>
        <w:lastRenderedPageBreak/>
        <w:t>codes, with ward and bed levels. DIMSTAFF describes role, grade, specialty and contract types without patient identifier from the ESR (Electronic Staff Record) database.</w:t>
      </w:r>
    </w:p>
    <w:p w14:paraId="7E24B1FD" w14:textId="77777777" w:rsidR="00DF059B" w:rsidRPr="00DF059B" w:rsidRDefault="00DF059B" w:rsidP="00DF059B">
      <w:pPr>
        <w:jc w:val="both"/>
        <w:rPr>
          <w:rFonts w:ascii="Calibri" w:hAnsi="Calibri" w:cs="Calibri"/>
        </w:rPr>
      </w:pPr>
      <w:r w:rsidRPr="00DF059B">
        <w:rPr>
          <w:rFonts w:ascii="Calibri" w:hAnsi="Calibri" w:cs="Calibri"/>
        </w:rPr>
        <w:t xml:space="preserve"> DIMTREATMENT captures all ICD-10 and OPCS-4 procedure codes as well as all Healthcare Resource Group (HRG) codes to enable analyses based on disease or intervention and the same facts.</w:t>
      </w:r>
    </w:p>
    <w:p w14:paraId="60CD261A" w14:textId="77777777" w:rsidR="00DF059B" w:rsidRPr="00DF059B" w:rsidRDefault="00DF059B" w:rsidP="00DF059B">
      <w:pPr>
        <w:jc w:val="both"/>
        <w:rPr>
          <w:rFonts w:ascii="Calibri" w:hAnsi="Calibri" w:cs="Calibri"/>
        </w:rPr>
      </w:pPr>
      <w:r w:rsidRPr="00DF059B">
        <w:rPr>
          <w:rFonts w:ascii="Calibri" w:hAnsi="Calibri" w:cs="Calibri"/>
        </w:rPr>
        <w:t>Two further fact tables share the same dimensions as the previous. FACTFINANCELEDGER has monthly total trust expenditure data keyed on time, location and chart of accounts. FACTWORKFORCEROSTER holds daily shifts with data on hours worked, agency spend, vacancy hours etc. Keyed on time, staff and location. Since each star is joined to DIMTIME and DIM_LOCATION, Finance and Medical Director mart data can be correlated readily, i.e., by examining links between spikes in agency staffing and readmission trends.</w:t>
      </w:r>
    </w:p>
    <w:p w14:paraId="393BA291" w14:textId="77777777" w:rsidR="00DF059B" w:rsidRPr="00DF059B" w:rsidRDefault="00DF059B" w:rsidP="00DF059B">
      <w:pPr>
        <w:jc w:val="both"/>
        <w:rPr>
          <w:rFonts w:ascii="Calibri" w:hAnsi="Calibri" w:cs="Calibri"/>
        </w:rPr>
      </w:pPr>
      <w:r w:rsidRPr="00DF059B">
        <w:rPr>
          <w:rFonts w:ascii="Calibri" w:hAnsi="Calibri" w:cs="Calibri"/>
        </w:rPr>
        <w:t>Each dimension has surrogate integer keys (patient key, staff key, etc.) in preference to natural keys. This ensures the warehouse design is independent of underlying systems changes, for instance, site name changes after a trust merger, and supports Slowly Changing Dimensions Type 2, ensuring that if a doctor moves trusts, their entire historical career remains in place within the Warehouse . Fact tables are partitioned by month by date key and sorted by selectively chosen foreign keys, to deliver millisecond response times on tables containing multiple billion records.</w:t>
      </w:r>
    </w:p>
    <w:p w14:paraId="482A0503" w14:textId="3FD85677" w:rsidR="00DF059B" w:rsidRDefault="00DF059B" w:rsidP="00DF059B">
      <w:pPr>
        <w:jc w:val="both"/>
        <w:rPr>
          <w:rFonts w:ascii="Calibri" w:hAnsi="Calibri" w:cs="Calibri"/>
        </w:rPr>
      </w:pPr>
      <w:r w:rsidRPr="00DF059B">
        <w:rPr>
          <w:rFonts w:ascii="Calibri" w:hAnsi="Calibri" w:cs="Calibri"/>
        </w:rPr>
        <w:t>There is an explicit avoidance of the use of Snowflakes. To have decomposed DIM_PATIENT in ethnicity tables, or deprivation tables etc., might save some megabytes of storage but increase complexity and introduce confusion for the analysts more significantly than these small savings, as experienced repeatedly in past NHS BI initiatives .</w:t>
      </w:r>
    </w:p>
    <w:p w14:paraId="22EF8C4A" w14:textId="77777777" w:rsidR="00DF059B" w:rsidRDefault="00DF059B" w:rsidP="00DF059B">
      <w:pPr>
        <w:jc w:val="both"/>
        <w:rPr>
          <w:rFonts w:ascii="Calibri" w:hAnsi="Calibri" w:cs="Calibri"/>
        </w:rPr>
      </w:pPr>
    </w:p>
    <w:p w14:paraId="24A730B4" w14:textId="77777777" w:rsidR="00DF059B" w:rsidRDefault="00DF059B" w:rsidP="00DF059B">
      <w:pPr>
        <w:pStyle w:val="Heading1"/>
        <w:rPr>
          <w:rFonts w:ascii="Calibri" w:hAnsi="Calibri" w:cs="Calibri"/>
          <w:b/>
          <w:bCs/>
          <w:sz w:val="32"/>
          <w:szCs w:val="32"/>
        </w:rPr>
      </w:pPr>
      <w:bookmarkStart w:id="21" w:name="_Toc234260213"/>
      <w:bookmarkStart w:id="22" w:name="_Toc234284295"/>
      <w:r w:rsidRPr="00DF059B">
        <w:rPr>
          <w:rFonts w:ascii="Calibri" w:hAnsi="Calibri" w:cs="Calibri"/>
          <w:b/>
          <w:bCs/>
          <w:sz w:val="32"/>
          <w:szCs w:val="32"/>
        </w:rPr>
        <w:t>2.3  Data Marts and Schemas</w:t>
      </w:r>
      <w:bookmarkEnd w:id="21"/>
      <w:bookmarkEnd w:id="22"/>
      <w:r w:rsidRPr="00DF059B">
        <w:rPr>
          <w:rFonts w:ascii="Calibri" w:hAnsi="Calibri" w:cs="Calibri"/>
          <w:b/>
          <w:bCs/>
          <w:sz w:val="32"/>
          <w:szCs w:val="32"/>
        </w:rPr>
        <w:t xml:space="preserve"> </w:t>
      </w:r>
    </w:p>
    <w:p w14:paraId="7187B668" w14:textId="77777777" w:rsidR="00DF059B" w:rsidRPr="00DF059B" w:rsidRDefault="00DF059B" w:rsidP="00DF059B">
      <w:pPr>
        <w:spacing w:after="200" w:line="276" w:lineRule="auto"/>
        <w:jc w:val="both"/>
        <w:rPr>
          <w:rFonts w:ascii="Calibri" w:hAnsi="Calibri" w:cs="Calibri"/>
        </w:rPr>
      </w:pPr>
      <w:r w:rsidRPr="00DF059B">
        <w:rPr>
          <w:rFonts w:ascii="Calibri" w:hAnsi="Calibri" w:cs="Calibri"/>
        </w:rPr>
        <w:t xml:space="preserve">The marts Three departmental marts have materialized directly above the warehouse to enable millisecond response time dashboards. The Operations Mart - Materializes FACTPATIENTACTIVITY, rolled up by trust, day, and specialty, pre-computing things like A&amp;E 4-hour breaches, RTT-incomplete waiting list count, bed occupancy, and ambulance handover time. A small star: AGGOPSDAILY (fact) joined with DIMTIME, DIMLOCATION and a minimal DIM_SPECIALTY. </w:t>
      </w:r>
    </w:p>
    <w:p w14:paraId="7E6DB448" w14:textId="77777777" w:rsidR="00DF059B" w:rsidRPr="00DF059B" w:rsidRDefault="00DF059B" w:rsidP="00DF059B">
      <w:pPr>
        <w:spacing w:after="200" w:line="276" w:lineRule="auto"/>
        <w:jc w:val="both"/>
        <w:rPr>
          <w:rFonts w:ascii="Calibri" w:hAnsi="Calibri" w:cs="Calibri"/>
        </w:rPr>
      </w:pPr>
      <w:r w:rsidRPr="00DF059B">
        <w:rPr>
          <w:rFonts w:ascii="Calibri" w:hAnsi="Calibri" w:cs="Calibri"/>
        </w:rPr>
        <w:t xml:space="preserve">The Finance Mart - Joins FACTFINANCELEDGER with costed activity from FACTPATIENTACTIVITY to give a cost-per-spell, income vs plan and agency vs substantive spend ratios. </w:t>
      </w:r>
    </w:p>
    <w:p w14:paraId="51AA1BC7" w14:textId="77777777" w:rsidR="00DF059B" w:rsidRPr="00DF059B" w:rsidRDefault="00DF059B" w:rsidP="00DF059B">
      <w:pPr>
        <w:spacing w:after="200" w:line="276" w:lineRule="auto"/>
        <w:jc w:val="both"/>
        <w:rPr>
          <w:rFonts w:ascii="Calibri" w:hAnsi="Calibri" w:cs="Calibri"/>
        </w:rPr>
      </w:pPr>
      <w:r w:rsidRPr="006F1DDC">
        <w:rPr>
          <w:rFonts w:ascii="Calibri" w:hAnsi="Calibri" w:cs="Calibri"/>
          <w:b/>
          <w:bCs/>
        </w:rPr>
        <w:t>Schema:</w:t>
      </w:r>
      <w:r w:rsidRPr="00DF059B">
        <w:rPr>
          <w:rFonts w:ascii="Calibri" w:hAnsi="Calibri" w:cs="Calibri"/>
        </w:rPr>
        <w:t xml:space="preserve"> AGGFINANCEMONTHLY joined with DIMTIME, DIMLOCATION, DIMACCOUNT. The Clinical Quality Mart - Based on the core clinical and safety measures: SHMI, HSMR, readmission rates, HAIs, never-events. Aggregates FACTPATIENTACTIVITY weekly and uses case-mix </w:t>
      </w:r>
      <w:r w:rsidRPr="00DF059B">
        <w:rPr>
          <w:rFonts w:ascii="Calibri" w:hAnsi="Calibri" w:cs="Calibri"/>
        </w:rPr>
        <w:lastRenderedPageBreak/>
        <w:t xml:space="preserve">adjustment factors stored in a DIMCASEMIX table. Schema: AGGQUALITYWEEKLY joined with DIMTIME, DIMLOCATION, DIMTREATMENT and DIMCASEMIX. </w:t>
      </w:r>
    </w:p>
    <w:p w14:paraId="05F8713F" w14:textId="77777777" w:rsidR="00DF059B" w:rsidRPr="00DF059B" w:rsidRDefault="00DF059B" w:rsidP="00DF059B">
      <w:pPr>
        <w:spacing w:after="200" w:line="276" w:lineRule="auto"/>
        <w:jc w:val="both"/>
        <w:rPr>
          <w:rFonts w:ascii="Calibri" w:hAnsi="Calibri" w:cs="Calibri"/>
        </w:rPr>
      </w:pPr>
      <w:r w:rsidRPr="00DF059B">
        <w:rPr>
          <w:rFonts w:ascii="Calibri" w:hAnsi="Calibri" w:cs="Calibri"/>
        </w:rPr>
        <w:t xml:space="preserve">Each mart utilizes shared conformed dimensions, so a term like "acute trust" will never have a different meaning between the Finance Mart and the Operations Mart. </w:t>
      </w:r>
    </w:p>
    <w:p w14:paraId="271D2A19" w14:textId="77777777" w:rsidR="00DF059B" w:rsidRPr="00DF059B" w:rsidRDefault="00DF059B" w:rsidP="00DF059B">
      <w:pPr>
        <w:jc w:val="both"/>
        <w:rPr>
          <w:rFonts w:ascii="Calibri" w:hAnsi="Calibri" w:cs="Calibri"/>
        </w:rPr>
      </w:pPr>
      <w:r w:rsidRPr="00DF059B">
        <w:rPr>
          <w:rFonts w:ascii="Calibri" w:hAnsi="Calibri" w:cs="Calibri"/>
        </w:rPr>
        <w:t>The use of materialized views combined with intelligent incremental refresh means they only rebuild themselves on changes rather than querying gigabytes of detailed data every time.</w:t>
      </w:r>
    </w:p>
    <w:p w14:paraId="2808FC56" w14:textId="77777777" w:rsidR="00DF059B" w:rsidRPr="00DF059B" w:rsidRDefault="00DF059B" w:rsidP="00DF059B">
      <w:pPr>
        <w:jc w:val="both"/>
        <w:rPr>
          <w:rFonts w:ascii="Calibri" w:hAnsi="Calibri" w:cs="Calibri"/>
        </w:rPr>
      </w:pPr>
    </w:p>
    <w:p w14:paraId="7A0CA9F0" w14:textId="77777777" w:rsidR="00DF059B" w:rsidRPr="00D4431E" w:rsidRDefault="00DF059B" w:rsidP="00DF059B">
      <w:pPr>
        <w:spacing w:after="200" w:line="276" w:lineRule="auto"/>
        <w:jc w:val="both"/>
      </w:pPr>
      <w:r w:rsidRPr="00D4431E">
        <w:t xml:space="preserve">The marts Three departmental marts have materialized directly above the warehouse to enable millisecond response time dashboards. The Operations Mart - Materializes FACTPATIENTACTIVITY, rolled up by trust, day, and specialty, pre-computing things like A&amp;E 4-hour breaches, RTT-incomplete waiting list count, bed occupancy, and ambulance handover time. A small star: AGGOPSDAILY (fact) joined with DIMTIME, DIMLOCATION and a minimal DIM_SPECIALTY. </w:t>
      </w:r>
    </w:p>
    <w:p w14:paraId="52E0501A" w14:textId="77777777" w:rsidR="00DF059B" w:rsidRPr="00D4431E" w:rsidRDefault="00DF059B" w:rsidP="006F1DDC">
      <w:pPr>
        <w:spacing w:after="200" w:line="276" w:lineRule="auto"/>
        <w:jc w:val="both"/>
      </w:pPr>
      <w:r w:rsidRPr="00D4431E">
        <w:t xml:space="preserve">The Finance Mart - Joins FACTFINANCELEDGER with costed activity from FACTPATIENTACTIVITY to give a cost-per-spell, income vs plan and agency vs substantive spend ratios. </w:t>
      </w:r>
    </w:p>
    <w:p w14:paraId="026DCF4A" w14:textId="77777777" w:rsidR="00DF059B" w:rsidRPr="00D4431E" w:rsidRDefault="00DF059B" w:rsidP="00DF059B">
      <w:pPr>
        <w:spacing w:after="200" w:line="276" w:lineRule="auto"/>
        <w:jc w:val="both"/>
      </w:pPr>
      <w:r w:rsidRPr="00D4431E">
        <w:t xml:space="preserve">Schema: AGGFINANCEMONTHLY joined with DIMTIME, DIMLOCATION, DIMACCOUNT. The Clinical Quality Mart - Based on the core clinical and safety measures: SHMI, HSMR, readmission rates, HAIs, never-events. Aggregates FACTPATIENTACTIVITY weekly and uses case-mix adjustment factors stored in a DIMCASEMIX table. Schema: AGGQUALITYWEEKLY joined with DIMTIME, DIMLOCATION, DIMTREATMENT and DIMCASEMIX. </w:t>
      </w:r>
    </w:p>
    <w:p w14:paraId="49B5F531" w14:textId="32736EEA" w:rsidR="00DF059B" w:rsidRPr="00D4431E" w:rsidRDefault="00DF059B" w:rsidP="00DF059B">
      <w:pPr>
        <w:spacing w:after="200" w:line="276" w:lineRule="auto"/>
        <w:jc w:val="both"/>
      </w:pPr>
      <w:r w:rsidRPr="00D4431E">
        <w:t>Each mart utilizes shared conformed dimensions, so a term like "acute trust" will never have a different meaning between the Finance Mart and the Operations Mart</w:t>
      </w:r>
      <w:r w:rsidR="006F1DDC">
        <w:t xml:space="preserve"> </w:t>
      </w:r>
      <w:sdt>
        <w:sdtPr>
          <w:id w:val="-1233542016"/>
          <w:citation/>
        </w:sdtPr>
        <w:sdtContent>
          <w:r w:rsidR="006F1DDC">
            <w:fldChar w:fldCharType="begin"/>
          </w:r>
          <w:r w:rsidR="006F1DDC">
            <w:rPr>
              <w:lang w:val="en-GB"/>
            </w:rPr>
            <w:instrText xml:space="preserve"> CITATION Ghe01 \l 2057 </w:instrText>
          </w:r>
          <w:r w:rsidR="006F1DDC">
            <w:fldChar w:fldCharType="separate"/>
          </w:r>
          <w:r w:rsidR="006F7CD4" w:rsidRPr="006F7CD4">
            <w:rPr>
              <w:noProof/>
              <w:lang w:val="en-GB"/>
            </w:rPr>
            <w:t>[12]</w:t>
          </w:r>
          <w:r w:rsidR="006F1DDC">
            <w:fldChar w:fldCharType="end"/>
          </w:r>
        </w:sdtContent>
      </w:sdt>
      <w:r w:rsidRPr="00D4431E">
        <w:t xml:space="preserve">. </w:t>
      </w:r>
    </w:p>
    <w:p w14:paraId="376B2640" w14:textId="77777777" w:rsidR="00DF059B" w:rsidRDefault="00DF059B" w:rsidP="00DF059B">
      <w:pPr>
        <w:jc w:val="both"/>
      </w:pPr>
    </w:p>
    <w:p w14:paraId="006D34C9" w14:textId="77777777" w:rsidR="006F1DDC" w:rsidRDefault="006F1DDC" w:rsidP="00DF059B">
      <w:pPr>
        <w:jc w:val="both"/>
        <w:rPr>
          <w:rFonts w:ascii="Calibri" w:hAnsi="Calibri" w:cs="Calibri"/>
        </w:rPr>
      </w:pPr>
    </w:p>
    <w:p w14:paraId="69A72853" w14:textId="77777777" w:rsidR="00DF059B" w:rsidRDefault="00DF059B" w:rsidP="00DF059B">
      <w:pPr>
        <w:jc w:val="both"/>
        <w:rPr>
          <w:rFonts w:ascii="Calibri" w:hAnsi="Calibri" w:cs="Calibri"/>
        </w:rPr>
      </w:pPr>
    </w:p>
    <w:p w14:paraId="6EF80A24" w14:textId="77777777" w:rsidR="00DF059B" w:rsidRDefault="00DF059B" w:rsidP="00DF059B">
      <w:pPr>
        <w:jc w:val="both"/>
        <w:rPr>
          <w:rFonts w:ascii="Calibri" w:hAnsi="Calibri" w:cs="Calibri"/>
        </w:rPr>
      </w:pPr>
    </w:p>
    <w:p w14:paraId="0CACB9D2" w14:textId="77777777" w:rsidR="00DF059B" w:rsidRDefault="00DF059B" w:rsidP="00DF059B">
      <w:pPr>
        <w:jc w:val="both"/>
        <w:rPr>
          <w:rFonts w:ascii="Calibri" w:hAnsi="Calibri" w:cs="Calibri"/>
        </w:rPr>
      </w:pPr>
    </w:p>
    <w:p w14:paraId="2834BFE1" w14:textId="77777777" w:rsidR="00DF059B" w:rsidRDefault="00DF059B" w:rsidP="00DF059B">
      <w:pPr>
        <w:jc w:val="both"/>
        <w:rPr>
          <w:rFonts w:ascii="Calibri" w:hAnsi="Calibri" w:cs="Calibri"/>
        </w:rPr>
      </w:pPr>
    </w:p>
    <w:p w14:paraId="64EB34BF" w14:textId="77777777" w:rsidR="00DF059B" w:rsidRPr="00DF059B" w:rsidRDefault="00DF059B" w:rsidP="00DF059B">
      <w:pPr>
        <w:pStyle w:val="Heading1"/>
        <w:rPr>
          <w:rFonts w:ascii="Calibri" w:hAnsi="Calibri" w:cs="Calibri"/>
          <w:b/>
          <w:bCs/>
          <w:sz w:val="32"/>
          <w:szCs w:val="32"/>
        </w:rPr>
      </w:pPr>
      <w:bookmarkStart w:id="23" w:name="_Toc234260214"/>
      <w:bookmarkStart w:id="24" w:name="_Toc234284296"/>
      <w:r w:rsidRPr="00DF059B">
        <w:rPr>
          <w:rFonts w:ascii="Calibri" w:hAnsi="Calibri" w:cs="Calibri"/>
          <w:b/>
          <w:bCs/>
          <w:sz w:val="32"/>
          <w:szCs w:val="32"/>
        </w:rPr>
        <w:lastRenderedPageBreak/>
        <w:t>2.4  ETL Plan</w:t>
      </w:r>
      <w:bookmarkEnd w:id="23"/>
      <w:bookmarkEnd w:id="24"/>
      <w:r w:rsidRPr="00DF059B">
        <w:rPr>
          <w:rFonts w:ascii="Calibri" w:hAnsi="Calibri" w:cs="Calibri"/>
          <w:b/>
          <w:bCs/>
          <w:sz w:val="32"/>
          <w:szCs w:val="32"/>
        </w:rPr>
        <w:t xml:space="preserve"> </w:t>
      </w:r>
    </w:p>
    <w:p w14:paraId="2E537A99" w14:textId="77777777" w:rsidR="00DF059B" w:rsidRPr="00534C47" w:rsidRDefault="00DF059B" w:rsidP="00DF059B"/>
    <w:p w14:paraId="5393190C" w14:textId="3C673726" w:rsidR="00DF059B" w:rsidRPr="00DF059B" w:rsidRDefault="00DF059B" w:rsidP="00DF059B">
      <w:pPr>
        <w:spacing w:after="120"/>
        <w:jc w:val="both"/>
        <w:rPr>
          <w:rFonts w:ascii="Calibri" w:hAnsi="Calibri" w:cs="Calibri"/>
        </w:rPr>
      </w:pPr>
      <w:r w:rsidRPr="00DF059B">
        <w:rPr>
          <w:rFonts w:ascii="Calibri" w:hAnsi="Calibri" w:cs="Calibri"/>
        </w:rPr>
        <w:drawing>
          <wp:anchor distT="0" distB="0" distL="114300" distR="114300" simplePos="0" relativeHeight="251663360" behindDoc="0" locked="0" layoutInCell="1" allowOverlap="1" wp14:anchorId="099B0A76" wp14:editId="1BECFE47">
            <wp:simplePos x="0" y="0"/>
            <wp:positionH relativeFrom="margin">
              <wp:align>left</wp:align>
            </wp:positionH>
            <wp:positionV relativeFrom="paragraph">
              <wp:posOffset>1064260</wp:posOffset>
            </wp:positionV>
            <wp:extent cx="6499860" cy="4800600"/>
            <wp:effectExtent l="0" t="0" r="0" b="0"/>
            <wp:wrapTopAndBottom/>
            <wp:docPr id="1863228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228396" name=""/>
                    <pic:cNvPicPr/>
                  </pic:nvPicPr>
                  <pic:blipFill>
                    <a:blip r:embed="rId9"/>
                    <a:stretch>
                      <a:fillRect/>
                    </a:stretch>
                  </pic:blipFill>
                  <pic:spPr>
                    <a:xfrm>
                      <a:off x="0" y="0"/>
                      <a:ext cx="6499860" cy="4800600"/>
                    </a:xfrm>
                    <a:prstGeom prst="rect">
                      <a:avLst/>
                    </a:prstGeom>
                  </pic:spPr>
                </pic:pic>
              </a:graphicData>
            </a:graphic>
            <wp14:sizeRelH relativeFrom="margin">
              <wp14:pctWidth>0</wp14:pctWidth>
            </wp14:sizeRelH>
            <wp14:sizeRelV relativeFrom="margin">
              <wp14:pctHeight>0</wp14:pctHeight>
            </wp14:sizeRelV>
          </wp:anchor>
        </w:drawing>
      </w:r>
      <w:r w:rsidRPr="00DF059B">
        <w:rPr>
          <w:rFonts w:ascii="Calibri" w:hAnsi="Calibri" w:cs="Calibri"/>
        </w:rPr>
        <w:t>Table 1 briefly describes the simpliﬁed ETL plan, including what goes where, and what the important transformations are. It shows the intention to take non-intrusive extracts from production replicas, the intention to reject faulty rows to a quarantine area, rather than aborting the whole load, and the ability to re-run it in an idempotent wa</w:t>
      </w:r>
      <w:r w:rsidR="00BE091A">
        <w:rPr>
          <w:rFonts w:ascii="Calibri" w:hAnsi="Calibri" w:cs="Calibri"/>
        </w:rPr>
        <w:t xml:space="preserve">y </w:t>
      </w:r>
      <w:sdt>
        <w:sdtPr>
          <w:rPr>
            <w:rFonts w:ascii="Calibri" w:hAnsi="Calibri" w:cs="Calibri"/>
          </w:rPr>
          <w:id w:val="2131126149"/>
          <w:citation/>
        </w:sdtPr>
        <w:sdtContent>
          <w:r w:rsidR="00BE091A">
            <w:rPr>
              <w:rFonts w:ascii="Calibri" w:hAnsi="Calibri" w:cs="Calibri"/>
            </w:rPr>
            <w:fldChar w:fldCharType="begin"/>
          </w:r>
          <w:r w:rsidR="00BE091A">
            <w:rPr>
              <w:rFonts w:ascii="Calibri" w:hAnsi="Calibri" w:cs="Calibri"/>
              <w:lang w:val="en-GB"/>
            </w:rPr>
            <w:instrText xml:space="preserve"> CITATION Sim03 \l 2057 </w:instrText>
          </w:r>
          <w:r w:rsidR="00BE091A">
            <w:rPr>
              <w:rFonts w:ascii="Calibri" w:hAnsi="Calibri" w:cs="Calibri"/>
            </w:rPr>
            <w:fldChar w:fldCharType="separate"/>
          </w:r>
          <w:r w:rsidR="006F7CD4" w:rsidRPr="006F7CD4">
            <w:rPr>
              <w:rFonts w:ascii="Calibri" w:hAnsi="Calibri" w:cs="Calibri"/>
              <w:noProof/>
              <w:lang w:val="en-GB"/>
            </w:rPr>
            <w:t>[13]</w:t>
          </w:r>
          <w:r w:rsidR="00BE091A">
            <w:rPr>
              <w:rFonts w:ascii="Calibri" w:hAnsi="Calibri" w:cs="Calibri"/>
            </w:rPr>
            <w:fldChar w:fldCharType="end"/>
          </w:r>
        </w:sdtContent>
      </w:sdt>
      <w:r w:rsidRPr="00DF059B">
        <w:rPr>
          <w:rFonts w:ascii="Calibri" w:hAnsi="Calibri" w:cs="Calibri"/>
        </w:rPr>
        <w:t>.</w:t>
      </w:r>
    </w:p>
    <w:p w14:paraId="4D34B68D" w14:textId="77777777" w:rsidR="00DF059B" w:rsidRDefault="00DF059B" w:rsidP="00DF059B">
      <w:pPr>
        <w:spacing w:after="120"/>
      </w:pPr>
    </w:p>
    <w:p w14:paraId="7A4C2D37" w14:textId="77777777" w:rsidR="00DF059B" w:rsidRPr="00E4586B" w:rsidRDefault="00DF059B" w:rsidP="00DF059B">
      <w:pPr>
        <w:rPr>
          <w:iCs/>
          <w:color w:val="4B5563"/>
          <w:sz w:val="18"/>
        </w:rPr>
      </w:pPr>
      <w:r>
        <w:rPr>
          <w:b/>
          <w:bCs/>
          <w:iCs/>
          <w:color w:val="000000" w:themeColor="text1"/>
        </w:rPr>
        <w:t xml:space="preserve">  </w:t>
      </w:r>
      <w:r w:rsidRPr="00E4586B">
        <w:rPr>
          <w:b/>
          <w:bCs/>
          <w:iCs/>
          <w:color w:val="000000" w:themeColor="text1"/>
        </w:rPr>
        <w:t>Table 1. Simplified ETL plan source mapping and key transformations</w:t>
      </w:r>
      <w:r w:rsidRPr="00E4586B">
        <w:rPr>
          <w:iCs/>
          <w:color w:val="4B5563"/>
          <w:sz w:val="18"/>
        </w:rPr>
        <w:t>.</w:t>
      </w:r>
    </w:p>
    <w:p w14:paraId="576F89B2" w14:textId="77777777" w:rsidR="00DF059B" w:rsidRDefault="00DF059B" w:rsidP="00DF059B">
      <w:pPr>
        <w:spacing w:after="120"/>
      </w:pPr>
    </w:p>
    <w:p w14:paraId="6D024F19" w14:textId="77777777" w:rsidR="00DF059B" w:rsidRDefault="00DF059B" w:rsidP="00DF059B">
      <w:pPr>
        <w:spacing w:after="120"/>
      </w:pPr>
    </w:p>
    <w:p w14:paraId="0CA15F55" w14:textId="77777777" w:rsidR="00DF059B" w:rsidRDefault="00DF059B" w:rsidP="00DF059B">
      <w:pPr>
        <w:spacing w:after="120"/>
      </w:pPr>
    </w:p>
    <w:p w14:paraId="27DD4698" w14:textId="77777777" w:rsidR="00DF059B" w:rsidRDefault="00DF059B" w:rsidP="00DF059B"/>
    <w:p w14:paraId="6EEA0F81" w14:textId="77777777" w:rsidR="00DF059B" w:rsidRPr="00DF059B" w:rsidRDefault="00DF059B" w:rsidP="00DF059B">
      <w:pPr>
        <w:pStyle w:val="Heading1"/>
        <w:rPr>
          <w:rFonts w:ascii="Calibri" w:hAnsi="Calibri" w:cs="Calibri"/>
          <w:b/>
          <w:bCs/>
          <w:sz w:val="32"/>
          <w:szCs w:val="32"/>
        </w:rPr>
      </w:pPr>
      <w:bookmarkStart w:id="25" w:name="_Toc234260215"/>
      <w:bookmarkStart w:id="26" w:name="_Toc234284297"/>
      <w:r w:rsidRPr="00DF059B">
        <w:rPr>
          <w:rFonts w:ascii="Calibri" w:hAnsi="Calibri" w:cs="Calibri"/>
          <w:b/>
          <w:bCs/>
          <w:sz w:val="32"/>
          <w:szCs w:val="32"/>
        </w:rPr>
        <w:lastRenderedPageBreak/>
        <w:t>2.5  Data Quality and Governance</w:t>
      </w:r>
      <w:bookmarkEnd w:id="25"/>
      <w:bookmarkEnd w:id="26"/>
      <w:r w:rsidRPr="00DF059B">
        <w:rPr>
          <w:rFonts w:ascii="Calibri" w:hAnsi="Calibri" w:cs="Calibri"/>
          <w:b/>
          <w:bCs/>
          <w:sz w:val="32"/>
          <w:szCs w:val="32"/>
        </w:rPr>
        <w:t xml:space="preserve"> </w:t>
      </w:r>
    </w:p>
    <w:p w14:paraId="2461C359" w14:textId="77777777" w:rsidR="00DF059B" w:rsidRPr="007B51A7" w:rsidRDefault="00DF059B" w:rsidP="00DF059B">
      <w:pPr>
        <w:spacing w:after="120"/>
        <w:jc w:val="both"/>
      </w:pPr>
    </w:p>
    <w:p w14:paraId="558FEDFF" w14:textId="1B6F01AD" w:rsidR="00DF059B" w:rsidRPr="00DF059B" w:rsidRDefault="00DF059B" w:rsidP="00DF059B">
      <w:pPr>
        <w:spacing w:after="120" w:line="276" w:lineRule="auto"/>
        <w:jc w:val="both"/>
        <w:rPr>
          <w:rFonts w:ascii="Calibri" w:hAnsi="Calibri" w:cs="Calibri"/>
        </w:rPr>
      </w:pPr>
      <w:r w:rsidRPr="00DF059B">
        <w:rPr>
          <w:rFonts w:ascii="Calibri" w:hAnsi="Calibri" w:cs="Calibri"/>
        </w:rPr>
        <w:t>Quality is assured by automated rule sets at the boundary with the staging area - completeness, range and referential checks and by reporting on pass-rates for data stewards using dashboards. Governance is Caldicott principles and UK GDPR: data pseudonymisation by default, access is by role via AD groups, full audit trails and a shared data-sharing register published online. Sign off for any new datasets by Information Asset Owners before data enters production</w:t>
      </w:r>
      <w:r w:rsidR="00BE091A">
        <w:rPr>
          <w:rFonts w:ascii="Calibri" w:hAnsi="Calibri" w:cs="Calibri"/>
        </w:rPr>
        <w:t xml:space="preserve"> </w:t>
      </w:r>
      <w:sdt>
        <w:sdtPr>
          <w:rPr>
            <w:rFonts w:ascii="Calibri" w:hAnsi="Calibri" w:cs="Calibri"/>
          </w:rPr>
          <w:id w:val="1625345212"/>
          <w:citation/>
        </w:sdtPr>
        <w:sdtContent>
          <w:r w:rsidR="00BE091A">
            <w:rPr>
              <w:rFonts w:ascii="Calibri" w:hAnsi="Calibri" w:cs="Calibri"/>
            </w:rPr>
            <w:fldChar w:fldCharType="begin"/>
          </w:r>
          <w:r w:rsidR="00BE091A">
            <w:rPr>
              <w:rFonts w:ascii="Calibri" w:hAnsi="Calibri" w:cs="Calibri"/>
              <w:lang w:val="en-GB"/>
            </w:rPr>
            <w:instrText xml:space="preserve"> CITATION Mah19 \l 2057 </w:instrText>
          </w:r>
          <w:r w:rsidR="00BE091A">
            <w:rPr>
              <w:rFonts w:ascii="Calibri" w:hAnsi="Calibri" w:cs="Calibri"/>
            </w:rPr>
            <w:fldChar w:fldCharType="separate"/>
          </w:r>
          <w:r w:rsidR="006F7CD4" w:rsidRPr="006F7CD4">
            <w:rPr>
              <w:rFonts w:ascii="Calibri" w:hAnsi="Calibri" w:cs="Calibri"/>
              <w:noProof/>
              <w:lang w:val="en-GB"/>
            </w:rPr>
            <w:t>[14]</w:t>
          </w:r>
          <w:r w:rsidR="00BE091A">
            <w:rPr>
              <w:rFonts w:ascii="Calibri" w:hAnsi="Calibri" w:cs="Calibri"/>
            </w:rPr>
            <w:fldChar w:fldCharType="end"/>
          </w:r>
        </w:sdtContent>
      </w:sdt>
      <w:r w:rsidRPr="00DF059B">
        <w:rPr>
          <w:rFonts w:ascii="Calibri" w:hAnsi="Calibri" w:cs="Calibri"/>
        </w:rPr>
        <w:t>.</w:t>
      </w:r>
    </w:p>
    <w:p w14:paraId="0DAA201D" w14:textId="77777777" w:rsidR="00DF059B" w:rsidRPr="00DF059B" w:rsidRDefault="00DF059B" w:rsidP="00DF059B">
      <w:pPr>
        <w:pStyle w:val="Heading1"/>
        <w:rPr>
          <w:rFonts w:ascii="Calibri" w:hAnsi="Calibri" w:cs="Calibri"/>
          <w:b/>
          <w:bCs/>
          <w:sz w:val="32"/>
          <w:szCs w:val="32"/>
        </w:rPr>
      </w:pPr>
      <w:bookmarkStart w:id="27" w:name="_Toc234260216"/>
      <w:bookmarkStart w:id="28" w:name="_Toc234284298"/>
      <w:r w:rsidRPr="00DF059B">
        <w:rPr>
          <w:rFonts w:ascii="Calibri" w:hAnsi="Calibri" w:cs="Calibri"/>
          <w:b/>
          <w:bCs/>
          <w:sz w:val="32"/>
          <w:szCs w:val="32"/>
        </w:rPr>
        <w:t>Conclusion</w:t>
      </w:r>
      <w:bookmarkEnd w:id="27"/>
      <w:bookmarkEnd w:id="28"/>
    </w:p>
    <w:p w14:paraId="529EAF28" w14:textId="77777777" w:rsidR="00DF059B" w:rsidRPr="00DF059B" w:rsidRDefault="00DF059B" w:rsidP="00DF059B">
      <w:pPr>
        <w:spacing w:after="120" w:line="276" w:lineRule="auto"/>
        <w:jc w:val="both"/>
        <w:rPr>
          <w:rFonts w:ascii="Calibri" w:hAnsi="Calibri" w:cs="Calibri"/>
        </w:rPr>
      </w:pPr>
      <w:r w:rsidRPr="00DF059B">
        <w:rPr>
          <w:rFonts w:ascii="Calibri" w:hAnsi="Calibri" w:cs="Calibri"/>
        </w:rPr>
        <w:t xml:space="preserve">Building this strategic data warehouse will bring huge benefits to NHS England. At present information is spread across numerous disparate systems that struggle to give a single version of truth that is unambiguous and consistent. By centralizing data within this system, we can resolve the fragmented information and present it in an accessible, secure, organized environment. </w:t>
      </w:r>
    </w:p>
    <w:p w14:paraId="2CB27B55" w14:textId="77777777" w:rsidR="00DF059B" w:rsidRPr="00DF059B" w:rsidRDefault="00DF059B" w:rsidP="00DF059B">
      <w:pPr>
        <w:spacing w:after="120" w:line="276" w:lineRule="auto"/>
        <w:jc w:val="both"/>
        <w:rPr>
          <w:rFonts w:ascii="Calibri" w:hAnsi="Calibri" w:cs="Calibri"/>
        </w:rPr>
      </w:pPr>
      <w:r w:rsidRPr="00DF059B">
        <w:rPr>
          <w:rFonts w:ascii="Calibri" w:hAnsi="Calibri" w:cs="Calibri"/>
        </w:rPr>
        <w:t xml:space="preserve">The system can co-exist with current day-to-day systems that are already impacting patient care, rather than adding additional burden or reducing capacity. Messy information is being converted to valuable insight enabling consistent, accurate comparisons between services, accurate reports at far greater speeds and leadership with the evidence to support decision making and improve the service offering and value. </w:t>
      </w:r>
    </w:p>
    <w:p w14:paraId="563231A3" w14:textId="0EAC8351" w:rsidR="00DF059B" w:rsidRPr="00DF059B" w:rsidRDefault="00DF059B" w:rsidP="00DF059B">
      <w:pPr>
        <w:spacing w:after="120" w:line="276" w:lineRule="auto"/>
        <w:jc w:val="both"/>
        <w:rPr>
          <w:rFonts w:ascii="Calibri" w:hAnsi="Calibri" w:cs="Calibri"/>
        </w:rPr>
      </w:pPr>
      <w:r w:rsidRPr="00DF059B">
        <w:rPr>
          <w:rFonts w:ascii="Calibri" w:hAnsi="Calibri" w:cs="Calibri"/>
        </w:rPr>
        <w:t>From day one the solution supports the core needs around operational efficiency, finance management and patient safety, and provides the mechanisms to proactively identify risk, plan capacity needs more effectively and manage the service with a robust, yet secure and privacy enhancing, dataset. In summary this is more than just a technical delivery, it is enabling NHS England to have coherent data to operate effectively, safely and sustainably for the long term</w:t>
      </w:r>
      <w:r w:rsidR="007943A2">
        <w:rPr>
          <w:rFonts w:ascii="Calibri" w:hAnsi="Calibri" w:cs="Calibri"/>
        </w:rPr>
        <w:t>.</w:t>
      </w:r>
    </w:p>
    <w:p w14:paraId="5EA7182C" w14:textId="77777777" w:rsidR="00DF059B" w:rsidRDefault="00DF059B" w:rsidP="00DF059B">
      <w:pPr>
        <w:spacing w:after="120"/>
      </w:pPr>
    </w:p>
    <w:p w14:paraId="4B5747A5" w14:textId="77777777" w:rsidR="00DF059B" w:rsidRDefault="00DF059B" w:rsidP="00DF059B">
      <w:pPr>
        <w:spacing w:after="120"/>
      </w:pPr>
    </w:p>
    <w:p w14:paraId="6E6461DA" w14:textId="77777777" w:rsidR="00DF059B" w:rsidRDefault="00DF059B" w:rsidP="00DF059B">
      <w:pPr>
        <w:spacing w:after="120"/>
      </w:pPr>
    </w:p>
    <w:p w14:paraId="1C0ACB07" w14:textId="77777777" w:rsidR="00DF059B" w:rsidRDefault="00DF059B" w:rsidP="00DF059B">
      <w:pPr>
        <w:spacing w:after="120"/>
      </w:pPr>
    </w:p>
    <w:p w14:paraId="651B957F" w14:textId="77777777" w:rsidR="00DF059B" w:rsidRDefault="00DF059B" w:rsidP="00DF059B">
      <w:pPr>
        <w:spacing w:after="120"/>
      </w:pPr>
    </w:p>
    <w:p w14:paraId="6E430DB0" w14:textId="77777777" w:rsidR="00DF059B" w:rsidRDefault="00DF059B" w:rsidP="00DF059B">
      <w:pPr>
        <w:spacing w:after="120"/>
      </w:pPr>
    </w:p>
    <w:p w14:paraId="1D711000" w14:textId="77777777" w:rsidR="00DF059B" w:rsidRDefault="00DF059B" w:rsidP="00DF059B">
      <w:pPr>
        <w:spacing w:after="120"/>
      </w:pPr>
    </w:p>
    <w:p w14:paraId="157F9B9B" w14:textId="77777777" w:rsidR="00DF059B" w:rsidRDefault="00DF059B" w:rsidP="00DF059B">
      <w:pPr>
        <w:spacing w:after="120"/>
      </w:pPr>
    </w:p>
    <w:p w14:paraId="5B814759" w14:textId="77777777" w:rsidR="00DF059B" w:rsidRDefault="00DF059B" w:rsidP="00DF059B">
      <w:pPr>
        <w:spacing w:after="120"/>
      </w:pPr>
    </w:p>
    <w:bookmarkStart w:id="29" w:name="_Toc234284299" w:displacedByCustomXml="next"/>
    <w:sdt>
      <w:sdtPr>
        <w:id w:val="-1901975081"/>
        <w:docPartObj>
          <w:docPartGallery w:val="Bibliographies"/>
          <w:docPartUnique/>
        </w:docPartObj>
      </w:sdtPr>
      <w:sdtEndPr>
        <w:rPr>
          <w:rFonts w:asciiTheme="minorHAnsi" w:eastAsiaTheme="minorHAnsi" w:hAnsiTheme="minorHAnsi" w:cstheme="minorBidi"/>
          <w:color w:val="auto"/>
          <w:sz w:val="24"/>
          <w:szCs w:val="24"/>
        </w:rPr>
      </w:sdtEndPr>
      <w:sdtContent>
        <w:p w14:paraId="36648F3B" w14:textId="10D1D68B" w:rsidR="00E77B4F" w:rsidRPr="00374A73" w:rsidRDefault="00E77B4F">
          <w:pPr>
            <w:pStyle w:val="Heading1"/>
            <w:rPr>
              <w:rFonts w:ascii="Calibri" w:hAnsi="Calibri" w:cs="Calibri"/>
              <w:b/>
              <w:bCs/>
              <w:sz w:val="32"/>
              <w:szCs w:val="32"/>
            </w:rPr>
          </w:pPr>
          <w:r w:rsidRPr="00374A73">
            <w:rPr>
              <w:rFonts w:ascii="Calibri" w:hAnsi="Calibri" w:cs="Calibri"/>
              <w:b/>
              <w:bCs/>
              <w:sz w:val="32"/>
              <w:szCs w:val="32"/>
            </w:rPr>
            <w:t>References</w:t>
          </w:r>
          <w:r w:rsidR="00374A73">
            <w:rPr>
              <w:rFonts w:ascii="Calibri" w:hAnsi="Calibri" w:cs="Calibri"/>
              <w:b/>
              <w:bCs/>
              <w:sz w:val="32"/>
              <w:szCs w:val="32"/>
            </w:rPr>
            <w:t xml:space="preserve"> (IEEE)</w:t>
          </w:r>
          <w:bookmarkEnd w:id="29"/>
        </w:p>
        <w:sdt>
          <w:sdtPr>
            <w:id w:val="-573587230"/>
            <w:bibliography/>
          </w:sdtPr>
          <w:sdtContent>
            <w:p w14:paraId="510B598A" w14:textId="77777777" w:rsidR="006F7CD4" w:rsidRDefault="00E77B4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887"/>
              </w:tblGrid>
              <w:tr w:rsidR="006F7CD4" w14:paraId="7DA7CBC3" w14:textId="77777777" w:rsidTr="006F7CD4">
                <w:trPr>
                  <w:divId w:val="709497593"/>
                  <w:tblCellSpacing w:w="15" w:type="dxa"/>
                </w:trPr>
                <w:tc>
                  <w:tcPr>
                    <w:tcW w:w="229" w:type="pct"/>
                    <w:hideMark/>
                  </w:tcPr>
                  <w:p w14:paraId="35B3F10F" w14:textId="43989EA8" w:rsidR="006F7CD4" w:rsidRDefault="006F7CD4">
                    <w:pPr>
                      <w:pStyle w:val="Bibliography"/>
                      <w:rPr>
                        <w:noProof/>
                        <w:kern w:val="0"/>
                        <w14:ligatures w14:val="none"/>
                      </w:rPr>
                    </w:pPr>
                    <w:r>
                      <w:rPr>
                        <w:noProof/>
                      </w:rPr>
                      <w:t xml:space="preserve">[1] </w:t>
                    </w:r>
                  </w:p>
                </w:tc>
                <w:tc>
                  <w:tcPr>
                    <w:tcW w:w="0" w:type="auto"/>
                    <w:hideMark/>
                  </w:tcPr>
                  <w:p w14:paraId="53339A00" w14:textId="77777777" w:rsidR="006F7CD4" w:rsidRDefault="006F7CD4">
                    <w:pPr>
                      <w:pStyle w:val="Bibliography"/>
                      <w:rPr>
                        <w:noProof/>
                      </w:rPr>
                    </w:pPr>
                    <w:r>
                      <w:rPr>
                        <w:noProof/>
                      </w:rPr>
                      <w:t xml:space="preserve">D. a. D. J. {Wyllie, "{Role of data warehousing in healthcare epidemiology},," </w:t>
                    </w:r>
                    <w:r>
                      <w:rPr>
                        <w:i/>
                        <w:iCs/>
                        <w:noProof/>
                      </w:rPr>
                      <w:t xml:space="preserve">{Journal of Hospital Infection},, </w:t>
                    </w:r>
                    <w:r>
                      <w:rPr>
                        <w:noProof/>
                      </w:rPr>
                      <w:t xml:space="preserve">Vols. (89),, no. {Elsevier}, pp. {267--270},, {2015),. </w:t>
                    </w:r>
                  </w:p>
                </w:tc>
              </w:tr>
              <w:tr w:rsidR="006F7CD4" w14:paraId="749FBE77" w14:textId="77777777" w:rsidTr="006F7CD4">
                <w:trPr>
                  <w:divId w:val="709497593"/>
                  <w:tblCellSpacing w:w="15" w:type="dxa"/>
                </w:trPr>
                <w:tc>
                  <w:tcPr>
                    <w:tcW w:w="229" w:type="pct"/>
                    <w:hideMark/>
                  </w:tcPr>
                  <w:p w14:paraId="2940E8E9" w14:textId="77777777" w:rsidR="006F7CD4" w:rsidRDefault="006F7CD4">
                    <w:pPr>
                      <w:pStyle w:val="Bibliography"/>
                      <w:rPr>
                        <w:noProof/>
                      </w:rPr>
                    </w:pPr>
                    <w:r>
                      <w:rPr>
                        <w:noProof/>
                      </w:rPr>
                      <w:t xml:space="preserve">[2] </w:t>
                    </w:r>
                  </w:p>
                </w:tc>
                <w:tc>
                  <w:tcPr>
                    <w:tcW w:w="0" w:type="auto"/>
                    <w:hideMark/>
                  </w:tcPr>
                  <w:p w14:paraId="3A33E9DE" w14:textId="77777777" w:rsidR="006F7CD4" w:rsidRDefault="006F7CD4">
                    <w:pPr>
                      <w:pStyle w:val="Bibliography"/>
                      <w:rPr>
                        <w:noProof/>
                      </w:rPr>
                    </w:pPr>
                    <w:r>
                      <w:rPr>
                        <w:noProof/>
                      </w:rPr>
                      <w:t xml:space="preserve">T. {White, {A Guide to the NHS},, {Radcliffe Publishing}, (2010),. </w:t>
                    </w:r>
                  </w:p>
                </w:tc>
              </w:tr>
              <w:tr w:rsidR="006F7CD4" w14:paraId="0D169755" w14:textId="77777777" w:rsidTr="006F7CD4">
                <w:trPr>
                  <w:divId w:val="709497593"/>
                  <w:tblCellSpacing w:w="15" w:type="dxa"/>
                </w:trPr>
                <w:tc>
                  <w:tcPr>
                    <w:tcW w:w="229" w:type="pct"/>
                    <w:hideMark/>
                  </w:tcPr>
                  <w:p w14:paraId="2F5ACCC0" w14:textId="77777777" w:rsidR="006F7CD4" w:rsidRDefault="006F7CD4">
                    <w:pPr>
                      <w:pStyle w:val="Bibliography"/>
                      <w:rPr>
                        <w:noProof/>
                      </w:rPr>
                    </w:pPr>
                    <w:r>
                      <w:rPr>
                        <w:noProof/>
                      </w:rPr>
                      <w:t xml:space="preserve">[3] </w:t>
                    </w:r>
                  </w:p>
                </w:tc>
                <w:tc>
                  <w:tcPr>
                    <w:tcW w:w="0" w:type="auto"/>
                    <w:hideMark/>
                  </w:tcPr>
                  <w:p w14:paraId="496D9C6B" w14:textId="77777777" w:rsidR="006F7CD4" w:rsidRDefault="006F7CD4">
                    <w:pPr>
                      <w:pStyle w:val="Bibliography"/>
                      <w:rPr>
                        <w:noProof/>
                      </w:rPr>
                    </w:pPr>
                    <w:r>
                      <w:rPr>
                        <w:noProof/>
                      </w:rPr>
                      <w:t xml:space="preserve">A. {Nordeen, {Learn Data Warehousing in 24 Hours},, {Guru99}, {2020},. </w:t>
                    </w:r>
                  </w:p>
                </w:tc>
              </w:tr>
              <w:tr w:rsidR="006F7CD4" w14:paraId="5A663C79" w14:textId="77777777" w:rsidTr="006F7CD4">
                <w:trPr>
                  <w:divId w:val="709497593"/>
                  <w:tblCellSpacing w:w="15" w:type="dxa"/>
                </w:trPr>
                <w:tc>
                  <w:tcPr>
                    <w:tcW w:w="229" w:type="pct"/>
                    <w:hideMark/>
                  </w:tcPr>
                  <w:p w14:paraId="36B83EEB" w14:textId="77777777" w:rsidR="006F7CD4" w:rsidRDefault="006F7CD4">
                    <w:pPr>
                      <w:pStyle w:val="Bibliography"/>
                      <w:rPr>
                        <w:noProof/>
                      </w:rPr>
                    </w:pPr>
                    <w:r>
                      <w:rPr>
                        <w:noProof/>
                      </w:rPr>
                      <w:t xml:space="preserve">[4] </w:t>
                    </w:r>
                  </w:p>
                </w:tc>
                <w:tc>
                  <w:tcPr>
                    <w:tcW w:w="0" w:type="auto"/>
                    <w:hideMark/>
                  </w:tcPr>
                  <w:p w14:paraId="55528933" w14:textId="77777777" w:rsidR="006F7CD4" w:rsidRDefault="006F7CD4">
                    <w:pPr>
                      <w:pStyle w:val="Bibliography"/>
                      <w:rPr>
                        <w:noProof/>
                      </w:rPr>
                    </w:pPr>
                    <w:r>
                      <w:rPr>
                        <w:noProof/>
                      </w:rPr>
                      <w:t xml:space="preserve">K. a. K. T. A. {Kakish, "{ETL evolution for real-time data warehousing},," in </w:t>
                    </w:r>
                    <w:r>
                      <w:rPr>
                        <w:i/>
                        <w:iCs/>
                        <w:noProof/>
                      </w:rPr>
                      <w:t>{Proceedings of the Conference on Information Systems Applied Research ISSN},</w:t>
                    </w:r>
                    <w:r>
                      <w:rPr>
                        <w:noProof/>
                      </w:rPr>
                      <w:t>, (New Orleans, Louisiana, USA),, (Education Special Interest Group of the Association of Information Technology Professionals, AITP), {2012},, pp. {1508},.</w:t>
                    </w:r>
                  </w:p>
                </w:tc>
              </w:tr>
              <w:tr w:rsidR="006F7CD4" w14:paraId="3DDB29C8" w14:textId="77777777" w:rsidTr="006F7CD4">
                <w:trPr>
                  <w:divId w:val="709497593"/>
                  <w:tblCellSpacing w:w="15" w:type="dxa"/>
                </w:trPr>
                <w:tc>
                  <w:tcPr>
                    <w:tcW w:w="229" w:type="pct"/>
                    <w:hideMark/>
                  </w:tcPr>
                  <w:p w14:paraId="1F2ACAB8" w14:textId="77777777" w:rsidR="006F7CD4" w:rsidRDefault="006F7CD4">
                    <w:pPr>
                      <w:pStyle w:val="Bibliography"/>
                      <w:rPr>
                        <w:noProof/>
                      </w:rPr>
                    </w:pPr>
                    <w:r>
                      <w:rPr>
                        <w:noProof/>
                      </w:rPr>
                      <w:t xml:space="preserve">[5] </w:t>
                    </w:r>
                  </w:p>
                </w:tc>
                <w:tc>
                  <w:tcPr>
                    <w:tcW w:w="0" w:type="auto"/>
                    <w:hideMark/>
                  </w:tcPr>
                  <w:p w14:paraId="47AFC9BD" w14:textId="77777777" w:rsidR="006F7CD4" w:rsidRDefault="006F7CD4">
                    <w:pPr>
                      <w:pStyle w:val="Bibliography"/>
                      <w:rPr>
                        <w:noProof/>
                      </w:rPr>
                    </w:pPr>
                    <w:r>
                      <w:rPr>
                        <w:noProof/>
                      </w:rPr>
                      <w:t xml:space="preserve">C. {Vercellis, {Business intelligence: data mining and optimization for decision making},, (Chichester, West Sussex, United Kingdom),: {John Wiley \&amp; Sons}, ,{2011},. </w:t>
                    </w:r>
                  </w:p>
                </w:tc>
              </w:tr>
              <w:tr w:rsidR="006F7CD4" w14:paraId="42ECEE37" w14:textId="77777777" w:rsidTr="006F7CD4">
                <w:trPr>
                  <w:divId w:val="709497593"/>
                  <w:tblCellSpacing w:w="15" w:type="dxa"/>
                </w:trPr>
                <w:tc>
                  <w:tcPr>
                    <w:tcW w:w="229" w:type="pct"/>
                    <w:hideMark/>
                  </w:tcPr>
                  <w:p w14:paraId="1BDEBA7F" w14:textId="77777777" w:rsidR="006F7CD4" w:rsidRDefault="006F7CD4">
                    <w:pPr>
                      <w:pStyle w:val="Bibliography"/>
                      <w:rPr>
                        <w:noProof/>
                      </w:rPr>
                    </w:pPr>
                    <w:r>
                      <w:rPr>
                        <w:noProof/>
                      </w:rPr>
                      <w:t xml:space="preserve">[6] </w:t>
                    </w:r>
                  </w:p>
                </w:tc>
                <w:tc>
                  <w:tcPr>
                    <w:tcW w:w="0" w:type="auto"/>
                    <w:hideMark/>
                  </w:tcPr>
                  <w:p w14:paraId="4AA54FA3" w14:textId="77777777" w:rsidR="006F7CD4" w:rsidRDefault="006F7CD4">
                    <w:pPr>
                      <w:pStyle w:val="Bibliography"/>
                      <w:rPr>
                        <w:noProof/>
                      </w:rPr>
                    </w:pPr>
                    <w:r>
                      <w:rPr>
                        <w:noProof/>
                      </w:rPr>
                      <w:t xml:space="preserve">O. a. S. M. {Ratzesberger, {The sentient enterprise: The evolution of business decision making},, (Hoboken, New Jersey, USA.),: {John Wiley \&amp; Sons}, (2017),. </w:t>
                    </w:r>
                  </w:p>
                </w:tc>
              </w:tr>
              <w:tr w:rsidR="006F7CD4" w14:paraId="00998DD7" w14:textId="77777777" w:rsidTr="006F7CD4">
                <w:trPr>
                  <w:divId w:val="709497593"/>
                  <w:tblCellSpacing w:w="15" w:type="dxa"/>
                </w:trPr>
                <w:tc>
                  <w:tcPr>
                    <w:tcW w:w="229" w:type="pct"/>
                    <w:hideMark/>
                  </w:tcPr>
                  <w:p w14:paraId="167B9132" w14:textId="77777777" w:rsidR="006F7CD4" w:rsidRDefault="006F7CD4">
                    <w:pPr>
                      <w:pStyle w:val="Bibliography"/>
                      <w:rPr>
                        <w:noProof/>
                      </w:rPr>
                    </w:pPr>
                    <w:r>
                      <w:rPr>
                        <w:noProof/>
                      </w:rPr>
                      <w:t xml:space="preserve">[7] </w:t>
                    </w:r>
                  </w:p>
                </w:tc>
                <w:tc>
                  <w:tcPr>
                    <w:tcW w:w="0" w:type="auto"/>
                    <w:hideMark/>
                  </w:tcPr>
                  <w:p w14:paraId="1D7DDD25" w14:textId="77777777" w:rsidR="006F7CD4" w:rsidRDefault="006F7CD4">
                    <w:pPr>
                      <w:pStyle w:val="Bibliography"/>
                      <w:rPr>
                        <w:noProof/>
                      </w:rPr>
                    </w:pPr>
                    <w:r>
                      <w:rPr>
                        <w:noProof/>
                      </w:rPr>
                      <w:t xml:space="preserve">H. a. R. S. a. L. X. a. B. H. a. A. A. a. A. O. {Zhang, "{Developing scalable management information system with big financial data using data mart and mining architecture},," </w:t>
                    </w:r>
                    <w:r>
                      <w:rPr>
                        <w:i/>
                        <w:iCs/>
                        <w:noProof/>
                      </w:rPr>
                      <w:t xml:space="preserve">{Information Processing \&amp; Management},, </w:t>
                    </w:r>
                    <w:r>
                      <w:rPr>
                        <w:noProof/>
                      </w:rPr>
                      <w:t xml:space="preserve">Vols. (60),, no. {Elsevier}, pp. {103326},, (2023),. </w:t>
                    </w:r>
                  </w:p>
                </w:tc>
              </w:tr>
              <w:tr w:rsidR="006F7CD4" w14:paraId="5A9A46B5" w14:textId="77777777" w:rsidTr="006F7CD4">
                <w:trPr>
                  <w:divId w:val="709497593"/>
                  <w:tblCellSpacing w:w="15" w:type="dxa"/>
                </w:trPr>
                <w:tc>
                  <w:tcPr>
                    <w:tcW w:w="229" w:type="pct"/>
                    <w:hideMark/>
                  </w:tcPr>
                  <w:p w14:paraId="1DE329D4" w14:textId="77777777" w:rsidR="006F7CD4" w:rsidRDefault="006F7CD4">
                    <w:pPr>
                      <w:pStyle w:val="Bibliography"/>
                      <w:rPr>
                        <w:noProof/>
                      </w:rPr>
                    </w:pPr>
                    <w:r>
                      <w:rPr>
                        <w:noProof/>
                      </w:rPr>
                      <w:t xml:space="preserve">[8] </w:t>
                    </w:r>
                  </w:p>
                </w:tc>
                <w:tc>
                  <w:tcPr>
                    <w:tcW w:w="0" w:type="auto"/>
                    <w:hideMark/>
                  </w:tcPr>
                  <w:p w14:paraId="2EC870C0" w14:textId="77777777" w:rsidR="006F7CD4" w:rsidRDefault="006F7CD4">
                    <w:pPr>
                      <w:pStyle w:val="Bibliography"/>
                      <w:rPr>
                        <w:noProof/>
                      </w:rPr>
                    </w:pPr>
                    <w:r>
                      <w:rPr>
                        <w:noProof/>
                      </w:rPr>
                      <w:t xml:space="preserve">P. a. M.-H. S. a. V.-P. M. a. M.-N. G. L. E. a. V.-H. H. a. A.-O. I. {De-La-Cruz-Vdv, "{Data Mart and key performance indicators to optimize decisions in a medical service clinic},," in </w:t>
                    </w:r>
                    <w:r>
                      <w:rPr>
                        <w:i/>
                        <w:iCs/>
                        <w:noProof/>
                      </w:rPr>
                      <w:t>{2023 18th Iberian Conference on Information Systems and Technologies (CISTI)},</w:t>
                    </w:r>
                    <w:r>
                      <w:rPr>
                        <w:noProof/>
                      </w:rPr>
                      <w:t>, {Aveiro, Portugal},, {IEEE}, (2023),, pp. (1--6),.</w:t>
                    </w:r>
                  </w:p>
                </w:tc>
              </w:tr>
              <w:tr w:rsidR="006F7CD4" w14:paraId="0FFF31BD" w14:textId="77777777" w:rsidTr="006F7CD4">
                <w:trPr>
                  <w:divId w:val="709497593"/>
                  <w:tblCellSpacing w:w="15" w:type="dxa"/>
                </w:trPr>
                <w:tc>
                  <w:tcPr>
                    <w:tcW w:w="229" w:type="pct"/>
                    <w:hideMark/>
                  </w:tcPr>
                  <w:p w14:paraId="6B9784DA" w14:textId="77777777" w:rsidR="006F7CD4" w:rsidRDefault="006F7CD4">
                    <w:pPr>
                      <w:pStyle w:val="Bibliography"/>
                      <w:rPr>
                        <w:noProof/>
                      </w:rPr>
                    </w:pPr>
                    <w:r>
                      <w:rPr>
                        <w:noProof/>
                      </w:rPr>
                      <w:t xml:space="preserve">[9] </w:t>
                    </w:r>
                  </w:p>
                </w:tc>
                <w:tc>
                  <w:tcPr>
                    <w:tcW w:w="0" w:type="auto"/>
                    <w:hideMark/>
                  </w:tcPr>
                  <w:p w14:paraId="2ED0815A" w14:textId="77777777" w:rsidR="006F7CD4" w:rsidRDefault="006F7CD4">
                    <w:pPr>
                      <w:pStyle w:val="Bibliography"/>
                      <w:rPr>
                        <w:noProof/>
                      </w:rPr>
                    </w:pPr>
                    <w:r>
                      <w:rPr>
                        <w:noProof/>
                      </w:rPr>
                      <w:t xml:space="preserve">S. a. H. M. a. G. M. N. {Kanagaraj, "{NORMALISATION AND DIMENSIONALITY REDUCTION TECHNIQUES TO PREDICT PARKINSON DISEASE USING PPMI DATASETS.},," </w:t>
                    </w:r>
                    <w:r>
                      <w:rPr>
                        <w:i/>
                        <w:iCs/>
                        <w:noProof/>
                      </w:rPr>
                      <w:t xml:space="preserve">{Oxidation Communications},, </w:t>
                    </w:r>
                    <w:r>
                      <w:rPr>
                        <w:noProof/>
                      </w:rPr>
                      <w:t xml:space="preserve">Vols. {43},, no. (1), pp. {117--126},, {2020},. </w:t>
                    </w:r>
                  </w:p>
                </w:tc>
              </w:tr>
              <w:tr w:rsidR="006F7CD4" w14:paraId="1D2FC069" w14:textId="77777777" w:rsidTr="006F7CD4">
                <w:trPr>
                  <w:divId w:val="709497593"/>
                  <w:tblCellSpacing w:w="15" w:type="dxa"/>
                </w:trPr>
                <w:tc>
                  <w:tcPr>
                    <w:tcW w:w="229" w:type="pct"/>
                    <w:hideMark/>
                  </w:tcPr>
                  <w:p w14:paraId="4C23E38B" w14:textId="77777777" w:rsidR="006F7CD4" w:rsidRDefault="006F7CD4">
                    <w:pPr>
                      <w:pStyle w:val="Bibliography"/>
                      <w:rPr>
                        <w:noProof/>
                      </w:rPr>
                    </w:pPr>
                    <w:r>
                      <w:rPr>
                        <w:noProof/>
                      </w:rPr>
                      <w:t xml:space="preserve">[10] </w:t>
                    </w:r>
                  </w:p>
                </w:tc>
                <w:tc>
                  <w:tcPr>
                    <w:tcW w:w="0" w:type="auto"/>
                    <w:hideMark/>
                  </w:tcPr>
                  <w:p w14:paraId="17DD3B11" w14:textId="77777777" w:rsidR="006F7CD4" w:rsidRDefault="006F7CD4">
                    <w:pPr>
                      <w:pStyle w:val="Bibliography"/>
                      <w:rPr>
                        <w:noProof/>
                      </w:rPr>
                    </w:pPr>
                    <w:r>
                      <w:rPr>
                        <w:noProof/>
                      </w:rPr>
                      <w:t xml:space="preserve">C. a. K. W. {Hofmann, "{Source-specific system identification},," in </w:t>
                    </w:r>
                    <w:r>
                      <w:rPr>
                        <w:i/>
                        <w:iCs/>
                        <w:noProof/>
                      </w:rPr>
                      <w:t>{2016 IEEE International Conference on Acoustics, Speech and Signal Processing (ICASSP)},</w:t>
                    </w:r>
                    <w:r>
                      <w:rPr>
                        <w:noProof/>
                      </w:rPr>
                      <w:t>, {Shanghai, China},, {IEEE}, {2016},, pp. {161-165},.</w:t>
                    </w:r>
                  </w:p>
                </w:tc>
              </w:tr>
              <w:tr w:rsidR="006F7CD4" w14:paraId="7DD95CEA" w14:textId="77777777" w:rsidTr="006F7CD4">
                <w:trPr>
                  <w:divId w:val="709497593"/>
                  <w:tblCellSpacing w:w="15" w:type="dxa"/>
                </w:trPr>
                <w:tc>
                  <w:tcPr>
                    <w:tcW w:w="229" w:type="pct"/>
                    <w:hideMark/>
                  </w:tcPr>
                  <w:p w14:paraId="4BF54FB0" w14:textId="77777777" w:rsidR="006F7CD4" w:rsidRDefault="006F7CD4">
                    <w:pPr>
                      <w:pStyle w:val="Bibliography"/>
                      <w:rPr>
                        <w:noProof/>
                      </w:rPr>
                    </w:pPr>
                    <w:r>
                      <w:rPr>
                        <w:noProof/>
                      </w:rPr>
                      <w:lastRenderedPageBreak/>
                      <w:t xml:space="preserve">[11] </w:t>
                    </w:r>
                  </w:p>
                </w:tc>
                <w:tc>
                  <w:tcPr>
                    <w:tcW w:w="0" w:type="auto"/>
                    <w:hideMark/>
                  </w:tcPr>
                  <w:p w14:paraId="1CFF0116" w14:textId="77777777" w:rsidR="006F7CD4" w:rsidRDefault="006F7CD4">
                    <w:pPr>
                      <w:pStyle w:val="Bibliography"/>
                      <w:rPr>
                        <w:noProof/>
                      </w:rPr>
                    </w:pPr>
                    <w:r>
                      <w:rPr>
                        <w:noProof/>
                      </w:rPr>
                      <w:t xml:space="preserve">C. {Adamson, {Mastering data warehouse aggregates: solutions for star schema performance},, {Indianapolis, IN, USA},: {John Wiley \&amp; Sons}, {2012},. </w:t>
                    </w:r>
                  </w:p>
                </w:tc>
              </w:tr>
              <w:tr w:rsidR="006F7CD4" w14:paraId="065BAB2A" w14:textId="77777777" w:rsidTr="006F7CD4">
                <w:trPr>
                  <w:divId w:val="709497593"/>
                  <w:tblCellSpacing w:w="15" w:type="dxa"/>
                </w:trPr>
                <w:tc>
                  <w:tcPr>
                    <w:tcW w:w="229" w:type="pct"/>
                    <w:hideMark/>
                  </w:tcPr>
                  <w:p w14:paraId="16CE787E" w14:textId="77777777" w:rsidR="006F7CD4" w:rsidRDefault="006F7CD4">
                    <w:pPr>
                      <w:pStyle w:val="Bibliography"/>
                      <w:rPr>
                        <w:noProof/>
                      </w:rPr>
                    </w:pPr>
                    <w:r>
                      <w:rPr>
                        <w:noProof/>
                      </w:rPr>
                      <w:t xml:space="preserve">[12] </w:t>
                    </w:r>
                  </w:p>
                </w:tc>
                <w:tc>
                  <w:tcPr>
                    <w:tcW w:w="0" w:type="auto"/>
                    <w:hideMark/>
                  </w:tcPr>
                  <w:p w14:paraId="09F13A71" w14:textId="77777777" w:rsidR="006F7CD4" w:rsidRDefault="006F7CD4">
                    <w:pPr>
                      <w:pStyle w:val="Bibliography"/>
                      <w:rPr>
                        <w:noProof/>
                      </w:rPr>
                    </w:pPr>
                    <w:r>
                      <w:rPr>
                        <w:noProof/>
                      </w:rPr>
                      <w:t xml:space="preserve">C. {Ghezzi, "{Designing data marts for data warehouses},," </w:t>
                    </w:r>
                    <w:r>
                      <w:rPr>
                        <w:i/>
                        <w:iCs/>
                        <w:noProof/>
                      </w:rPr>
                      <w:t xml:space="preserve">{ACM Transactions on Software Engineering and Methodology (TOSEM)},, </w:t>
                    </w:r>
                    <w:r>
                      <w:rPr>
                        <w:noProof/>
                      </w:rPr>
                      <w:t xml:space="preserve">Vols. {10},, no. {ACM New York, NY, USA}, pp. {452--483},, {2001}. </w:t>
                    </w:r>
                  </w:p>
                </w:tc>
              </w:tr>
              <w:tr w:rsidR="006F7CD4" w14:paraId="1E0310E5" w14:textId="77777777" w:rsidTr="006F7CD4">
                <w:trPr>
                  <w:divId w:val="709497593"/>
                  <w:tblCellSpacing w:w="15" w:type="dxa"/>
                </w:trPr>
                <w:tc>
                  <w:tcPr>
                    <w:tcW w:w="229" w:type="pct"/>
                    <w:hideMark/>
                  </w:tcPr>
                  <w:p w14:paraId="05C220E2" w14:textId="77777777" w:rsidR="006F7CD4" w:rsidRDefault="006F7CD4">
                    <w:pPr>
                      <w:pStyle w:val="Bibliography"/>
                      <w:rPr>
                        <w:noProof/>
                      </w:rPr>
                    </w:pPr>
                    <w:r>
                      <w:rPr>
                        <w:noProof/>
                      </w:rPr>
                      <w:t xml:space="preserve">[13] </w:t>
                    </w:r>
                  </w:p>
                </w:tc>
                <w:tc>
                  <w:tcPr>
                    <w:tcW w:w="0" w:type="auto"/>
                    <w:hideMark/>
                  </w:tcPr>
                  <w:p w14:paraId="0374418B" w14:textId="77777777" w:rsidR="006F7CD4" w:rsidRDefault="006F7CD4">
                    <w:pPr>
                      <w:pStyle w:val="Bibliography"/>
                      <w:rPr>
                        <w:noProof/>
                      </w:rPr>
                    </w:pPr>
                    <w:r>
                      <w:rPr>
                        <w:noProof/>
                      </w:rPr>
                      <w:t xml:space="preserve">A. {Simitsis, "{Modeling and managing ETL processes.},," in </w:t>
                    </w:r>
                    <w:r>
                      <w:rPr>
                        <w:i/>
                        <w:iCs/>
                        <w:noProof/>
                      </w:rPr>
                      <w:t>{VLDB PhD Workshop},</w:t>
                    </w:r>
                    <w:r>
                      <w:rPr>
                        <w:noProof/>
                      </w:rPr>
                      <w:t>, {Berlin, Germany},, {CEUR-WS.org}, {2003},, pp. {41--50},.</w:t>
                    </w:r>
                  </w:p>
                </w:tc>
              </w:tr>
              <w:tr w:rsidR="006F7CD4" w14:paraId="12768633" w14:textId="77777777" w:rsidTr="006F7CD4">
                <w:trPr>
                  <w:divId w:val="709497593"/>
                  <w:tblCellSpacing w:w="15" w:type="dxa"/>
                </w:trPr>
                <w:tc>
                  <w:tcPr>
                    <w:tcW w:w="229" w:type="pct"/>
                    <w:hideMark/>
                  </w:tcPr>
                  <w:p w14:paraId="76ABD8C9" w14:textId="77777777" w:rsidR="006F7CD4" w:rsidRDefault="006F7CD4">
                    <w:pPr>
                      <w:pStyle w:val="Bibliography"/>
                      <w:rPr>
                        <w:noProof/>
                      </w:rPr>
                    </w:pPr>
                    <w:r>
                      <w:rPr>
                        <w:noProof/>
                      </w:rPr>
                      <w:t xml:space="preserve">[14] </w:t>
                    </w:r>
                  </w:p>
                </w:tc>
                <w:tc>
                  <w:tcPr>
                    <w:tcW w:w="0" w:type="auto"/>
                    <w:hideMark/>
                  </w:tcPr>
                  <w:p w14:paraId="39A88EAE" w14:textId="77777777" w:rsidR="006F7CD4" w:rsidRDefault="006F7CD4">
                    <w:pPr>
                      <w:pStyle w:val="Bibliography"/>
                      <w:rPr>
                        <w:noProof/>
                      </w:rPr>
                    </w:pPr>
                    <w:r>
                      <w:rPr>
                        <w:noProof/>
                      </w:rPr>
                      <w:t xml:space="preserve">R. {Mahanti, {Data quality: dimensions, measurement, strategy, management, and governance},, {Milwaukee, WI},: {Quality Press}, {2019},. </w:t>
                    </w:r>
                  </w:p>
                </w:tc>
              </w:tr>
            </w:tbl>
            <w:p w14:paraId="1852DCF6" w14:textId="77777777" w:rsidR="006F7CD4" w:rsidRDefault="006F7CD4">
              <w:pPr>
                <w:divId w:val="709497593"/>
                <w:rPr>
                  <w:rFonts w:eastAsia="Times New Roman"/>
                  <w:noProof/>
                </w:rPr>
              </w:pPr>
            </w:p>
            <w:p w14:paraId="4AD7A279" w14:textId="2646A811" w:rsidR="00E77B4F" w:rsidRDefault="00E77B4F">
              <w:r>
                <w:rPr>
                  <w:b/>
                  <w:bCs/>
                  <w:noProof/>
                </w:rPr>
                <w:fldChar w:fldCharType="end"/>
              </w:r>
            </w:p>
          </w:sdtContent>
        </w:sdt>
      </w:sdtContent>
    </w:sdt>
    <w:p w14:paraId="1543CBB9" w14:textId="6858EC0D" w:rsidR="00DF059B" w:rsidRDefault="00DF059B" w:rsidP="00DF1E49">
      <w:pPr>
        <w:pStyle w:val="Heading1"/>
        <w:rPr>
          <w:b/>
          <w:bCs/>
        </w:rPr>
      </w:pPr>
    </w:p>
    <w:p w14:paraId="09A5556F" w14:textId="77777777" w:rsidR="000C44BF" w:rsidRDefault="000C44BF" w:rsidP="000C44BF"/>
    <w:p w14:paraId="5B307D18" w14:textId="77777777" w:rsidR="000C44BF" w:rsidRDefault="000C44BF" w:rsidP="000C44BF"/>
    <w:p w14:paraId="0BA1B4C2" w14:textId="77777777" w:rsidR="000C44BF" w:rsidRDefault="000C44BF" w:rsidP="000C44BF"/>
    <w:p w14:paraId="7F61A5AF" w14:textId="77777777" w:rsidR="000C44BF" w:rsidRDefault="000C44BF" w:rsidP="000C44BF"/>
    <w:p w14:paraId="00B2222A" w14:textId="77777777" w:rsidR="000C44BF" w:rsidRDefault="000C44BF" w:rsidP="000C44BF"/>
    <w:p w14:paraId="2F6C5977" w14:textId="77777777" w:rsidR="000C44BF" w:rsidRDefault="000C44BF" w:rsidP="000C44BF"/>
    <w:p w14:paraId="1F4A2E03" w14:textId="77777777" w:rsidR="000C44BF" w:rsidRDefault="000C44BF" w:rsidP="000C44BF"/>
    <w:p w14:paraId="0DA40B9B" w14:textId="77777777" w:rsidR="000C44BF" w:rsidRDefault="000C44BF" w:rsidP="000C44BF"/>
    <w:p w14:paraId="52493897" w14:textId="77777777" w:rsidR="000C44BF" w:rsidRDefault="000C44BF" w:rsidP="000C44BF"/>
    <w:p w14:paraId="2C3E10DF" w14:textId="77777777" w:rsidR="000C44BF" w:rsidRDefault="000C44BF" w:rsidP="000C44BF"/>
    <w:p w14:paraId="5811BBB1" w14:textId="77777777" w:rsidR="000C44BF" w:rsidRDefault="000C44BF" w:rsidP="000C44BF"/>
    <w:p w14:paraId="16947BF9" w14:textId="77777777" w:rsidR="000C44BF" w:rsidRDefault="000C44BF" w:rsidP="000C44BF"/>
    <w:p w14:paraId="06F7CF16" w14:textId="77777777" w:rsidR="000C44BF" w:rsidRPr="000C44BF" w:rsidRDefault="000C44BF" w:rsidP="000C44BF"/>
    <w:sectPr w:rsidR="000C44BF" w:rsidRPr="000C44B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5B18C4"/>
    <w:multiLevelType w:val="multilevel"/>
    <w:tmpl w:val="9178454A"/>
    <w:lvl w:ilvl="0">
      <w:start w:val="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159618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2F7"/>
    <w:rsid w:val="000C44BF"/>
    <w:rsid w:val="001A2BB2"/>
    <w:rsid w:val="00374A73"/>
    <w:rsid w:val="0039774C"/>
    <w:rsid w:val="003C423B"/>
    <w:rsid w:val="004E6700"/>
    <w:rsid w:val="00536C49"/>
    <w:rsid w:val="005834D9"/>
    <w:rsid w:val="00656457"/>
    <w:rsid w:val="00662553"/>
    <w:rsid w:val="006A3F7F"/>
    <w:rsid w:val="006F1DDC"/>
    <w:rsid w:val="006F7CD4"/>
    <w:rsid w:val="007077AB"/>
    <w:rsid w:val="007943A2"/>
    <w:rsid w:val="00853415"/>
    <w:rsid w:val="008E4C53"/>
    <w:rsid w:val="00966094"/>
    <w:rsid w:val="00977E0E"/>
    <w:rsid w:val="00A55928"/>
    <w:rsid w:val="00AA42F7"/>
    <w:rsid w:val="00BD343F"/>
    <w:rsid w:val="00BE091A"/>
    <w:rsid w:val="00D409A5"/>
    <w:rsid w:val="00DF059B"/>
    <w:rsid w:val="00DF1E49"/>
    <w:rsid w:val="00E77B4F"/>
    <w:rsid w:val="00E80666"/>
    <w:rsid w:val="00EA46C6"/>
    <w:rsid w:val="00EE2A63"/>
    <w:rsid w:val="00F61D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F9632"/>
  <w15:chartTrackingRefBased/>
  <w15:docId w15:val="{96152651-327E-4C0A-802B-C0DBF9225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42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A42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42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42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42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42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42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42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42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42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A42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42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42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42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42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42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42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42F7"/>
    <w:rPr>
      <w:rFonts w:eastAsiaTheme="majorEastAsia" w:cstheme="majorBidi"/>
      <w:color w:val="272727" w:themeColor="text1" w:themeTint="D8"/>
    </w:rPr>
  </w:style>
  <w:style w:type="paragraph" w:styleId="Title">
    <w:name w:val="Title"/>
    <w:basedOn w:val="Normal"/>
    <w:next w:val="Normal"/>
    <w:link w:val="TitleChar"/>
    <w:uiPriority w:val="10"/>
    <w:qFormat/>
    <w:rsid w:val="00AA42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42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42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42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42F7"/>
    <w:pPr>
      <w:spacing w:before="160"/>
      <w:jc w:val="center"/>
    </w:pPr>
    <w:rPr>
      <w:i/>
      <w:iCs/>
      <w:color w:val="404040" w:themeColor="text1" w:themeTint="BF"/>
    </w:rPr>
  </w:style>
  <w:style w:type="character" w:customStyle="1" w:styleId="QuoteChar">
    <w:name w:val="Quote Char"/>
    <w:basedOn w:val="DefaultParagraphFont"/>
    <w:link w:val="Quote"/>
    <w:uiPriority w:val="29"/>
    <w:rsid w:val="00AA42F7"/>
    <w:rPr>
      <w:i/>
      <w:iCs/>
      <w:color w:val="404040" w:themeColor="text1" w:themeTint="BF"/>
    </w:rPr>
  </w:style>
  <w:style w:type="paragraph" w:styleId="ListParagraph">
    <w:name w:val="List Paragraph"/>
    <w:basedOn w:val="Normal"/>
    <w:uiPriority w:val="34"/>
    <w:qFormat/>
    <w:rsid w:val="00AA42F7"/>
    <w:pPr>
      <w:ind w:left="720"/>
      <w:contextualSpacing/>
    </w:pPr>
  </w:style>
  <w:style w:type="character" w:styleId="IntenseEmphasis">
    <w:name w:val="Intense Emphasis"/>
    <w:basedOn w:val="DefaultParagraphFont"/>
    <w:uiPriority w:val="21"/>
    <w:qFormat/>
    <w:rsid w:val="00AA42F7"/>
    <w:rPr>
      <w:i/>
      <w:iCs/>
      <w:color w:val="0F4761" w:themeColor="accent1" w:themeShade="BF"/>
    </w:rPr>
  </w:style>
  <w:style w:type="paragraph" w:styleId="IntenseQuote">
    <w:name w:val="Intense Quote"/>
    <w:basedOn w:val="Normal"/>
    <w:next w:val="Normal"/>
    <w:link w:val="IntenseQuoteChar"/>
    <w:uiPriority w:val="30"/>
    <w:qFormat/>
    <w:rsid w:val="00AA42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42F7"/>
    <w:rPr>
      <w:i/>
      <w:iCs/>
      <w:color w:val="0F4761" w:themeColor="accent1" w:themeShade="BF"/>
    </w:rPr>
  </w:style>
  <w:style w:type="character" w:styleId="IntenseReference">
    <w:name w:val="Intense Reference"/>
    <w:basedOn w:val="DefaultParagraphFont"/>
    <w:uiPriority w:val="32"/>
    <w:qFormat/>
    <w:rsid w:val="00AA42F7"/>
    <w:rPr>
      <w:b/>
      <w:bCs/>
      <w:smallCaps/>
      <w:color w:val="0F4761" w:themeColor="accent1" w:themeShade="BF"/>
      <w:spacing w:val="5"/>
    </w:rPr>
  </w:style>
  <w:style w:type="paragraph" w:styleId="TOCHeading">
    <w:name w:val="TOC Heading"/>
    <w:basedOn w:val="Heading1"/>
    <w:next w:val="Normal"/>
    <w:uiPriority w:val="39"/>
    <w:unhideWhenUsed/>
    <w:qFormat/>
    <w:rsid w:val="004E6700"/>
    <w:pPr>
      <w:spacing w:before="240" w:after="0" w:line="259" w:lineRule="auto"/>
      <w:outlineLvl w:val="9"/>
    </w:pPr>
    <w:rPr>
      <w:kern w:val="0"/>
      <w:sz w:val="32"/>
      <w:szCs w:val="32"/>
      <w14:ligatures w14:val="none"/>
    </w:rPr>
  </w:style>
  <w:style w:type="table" w:styleId="TableGrid">
    <w:name w:val="Table Grid"/>
    <w:basedOn w:val="TableNormal"/>
    <w:uiPriority w:val="59"/>
    <w:rsid w:val="004E6700"/>
    <w:pPr>
      <w:spacing w:after="0" w:line="240" w:lineRule="auto"/>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3C423B"/>
    <w:pPr>
      <w:spacing w:after="100"/>
    </w:pPr>
  </w:style>
  <w:style w:type="paragraph" w:styleId="TOC2">
    <w:name w:val="toc 2"/>
    <w:basedOn w:val="Normal"/>
    <w:next w:val="Normal"/>
    <w:autoRedefine/>
    <w:uiPriority w:val="39"/>
    <w:unhideWhenUsed/>
    <w:rsid w:val="003C423B"/>
    <w:pPr>
      <w:spacing w:after="100"/>
      <w:ind w:left="240"/>
    </w:pPr>
  </w:style>
  <w:style w:type="character" w:styleId="Hyperlink">
    <w:name w:val="Hyperlink"/>
    <w:basedOn w:val="DefaultParagraphFont"/>
    <w:uiPriority w:val="99"/>
    <w:unhideWhenUsed/>
    <w:rsid w:val="003C423B"/>
    <w:rPr>
      <w:color w:val="467886" w:themeColor="hyperlink"/>
      <w:u w:val="single"/>
    </w:rPr>
  </w:style>
  <w:style w:type="paragraph" w:styleId="Bibliography">
    <w:name w:val="Bibliography"/>
    <w:basedOn w:val="Normal"/>
    <w:next w:val="Normal"/>
    <w:uiPriority w:val="37"/>
    <w:unhideWhenUsed/>
    <w:rsid w:val="00E77B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5852">
      <w:bodyDiv w:val="1"/>
      <w:marLeft w:val="0"/>
      <w:marRight w:val="0"/>
      <w:marTop w:val="0"/>
      <w:marBottom w:val="0"/>
      <w:divBdr>
        <w:top w:val="none" w:sz="0" w:space="0" w:color="auto"/>
        <w:left w:val="none" w:sz="0" w:space="0" w:color="auto"/>
        <w:bottom w:val="none" w:sz="0" w:space="0" w:color="auto"/>
        <w:right w:val="none" w:sz="0" w:space="0" w:color="auto"/>
      </w:divBdr>
    </w:div>
    <w:div w:id="20322994">
      <w:bodyDiv w:val="1"/>
      <w:marLeft w:val="0"/>
      <w:marRight w:val="0"/>
      <w:marTop w:val="0"/>
      <w:marBottom w:val="0"/>
      <w:divBdr>
        <w:top w:val="none" w:sz="0" w:space="0" w:color="auto"/>
        <w:left w:val="none" w:sz="0" w:space="0" w:color="auto"/>
        <w:bottom w:val="none" w:sz="0" w:space="0" w:color="auto"/>
        <w:right w:val="none" w:sz="0" w:space="0" w:color="auto"/>
      </w:divBdr>
    </w:div>
    <w:div w:id="29185582">
      <w:bodyDiv w:val="1"/>
      <w:marLeft w:val="0"/>
      <w:marRight w:val="0"/>
      <w:marTop w:val="0"/>
      <w:marBottom w:val="0"/>
      <w:divBdr>
        <w:top w:val="none" w:sz="0" w:space="0" w:color="auto"/>
        <w:left w:val="none" w:sz="0" w:space="0" w:color="auto"/>
        <w:bottom w:val="none" w:sz="0" w:space="0" w:color="auto"/>
        <w:right w:val="none" w:sz="0" w:space="0" w:color="auto"/>
      </w:divBdr>
    </w:div>
    <w:div w:id="31659105">
      <w:bodyDiv w:val="1"/>
      <w:marLeft w:val="0"/>
      <w:marRight w:val="0"/>
      <w:marTop w:val="0"/>
      <w:marBottom w:val="0"/>
      <w:divBdr>
        <w:top w:val="none" w:sz="0" w:space="0" w:color="auto"/>
        <w:left w:val="none" w:sz="0" w:space="0" w:color="auto"/>
        <w:bottom w:val="none" w:sz="0" w:space="0" w:color="auto"/>
        <w:right w:val="none" w:sz="0" w:space="0" w:color="auto"/>
      </w:divBdr>
    </w:div>
    <w:div w:id="34238491">
      <w:bodyDiv w:val="1"/>
      <w:marLeft w:val="0"/>
      <w:marRight w:val="0"/>
      <w:marTop w:val="0"/>
      <w:marBottom w:val="0"/>
      <w:divBdr>
        <w:top w:val="none" w:sz="0" w:space="0" w:color="auto"/>
        <w:left w:val="none" w:sz="0" w:space="0" w:color="auto"/>
        <w:bottom w:val="none" w:sz="0" w:space="0" w:color="auto"/>
        <w:right w:val="none" w:sz="0" w:space="0" w:color="auto"/>
      </w:divBdr>
    </w:div>
    <w:div w:id="70782100">
      <w:bodyDiv w:val="1"/>
      <w:marLeft w:val="0"/>
      <w:marRight w:val="0"/>
      <w:marTop w:val="0"/>
      <w:marBottom w:val="0"/>
      <w:divBdr>
        <w:top w:val="none" w:sz="0" w:space="0" w:color="auto"/>
        <w:left w:val="none" w:sz="0" w:space="0" w:color="auto"/>
        <w:bottom w:val="none" w:sz="0" w:space="0" w:color="auto"/>
        <w:right w:val="none" w:sz="0" w:space="0" w:color="auto"/>
      </w:divBdr>
    </w:div>
    <w:div w:id="133182794">
      <w:bodyDiv w:val="1"/>
      <w:marLeft w:val="0"/>
      <w:marRight w:val="0"/>
      <w:marTop w:val="0"/>
      <w:marBottom w:val="0"/>
      <w:divBdr>
        <w:top w:val="none" w:sz="0" w:space="0" w:color="auto"/>
        <w:left w:val="none" w:sz="0" w:space="0" w:color="auto"/>
        <w:bottom w:val="none" w:sz="0" w:space="0" w:color="auto"/>
        <w:right w:val="none" w:sz="0" w:space="0" w:color="auto"/>
      </w:divBdr>
    </w:div>
    <w:div w:id="145633609">
      <w:bodyDiv w:val="1"/>
      <w:marLeft w:val="0"/>
      <w:marRight w:val="0"/>
      <w:marTop w:val="0"/>
      <w:marBottom w:val="0"/>
      <w:divBdr>
        <w:top w:val="none" w:sz="0" w:space="0" w:color="auto"/>
        <w:left w:val="none" w:sz="0" w:space="0" w:color="auto"/>
        <w:bottom w:val="none" w:sz="0" w:space="0" w:color="auto"/>
        <w:right w:val="none" w:sz="0" w:space="0" w:color="auto"/>
      </w:divBdr>
    </w:div>
    <w:div w:id="150877115">
      <w:bodyDiv w:val="1"/>
      <w:marLeft w:val="0"/>
      <w:marRight w:val="0"/>
      <w:marTop w:val="0"/>
      <w:marBottom w:val="0"/>
      <w:divBdr>
        <w:top w:val="none" w:sz="0" w:space="0" w:color="auto"/>
        <w:left w:val="none" w:sz="0" w:space="0" w:color="auto"/>
        <w:bottom w:val="none" w:sz="0" w:space="0" w:color="auto"/>
        <w:right w:val="none" w:sz="0" w:space="0" w:color="auto"/>
      </w:divBdr>
    </w:div>
    <w:div w:id="152265163">
      <w:bodyDiv w:val="1"/>
      <w:marLeft w:val="0"/>
      <w:marRight w:val="0"/>
      <w:marTop w:val="0"/>
      <w:marBottom w:val="0"/>
      <w:divBdr>
        <w:top w:val="none" w:sz="0" w:space="0" w:color="auto"/>
        <w:left w:val="none" w:sz="0" w:space="0" w:color="auto"/>
        <w:bottom w:val="none" w:sz="0" w:space="0" w:color="auto"/>
        <w:right w:val="none" w:sz="0" w:space="0" w:color="auto"/>
      </w:divBdr>
    </w:div>
    <w:div w:id="170724274">
      <w:bodyDiv w:val="1"/>
      <w:marLeft w:val="0"/>
      <w:marRight w:val="0"/>
      <w:marTop w:val="0"/>
      <w:marBottom w:val="0"/>
      <w:divBdr>
        <w:top w:val="none" w:sz="0" w:space="0" w:color="auto"/>
        <w:left w:val="none" w:sz="0" w:space="0" w:color="auto"/>
        <w:bottom w:val="none" w:sz="0" w:space="0" w:color="auto"/>
        <w:right w:val="none" w:sz="0" w:space="0" w:color="auto"/>
      </w:divBdr>
    </w:div>
    <w:div w:id="184440489">
      <w:bodyDiv w:val="1"/>
      <w:marLeft w:val="0"/>
      <w:marRight w:val="0"/>
      <w:marTop w:val="0"/>
      <w:marBottom w:val="0"/>
      <w:divBdr>
        <w:top w:val="none" w:sz="0" w:space="0" w:color="auto"/>
        <w:left w:val="none" w:sz="0" w:space="0" w:color="auto"/>
        <w:bottom w:val="none" w:sz="0" w:space="0" w:color="auto"/>
        <w:right w:val="none" w:sz="0" w:space="0" w:color="auto"/>
      </w:divBdr>
    </w:div>
    <w:div w:id="190265265">
      <w:bodyDiv w:val="1"/>
      <w:marLeft w:val="0"/>
      <w:marRight w:val="0"/>
      <w:marTop w:val="0"/>
      <w:marBottom w:val="0"/>
      <w:divBdr>
        <w:top w:val="none" w:sz="0" w:space="0" w:color="auto"/>
        <w:left w:val="none" w:sz="0" w:space="0" w:color="auto"/>
        <w:bottom w:val="none" w:sz="0" w:space="0" w:color="auto"/>
        <w:right w:val="none" w:sz="0" w:space="0" w:color="auto"/>
      </w:divBdr>
    </w:div>
    <w:div w:id="191069141">
      <w:bodyDiv w:val="1"/>
      <w:marLeft w:val="0"/>
      <w:marRight w:val="0"/>
      <w:marTop w:val="0"/>
      <w:marBottom w:val="0"/>
      <w:divBdr>
        <w:top w:val="none" w:sz="0" w:space="0" w:color="auto"/>
        <w:left w:val="none" w:sz="0" w:space="0" w:color="auto"/>
        <w:bottom w:val="none" w:sz="0" w:space="0" w:color="auto"/>
        <w:right w:val="none" w:sz="0" w:space="0" w:color="auto"/>
      </w:divBdr>
    </w:div>
    <w:div w:id="196430742">
      <w:bodyDiv w:val="1"/>
      <w:marLeft w:val="0"/>
      <w:marRight w:val="0"/>
      <w:marTop w:val="0"/>
      <w:marBottom w:val="0"/>
      <w:divBdr>
        <w:top w:val="none" w:sz="0" w:space="0" w:color="auto"/>
        <w:left w:val="none" w:sz="0" w:space="0" w:color="auto"/>
        <w:bottom w:val="none" w:sz="0" w:space="0" w:color="auto"/>
        <w:right w:val="none" w:sz="0" w:space="0" w:color="auto"/>
      </w:divBdr>
    </w:div>
    <w:div w:id="197864987">
      <w:bodyDiv w:val="1"/>
      <w:marLeft w:val="0"/>
      <w:marRight w:val="0"/>
      <w:marTop w:val="0"/>
      <w:marBottom w:val="0"/>
      <w:divBdr>
        <w:top w:val="none" w:sz="0" w:space="0" w:color="auto"/>
        <w:left w:val="none" w:sz="0" w:space="0" w:color="auto"/>
        <w:bottom w:val="none" w:sz="0" w:space="0" w:color="auto"/>
        <w:right w:val="none" w:sz="0" w:space="0" w:color="auto"/>
      </w:divBdr>
    </w:div>
    <w:div w:id="208999214">
      <w:bodyDiv w:val="1"/>
      <w:marLeft w:val="0"/>
      <w:marRight w:val="0"/>
      <w:marTop w:val="0"/>
      <w:marBottom w:val="0"/>
      <w:divBdr>
        <w:top w:val="none" w:sz="0" w:space="0" w:color="auto"/>
        <w:left w:val="none" w:sz="0" w:space="0" w:color="auto"/>
        <w:bottom w:val="none" w:sz="0" w:space="0" w:color="auto"/>
        <w:right w:val="none" w:sz="0" w:space="0" w:color="auto"/>
      </w:divBdr>
    </w:div>
    <w:div w:id="215243877">
      <w:bodyDiv w:val="1"/>
      <w:marLeft w:val="0"/>
      <w:marRight w:val="0"/>
      <w:marTop w:val="0"/>
      <w:marBottom w:val="0"/>
      <w:divBdr>
        <w:top w:val="none" w:sz="0" w:space="0" w:color="auto"/>
        <w:left w:val="none" w:sz="0" w:space="0" w:color="auto"/>
        <w:bottom w:val="none" w:sz="0" w:space="0" w:color="auto"/>
        <w:right w:val="none" w:sz="0" w:space="0" w:color="auto"/>
      </w:divBdr>
    </w:div>
    <w:div w:id="221258987">
      <w:bodyDiv w:val="1"/>
      <w:marLeft w:val="0"/>
      <w:marRight w:val="0"/>
      <w:marTop w:val="0"/>
      <w:marBottom w:val="0"/>
      <w:divBdr>
        <w:top w:val="none" w:sz="0" w:space="0" w:color="auto"/>
        <w:left w:val="none" w:sz="0" w:space="0" w:color="auto"/>
        <w:bottom w:val="none" w:sz="0" w:space="0" w:color="auto"/>
        <w:right w:val="none" w:sz="0" w:space="0" w:color="auto"/>
      </w:divBdr>
    </w:div>
    <w:div w:id="236670692">
      <w:bodyDiv w:val="1"/>
      <w:marLeft w:val="0"/>
      <w:marRight w:val="0"/>
      <w:marTop w:val="0"/>
      <w:marBottom w:val="0"/>
      <w:divBdr>
        <w:top w:val="none" w:sz="0" w:space="0" w:color="auto"/>
        <w:left w:val="none" w:sz="0" w:space="0" w:color="auto"/>
        <w:bottom w:val="none" w:sz="0" w:space="0" w:color="auto"/>
        <w:right w:val="none" w:sz="0" w:space="0" w:color="auto"/>
      </w:divBdr>
    </w:div>
    <w:div w:id="313066275">
      <w:bodyDiv w:val="1"/>
      <w:marLeft w:val="0"/>
      <w:marRight w:val="0"/>
      <w:marTop w:val="0"/>
      <w:marBottom w:val="0"/>
      <w:divBdr>
        <w:top w:val="none" w:sz="0" w:space="0" w:color="auto"/>
        <w:left w:val="none" w:sz="0" w:space="0" w:color="auto"/>
        <w:bottom w:val="none" w:sz="0" w:space="0" w:color="auto"/>
        <w:right w:val="none" w:sz="0" w:space="0" w:color="auto"/>
      </w:divBdr>
    </w:div>
    <w:div w:id="321811600">
      <w:bodyDiv w:val="1"/>
      <w:marLeft w:val="0"/>
      <w:marRight w:val="0"/>
      <w:marTop w:val="0"/>
      <w:marBottom w:val="0"/>
      <w:divBdr>
        <w:top w:val="none" w:sz="0" w:space="0" w:color="auto"/>
        <w:left w:val="none" w:sz="0" w:space="0" w:color="auto"/>
        <w:bottom w:val="none" w:sz="0" w:space="0" w:color="auto"/>
        <w:right w:val="none" w:sz="0" w:space="0" w:color="auto"/>
      </w:divBdr>
    </w:div>
    <w:div w:id="373771369">
      <w:bodyDiv w:val="1"/>
      <w:marLeft w:val="0"/>
      <w:marRight w:val="0"/>
      <w:marTop w:val="0"/>
      <w:marBottom w:val="0"/>
      <w:divBdr>
        <w:top w:val="none" w:sz="0" w:space="0" w:color="auto"/>
        <w:left w:val="none" w:sz="0" w:space="0" w:color="auto"/>
        <w:bottom w:val="none" w:sz="0" w:space="0" w:color="auto"/>
        <w:right w:val="none" w:sz="0" w:space="0" w:color="auto"/>
      </w:divBdr>
    </w:div>
    <w:div w:id="407306753">
      <w:bodyDiv w:val="1"/>
      <w:marLeft w:val="0"/>
      <w:marRight w:val="0"/>
      <w:marTop w:val="0"/>
      <w:marBottom w:val="0"/>
      <w:divBdr>
        <w:top w:val="none" w:sz="0" w:space="0" w:color="auto"/>
        <w:left w:val="none" w:sz="0" w:space="0" w:color="auto"/>
        <w:bottom w:val="none" w:sz="0" w:space="0" w:color="auto"/>
        <w:right w:val="none" w:sz="0" w:space="0" w:color="auto"/>
      </w:divBdr>
    </w:div>
    <w:div w:id="409816122">
      <w:bodyDiv w:val="1"/>
      <w:marLeft w:val="0"/>
      <w:marRight w:val="0"/>
      <w:marTop w:val="0"/>
      <w:marBottom w:val="0"/>
      <w:divBdr>
        <w:top w:val="none" w:sz="0" w:space="0" w:color="auto"/>
        <w:left w:val="none" w:sz="0" w:space="0" w:color="auto"/>
        <w:bottom w:val="none" w:sz="0" w:space="0" w:color="auto"/>
        <w:right w:val="none" w:sz="0" w:space="0" w:color="auto"/>
      </w:divBdr>
    </w:div>
    <w:div w:id="421680379">
      <w:bodyDiv w:val="1"/>
      <w:marLeft w:val="0"/>
      <w:marRight w:val="0"/>
      <w:marTop w:val="0"/>
      <w:marBottom w:val="0"/>
      <w:divBdr>
        <w:top w:val="none" w:sz="0" w:space="0" w:color="auto"/>
        <w:left w:val="none" w:sz="0" w:space="0" w:color="auto"/>
        <w:bottom w:val="none" w:sz="0" w:space="0" w:color="auto"/>
        <w:right w:val="none" w:sz="0" w:space="0" w:color="auto"/>
      </w:divBdr>
    </w:div>
    <w:div w:id="433550190">
      <w:bodyDiv w:val="1"/>
      <w:marLeft w:val="0"/>
      <w:marRight w:val="0"/>
      <w:marTop w:val="0"/>
      <w:marBottom w:val="0"/>
      <w:divBdr>
        <w:top w:val="none" w:sz="0" w:space="0" w:color="auto"/>
        <w:left w:val="none" w:sz="0" w:space="0" w:color="auto"/>
        <w:bottom w:val="none" w:sz="0" w:space="0" w:color="auto"/>
        <w:right w:val="none" w:sz="0" w:space="0" w:color="auto"/>
      </w:divBdr>
    </w:div>
    <w:div w:id="529995789">
      <w:bodyDiv w:val="1"/>
      <w:marLeft w:val="0"/>
      <w:marRight w:val="0"/>
      <w:marTop w:val="0"/>
      <w:marBottom w:val="0"/>
      <w:divBdr>
        <w:top w:val="none" w:sz="0" w:space="0" w:color="auto"/>
        <w:left w:val="none" w:sz="0" w:space="0" w:color="auto"/>
        <w:bottom w:val="none" w:sz="0" w:space="0" w:color="auto"/>
        <w:right w:val="none" w:sz="0" w:space="0" w:color="auto"/>
      </w:divBdr>
    </w:div>
    <w:div w:id="536968227">
      <w:bodyDiv w:val="1"/>
      <w:marLeft w:val="0"/>
      <w:marRight w:val="0"/>
      <w:marTop w:val="0"/>
      <w:marBottom w:val="0"/>
      <w:divBdr>
        <w:top w:val="none" w:sz="0" w:space="0" w:color="auto"/>
        <w:left w:val="none" w:sz="0" w:space="0" w:color="auto"/>
        <w:bottom w:val="none" w:sz="0" w:space="0" w:color="auto"/>
        <w:right w:val="none" w:sz="0" w:space="0" w:color="auto"/>
      </w:divBdr>
    </w:div>
    <w:div w:id="563102546">
      <w:bodyDiv w:val="1"/>
      <w:marLeft w:val="0"/>
      <w:marRight w:val="0"/>
      <w:marTop w:val="0"/>
      <w:marBottom w:val="0"/>
      <w:divBdr>
        <w:top w:val="none" w:sz="0" w:space="0" w:color="auto"/>
        <w:left w:val="none" w:sz="0" w:space="0" w:color="auto"/>
        <w:bottom w:val="none" w:sz="0" w:space="0" w:color="auto"/>
        <w:right w:val="none" w:sz="0" w:space="0" w:color="auto"/>
      </w:divBdr>
    </w:div>
    <w:div w:id="606080590">
      <w:bodyDiv w:val="1"/>
      <w:marLeft w:val="0"/>
      <w:marRight w:val="0"/>
      <w:marTop w:val="0"/>
      <w:marBottom w:val="0"/>
      <w:divBdr>
        <w:top w:val="none" w:sz="0" w:space="0" w:color="auto"/>
        <w:left w:val="none" w:sz="0" w:space="0" w:color="auto"/>
        <w:bottom w:val="none" w:sz="0" w:space="0" w:color="auto"/>
        <w:right w:val="none" w:sz="0" w:space="0" w:color="auto"/>
      </w:divBdr>
    </w:div>
    <w:div w:id="613250252">
      <w:bodyDiv w:val="1"/>
      <w:marLeft w:val="0"/>
      <w:marRight w:val="0"/>
      <w:marTop w:val="0"/>
      <w:marBottom w:val="0"/>
      <w:divBdr>
        <w:top w:val="none" w:sz="0" w:space="0" w:color="auto"/>
        <w:left w:val="none" w:sz="0" w:space="0" w:color="auto"/>
        <w:bottom w:val="none" w:sz="0" w:space="0" w:color="auto"/>
        <w:right w:val="none" w:sz="0" w:space="0" w:color="auto"/>
      </w:divBdr>
    </w:div>
    <w:div w:id="653142007">
      <w:bodyDiv w:val="1"/>
      <w:marLeft w:val="0"/>
      <w:marRight w:val="0"/>
      <w:marTop w:val="0"/>
      <w:marBottom w:val="0"/>
      <w:divBdr>
        <w:top w:val="none" w:sz="0" w:space="0" w:color="auto"/>
        <w:left w:val="none" w:sz="0" w:space="0" w:color="auto"/>
        <w:bottom w:val="none" w:sz="0" w:space="0" w:color="auto"/>
        <w:right w:val="none" w:sz="0" w:space="0" w:color="auto"/>
      </w:divBdr>
    </w:div>
    <w:div w:id="663821424">
      <w:bodyDiv w:val="1"/>
      <w:marLeft w:val="0"/>
      <w:marRight w:val="0"/>
      <w:marTop w:val="0"/>
      <w:marBottom w:val="0"/>
      <w:divBdr>
        <w:top w:val="none" w:sz="0" w:space="0" w:color="auto"/>
        <w:left w:val="none" w:sz="0" w:space="0" w:color="auto"/>
        <w:bottom w:val="none" w:sz="0" w:space="0" w:color="auto"/>
        <w:right w:val="none" w:sz="0" w:space="0" w:color="auto"/>
      </w:divBdr>
    </w:div>
    <w:div w:id="705716523">
      <w:bodyDiv w:val="1"/>
      <w:marLeft w:val="0"/>
      <w:marRight w:val="0"/>
      <w:marTop w:val="0"/>
      <w:marBottom w:val="0"/>
      <w:divBdr>
        <w:top w:val="none" w:sz="0" w:space="0" w:color="auto"/>
        <w:left w:val="none" w:sz="0" w:space="0" w:color="auto"/>
        <w:bottom w:val="none" w:sz="0" w:space="0" w:color="auto"/>
        <w:right w:val="none" w:sz="0" w:space="0" w:color="auto"/>
      </w:divBdr>
    </w:div>
    <w:div w:id="709497593">
      <w:bodyDiv w:val="1"/>
      <w:marLeft w:val="0"/>
      <w:marRight w:val="0"/>
      <w:marTop w:val="0"/>
      <w:marBottom w:val="0"/>
      <w:divBdr>
        <w:top w:val="none" w:sz="0" w:space="0" w:color="auto"/>
        <w:left w:val="none" w:sz="0" w:space="0" w:color="auto"/>
        <w:bottom w:val="none" w:sz="0" w:space="0" w:color="auto"/>
        <w:right w:val="none" w:sz="0" w:space="0" w:color="auto"/>
      </w:divBdr>
    </w:div>
    <w:div w:id="713577369">
      <w:bodyDiv w:val="1"/>
      <w:marLeft w:val="0"/>
      <w:marRight w:val="0"/>
      <w:marTop w:val="0"/>
      <w:marBottom w:val="0"/>
      <w:divBdr>
        <w:top w:val="none" w:sz="0" w:space="0" w:color="auto"/>
        <w:left w:val="none" w:sz="0" w:space="0" w:color="auto"/>
        <w:bottom w:val="none" w:sz="0" w:space="0" w:color="auto"/>
        <w:right w:val="none" w:sz="0" w:space="0" w:color="auto"/>
      </w:divBdr>
    </w:div>
    <w:div w:id="750665610">
      <w:bodyDiv w:val="1"/>
      <w:marLeft w:val="0"/>
      <w:marRight w:val="0"/>
      <w:marTop w:val="0"/>
      <w:marBottom w:val="0"/>
      <w:divBdr>
        <w:top w:val="none" w:sz="0" w:space="0" w:color="auto"/>
        <w:left w:val="none" w:sz="0" w:space="0" w:color="auto"/>
        <w:bottom w:val="none" w:sz="0" w:space="0" w:color="auto"/>
        <w:right w:val="none" w:sz="0" w:space="0" w:color="auto"/>
      </w:divBdr>
    </w:div>
    <w:div w:id="769661828">
      <w:bodyDiv w:val="1"/>
      <w:marLeft w:val="0"/>
      <w:marRight w:val="0"/>
      <w:marTop w:val="0"/>
      <w:marBottom w:val="0"/>
      <w:divBdr>
        <w:top w:val="none" w:sz="0" w:space="0" w:color="auto"/>
        <w:left w:val="none" w:sz="0" w:space="0" w:color="auto"/>
        <w:bottom w:val="none" w:sz="0" w:space="0" w:color="auto"/>
        <w:right w:val="none" w:sz="0" w:space="0" w:color="auto"/>
      </w:divBdr>
    </w:div>
    <w:div w:id="774598047">
      <w:bodyDiv w:val="1"/>
      <w:marLeft w:val="0"/>
      <w:marRight w:val="0"/>
      <w:marTop w:val="0"/>
      <w:marBottom w:val="0"/>
      <w:divBdr>
        <w:top w:val="none" w:sz="0" w:space="0" w:color="auto"/>
        <w:left w:val="none" w:sz="0" w:space="0" w:color="auto"/>
        <w:bottom w:val="none" w:sz="0" w:space="0" w:color="auto"/>
        <w:right w:val="none" w:sz="0" w:space="0" w:color="auto"/>
      </w:divBdr>
    </w:div>
    <w:div w:id="778137509">
      <w:bodyDiv w:val="1"/>
      <w:marLeft w:val="0"/>
      <w:marRight w:val="0"/>
      <w:marTop w:val="0"/>
      <w:marBottom w:val="0"/>
      <w:divBdr>
        <w:top w:val="none" w:sz="0" w:space="0" w:color="auto"/>
        <w:left w:val="none" w:sz="0" w:space="0" w:color="auto"/>
        <w:bottom w:val="none" w:sz="0" w:space="0" w:color="auto"/>
        <w:right w:val="none" w:sz="0" w:space="0" w:color="auto"/>
      </w:divBdr>
    </w:div>
    <w:div w:id="796607639">
      <w:bodyDiv w:val="1"/>
      <w:marLeft w:val="0"/>
      <w:marRight w:val="0"/>
      <w:marTop w:val="0"/>
      <w:marBottom w:val="0"/>
      <w:divBdr>
        <w:top w:val="none" w:sz="0" w:space="0" w:color="auto"/>
        <w:left w:val="none" w:sz="0" w:space="0" w:color="auto"/>
        <w:bottom w:val="none" w:sz="0" w:space="0" w:color="auto"/>
        <w:right w:val="none" w:sz="0" w:space="0" w:color="auto"/>
      </w:divBdr>
    </w:div>
    <w:div w:id="863902860">
      <w:bodyDiv w:val="1"/>
      <w:marLeft w:val="0"/>
      <w:marRight w:val="0"/>
      <w:marTop w:val="0"/>
      <w:marBottom w:val="0"/>
      <w:divBdr>
        <w:top w:val="none" w:sz="0" w:space="0" w:color="auto"/>
        <w:left w:val="none" w:sz="0" w:space="0" w:color="auto"/>
        <w:bottom w:val="none" w:sz="0" w:space="0" w:color="auto"/>
        <w:right w:val="none" w:sz="0" w:space="0" w:color="auto"/>
      </w:divBdr>
    </w:div>
    <w:div w:id="873927273">
      <w:bodyDiv w:val="1"/>
      <w:marLeft w:val="0"/>
      <w:marRight w:val="0"/>
      <w:marTop w:val="0"/>
      <w:marBottom w:val="0"/>
      <w:divBdr>
        <w:top w:val="none" w:sz="0" w:space="0" w:color="auto"/>
        <w:left w:val="none" w:sz="0" w:space="0" w:color="auto"/>
        <w:bottom w:val="none" w:sz="0" w:space="0" w:color="auto"/>
        <w:right w:val="none" w:sz="0" w:space="0" w:color="auto"/>
      </w:divBdr>
    </w:div>
    <w:div w:id="874539457">
      <w:bodyDiv w:val="1"/>
      <w:marLeft w:val="0"/>
      <w:marRight w:val="0"/>
      <w:marTop w:val="0"/>
      <w:marBottom w:val="0"/>
      <w:divBdr>
        <w:top w:val="none" w:sz="0" w:space="0" w:color="auto"/>
        <w:left w:val="none" w:sz="0" w:space="0" w:color="auto"/>
        <w:bottom w:val="none" w:sz="0" w:space="0" w:color="auto"/>
        <w:right w:val="none" w:sz="0" w:space="0" w:color="auto"/>
      </w:divBdr>
    </w:div>
    <w:div w:id="879442591">
      <w:bodyDiv w:val="1"/>
      <w:marLeft w:val="0"/>
      <w:marRight w:val="0"/>
      <w:marTop w:val="0"/>
      <w:marBottom w:val="0"/>
      <w:divBdr>
        <w:top w:val="none" w:sz="0" w:space="0" w:color="auto"/>
        <w:left w:val="none" w:sz="0" w:space="0" w:color="auto"/>
        <w:bottom w:val="none" w:sz="0" w:space="0" w:color="auto"/>
        <w:right w:val="none" w:sz="0" w:space="0" w:color="auto"/>
      </w:divBdr>
    </w:div>
    <w:div w:id="944531404">
      <w:bodyDiv w:val="1"/>
      <w:marLeft w:val="0"/>
      <w:marRight w:val="0"/>
      <w:marTop w:val="0"/>
      <w:marBottom w:val="0"/>
      <w:divBdr>
        <w:top w:val="none" w:sz="0" w:space="0" w:color="auto"/>
        <w:left w:val="none" w:sz="0" w:space="0" w:color="auto"/>
        <w:bottom w:val="none" w:sz="0" w:space="0" w:color="auto"/>
        <w:right w:val="none" w:sz="0" w:space="0" w:color="auto"/>
      </w:divBdr>
    </w:div>
    <w:div w:id="982078354">
      <w:bodyDiv w:val="1"/>
      <w:marLeft w:val="0"/>
      <w:marRight w:val="0"/>
      <w:marTop w:val="0"/>
      <w:marBottom w:val="0"/>
      <w:divBdr>
        <w:top w:val="none" w:sz="0" w:space="0" w:color="auto"/>
        <w:left w:val="none" w:sz="0" w:space="0" w:color="auto"/>
        <w:bottom w:val="none" w:sz="0" w:space="0" w:color="auto"/>
        <w:right w:val="none" w:sz="0" w:space="0" w:color="auto"/>
      </w:divBdr>
    </w:div>
    <w:div w:id="1016493502">
      <w:bodyDiv w:val="1"/>
      <w:marLeft w:val="0"/>
      <w:marRight w:val="0"/>
      <w:marTop w:val="0"/>
      <w:marBottom w:val="0"/>
      <w:divBdr>
        <w:top w:val="none" w:sz="0" w:space="0" w:color="auto"/>
        <w:left w:val="none" w:sz="0" w:space="0" w:color="auto"/>
        <w:bottom w:val="none" w:sz="0" w:space="0" w:color="auto"/>
        <w:right w:val="none" w:sz="0" w:space="0" w:color="auto"/>
      </w:divBdr>
    </w:div>
    <w:div w:id="1025981331">
      <w:bodyDiv w:val="1"/>
      <w:marLeft w:val="0"/>
      <w:marRight w:val="0"/>
      <w:marTop w:val="0"/>
      <w:marBottom w:val="0"/>
      <w:divBdr>
        <w:top w:val="none" w:sz="0" w:space="0" w:color="auto"/>
        <w:left w:val="none" w:sz="0" w:space="0" w:color="auto"/>
        <w:bottom w:val="none" w:sz="0" w:space="0" w:color="auto"/>
        <w:right w:val="none" w:sz="0" w:space="0" w:color="auto"/>
      </w:divBdr>
    </w:div>
    <w:div w:id="1035233144">
      <w:bodyDiv w:val="1"/>
      <w:marLeft w:val="0"/>
      <w:marRight w:val="0"/>
      <w:marTop w:val="0"/>
      <w:marBottom w:val="0"/>
      <w:divBdr>
        <w:top w:val="none" w:sz="0" w:space="0" w:color="auto"/>
        <w:left w:val="none" w:sz="0" w:space="0" w:color="auto"/>
        <w:bottom w:val="none" w:sz="0" w:space="0" w:color="auto"/>
        <w:right w:val="none" w:sz="0" w:space="0" w:color="auto"/>
      </w:divBdr>
    </w:div>
    <w:div w:id="1053385509">
      <w:bodyDiv w:val="1"/>
      <w:marLeft w:val="0"/>
      <w:marRight w:val="0"/>
      <w:marTop w:val="0"/>
      <w:marBottom w:val="0"/>
      <w:divBdr>
        <w:top w:val="none" w:sz="0" w:space="0" w:color="auto"/>
        <w:left w:val="none" w:sz="0" w:space="0" w:color="auto"/>
        <w:bottom w:val="none" w:sz="0" w:space="0" w:color="auto"/>
        <w:right w:val="none" w:sz="0" w:space="0" w:color="auto"/>
      </w:divBdr>
    </w:div>
    <w:div w:id="1062021319">
      <w:bodyDiv w:val="1"/>
      <w:marLeft w:val="0"/>
      <w:marRight w:val="0"/>
      <w:marTop w:val="0"/>
      <w:marBottom w:val="0"/>
      <w:divBdr>
        <w:top w:val="none" w:sz="0" w:space="0" w:color="auto"/>
        <w:left w:val="none" w:sz="0" w:space="0" w:color="auto"/>
        <w:bottom w:val="none" w:sz="0" w:space="0" w:color="auto"/>
        <w:right w:val="none" w:sz="0" w:space="0" w:color="auto"/>
      </w:divBdr>
    </w:div>
    <w:div w:id="1079910869">
      <w:bodyDiv w:val="1"/>
      <w:marLeft w:val="0"/>
      <w:marRight w:val="0"/>
      <w:marTop w:val="0"/>
      <w:marBottom w:val="0"/>
      <w:divBdr>
        <w:top w:val="none" w:sz="0" w:space="0" w:color="auto"/>
        <w:left w:val="none" w:sz="0" w:space="0" w:color="auto"/>
        <w:bottom w:val="none" w:sz="0" w:space="0" w:color="auto"/>
        <w:right w:val="none" w:sz="0" w:space="0" w:color="auto"/>
      </w:divBdr>
    </w:div>
    <w:div w:id="1090545222">
      <w:bodyDiv w:val="1"/>
      <w:marLeft w:val="0"/>
      <w:marRight w:val="0"/>
      <w:marTop w:val="0"/>
      <w:marBottom w:val="0"/>
      <w:divBdr>
        <w:top w:val="none" w:sz="0" w:space="0" w:color="auto"/>
        <w:left w:val="none" w:sz="0" w:space="0" w:color="auto"/>
        <w:bottom w:val="none" w:sz="0" w:space="0" w:color="auto"/>
        <w:right w:val="none" w:sz="0" w:space="0" w:color="auto"/>
      </w:divBdr>
    </w:div>
    <w:div w:id="1105732230">
      <w:bodyDiv w:val="1"/>
      <w:marLeft w:val="0"/>
      <w:marRight w:val="0"/>
      <w:marTop w:val="0"/>
      <w:marBottom w:val="0"/>
      <w:divBdr>
        <w:top w:val="none" w:sz="0" w:space="0" w:color="auto"/>
        <w:left w:val="none" w:sz="0" w:space="0" w:color="auto"/>
        <w:bottom w:val="none" w:sz="0" w:space="0" w:color="auto"/>
        <w:right w:val="none" w:sz="0" w:space="0" w:color="auto"/>
      </w:divBdr>
    </w:div>
    <w:div w:id="1117141912">
      <w:bodyDiv w:val="1"/>
      <w:marLeft w:val="0"/>
      <w:marRight w:val="0"/>
      <w:marTop w:val="0"/>
      <w:marBottom w:val="0"/>
      <w:divBdr>
        <w:top w:val="none" w:sz="0" w:space="0" w:color="auto"/>
        <w:left w:val="none" w:sz="0" w:space="0" w:color="auto"/>
        <w:bottom w:val="none" w:sz="0" w:space="0" w:color="auto"/>
        <w:right w:val="none" w:sz="0" w:space="0" w:color="auto"/>
      </w:divBdr>
    </w:div>
    <w:div w:id="1156922417">
      <w:bodyDiv w:val="1"/>
      <w:marLeft w:val="0"/>
      <w:marRight w:val="0"/>
      <w:marTop w:val="0"/>
      <w:marBottom w:val="0"/>
      <w:divBdr>
        <w:top w:val="none" w:sz="0" w:space="0" w:color="auto"/>
        <w:left w:val="none" w:sz="0" w:space="0" w:color="auto"/>
        <w:bottom w:val="none" w:sz="0" w:space="0" w:color="auto"/>
        <w:right w:val="none" w:sz="0" w:space="0" w:color="auto"/>
      </w:divBdr>
    </w:div>
    <w:div w:id="1191147386">
      <w:bodyDiv w:val="1"/>
      <w:marLeft w:val="0"/>
      <w:marRight w:val="0"/>
      <w:marTop w:val="0"/>
      <w:marBottom w:val="0"/>
      <w:divBdr>
        <w:top w:val="none" w:sz="0" w:space="0" w:color="auto"/>
        <w:left w:val="none" w:sz="0" w:space="0" w:color="auto"/>
        <w:bottom w:val="none" w:sz="0" w:space="0" w:color="auto"/>
        <w:right w:val="none" w:sz="0" w:space="0" w:color="auto"/>
      </w:divBdr>
    </w:div>
    <w:div w:id="1216502203">
      <w:bodyDiv w:val="1"/>
      <w:marLeft w:val="0"/>
      <w:marRight w:val="0"/>
      <w:marTop w:val="0"/>
      <w:marBottom w:val="0"/>
      <w:divBdr>
        <w:top w:val="none" w:sz="0" w:space="0" w:color="auto"/>
        <w:left w:val="none" w:sz="0" w:space="0" w:color="auto"/>
        <w:bottom w:val="none" w:sz="0" w:space="0" w:color="auto"/>
        <w:right w:val="none" w:sz="0" w:space="0" w:color="auto"/>
      </w:divBdr>
    </w:div>
    <w:div w:id="1269696682">
      <w:bodyDiv w:val="1"/>
      <w:marLeft w:val="0"/>
      <w:marRight w:val="0"/>
      <w:marTop w:val="0"/>
      <w:marBottom w:val="0"/>
      <w:divBdr>
        <w:top w:val="none" w:sz="0" w:space="0" w:color="auto"/>
        <w:left w:val="none" w:sz="0" w:space="0" w:color="auto"/>
        <w:bottom w:val="none" w:sz="0" w:space="0" w:color="auto"/>
        <w:right w:val="none" w:sz="0" w:space="0" w:color="auto"/>
      </w:divBdr>
    </w:div>
    <w:div w:id="1283802457">
      <w:bodyDiv w:val="1"/>
      <w:marLeft w:val="0"/>
      <w:marRight w:val="0"/>
      <w:marTop w:val="0"/>
      <w:marBottom w:val="0"/>
      <w:divBdr>
        <w:top w:val="none" w:sz="0" w:space="0" w:color="auto"/>
        <w:left w:val="none" w:sz="0" w:space="0" w:color="auto"/>
        <w:bottom w:val="none" w:sz="0" w:space="0" w:color="auto"/>
        <w:right w:val="none" w:sz="0" w:space="0" w:color="auto"/>
      </w:divBdr>
    </w:div>
    <w:div w:id="1289043288">
      <w:bodyDiv w:val="1"/>
      <w:marLeft w:val="0"/>
      <w:marRight w:val="0"/>
      <w:marTop w:val="0"/>
      <w:marBottom w:val="0"/>
      <w:divBdr>
        <w:top w:val="none" w:sz="0" w:space="0" w:color="auto"/>
        <w:left w:val="none" w:sz="0" w:space="0" w:color="auto"/>
        <w:bottom w:val="none" w:sz="0" w:space="0" w:color="auto"/>
        <w:right w:val="none" w:sz="0" w:space="0" w:color="auto"/>
      </w:divBdr>
    </w:div>
    <w:div w:id="1299645553">
      <w:bodyDiv w:val="1"/>
      <w:marLeft w:val="0"/>
      <w:marRight w:val="0"/>
      <w:marTop w:val="0"/>
      <w:marBottom w:val="0"/>
      <w:divBdr>
        <w:top w:val="none" w:sz="0" w:space="0" w:color="auto"/>
        <w:left w:val="none" w:sz="0" w:space="0" w:color="auto"/>
        <w:bottom w:val="none" w:sz="0" w:space="0" w:color="auto"/>
        <w:right w:val="none" w:sz="0" w:space="0" w:color="auto"/>
      </w:divBdr>
    </w:div>
    <w:div w:id="1305163431">
      <w:bodyDiv w:val="1"/>
      <w:marLeft w:val="0"/>
      <w:marRight w:val="0"/>
      <w:marTop w:val="0"/>
      <w:marBottom w:val="0"/>
      <w:divBdr>
        <w:top w:val="none" w:sz="0" w:space="0" w:color="auto"/>
        <w:left w:val="none" w:sz="0" w:space="0" w:color="auto"/>
        <w:bottom w:val="none" w:sz="0" w:space="0" w:color="auto"/>
        <w:right w:val="none" w:sz="0" w:space="0" w:color="auto"/>
      </w:divBdr>
    </w:div>
    <w:div w:id="1308122938">
      <w:bodyDiv w:val="1"/>
      <w:marLeft w:val="0"/>
      <w:marRight w:val="0"/>
      <w:marTop w:val="0"/>
      <w:marBottom w:val="0"/>
      <w:divBdr>
        <w:top w:val="none" w:sz="0" w:space="0" w:color="auto"/>
        <w:left w:val="none" w:sz="0" w:space="0" w:color="auto"/>
        <w:bottom w:val="none" w:sz="0" w:space="0" w:color="auto"/>
        <w:right w:val="none" w:sz="0" w:space="0" w:color="auto"/>
      </w:divBdr>
    </w:div>
    <w:div w:id="1363168317">
      <w:bodyDiv w:val="1"/>
      <w:marLeft w:val="0"/>
      <w:marRight w:val="0"/>
      <w:marTop w:val="0"/>
      <w:marBottom w:val="0"/>
      <w:divBdr>
        <w:top w:val="none" w:sz="0" w:space="0" w:color="auto"/>
        <w:left w:val="none" w:sz="0" w:space="0" w:color="auto"/>
        <w:bottom w:val="none" w:sz="0" w:space="0" w:color="auto"/>
        <w:right w:val="none" w:sz="0" w:space="0" w:color="auto"/>
      </w:divBdr>
    </w:div>
    <w:div w:id="1381901210">
      <w:bodyDiv w:val="1"/>
      <w:marLeft w:val="0"/>
      <w:marRight w:val="0"/>
      <w:marTop w:val="0"/>
      <w:marBottom w:val="0"/>
      <w:divBdr>
        <w:top w:val="none" w:sz="0" w:space="0" w:color="auto"/>
        <w:left w:val="none" w:sz="0" w:space="0" w:color="auto"/>
        <w:bottom w:val="none" w:sz="0" w:space="0" w:color="auto"/>
        <w:right w:val="none" w:sz="0" w:space="0" w:color="auto"/>
      </w:divBdr>
    </w:div>
    <w:div w:id="1383408183">
      <w:bodyDiv w:val="1"/>
      <w:marLeft w:val="0"/>
      <w:marRight w:val="0"/>
      <w:marTop w:val="0"/>
      <w:marBottom w:val="0"/>
      <w:divBdr>
        <w:top w:val="none" w:sz="0" w:space="0" w:color="auto"/>
        <w:left w:val="none" w:sz="0" w:space="0" w:color="auto"/>
        <w:bottom w:val="none" w:sz="0" w:space="0" w:color="auto"/>
        <w:right w:val="none" w:sz="0" w:space="0" w:color="auto"/>
      </w:divBdr>
    </w:div>
    <w:div w:id="1393306662">
      <w:bodyDiv w:val="1"/>
      <w:marLeft w:val="0"/>
      <w:marRight w:val="0"/>
      <w:marTop w:val="0"/>
      <w:marBottom w:val="0"/>
      <w:divBdr>
        <w:top w:val="none" w:sz="0" w:space="0" w:color="auto"/>
        <w:left w:val="none" w:sz="0" w:space="0" w:color="auto"/>
        <w:bottom w:val="none" w:sz="0" w:space="0" w:color="auto"/>
        <w:right w:val="none" w:sz="0" w:space="0" w:color="auto"/>
      </w:divBdr>
    </w:div>
    <w:div w:id="1421292661">
      <w:bodyDiv w:val="1"/>
      <w:marLeft w:val="0"/>
      <w:marRight w:val="0"/>
      <w:marTop w:val="0"/>
      <w:marBottom w:val="0"/>
      <w:divBdr>
        <w:top w:val="none" w:sz="0" w:space="0" w:color="auto"/>
        <w:left w:val="none" w:sz="0" w:space="0" w:color="auto"/>
        <w:bottom w:val="none" w:sz="0" w:space="0" w:color="auto"/>
        <w:right w:val="none" w:sz="0" w:space="0" w:color="auto"/>
      </w:divBdr>
    </w:div>
    <w:div w:id="1429816021">
      <w:bodyDiv w:val="1"/>
      <w:marLeft w:val="0"/>
      <w:marRight w:val="0"/>
      <w:marTop w:val="0"/>
      <w:marBottom w:val="0"/>
      <w:divBdr>
        <w:top w:val="none" w:sz="0" w:space="0" w:color="auto"/>
        <w:left w:val="none" w:sz="0" w:space="0" w:color="auto"/>
        <w:bottom w:val="none" w:sz="0" w:space="0" w:color="auto"/>
        <w:right w:val="none" w:sz="0" w:space="0" w:color="auto"/>
      </w:divBdr>
    </w:div>
    <w:div w:id="1438019776">
      <w:bodyDiv w:val="1"/>
      <w:marLeft w:val="0"/>
      <w:marRight w:val="0"/>
      <w:marTop w:val="0"/>
      <w:marBottom w:val="0"/>
      <w:divBdr>
        <w:top w:val="none" w:sz="0" w:space="0" w:color="auto"/>
        <w:left w:val="none" w:sz="0" w:space="0" w:color="auto"/>
        <w:bottom w:val="none" w:sz="0" w:space="0" w:color="auto"/>
        <w:right w:val="none" w:sz="0" w:space="0" w:color="auto"/>
      </w:divBdr>
    </w:div>
    <w:div w:id="1447657111">
      <w:bodyDiv w:val="1"/>
      <w:marLeft w:val="0"/>
      <w:marRight w:val="0"/>
      <w:marTop w:val="0"/>
      <w:marBottom w:val="0"/>
      <w:divBdr>
        <w:top w:val="none" w:sz="0" w:space="0" w:color="auto"/>
        <w:left w:val="none" w:sz="0" w:space="0" w:color="auto"/>
        <w:bottom w:val="none" w:sz="0" w:space="0" w:color="auto"/>
        <w:right w:val="none" w:sz="0" w:space="0" w:color="auto"/>
      </w:divBdr>
    </w:div>
    <w:div w:id="1463116402">
      <w:bodyDiv w:val="1"/>
      <w:marLeft w:val="0"/>
      <w:marRight w:val="0"/>
      <w:marTop w:val="0"/>
      <w:marBottom w:val="0"/>
      <w:divBdr>
        <w:top w:val="none" w:sz="0" w:space="0" w:color="auto"/>
        <w:left w:val="none" w:sz="0" w:space="0" w:color="auto"/>
        <w:bottom w:val="none" w:sz="0" w:space="0" w:color="auto"/>
        <w:right w:val="none" w:sz="0" w:space="0" w:color="auto"/>
      </w:divBdr>
    </w:div>
    <w:div w:id="1485655792">
      <w:bodyDiv w:val="1"/>
      <w:marLeft w:val="0"/>
      <w:marRight w:val="0"/>
      <w:marTop w:val="0"/>
      <w:marBottom w:val="0"/>
      <w:divBdr>
        <w:top w:val="none" w:sz="0" w:space="0" w:color="auto"/>
        <w:left w:val="none" w:sz="0" w:space="0" w:color="auto"/>
        <w:bottom w:val="none" w:sz="0" w:space="0" w:color="auto"/>
        <w:right w:val="none" w:sz="0" w:space="0" w:color="auto"/>
      </w:divBdr>
    </w:div>
    <w:div w:id="1510218774">
      <w:bodyDiv w:val="1"/>
      <w:marLeft w:val="0"/>
      <w:marRight w:val="0"/>
      <w:marTop w:val="0"/>
      <w:marBottom w:val="0"/>
      <w:divBdr>
        <w:top w:val="none" w:sz="0" w:space="0" w:color="auto"/>
        <w:left w:val="none" w:sz="0" w:space="0" w:color="auto"/>
        <w:bottom w:val="none" w:sz="0" w:space="0" w:color="auto"/>
        <w:right w:val="none" w:sz="0" w:space="0" w:color="auto"/>
      </w:divBdr>
    </w:div>
    <w:div w:id="1518933466">
      <w:bodyDiv w:val="1"/>
      <w:marLeft w:val="0"/>
      <w:marRight w:val="0"/>
      <w:marTop w:val="0"/>
      <w:marBottom w:val="0"/>
      <w:divBdr>
        <w:top w:val="none" w:sz="0" w:space="0" w:color="auto"/>
        <w:left w:val="none" w:sz="0" w:space="0" w:color="auto"/>
        <w:bottom w:val="none" w:sz="0" w:space="0" w:color="auto"/>
        <w:right w:val="none" w:sz="0" w:space="0" w:color="auto"/>
      </w:divBdr>
    </w:div>
    <w:div w:id="1531840668">
      <w:bodyDiv w:val="1"/>
      <w:marLeft w:val="0"/>
      <w:marRight w:val="0"/>
      <w:marTop w:val="0"/>
      <w:marBottom w:val="0"/>
      <w:divBdr>
        <w:top w:val="none" w:sz="0" w:space="0" w:color="auto"/>
        <w:left w:val="none" w:sz="0" w:space="0" w:color="auto"/>
        <w:bottom w:val="none" w:sz="0" w:space="0" w:color="auto"/>
        <w:right w:val="none" w:sz="0" w:space="0" w:color="auto"/>
      </w:divBdr>
    </w:div>
    <w:div w:id="1544638196">
      <w:bodyDiv w:val="1"/>
      <w:marLeft w:val="0"/>
      <w:marRight w:val="0"/>
      <w:marTop w:val="0"/>
      <w:marBottom w:val="0"/>
      <w:divBdr>
        <w:top w:val="none" w:sz="0" w:space="0" w:color="auto"/>
        <w:left w:val="none" w:sz="0" w:space="0" w:color="auto"/>
        <w:bottom w:val="none" w:sz="0" w:space="0" w:color="auto"/>
        <w:right w:val="none" w:sz="0" w:space="0" w:color="auto"/>
      </w:divBdr>
    </w:div>
    <w:div w:id="1545406725">
      <w:bodyDiv w:val="1"/>
      <w:marLeft w:val="0"/>
      <w:marRight w:val="0"/>
      <w:marTop w:val="0"/>
      <w:marBottom w:val="0"/>
      <w:divBdr>
        <w:top w:val="none" w:sz="0" w:space="0" w:color="auto"/>
        <w:left w:val="none" w:sz="0" w:space="0" w:color="auto"/>
        <w:bottom w:val="none" w:sz="0" w:space="0" w:color="auto"/>
        <w:right w:val="none" w:sz="0" w:space="0" w:color="auto"/>
      </w:divBdr>
    </w:div>
    <w:div w:id="1558859208">
      <w:bodyDiv w:val="1"/>
      <w:marLeft w:val="0"/>
      <w:marRight w:val="0"/>
      <w:marTop w:val="0"/>
      <w:marBottom w:val="0"/>
      <w:divBdr>
        <w:top w:val="none" w:sz="0" w:space="0" w:color="auto"/>
        <w:left w:val="none" w:sz="0" w:space="0" w:color="auto"/>
        <w:bottom w:val="none" w:sz="0" w:space="0" w:color="auto"/>
        <w:right w:val="none" w:sz="0" w:space="0" w:color="auto"/>
      </w:divBdr>
    </w:div>
    <w:div w:id="1580867112">
      <w:bodyDiv w:val="1"/>
      <w:marLeft w:val="0"/>
      <w:marRight w:val="0"/>
      <w:marTop w:val="0"/>
      <w:marBottom w:val="0"/>
      <w:divBdr>
        <w:top w:val="none" w:sz="0" w:space="0" w:color="auto"/>
        <w:left w:val="none" w:sz="0" w:space="0" w:color="auto"/>
        <w:bottom w:val="none" w:sz="0" w:space="0" w:color="auto"/>
        <w:right w:val="none" w:sz="0" w:space="0" w:color="auto"/>
      </w:divBdr>
    </w:div>
    <w:div w:id="1588804366">
      <w:bodyDiv w:val="1"/>
      <w:marLeft w:val="0"/>
      <w:marRight w:val="0"/>
      <w:marTop w:val="0"/>
      <w:marBottom w:val="0"/>
      <w:divBdr>
        <w:top w:val="none" w:sz="0" w:space="0" w:color="auto"/>
        <w:left w:val="none" w:sz="0" w:space="0" w:color="auto"/>
        <w:bottom w:val="none" w:sz="0" w:space="0" w:color="auto"/>
        <w:right w:val="none" w:sz="0" w:space="0" w:color="auto"/>
      </w:divBdr>
    </w:div>
    <w:div w:id="1611737636">
      <w:bodyDiv w:val="1"/>
      <w:marLeft w:val="0"/>
      <w:marRight w:val="0"/>
      <w:marTop w:val="0"/>
      <w:marBottom w:val="0"/>
      <w:divBdr>
        <w:top w:val="none" w:sz="0" w:space="0" w:color="auto"/>
        <w:left w:val="none" w:sz="0" w:space="0" w:color="auto"/>
        <w:bottom w:val="none" w:sz="0" w:space="0" w:color="auto"/>
        <w:right w:val="none" w:sz="0" w:space="0" w:color="auto"/>
      </w:divBdr>
    </w:div>
    <w:div w:id="1612974485">
      <w:bodyDiv w:val="1"/>
      <w:marLeft w:val="0"/>
      <w:marRight w:val="0"/>
      <w:marTop w:val="0"/>
      <w:marBottom w:val="0"/>
      <w:divBdr>
        <w:top w:val="none" w:sz="0" w:space="0" w:color="auto"/>
        <w:left w:val="none" w:sz="0" w:space="0" w:color="auto"/>
        <w:bottom w:val="none" w:sz="0" w:space="0" w:color="auto"/>
        <w:right w:val="none" w:sz="0" w:space="0" w:color="auto"/>
      </w:divBdr>
    </w:div>
    <w:div w:id="1619679859">
      <w:bodyDiv w:val="1"/>
      <w:marLeft w:val="0"/>
      <w:marRight w:val="0"/>
      <w:marTop w:val="0"/>
      <w:marBottom w:val="0"/>
      <w:divBdr>
        <w:top w:val="none" w:sz="0" w:space="0" w:color="auto"/>
        <w:left w:val="none" w:sz="0" w:space="0" w:color="auto"/>
        <w:bottom w:val="none" w:sz="0" w:space="0" w:color="auto"/>
        <w:right w:val="none" w:sz="0" w:space="0" w:color="auto"/>
      </w:divBdr>
    </w:div>
    <w:div w:id="1650935795">
      <w:bodyDiv w:val="1"/>
      <w:marLeft w:val="0"/>
      <w:marRight w:val="0"/>
      <w:marTop w:val="0"/>
      <w:marBottom w:val="0"/>
      <w:divBdr>
        <w:top w:val="none" w:sz="0" w:space="0" w:color="auto"/>
        <w:left w:val="none" w:sz="0" w:space="0" w:color="auto"/>
        <w:bottom w:val="none" w:sz="0" w:space="0" w:color="auto"/>
        <w:right w:val="none" w:sz="0" w:space="0" w:color="auto"/>
      </w:divBdr>
    </w:div>
    <w:div w:id="1654292227">
      <w:bodyDiv w:val="1"/>
      <w:marLeft w:val="0"/>
      <w:marRight w:val="0"/>
      <w:marTop w:val="0"/>
      <w:marBottom w:val="0"/>
      <w:divBdr>
        <w:top w:val="none" w:sz="0" w:space="0" w:color="auto"/>
        <w:left w:val="none" w:sz="0" w:space="0" w:color="auto"/>
        <w:bottom w:val="none" w:sz="0" w:space="0" w:color="auto"/>
        <w:right w:val="none" w:sz="0" w:space="0" w:color="auto"/>
      </w:divBdr>
    </w:div>
    <w:div w:id="1661495807">
      <w:bodyDiv w:val="1"/>
      <w:marLeft w:val="0"/>
      <w:marRight w:val="0"/>
      <w:marTop w:val="0"/>
      <w:marBottom w:val="0"/>
      <w:divBdr>
        <w:top w:val="none" w:sz="0" w:space="0" w:color="auto"/>
        <w:left w:val="none" w:sz="0" w:space="0" w:color="auto"/>
        <w:bottom w:val="none" w:sz="0" w:space="0" w:color="auto"/>
        <w:right w:val="none" w:sz="0" w:space="0" w:color="auto"/>
      </w:divBdr>
    </w:div>
    <w:div w:id="1669094882">
      <w:bodyDiv w:val="1"/>
      <w:marLeft w:val="0"/>
      <w:marRight w:val="0"/>
      <w:marTop w:val="0"/>
      <w:marBottom w:val="0"/>
      <w:divBdr>
        <w:top w:val="none" w:sz="0" w:space="0" w:color="auto"/>
        <w:left w:val="none" w:sz="0" w:space="0" w:color="auto"/>
        <w:bottom w:val="none" w:sz="0" w:space="0" w:color="auto"/>
        <w:right w:val="none" w:sz="0" w:space="0" w:color="auto"/>
      </w:divBdr>
    </w:div>
    <w:div w:id="1681740981">
      <w:bodyDiv w:val="1"/>
      <w:marLeft w:val="0"/>
      <w:marRight w:val="0"/>
      <w:marTop w:val="0"/>
      <w:marBottom w:val="0"/>
      <w:divBdr>
        <w:top w:val="none" w:sz="0" w:space="0" w:color="auto"/>
        <w:left w:val="none" w:sz="0" w:space="0" w:color="auto"/>
        <w:bottom w:val="none" w:sz="0" w:space="0" w:color="auto"/>
        <w:right w:val="none" w:sz="0" w:space="0" w:color="auto"/>
      </w:divBdr>
    </w:div>
    <w:div w:id="1708485164">
      <w:bodyDiv w:val="1"/>
      <w:marLeft w:val="0"/>
      <w:marRight w:val="0"/>
      <w:marTop w:val="0"/>
      <w:marBottom w:val="0"/>
      <w:divBdr>
        <w:top w:val="none" w:sz="0" w:space="0" w:color="auto"/>
        <w:left w:val="none" w:sz="0" w:space="0" w:color="auto"/>
        <w:bottom w:val="none" w:sz="0" w:space="0" w:color="auto"/>
        <w:right w:val="none" w:sz="0" w:space="0" w:color="auto"/>
      </w:divBdr>
    </w:div>
    <w:div w:id="1710379046">
      <w:bodyDiv w:val="1"/>
      <w:marLeft w:val="0"/>
      <w:marRight w:val="0"/>
      <w:marTop w:val="0"/>
      <w:marBottom w:val="0"/>
      <w:divBdr>
        <w:top w:val="none" w:sz="0" w:space="0" w:color="auto"/>
        <w:left w:val="none" w:sz="0" w:space="0" w:color="auto"/>
        <w:bottom w:val="none" w:sz="0" w:space="0" w:color="auto"/>
        <w:right w:val="none" w:sz="0" w:space="0" w:color="auto"/>
      </w:divBdr>
    </w:div>
    <w:div w:id="1718243401">
      <w:bodyDiv w:val="1"/>
      <w:marLeft w:val="0"/>
      <w:marRight w:val="0"/>
      <w:marTop w:val="0"/>
      <w:marBottom w:val="0"/>
      <w:divBdr>
        <w:top w:val="none" w:sz="0" w:space="0" w:color="auto"/>
        <w:left w:val="none" w:sz="0" w:space="0" w:color="auto"/>
        <w:bottom w:val="none" w:sz="0" w:space="0" w:color="auto"/>
        <w:right w:val="none" w:sz="0" w:space="0" w:color="auto"/>
      </w:divBdr>
    </w:div>
    <w:div w:id="1757554419">
      <w:bodyDiv w:val="1"/>
      <w:marLeft w:val="0"/>
      <w:marRight w:val="0"/>
      <w:marTop w:val="0"/>
      <w:marBottom w:val="0"/>
      <w:divBdr>
        <w:top w:val="none" w:sz="0" w:space="0" w:color="auto"/>
        <w:left w:val="none" w:sz="0" w:space="0" w:color="auto"/>
        <w:bottom w:val="none" w:sz="0" w:space="0" w:color="auto"/>
        <w:right w:val="none" w:sz="0" w:space="0" w:color="auto"/>
      </w:divBdr>
    </w:div>
    <w:div w:id="1784881183">
      <w:bodyDiv w:val="1"/>
      <w:marLeft w:val="0"/>
      <w:marRight w:val="0"/>
      <w:marTop w:val="0"/>
      <w:marBottom w:val="0"/>
      <w:divBdr>
        <w:top w:val="none" w:sz="0" w:space="0" w:color="auto"/>
        <w:left w:val="none" w:sz="0" w:space="0" w:color="auto"/>
        <w:bottom w:val="none" w:sz="0" w:space="0" w:color="auto"/>
        <w:right w:val="none" w:sz="0" w:space="0" w:color="auto"/>
      </w:divBdr>
    </w:div>
    <w:div w:id="1788086326">
      <w:bodyDiv w:val="1"/>
      <w:marLeft w:val="0"/>
      <w:marRight w:val="0"/>
      <w:marTop w:val="0"/>
      <w:marBottom w:val="0"/>
      <w:divBdr>
        <w:top w:val="none" w:sz="0" w:space="0" w:color="auto"/>
        <w:left w:val="none" w:sz="0" w:space="0" w:color="auto"/>
        <w:bottom w:val="none" w:sz="0" w:space="0" w:color="auto"/>
        <w:right w:val="none" w:sz="0" w:space="0" w:color="auto"/>
      </w:divBdr>
    </w:div>
    <w:div w:id="1797482746">
      <w:bodyDiv w:val="1"/>
      <w:marLeft w:val="0"/>
      <w:marRight w:val="0"/>
      <w:marTop w:val="0"/>
      <w:marBottom w:val="0"/>
      <w:divBdr>
        <w:top w:val="none" w:sz="0" w:space="0" w:color="auto"/>
        <w:left w:val="none" w:sz="0" w:space="0" w:color="auto"/>
        <w:bottom w:val="none" w:sz="0" w:space="0" w:color="auto"/>
        <w:right w:val="none" w:sz="0" w:space="0" w:color="auto"/>
      </w:divBdr>
    </w:div>
    <w:div w:id="1829243988">
      <w:bodyDiv w:val="1"/>
      <w:marLeft w:val="0"/>
      <w:marRight w:val="0"/>
      <w:marTop w:val="0"/>
      <w:marBottom w:val="0"/>
      <w:divBdr>
        <w:top w:val="none" w:sz="0" w:space="0" w:color="auto"/>
        <w:left w:val="none" w:sz="0" w:space="0" w:color="auto"/>
        <w:bottom w:val="none" w:sz="0" w:space="0" w:color="auto"/>
        <w:right w:val="none" w:sz="0" w:space="0" w:color="auto"/>
      </w:divBdr>
    </w:div>
    <w:div w:id="1852642088">
      <w:bodyDiv w:val="1"/>
      <w:marLeft w:val="0"/>
      <w:marRight w:val="0"/>
      <w:marTop w:val="0"/>
      <w:marBottom w:val="0"/>
      <w:divBdr>
        <w:top w:val="none" w:sz="0" w:space="0" w:color="auto"/>
        <w:left w:val="none" w:sz="0" w:space="0" w:color="auto"/>
        <w:bottom w:val="none" w:sz="0" w:space="0" w:color="auto"/>
        <w:right w:val="none" w:sz="0" w:space="0" w:color="auto"/>
      </w:divBdr>
    </w:div>
    <w:div w:id="1856723629">
      <w:bodyDiv w:val="1"/>
      <w:marLeft w:val="0"/>
      <w:marRight w:val="0"/>
      <w:marTop w:val="0"/>
      <w:marBottom w:val="0"/>
      <w:divBdr>
        <w:top w:val="none" w:sz="0" w:space="0" w:color="auto"/>
        <w:left w:val="none" w:sz="0" w:space="0" w:color="auto"/>
        <w:bottom w:val="none" w:sz="0" w:space="0" w:color="auto"/>
        <w:right w:val="none" w:sz="0" w:space="0" w:color="auto"/>
      </w:divBdr>
    </w:div>
    <w:div w:id="1872450729">
      <w:bodyDiv w:val="1"/>
      <w:marLeft w:val="0"/>
      <w:marRight w:val="0"/>
      <w:marTop w:val="0"/>
      <w:marBottom w:val="0"/>
      <w:divBdr>
        <w:top w:val="none" w:sz="0" w:space="0" w:color="auto"/>
        <w:left w:val="none" w:sz="0" w:space="0" w:color="auto"/>
        <w:bottom w:val="none" w:sz="0" w:space="0" w:color="auto"/>
        <w:right w:val="none" w:sz="0" w:space="0" w:color="auto"/>
      </w:divBdr>
    </w:div>
    <w:div w:id="1929577399">
      <w:bodyDiv w:val="1"/>
      <w:marLeft w:val="0"/>
      <w:marRight w:val="0"/>
      <w:marTop w:val="0"/>
      <w:marBottom w:val="0"/>
      <w:divBdr>
        <w:top w:val="none" w:sz="0" w:space="0" w:color="auto"/>
        <w:left w:val="none" w:sz="0" w:space="0" w:color="auto"/>
        <w:bottom w:val="none" w:sz="0" w:space="0" w:color="auto"/>
        <w:right w:val="none" w:sz="0" w:space="0" w:color="auto"/>
      </w:divBdr>
    </w:div>
    <w:div w:id="1970815207">
      <w:bodyDiv w:val="1"/>
      <w:marLeft w:val="0"/>
      <w:marRight w:val="0"/>
      <w:marTop w:val="0"/>
      <w:marBottom w:val="0"/>
      <w:divBdr>
        <w:top w:val="none" w:sz="0" w:space="0" w:color="auto"/>
        <w:left w:val="none" w:sz="0" w:space="0" w:color="auto"/>
        <w:bottom w:val="none" w:sz="0" w:space="0" w:color="auto"/>
        <w:right w:val="none" w:sz="0" w:space="0" w:color="auto"/>
      </w:divBdr>
    </w:div>
    <w:div w:id="1986158219">
      <w:bodyDiv w:val="1"/>
      <w:marLeft w:val="0"/>
      <w:marRight w:val="0"/>
      <w:marTop w:val="0"/>
      <w:marBottom w:val="0"/>
      <w:divBdr>
        <w:top w:val="none" w:sz="0" w:space="0" w:color="auto"/>
        <w:left w:val="none" w:sz="0" w:space="0" w:color="auto"/>
        <w:bottom w:val="none" w:sz="0" w:space="0" w:color="auto"/>
        <w:right w:val="none" w:sz="0" w:space="0" w:color="auto"/>
      </w:divBdr>
    </w:div>
    <w:div w:id="1989505987">
      <w:bodyDiv w:val="1"/>
      <w:marLeft w:val="0"/>
      <w:marRight w:val="0"/>
      <w:marTop w:val="0"/>
      <w:marBottom w:val="0"/>
      <w:divBdr>
        <w:top w:val="none" w:sz="0" w:space="0" w:color="auto"/>
        <w:left w:val="none" w:sz="0" w:space="0" w:color="auto"/>
        <w:bottom w:val="none" w:sz="0" w:space="0" w:color="auto"/>
        <w:right w:val="none" w:sz="0" w:space="0" w:color="auto"/>
      </w:divBdr>
    </w:div>
    <w:div w:id="2013213266">
      <w:bodyDiv w:val="1"/>
      <w:marLeft w:val="0"/>
      <w:marRight w:val="0"/>
      <w:marTop w:val="0"/>
      <w:marBottom w:val="0"/>
      <w:divBdr>
        <w:top w:val="none" w:sz="0" w:space="0" w:color="auto"/>
        <w:left w:val="none" w:sz="0" w:space="0" w:color="auto"/>
        <w:bottom w:val="none" w:sz="0" w:space="0" w:color="auto"/>
        <w:right w:val="none" w:sz="0" w:space="0" w:color="auto"/>
      </w:divBdr>
    </w:div>
    <w:div w:id="2023436190">
      <w:bodyDiv w:val="1"/>
      <w:marLeft w:val="0"/>
      <w:marRight w:val="0"/>
      <w:marTop w:val="0"/>
      <w:marBottom w:val="0"/>
      <w:divBdr>
        <w:top w:val="none" w:sz="0" w:space="0" w:color="auto"/>
        <w:left w:val="none" w:sz="0" w:space="0" w:color="auto"/>
        <w:bottom w:val="none" w:sz="0" w:space="0" w:color="auto"/>
        <w:right w:val="none" w:sz="0" w:space="0" w:color="auto"/>
      </w:divBdr>
    </w:div>
    <w:div w:id="2055227719">
      <w:bodyDiv w:val="1"/>
      <w:marLeft w:val="0"/>
      <w:marRight w:val="0"/>
      <w:marTop w:val="0"/>
      <w:marBottom w:val="0"/>
      <w:divBdr>
        <w:top w:val="none" w:sz="0" w:space="0" w:color="auto"/>
        <w:left w:val="none" w:sz="0" w:space="0" w:color="auto"/>
        <w:bottom w:val="none" w:sz="0" w:space="0" w:color="auto"/>
        <w:right w:val="none" w:sz="0" w:space="0" w:color="auto"/>
      </w:divBdr>
    </w:div>
    <w:div w:id="2073193440">
      <w:bodyDiv w:val="1"/>
      <w:marLeft w:val="0"/>
      <w:marRight w:val="0"/>
      <w:marTop w:val="0"/>
      <w:marBottom w:val="0"/>
      <w:divBdr>
        <w:top w:val="none" w:sz="0" w:space="0" w:color="auto"/>
        <w:left w:val="none" w:sz="0" w:space="0" w:color="auto"/>
        <w:bottom w:val="none" w:sz="0" w:space="0" w:color="auto"/>
        <w:right w:val="none" w:sz="0" w:space="0" w:color="auto"/>
      </w:divBdr>
    </w:div>
    <w:div w:id="2081167553">
      <w:bodyDiv w:val="1"/>
      <w:marLeft w:val="0"/>
      <w:marRight w:val="0"/>
      <w:marTop w:val="0"/>
      <w:marBottom w:val="0"/>
      <w:divBdr>
        <w:top w:val="none" w:sz="0" w:space="0" w:color="auto"/>
        <w:left w:val="none" w:sz="0" w:space="0" w:color="auto"/>
        <w:bottom w:val="none" w:sz="0" w:space="0" w:color="auto"/>
        <w:right w:val="none" w:sz="0" w:space="0" w:color="auto"/>
      </w:divBdr>
    </w:div>
    <w:div w:id="2124306661">
      <w:bodyDiv w:val="1"/>
      <w:marLeft w:val="0"/>
      <w:marRight w:val="0"/>
      <w:marTop w:val="0"/>
      <w:marBottom w:val="0"/>
      <w:divBdr>
        <w:top w:val="none" w:sz="0" w:space="0" w:color="auto"/>
        <w:left w:val="none" w:sz="0" w:space="0" w:color="auto"/>
        <w:bottom w:val="none" w:sz="0" w:space="0" w:color="auto"/>
        <w:right w:val="none" w:sz="0" w:space="0" w:color="auto"/>
      </w:divBdr>
    </w:div>
    <w:div w:id="2129009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cid:image001.png@01D0EA4A.2BD679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Wyl15</b:Tag>
    <b:SourceType>JournalArticle</b:SourceType>
    <b:Guid>{30C4BE71-8BC0-497C-ADA4-F04E034B2E81}</b:Guid>
    <b:Author>
      <b:Author>
        <b:NameList>
          <b:Person>
            <b:Last>{Wyllie</b:Last>
            <b:First>D</b:First>
            <b:Middle>and Davies, J},</b:Middle>
          </b:Person>
        </b:NameList>
      </b:Author>
    </b:Author>
    <b:Title>{Role of data warehousing in healthcare epidemiology},</b:Title>
    <b:JournalName>{Journal of Hospital Infection},</b:JournalName>
    <b:Year>{2015),</b:Year>
    <b:Pages>{267--270},</b:Pages>
    <b:Volume>(89),</b:Volume>
    <b:Issue>{Elsevier}</b:Issue>
    <b:RefOrder>1</b:RefOrder>
  </b:Source>
  <b:Source>
    <b:Tag>Whi10</b:Tag>
    <b:SourceType>Book</b:SourceType>
    <b:Guid>{6F2C9686-7D10-4A3E-84D3-9904CBB3E8DC}</b:Guid>
    <b:Title>{A Guide to the NHS},</b:Title>
    <b:Year>(2010),</b:Year>
    <b:Author>
      <b:Author>
        <b:NameList>
          <b:Person>
            <b:Last>{White</b:Last>
            <b:First>Tony},</b:First>
          </b:Person>
        </b:NameList>
      </b:Author>
    </b:Author>
    <b:Publisher>{Radcliffe Publishing}</b:Publisher>
    <b:RefOrder>2</b:RefOrder>
  </b:Source>
  <b:Source>
    <b:Tag>Nor20</b:Tag>
    <b:SourceType>Book</b:SourceType>
    <b:Guid>{013D313B-E2BF-45CD-9BCD-8DB325330D93}</b:Guid>
    <b:Author>
      <b:Author>
        <b:NameList>
          <b:Person>
            <b:Last>{Nordeen</b:Last>
            <b:First>Alex},</b:First>
          </b:Person>
        </b:NameList>
      </b:Author>
    </b:Author>
    <b:Title>{Learn Data Warehousing in 24 Hours},</b:Title>
    <b:Year>{2020},</b:Year>
    <b:Publisher>{Guru99}</b:Publisher>
    <b:RefOrder>3</b:RefOrder>
  </b:Source>
  <b:Source>
    <b:Tag>Kak12</b:Tag>
    <b:SourceType>BookSection</b:SourceType>
    <b:Guid>{0AEAE905-91FE-41B9-A27F-AC4E365F66AC}</b:Guid>
    <b:Author>
      <b:Author>
        <b:NameList>
          <b:Person>
            <b:Last>{Kakish</b:Last>
            <b:First>Kamal</b:First>
            <b:Middle>and Kraft, Theresa A},</b:Middle>
          </b:Person>
        </b:NameList>
      </b:Author>
    </b:Author>
    <b:Title>{ETL evolution for real-time data warehousing},</b:Title>
    <b:Year>{2012},</b:Year>
    <b:City>(New Orleans, Louisiana, USA),</b:City>
    <b:Publisher>(Education Special Interest Group of the Association of Information Technology Professionals, AITP)</b:Publisher>
    <b:Pages>{1508},</b:Pages>
    <b:BookTitle>{Proceedings of the Conference on Information Systems Applied Research ISSN},</b:BookTitle>
    <b:RefOrder>4</b:RefOrder>
  </b:Source>
  <b:Source>
    <b:Tag>Ver11</b:Tag>
    <b:SourceType>Book</b:SourceType>
    <b:Guid>{424B4D3B-873B-40AE-9997-5862AB8DDC7D}</b:Guid>
    <b:Author>
      <b:Author>
        <b:NameList>
          <b:Person>
            <b:Last>{Vercellis</b:Last>
            <b:First>Carlo},</b:First>
          </b:Person>
        </b:NameList>
      </b:Author>
    </b:Author>
    <b:Title>{Business intelligence: data mining and optimization for decision making},</b:Title>
    <b:Year>,{2011},</b:Year>
    <b:City>(Chichester, West Sussex, United Kingdom),</b:City>
    <b:Publisher>{John Wiley \&amp; Sons}</b:Publisher>
    <b:RefOrder>5</b:RefOrder>
  </b:Source>
  <b:Source>
    <b:Tag>Rat17</b:Tag>
    <b:SourceType>Book</b:SourceType>
    <b:Guid>{4F6DAD18-5E7B-4E25-BC17-4A000C4C6F27}</b:Guid>
    <b:Author>
      <b:Author>
        <b:NameList>
          <b:Person>
            <b:Last>{Ratzesberger</b:Last>
            <b:First>Oliver</b:First>
            <b:Middle>and Sawhney, Mohanbir},</b:Middle>
          </b:Person>
        </b:NameList>
      </b:Author>
    </b:Author>
    <b:Title>{The sentient enterprise: The evolution of business decision making},</b:Title>
    <b:Year>(2017),</b:Year>
    <b:City>(Hoboken, New Jersey, USA.),</b:City>
    <b:Publisher>{John Wiley \&amp; Sons}</b:Publisher>
    <b:RefOrder>6</b:RefOrder>
  </b:Source>
  <b:Source>
    <b:Tag>Zha231</b:Tag>
    <b:SourceType>JournalArticle</b:SourceType>
    <b:Guid>{53A21269-2454-4F81-A691-48D6B58F5F4B}</b:Guid>
    <b:Title>{Developing scalable management information system with big financial data using data mart and mining architecture},</b:Title>
    <b:Year>(2023),</b:Year>
    <b:Author>
      <b:Author>
        <b:NameList>
          <b:Person>
            <b:Last>{Zhang</b:Last>
            <b:First>Hao</b:First>
            <b:Middle>and Ren, Shenghong and Li, Xiang and Baharin, Hanif and Alghamdi, Abdullah and Alghamdi, OA},</b:Middle>
          </b:Person>
        </b:NameList>
      </b:Author>
    </b:Author>
    <b:JournalName>{Information Processing \&amp; Management},</b:JournalName>
    <b:Pages>{103326},</b:Pages>
    <b:Volume>(60),</b:Volume>
    <b:Issue>{Elsevier}</b:Issue>
    <b:RefOrder>7</b:RefOrder>
  </b:Source>
  <b:Source>
    <b:Tag>DeL23</b:Tag>
    <b:SourceType>BookSection</b:SourceType>
    <b:Guid>{AB7A542E-9B36-4F83-A69E-966F0BF74DBD}</b:Guid>
    <b:Title>{Data Mart and key performance indicators to optimize decisions in a medical service clinic},</b:Title>
    <b:Year>(2023),</b:Year>
    <b:Pages>(1--6),</b:Pages>
    <b:Author>
      <b:Author>
        <b:NameList>
          <b:Person>
            <b:Last>{De-La-Cruz-Vdv</b:Last>
            <b:First>Percy</b:First>
            <b:Middle>and Moquillaza-Henr{\'\i}quez, Santiago and Valeriano-Pe{\~n}a, Miguel and Maquen-Ni{\~n}o, Gisella Luisa Elena and Vega-Huerta, Hugo and Adrianz{\'e}n-Olano, Ivan},</b:Middle>
          </b:Person>
        </b:NameList>
      </b:Author>
    </b:Author>
    <b:BookTitle>{2023 18th Iberian Conference on Information Systems and Technologies (CISTI)},</b:BookTitle>
    <b:City>{Aveiro, Portugal},</b:City>
    <b:Publisher>{IEEE}</b:Publisher>
    <b:RefOrder>8</b:RefOrder>
  </b:Source>
  <b:Source>
    <b:Tag>Kan20</b:Tag>
    <b:SourceType>JournalArticle</b:SourceType>
    <b:Guid>{65266D86-5D51-4192-8583-758FBD4CF798}</b:Guid>
    <b:Title>{NORMALISATION AND DIMENSIONALITY REDUCTION TECHNIQUES TO PREDICT PARKINSON DISEASE USING PPMI DATASETS.},</b:Title>
    <b:Year>{2020},</b:Year>
    <b:Pages>{117--126},</b:Pages>
    <b:Author>
      <b:Author>
        <b:NameList>
          <b:Person>
            <b:Last>{Kanagaraj</b:Last>
            <b:First>S</b:First>
            <b:Middle>and Hema, MS and Gupta, M Nageswara},</b:Middle>
          </b:Person>
        </b:NameList>
      </b:Author>
    </b:Author>
    <b:JournalName>{Oxidation Communications},</b:JournalName>
    <b:Volume>{43},</b:Volume>
    <b:Issue>(1)</b:Issue>
    <b:RefOrder>9</b:RefOrder>
  </b:Source>
  <b:Source>
    <b:Tag>Hof16</b:Tag>
    <b:SourceType>BookSection</b:SourceType>
    <b:Guid>{AB0328D0-8A95-4611-9B34-631E9A17D97D}</b:Guid>
    <b:Title>{Source-specific system identification},</b:Title>
    <b:Year>{2016},</b:Year>
    <b:Pages>{161-165},</b:Pages>
    <b:Author>
      <b:Author>
        <b:NameList>
          <b:Person>
            <b:Last>{Hofmann</b:Last>
            <b:First>Christian</b:First>
            <b:Middle>and Kellermann, Walter},</b:Middle>
          </b:Person>
        </b:NameList>
      </b:Author>
    </b:Author>
    <b:BookTitle>{2016 IEEE International Conference on Acoustics, Speech and Signal Processing (ICASSP)},</b:BookTitle>
    <b:City>{Shanghai, China},</b:City>
    <b:Publisher>{IEEE}</b:Publisher>
    <b:RefOrder>10</b:RefOrder>
  </b:Source>
  <b:Source>
    <b:Tag>Ada12</b:Tag>
    <b:SourceType>Book</b:SourceType>
    <b:Guid>{758C5FBA-CCB9-4808-BBDE-6AFA2A6CA51F}</b:Guid>
    <b:Title>{Mastering data warehouse aggregates: solutions for star schema performance},</b:Title>
    <b:Year>{2012},</b:Year>
    <b:City>{Indianapolis, IN, USA},</b:City>
    <b:Publisher>{John Wiley \&amp; Sons}</b:Publisher>
    <b:Author>
      <b:Author>
        <b:NameList>
          <b:Person>
            <b:Last>{Adamson</b:Last>
            <b:First>Christopher},</b:First>
          </b:Person>
        </b:NameList>
      </b:Author>
    </b:Author>
    <b:RefOrder>11</b:RefOrder>
  </b:Source>
  <b:Source>
    <b:Tag>Ghe01</b:Tag>
    <b:SourceType>JournalArticle</b:SourceType>
    <b:Guid>{0F141B9E-A73B-4BC7-889D-3C4031CC7AAE}</b:Guid>
    <b:Title>{Designing data marts for data warehouses},</b:Title>
    <b:Year>{2001}</b:Year>
    <b:Author>
      <b:Author>
        <b:NameList>
          <b:Person>
            <b:Last>{Ghezzi</b:Last>
            <b:First>Carlo},</b:First>
          </b:Person>
        </b:NameList>
      </b:Author>
    </b:Author>
    <b:JournalName>{ACM Transactions on Software Engineering and Methodology (TOSEM)},</b:JournalName>
    <b:Pages>{452--483},</b:Pages>
    <b:Volume>{10},</b:Volume>
    <b:Issue>{ACM New York, NY, USA}</b:Issue>
    <b:RefOrder>12</b:RefOrder>
  </b:Source>
  <b:Source>
    <b:Tag>Kop11</b:Tag>
    <b:SourceType>JournalArticle</b:SourceType>
    <b:Guid>{B078E675-C85D-4AF6-AEAC-24D630CE702D}</b:Guid>
    <b:Author>
      <b:Author>
        <b:NameList>
          <b:Person>
            <b:Last>{K{\"o}ppen</b:Last>
            <b:First>Veit</b:First>
            <b:Middle>and Br{\"u}ggemann, Bj{\"o}rn and Berendt, Bettina},</b:Middle>
          </b:Person>
        </b:NameList>
      </b:Author>
    </b:Author>
    <b:Title>{Designing data integration: the ETL pattern approach},</b:Title>
    <b:JournalName>{UPGRADE: the European Journal for the Informatics Professional},</b:JournalName>
    <b:Year>{2011},</b:Year>
    <b:Pages>{49--55},</b:Pages>
    <b:Issue>{}</b:Issue>
    <b:RefOrder>15</b:RefOrder>
  </b:Source>
  <b:Source>
    <b:Tag>Mah19</b:Tag>
    <b:SourceType>Book</b:SourceType>
    <b:Guid>{1FB428DE-A0C0-4A4B-A79C-0872D24D09C4}</b:Guid>
    <b:Title>{Data quality: dimensions, measurement, strategy, management, and governance},</b:Title>
    <b:Year>{2019},</b:Year>
    <b:Author>
      <b:Author>
        <b:NameList>
          <b:Person>
            <b:Last>{Mahanti</b:Last>
            <b:First>Rupa},</b:First>
          </b:Person>
        </b:NameList>
      </b:Author>
    </b:Author>
    <b:City>{Milwaukee, WI},</b:City>
    <b:Publisher>{Quality Press}</b:Publisher>
    <b:RefOrder>14</b:RefOrder>
  </b:Source>
  <b:Source>
    <b:Tag>Sim03</b:Tag>
    <b:SourceType>BookSection</b:SourceType>
    <b:Guid>{DB1A863C-ED4B-4E2B-A135-22DACFFF50E2}</b:Guid>
    <b:Title>{Modeling and managing ETL processes.},</b:Title>
    <b:Year>{2003},</b:Year>
    <b:City>{Berlin, Germany},</b:City>
    <b:Publisher>{CEUR-WS.org}</b:Publisher>
    <b:Author>
      <b:Author>
        <b:NameList>
          <b:Person>
            <b:Last>{Simitsis</b:Last>
            <b:First>Alkis},</b:First>
          </b:Person>
        </b:NameList>
      </b:Author>
    </b:Author>
    <b:BookTitle>{VLDB PhD Workshop},</b:BookTitle>
    <b:Pages>{41--50},</b:Pages>
    <b:RefOrder>13</b:RefOrder>
  </b:Source>
</b:Sources>
</file>

<file path=customXml/itemProps1.xml><?xml version="1.0" encoding="utf-8"?>
<ds:datastoreItem xmlns:ds="http://schemas.openxmlformats.org/officeDocument/2006/customXml" ds:itemID="{0EE858D3-C4BB-413D-B063-5291CD34E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391</TotalTime>
  <Pages>14</Pages>
  <Words>3630</Words>
  <Characters>21714</Characters>
  <Application>Microsoft Office Word</Application>
  <DocSecurity>0</DocSecurity>
  <Lines>443</Lines>
  <Paragraphs>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Simret Manna</dc:creator>
  <cp:keywords/>
  <dc:description/>
  <cp:lastModifiedBy>Simret Manna</cp:lastModifiedBy>
  <cp:revision>21</cp:revision>
  <dcterms:created xsi:type="dcterms:W3CDTF">2026-07-06T19:00:00Z</dcterms:created>
  <dcterms:modified xsi:type="dcterms:W3CDTF">2026-07-07T01:44:00Z</dcterms:modified>
</cp:coreProperties>
</file>