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1838F5" w14:textId="77777777" w:rsidR="00BF7D98" w:rsidRDefault="0076209C" w:rsidP="00BF7D98">
      <w:pPr>
        <w:spacing w:after="0" w:line="240" w:lineRule="auto"/>
        <w:jc w:val="center"/>
        <w:rPr>
          <w:i/>
          <w:iCs/>
          <w:sz w:val="28"/>
          <w:szCs w:val="28"/>
          <w:u w:val="single"/>
        </w:rPr>
      </w:pPr>
      <w:r>
        <w:rPr>
          <w:i/>
          <w:iCs/>
          <w:sz w:val="28"/>
          <w:szCs w:val="28"/>
          <w:u w:val="single"/>
        </w:rPr>
        <w:t xml:space="preserve">A Critical </w:t>
      </w:r>
      <w:r w:rsidR="00BF7D98">
        <w:rPr>
          <w:i/>
          <w:iCs/>
          <w:sz w:val="28"/>
          <w:szCs w:val="28"/>
          <w:u w:val="single"/>
        </w:rPr>
        <w:t xml:space="preserve">Appreciation of </w:t>
      </w:r>
    </w:p>
    <w:p w14:paraId="0F38CC66" w14:textId="599543BB" w:rsidR="006042D5" w:rsidRDefault="00BF7D98" w:rsidP="00BF7D98">
      <w:pPr>
        <w:spacing w:after="0" w:line="240" w:lineRule="auto"/>
        <w:jc w:val="center"/>
        <w:rPr>
          <w:i/>
          <w:iCs/>
          <w:sz w:val="28"/>
          <w:szCs w:val="28"/>
          <w:u w:val="single"/>
        </w:rPr>
      </w:pPr>
      <w:r>
        <w:rPr>
          <w:i/>
          <w:iCs/>
          <w:sz w:val="28"/>
          <w:szCs w:val="28"/>
          <w:u w:val="single"/>
        </w:rPr>
        <w:t xml:space="preserve">the </w:t>
      </w:r>
      <w:r w:rsidR="003E64E4">
        <w:rPr>
          <w:i/>
          <w:iCs/>
          <w:sz w:val="28"/>
          <w:szCs w:val="28"/>
          <w:u w:val="single"/>
        </w:rPr>
        <w:t>L</w:t>
      </w:r>
      <w:r>
        <w:rPr>
          <w:i/>
          <w:iCs/>
          <w:sz w:val="28"/>
          <w:szCs w:val="28"/>
          <w:u w:val="single"/>
        </w:rPr>
        <w:t xml:space="preserve">ives of </w:t>
      </w:r>
      <w:r w:rsidR="006042D5" w:rsidRPr="006042D5">
        <w:rPr>
          <w:i/>
          <w:iCs/>
          <w:sz w:val="28"/>
          <w:szCs w:val="28"/>
          <w:u w:val="single"/>
        </w:rPr>
        <w:t xml:space="preserve">St </w:t>
      </w:r>
      <w:proofErr w:type="spellStart"/>
      <w:r w:rsidR="006042D5" w:rsidRPr="006042D5">
        <w:rPr>
          <w:i/>
          <w:iCs/>
          <w:sz w:val="28"/>
          <w:szCs w:val="28"/>
          <w:u w:val="single"/>
        </w:rPr>
        <w:t>Gwenfrewy</w:t>
      </w:r>
      <w:proofErr w:type="spellEnd"/>
    </w:p>
    <w:p w14:paraId="62EB4894" w14:textId="77777777" w:rsidR="00BF7D98" w:rsidRPr="006042D5" w:rsidRDefault="00BF7D98" w:rsidP="00BF7D98">
      <w:pPr>
        <w:spacing w:after="0" w:line="240" w:lineRule="auto"/>
        <w:jc w:val="center"/>
        <w:rPr>
          <w:i/>
          <w:iCs/>
          <w:sz w:val="28"/>
          <w:szCs w:val="28"/>
          <w:u w:val="single"/>
        </w:rPr>
      </w:pPr>
    </w:p>
    <w:p w14:paraId="2FF98153" w14:textId="77777777" w:rsidR="006042D5" w:rsidRDefault="006042D5"/>
    <w:p w14:paraId="6B3C76F3" w14:textId="5080DABA" w:rsidR="00083830" w:rsidRDefault="00083830" w:rsidP="00F77B45">
      <w:pPr>
        <w:spacing w:line="360" w:lineRule="auto"/>
        <w:jc w:val="both"/>
      </w:pPr>
      <w:bookmarkStart w:id="0" w:name="OLE_LINK1"/>
      <w:r>
        <w:t>The Welsh virgin</w:t>
      </w:r>
      <w:r w:rsidR="006C3748">
        <w:t xml:space="preserve"> </w:t>
      </w:r>
      <w:r>
        <w:t xml:space="preserve">martyr </w:t>
      </w:r>
      <w:proofErr w:type="spellStart"/>
      <w:r>
        <w:t>Gwenfrewy</w:t>
      </w:r>
      <w:proofErr w:type="spellEnd"/>
      <w:r w:rsidR="006C3748">
        <w:t xml:space="preserve">, or the anglicised </w:t>
      </w:r>
      <w:proofErr w:type="spellStart"/>
      <w:r w:rsidR="006C3748">
        <w:t>Win</w:t>
      </w:r>
      <w:r w:rsidR="00425CF8">
        <w:t>efride</w:t>
      </w:r>
      <w:proofErr w:type="spellEnd"/>
      <w:r w:rsidR="006C3748">
        <w:t xml:space="preserve">, </w:t>
      </w:r>
      <w:r w:rsidR="00452CD7">
        <w:t xml:space="preserve">is the most documented and widely venerated </w:t>
      </w:r>
      <w:r w:rsidR="00856518">
        <w:t>woman</w:t>
      </w:r>
      <w:r w:rsidR="00452CD7">
        <w:t xml:space="preserve"> saint of Wales.</w:t>
      </w:r>
      <w:r w:rsidR="00A41AEC">
        <w:t xml:space="preserve"> </w:t>
      </w:r>
      <w:r w:rsidR="00C825FF">
        <w:t xml:space="preserve">Her </w:t>
      </w:r>
      <w:r w:rsidR="00C825FF" w:rsidRPr="00D0354F">
        <w:rPr>
          <w:i/>
          <w:iCs/>
        </w:rPr>
        <w:t>floruit</w:t>
      </w:r>
      <w:r w:rsidR="00153D34">
        <w:t xml:space="preserve"> </w:t>
      </w:r>
      <w:r w:rsidR="001E6FF1">
        <w:t xml:space="preserve">is recorded as </w:t>
      </w:r>
      <w:r w:rsidR="00C825FF">
        <w:t>occurring</w:t>
      </w:r>
      <w:r w:rsidR="001E6FF1">
        <w:t xml:space="preserve"> in the 7</w:t>
      </w:r>
      <w:r w:rsidR="001E6FF1" w:rsidRPr="001E6FF1">
        <w:rPr>
          <w:vertAlign w:val="superscript"/>
        </w:rPr>
        <w:t>th</w:t>
      </w:r>
      <w:r w:rsidR="001E6FF1">
        <w:t xml:space="preserve"> century</w:t>
      </w:r>
      <w:r w:rsidR="00153D34">
        <w:t xml:space="preserve">. However, </w:t>
      </w:r>
      <w:r w:rsidR="001E6FF1">
        <w:t>her literary existence emerges in the 12</w:t>
      </w:r>
      <w:r w:rsidR="001E6FF1" w:rsidRPr="001E6FF1">
        <w:rPr>
          <w:vertAlign w:val="superscript"/>
        </w:rPr>
        <w:t>th</w:t>
      </w:r>
      <w:r w:rsidR="00153D34">
        <w:t xml:space="preserve"> </w:t>
      </w:r>
      <w:r w:rsidR="001E6FF1">
        <w:t>century</w:t>
      </w:r>
      <w:r w:rsidR="00153D34">
        <w:t xml:space="preserve">. In this period, </w:t>
      </w:r>
      <w:proofErr w:type="spellStart"/>
      <w:r w:rsidR="001E6FF1">
        <w:t>Gwenfrewy</w:t>
      </w:r>
      <w:proofErr w:type="spellEnd"/>
      <w:r w:rsidR="001E6FF1">
        <w:t xml:space="preserve"> </w:t>
      </w:r>
      <w:r w:rsidR="00425CF8">
        <w:t>is</w:t>
      </w:r>
      <w:r w:rsidR="001E6FF1">
        <w:t xml:space="preserve"> </w:t>
      </w:r>
      <w:r w:rsidR="00964265" w:rsidRPr="00964265">
        <w:t xml:space="preserve">the subject of two extant </w:t>
      </w:r>
      <w:r w:rsidR="00964265" w:rsidRPr="00964265">
        <w:rPr>
          <w:i/>
          <w:iCs/>
        </w:rPr>
        <w:t>vitae</w:t>
      </w:r>
      <w:r w:rsidR="00964265" w:rsidRPr="00964265">
        <w:t> (lives): the anonymous </w:t>
      </w:r>
      <w:r w:rsidR="00964265" w:rsidRPr="00964265">
        <w:rPr>
          <w:i/>
          <w:iCs/>
        </w:rPr>
        <w:t>Vita Sancte Wenefrede </w:t>
      </w:r>
      <w:r w:rsidR="00964265" w:rsidRPr="00964265">
        <w:t>(hereafter </w:t>
      </w:r>
      <w:r w:rsidR="00964265" w:rsidRPr="00964265">
        <w:rPr>
          <w:i/>
          <w:iCs/>
        </w:rPr>
        <w:t>VSW</w:t>
      </w:r>
      <w:r w:rsidR="00964265" w:rsidRPr="00964265">
        <w:t>), as edited and translated by A.W. Wade-Evans</w:t>
      </w:r>
      <w:r w:rsidR="001F1428">
        <w:t>,</w:t>
      </w:r>
      <w:r w:rsidR="00DF55DE">
        <w:rPr>
          <w:rStyle w:val="FootnoteReference"/>
        </w:rPr>
        <w:footnoteReference w:id="1"/>
      </w:r>
      <w:r w:rsidR="00AB5DF1" w:rsidRPr="00C31DC0">
        <w:t xml:space="preserve"> </w:t>
      </w:r>
      <w:r w:rsidR="00AB5DF1">
        <w:t xml:space="preserve">and Prior Robert of Shrewsbury’s </w:t>
      </w:r>
      <w:r w:rsidR="00AB5DF1" w:rsidRPr="00136CD1">
        <w:rPr>
          <w:i/>
          <w:iCs/>
        </w:rPr>
        <w:t xml:space="preserve">Vita et </w:t>
      </w:r>
      <w:proofErr w:type="spellStart"/>
      <w:r w:rsidR="00AB5DF1" w:rsidRPr="00136CD1">
        <w:rPr>
          <w:i/>
          <w:iCs/>
        </w:rPr>
        <w:t>translatio</w:t>
      </w:r>
      <w:proofErr w:type="spellEnd"/>
      <w:r w:rsidR="00AB5DF1" w:rsidRPr="00136CD1">
        <w:rPr>
          <w:i/>
          <w:iCs/>
        </w:rPr>
        <w:t xml:space="preserve"> S. </w:t>
      </w:r>
      <w:proofErr w:type="spellStart"/>
      <w:r w:rsidR="00AB5DF1" w:rsidRPr="00136CD1">
        <w:rPr>
          <w:i/>
          <w:iCs/>
        </w:rPr>
        <w:t>Wenefredae</w:t>
      </w:r>
      <w:proofErr w:type="spellEnd"/>
      <w:r w:rsidR="00DF55DE">
        <w:t>, as translated by H. Feiss and R.E. Pepin.</w:t>
      </w:r>
      <w:r w:rsidR="00DF55DE">
        <w:rPr>
          <w:rStyle w:val="FootnoteReference"/>
        </w:rPr>
        <w:footnoteReference w:id="2"/>
      </w:r>
      <w:r w:rsidR="001357DF">
        <w:t xml:space="preserve"> </w:t>
      </w:r>
      <w:r w:rsidR="00EC4BC5">
        <w:t xml:space="preserve">By </w:t>
      </w:r>
      <w:r w:rsidR="00F77B45">
        <w:t>critically analysing</w:t>
      </w:r>
      <w:r w:rsidR="00EC4BC5">
        <w:t xml:space="preserve"> these two accounts, this essay will demonstrate how the authors used </w:t>
      </w:r>
      <w:proofErr w:type="spellStart"/>
      <w:r w:rsidR="00EC4BC5">
        <w:t>Gwenfrewy</w:t>
      </w:r>
      <w:proofErr w:type="spellEnd"/>
      <w:r w:rsidR="00EC4BC5">
        <w:t xml:space="preserve"> to negotiate political and financial gain</w:t>
      </w:r>
      <w:r w:rsidR="00143867">
        <w:t xml:space="preserve">, </w:t>
      </w:r>
      <w:r w:rsidR="00FC30CC">
        <w:t>specifically</w:t>
      </w:r>
      <w:r w:rsidR="00143867">
        <w:t xml:space="preserve"> by manipulating her agency and materialising her cult through the physical landscape, </w:t>
      </w:r>
      <w:r w:rsidR="00FC30CC">
        <w:t>namely</w:t>
      </w:r>
      <w:r w:rsidR="00143867">
        <w:t xml:space="preserve"> her well, and her relics. </w:t>
      </w:r>
    </w:p>
    <w:p w14:paraId="2F0123E7" w14:textId="77777777" w:rsidR="00083830" w:rsidRDefault="00083830" w:rsidP="00F77B45">
      <w:pPr>
        <w:spacing w:line="360" w:lineRule="auto"/>
        <w:jc w:val="both"/>
      </w:pPr>
    </w:p>
    <w:p w14:paraId="22FECACF" w14:textId="22CA8BD2" w:rsidR="00E2300B" w:rsidRDefault="00CC796E" w:rsidP="00F77B45">
      <w:pPr>
        <w:spacing w:line="360" w:lineRule="auto"/>
        <w:jc w:val="both"/>
      </w:pPr>
      <w:proofErr w:type="spellStart"/>
      <w:r w:rsidRPr="00964265">
        <w:t>Gwenfrewy</w:t>
      </w:r>
      <w:proofErr w:type="spellEnd"/>
      <w:r w:rsidRPr="00964265">
        <w:t xml:space="preserve"> was the only child of </w:t>
      </w:r>
      <w:proofErr w:type="spellStart"/>
      <w:r w:rsidRPr="00964265">
        <w:t>Teuyth</w:t>
      </w:r>
      <w:proofErr w:type="spellEnd"/>
      <w:r w:rsidRPr="00964265">
        <w:t xml:space="preserve">, son of </w:t>
      </w:r>
      <w:proofErr w:type="spellStart"/>
      <w:r w:rsidRPr="00964265">
        <w:t>Eylud</w:t>
      </w:r>
      <w:proofErr w:type="spellEnd"/>
      <w:r w:rsidRPr="00964265">
        <w:t xml:space="preserve">, and </w:t>
      </w:r>
      <w:proofErr w:type="spellStart"/>
      <w:r w:rsidRPr="00964265">
        <w:t>Gwenlo</w:t>
      </w:r>
      <w:proofErr w:type="spellEnd"/>
      <w:r w:rsidRPr="00964265">
        <w:t xml:space="preserve">, daughter of </w:t>
      </w:r>
      <w:proofErr w:type="spellStart"/>
      <w:r w:rsidRPr="00964265">
        <w:t>Bugi</w:t>
      </w:r>
      <w:proofErr w:type="spellEnd"/>
      <w:r w:rsidRPr="00964265">
        <w:t xml:space="preserve">, who was also the father of </w:t>
      </w:r>
      <w:r>
        <w:t xml:space="preserve">Saint </w:t>
      </w:r>
      <w:r w:rsidRPr="00964265">
        <w:t>Beuno</w:t>
      </w:r>
      <w:r>
        <w:t>.</w:t>
      </w:r>
      <w:r>
        <w:rPr>
          <w:rStyle w:val="FootnoteReference"/>
        </w:rPr>
        <w:footnoteReference w:id="3"/>
      </w:r>
      <w:r>
        <w:t xml:space="preserve"> </w:t>
      </w:r>
      <w:r w:rsidR="00B25CA5">
        <w:t>Notably, t</w:t>
      </w:r>
      <w:r w:rsidR="00964265" w:rsidRPr="00964265">
        <w:t xml:space="preserve">he two 12th-century </w:t>
      </w:r>
      <w:r w:rsidR="00964265" w:rsidRPr="00653339">
        <w:rPr>
          <w:i/>
          <w:iCs/>
        </w:rPr>
        <w:t>vitae</w:t>
      </w:r>
      <w:r w:rsidR="00964265" w:rsidRPr="00964265">
        <w:t xml:space="preserve"> offer no information on her birth</w:t>
      </w:r>
      <w:r w:rsidR="00072D3E">
        <w:t xml:space="preserve">. It is not uncommon for such details of female saints to go unreported in the </w:t>
      </w:r>
      <w:r w:rsidR="00072D3E" w:rsidRPr="00072D3E">
        <w:rPr>
          <w:i/>
          <w:iCs/>
        </w:rPr>
        <w:t>vita</w:t>
      </w:r>
      <w:r w:rsidR="00072D3E">
        <w:t xml:space="preserve"> of male saints, as they usually play supporting, minor roles. However, </w:t>
      </w:r>
      <w:r w:rsidR="00B4237E">
        <w:t>it is unusual for such details to remain absent</w:t>
      </w:r>
      <w:r w:rsidR="00D2518B">
        <w:t xml:space="preserve"> in the instance </w:t>
      </w:r>
      <w:r w:rsidR="00CC39D9">
        <w:t>that</w:t>
      </w:r>
      <w:r w:rsidR="00B4237E">
        <w:t xml:space="preserve"> </w:t>
      </w:r>
      <w:proofErr w:type="spellStart"/>
      <w:r w:rsidR="00B4237E">
        <w:t>Gwenfrewy</w:t>
      </w:r>
      <w:proofErr w:type="spellEnd"/>
      <w:r w:rsidR="00B4237E">
        <w:t xml:space="preserve"> </w:t>
      </w:r>
      <w:r w:rsidR="00D2518B">
        <w:t>becomes</w:t>
      </w:r>
      <w:r w:rsidR="00B4237E">
        <w:t xml:space="preserve"> the primary subject of the </w:t>
      </w:r>
      <w:r w:rsidR="00B4237E" w:rsidRPr="00B4237E">
        <w:rPr>
          <w:i/>
          <w:iCs/>
        </w:rPr>
        <w:t>vita</w:t>
      </w:r>
      <w:r w:rsidR="00072D3E">
        <w:t>.</w:t>
      </w:r>
      <w:r w:rsidR="00072D3E">
        <w:rPr>
          <w:rStyle w:val="FootnoteReference"/>
        </w:rPr>
        <w:footnoteReference w:id="4"/>
      </w:r>
      <w:r w:rsidR="00E6519E">
        <w:t xml:space="preserve"> </w:t>
      </w:r>
      <w:r w:rsidR="000C35D1">
        <w:t xml:space="preserve">Fiona Winward theorises that this omission </w:t>
      </w:r>
      <w:r w:rsidR="00DC1B1D">
        <w:t>may be due</w:t>
      </w:r>
      <w:r w:rsidR="000C35D1">
        <w:t xml:space="preserve"> to the possibility </w:t>
      </w:r>
      <w:r w:rsidR="00DC1B1D">
        <w:t xml:space="preserve">that </w:t>
      </w:r>
      <w:proofErr w:type="spellStart"/>
      <w:r w:rsidR="000C35D1">
        <w:t>Gwenfrewy</w:t>
      </w:r>
      <w:proofErr w:type="spellEnd"/>
      <w:r w:rsidR="000C35D1">
        <w:t xml:space="preserve"> originat</w:t>
      </w:r>
      <w:r w:rsidR="00DC1B1D">
        <w:t>ed</w:t>
      </w:r>
      <w:r w:rsidR="000C35D1">
        <w:t xml:space="preserve"> as an “extracted character”</w:t>
      </w:r>
      <w:r w:rsidR="000C35D1">
        <w:rPr>
          <w:rStyle w:val="FootnoteReference"/>
        </w:rPr>
        <w:footnoteReference w:id="5"/>
      </w:r>
      <w:r w:rsidR="000C35D1">
        <w:t xml:space="preserve"> from a lost Latin </w:t>
      </w:r>
      <w:r w:rsidR="000C35D1" w:rsidRPr="000C35D1">
        <w:rPr>
          <w:i/>
          <w:iCs/>
        </w:rPr>
        <w:t>vita</w:t>
      </w:r>
      <w:r w:rsidR="000C35D1">
        <w:t xml:space="preserve"> of her uncle, Saint Beuno. </w:t>
      </w:r>
      <w:r w:rsidR="00B3104D">
        <w:t xml:space="preserve">It is possible that Gwenfrewy’s </w:t>
      </w:r>
      <w:r w:rsidR="00B3104D" w:rsidRPr="00B3104D">
        <w:rPr>
          <w:i/>
          <w:iCs/>
        </w:rPr>
        <w:t>vita</w:t>
      </w:r>
      <w:r w:rsidR="00B3104D">
        <w:t xml:space="preserve"> was inspired by her feature in Saint Beuno’s </w:t>
      </w:r>
      <w:r w:rsidR="00B3104D" w:rsidRPr="00B3104D">
        <w:rPr>
          <w:i/>
          <w:iCs/>
        </w:rPr>
        <w:t>vita</w:t>
      </w:r>
      <w:r w:rsidR="00B3104D">
        <w:t>.</w:t>
      </w:r>
      <w:r w:rsidR="002C567C">
        <w:rPr>
          <w:rStyle w:val="FootnoteReference"/>
        </w:rPr>
        <w:footnoteReference w:id="6"/>
      </w:r>
      <w:r w:rsidR="00E2300B">
        <w:t xml:space="preserve"> This implies that Gwenfrewy’s character exists </w:t>
      </w:r>
      <w:r w:rsidR="007C3333">
        <w:t xml:space="preserve">only as an extension of a male saint, </w:t>
      </w:r>
      <w:r w:rsidR="00D2518B">
        <w:t>and that her</w:t>
      </w:r>
      <w:r w:rsidR="007C3333">
        <w:t xml:space="preserve"> purpose is </w:t>
      </w:r>
      <w:r w:rsidR="00E2300B">
        <w:t xml:space="preserve">solely to fulfil a spiritual or </w:t>
      </w:r>
      <w:r w:rsidR="00E2300B">
        <w:lastRenderedPageBreak/>
        <w:t>narrative role</w:t>
      </w:r>
      <w:r w:rsidR="00C17557">
        <w:t xml:space="preserve"> as a virgin and a martyr. </w:t>
      </w:r>
      <w:r w:rsidR="00273684">
        <w:t xml:space="preserve">This is </w:t>
      </w:r>
      <w:r w:rsidR="004631D5">
        <w:t xml:space="preserve">thus </w:t>
      </w:r>
      <w:r w:rsidR="00273684">
        <w:t>reinforced</w:t>
      </w:r>
      <w:r w:rsidR="004631D5">
        <w:t xml:space="preserve"> when we consider </w:t>
      </w:r>
      <w:proofErr w:type="spellStart"/>
      <w:r w:rsidR="00A372D8">
        <w:t>Gwenfrewy</w:t>
      </w:r>
      <w:proofErr w:type="spellEnd"/>
      <w:r w:rsidR="00A372D8">
        <w:t xml:space="preserve"> as</w:t>
      </w:r>
      <w:r w:rsidR="00840AE7">
        <w:t xml:space="preserve"> following the narrative construct of the medieval hagiographical virgin “genre</w:t>
      </w:r>
      <w:r w:rsidR="00E15239">
        <w:t>”.</w:t>
      </w:r>
      <w:r w:rsidR="00840AE7">
        <w:rPr>
          <w:rStyle w:val="FootnoteReference"/>
        </w:rPr>
        <w:footnoteReference w:id="7"/>
      </w:r>
      <w:r w:rsidR="00B245D7">
        <w:t xml:space="preserve"> In this context, </w:t>
      </w:r>
      <w:proofErr w:type="spellStart"/>
      <w:r w:rsidR="00B245D7">
        <w:t>Gwenfrewy</w:t>
      </w:r>
      <w:proofErr w:type="spellEnd"/>
      <w:r w:rsidR="00B245D7">
        <w:t xml:space="preserve"> herself is secondary to her function as a narrative construct. </w:t>
      </w:r>
    </w:p>
    <w:p w14:paraId="471BFBC1" w14:textId="77777777" w:rsidR="00E2300B" w:rsidRDefault="00E2300B" w:rsidP="00F77B45">
      <w:pPr>
        <w:spacing w:line="360" w:lineRule="auto"/>
        <w:jc w:val="both"/>
      </w:pPr>
    </w:p>
    <w:p w14:paraId="373C9E62" w14:textId="2790A864" w:rsidR="00E6519E" w:rsidRDefault="000060C0" w:rsidP="00F77B45">
      <w:pPr>
        <w:spacing w:line="360" w:lineRule="auto"/>
        <w:jc w:val="both"/>
      </w:pPr>
      <w:r>
        <w:t xml:space="preserve">Despite </w:t>
      </w:r>
      <w:r w:rsidR="0066095E">
        <w:t>the</w:t>
      </w:r>
      <w:r>
        <w:t xml:space="preserve"> omission</w:t>
      </w:r>
      <w:r w:rsidR="0066095E">
        <w:t xml:space="preserve"> of her birth and earlier life</w:t>
      </w:r>
      <w:r>
        <w:t>, b</w:t>
      </w:r>
      <w:r w:rsidR="00072D3E">
        <w:t xml:space="preserve">oth </w:t>
      </w:r>
      <w:r w:rsidR="00072D3E" w:rsidRPr="00072D3E">
        <w:rPr>
          <w:i/>
          <w:iCs/>
        </w:rPr>
        <w:t>vitae</w:t>
      </w:r>
      <w:r w:rsidR="00072D3E">
        <w:t xml:space="preserve"> in question</w:t>
      </w:r>
      <w:r w:rsidR="00B3104D">
        <w:t xml:space="preserve"> </w:t>
      </w:r>
      <w:r w:rsidR="00964265" w:rsidRPr="00964265">
        <w:t xml:space="preserve">detail her early decision to dedicate herself and her virginity to Christ, the bridegroom. By doing so, she renounced all mortal men. </w:t>
      </w:r>
      <w:r w:rsidR="00052936">
        <w:t>Upon</w:t>
      </w:r>
      <w:r w:rsidR="00964265" w:rsidRPr="00964265">
        <w:t xml:space="preserve"> learning of this commitment, her father and mother were conflicted, wishing for offspring to continue the family line</w:t>
      </w:r>
      <w:r w:rsidR="0055445E">
        <w:t xml:space="preserve">. However, </w:t>
      </w:r>
      <w:r w:rsidR="00964265" w:rsidRPr="00964265">
        <w:t xml:space="preserve">they were ultimately pleased that their daughter </w:t>
      </w:r>
      <w:r w:rsidR="00964265">
        <w:t>“</w:t>
      </w:r>
      <w:r w:rsidR="00964265" w:rsidRPr="00964265">
        <w:t>yielded herself to the rule of God.</w:t>
      </w:r>
      <w:r w:rsidR="00964265">
        <w:t>”</w:t>
      </w:r>
      <w:r w:rsidR="00982E93">
        <w:rPr>
          <w:rStyle w:val="FootnoteReference"/>
        </w:rPr>
        <w:footnoteReference w:id="8"/>
      </w:r>
      <w:r w:rsidR="00730B12">
        <w:t xml:space="preserve"> </w:t>
      </w:r>
      <w:r w:rsidR="00304128" w:rsidRPr="00304128">
        <w:t xml:space="preserve">Here, "yielded herself" implies </w:t>
      </w:r>
      <w:r w:rsidR="00C826B2">
        <w:t xml:space="preserve">a contradictory act that, although </w:t>
      </w:r>
      <w:r w:rsidR="009F7519">
        <w:t xml:space="preserve">suggesting </w:t>
      </w:r>
      <w:r w:rsidR="00C826B2">
        <w:t>obedien</w:t>
      </w:r>
      <w:r w:rsidR="009F7519">
        <w:t>ce</w:t>
      </w:r>
      <w:r w:rsidR="00C826B2">
        <w:t xml:space="preserve">, is essentially a conscious and deliberate choice made by </w:t>
      </w:r>
      <w:proofErr w:type="spellStart"/>
      <w:r w:rsidR="00C826B2">
        <w:t>Gwenfrewy</w:t>
      </w:r>
      <w:proofErr w:type="spellEnd"/>
      <w:r w:rsidR="00C826B2">
        <w:t>.</w:t>
      </w:r>
      <w:r w:rsidR="00F73CDF">
        <w:t xml:space="preserve"> </w:t>
      </w:r>
    </w:p>
    <w:p w14:paraId="078B0394" w14:textId="77777777" w:rsidR="00E6519E" w:rsidRDefault="00E6519E" w:rsidP="00F77B45">
      <w:pPr>
        <w:spacing w:line="360" w:lineRule="auto"/>
        <w:jc w:val="both"/>
      </w:pPr>
    </w:p>
    <w:p w14:paraId="4381DFA1" w14:textId="32D4F703" w:rsidR="00043377" w:rsidRDefault="007C3AFB" w:rsidP="00F77B45">
      <w:pPr>
        <w:spacing w:line="360" w:lineRule="auto"/>
        <w:jc w:val="both"/>
      </w:pPr>
      <w:r>
        <w:t xml:space="preserve">Winward’s </w:t>
      </w:r>
      <w:r w:rsidR="00277633">
        <w:t>studies</w:t>
      </w:r>
      <w:r>
        <w:t xml:space="preserve"> </w:t>
      </w:r>
      <w:r w:rsidR="004D3EBC">
        <w:t xml:space="preserve">highlight that </w:t>
      </w:r>
      <w:r w:rsidR="001315CD">
        <w:t>Gwenfrewy’s</w:t>
      </w:r>
      <w:r w:rsidR="004D3EBC">
        <w:t xml:space="preserve"> decisions are consistently submissive to a higher authority or command</w:t>
      </w:r>
      <w:r w:rsidR="00277633">
        <w:t>: even though</w:t>
      </w:r>
      <w:r>
        <w:t xml:space="preserve"> </w:t>
      </w:r>
      <w:r w:rsidR="00277633">
        <w:t>her</w:t>
      </w:r>
      <w:r>
        <w:t xml:space="preserve"> choice to commit herself to Christ is of her own will,</w:t>
      </w:r>
      <w:r w:rsidR="001315CD">
        <w:t xml:space="preserve"> she is still committing herself to the will of another, or even that</w:t>
      </w:r>
      <w:r>
        <w:t xml:space="preserve"> it is </w:t>
      </w:r>
      <w:r w:rsidR="00277633">
        <w:t>her</w:t>
      </w:r>
      <w:r>
        <w:t xml:space="preserve"> father who </w:t>
      </w:r>
      <w:r w:rsidR="00277633">
        <w:t xml:space="preserve">further </w:t>
      </w:r>
      <w:r>
        <w:t xml:space="preserve">guides her toward a religious </w:t>
      </w:r>
      <w:r w:rsidR="009F7519">
        <w:t>vocation</w:t>
      </w:r>
      <w:r>
        <w:t xml:space="preserve"> by relegating her to Beuno’s care for “religious instruction.”</w:t>
      </w:r>
      <w:r>
        <w:rPr>
          <w:rStyle w:val="FootnoteReference"/>
        </w:rPr>
        <w:footnoteReference w:id="9"/>
      </w:r>
      <w:r w:rsidR="00277633">
        <w:t xml:space="preserve"> </w:t>
      </w:r>
      <w:r w:rsidR="009F7519">
        <w:t xml:space="preserve">However, scholars like Caroline Walker Bynum emphasise a pattern </w:t>
      </w:r>
      <w:r w:rsidR="00177425">
        <w:t xml:space="preserve">in which medieval women saints exercised agency by making early, independent decisions about chastity, often before the age of eight. </w:t>
      </w:r>
      <w:r w:rsidR="00304128" w:rsidRPr="00304128">
        <w:t>Their decision to remain chaste, or even to join a convent</w:t>
      </w:r>
      <w:r w:rsidR="00A26614">
        <w:t>,</w:t>
      </w:r>
      <w:r w:rsidR="00304128" w:rsidRPr="00304128">
        <w:t xml:space="preserve"> and commit themselves to Christ</w:t>
      </w:r>
      <w:r w:rsidR="00A26614">
        <w:t xml:space="preserve"> </w:t>
      </w:r>
      <w:r w:rsidR="00304128" w:rsidRPr="00304128">
        <w:t xml:space="preserve">allowed them to </w:t>
      </w:r>
      <w:r w:rsidR="009F7519">
        <w:t>circumvent</w:t>
      </w:r>
      <w:r w:rsidR="00304128">
        <w:t xml:space="preserve"> “</w:t>
      </w:r>
      <w:r w:rsidR="00304128" w:rsidRPr="00304128">
        <w:t>the dangers of childbirth and the brutality of many marriages</w:t>
      </w:r>
      <w:r w:rsidR="00B73830">
        <w:t>.”</w:t>
      </w:r>
      <w:r w:rsidR="00C04054">
        <w:rPr>
          <w:rStyle w:val="FootnoteReference"/>
        </w:rPr>
        <w:footnoteReference w:id="10"/>
      </w:r>
      <w:r w:rsidR="00160DA6">
        <w:t xml:space="preserve"> </w:t>
      </w:r>
      <w:r w:rsidR="00FE1FA1">
        <w:t xml:space="preserve">This aligns with Katherine O’Brien O’Keeffe’s view that, for medieval women saints, agency lies in a voluntary, conscious decision to </w:t>
      </w:r>
      <w:r w:rsidR="00153D34">
        <w:t>submit</w:t>
      </w:r>
      <w:r w:rsidR="00FE1FA1">
        <w:t xml:space="preserve"> to a higher power.</w:t>
      </w:r>
      <w:r w:rsidR="00210B11">
        <w:rPr>
          <w:rStyle w:val="FootnoteReference"/>
        </w:rPr>
        <w:footnoteReference w:id="11"/>
      </w:r>
      <w:r w:rsidR="00FE1FA1">
        <w:t xml:space="preserve"> </w:t>
      </w:r>
      <w:r w:rsidR="00043377">
        <w:t xml:space="preserve">Gwenfrewy’s submission to </w:t>
      </w:r>
      <w:r w:rsidR="00043377">
        <w:lastRenderedPageBreak/>
        <w:t>Christ can be understood as both an act of obedience and a strategic use of the limited agency allowed to her as a medieval woman.</w:t>
      </w:r>
      <w:r w:rsidR="00E83F63">
        <w:t xml:space="preserve"> This submission grants </w:t>
      </w:r>
      <w:proofErr w:type="spellStart"/>
      <w:r w:rsidR="00E83F63">
        <w:t>Gwenfrewy</w:t>
      </w:r>
      <w:proofErr w:type="spellEnd"/>
      <w:r w:rsidR="00E83F63">
        <w:t xml:space="preserve"> physical freedom, </w:t>
      </w:r>
      <w:r w:rsidR="004E23EB">
        <w:t>enabling</w:t>
      </w:r>
      <w:r w:rsidR="00E83F63">
        <w:t xml:space="preserve"> her to </w:t>
      </w:r>
      <w:r w:rsidR="004E23EB">
        <w:t xml:space="preserve">refuse to </w:t>
      </w:r>
      <w:r w:rsidR="00E83F63">
        <w:t>submit to the secular framework of marriage</w:t>
      </w:r>
      <w:r w:rsidR="00CC7458">
        <w:t xml:space="preserve">. Jocelyn Wogan-Browne notes that, by embracing a spiritual life, women are afforded a life in which they can focus on activities otherwise unattainable to medieval women, exchanging a life of labour for one of </w:t>
      </w:r>
      <w:r w:rsidR="0030526A">
        <w:t>“</w:t>
      </w:r>
      <w:r w:rsidR="00CC7458">
        <w:t>reading and contemplation</w:t>
      </w:r>
      <w:r w:rsidR="0030526A">
        <w:t>”</w:t>
      </w:r>
      <w:r w:rsidR="00CC7458">
        <w:t>.</w:t>
      </w:r>
      <w:r w:rsidR="0030526A">
        <w:rPr>
          <w:rStyle w:val="FootnoteReference"/>
        </w:rPr>
        <w:footnoteReference w:id="12"/>
      </w:r>
    </w:p>
    <w:p w14:paraId="2A6D2D64" w14:textId="77777777" w:rsidR="00150CA0" w:rsidRDefault="00150CA0" w:rsidP="00F77B45">
      <w:pPr>
        <w:spacing w:line="360" w:lineRule="auto"/>
        <w:jc w:val="both"/>
      </w:pPr>
    </w:p>
    <w:p w14:paraId="66DF1D73" w14:textId="77777777" w:rsidR="000439D9" w:rsidRDefault="00A51F77" w:rsidP="00F77B45">
      <w:pPr>
        <w:spacing w:line="360" w:lineRule="auto"/>
        <w:jc w:val="both"/>
      </w:pPr>
      <w:r w:rsidRPr="00A51F77">
        <w:t xml:space="preserve">One Sunday, while her father and mother attended Mass, </w:t>
      </w:r>
      <w:proofErr w:type="spellStart"/>
      <w:r w:rsidRPr="00A51F77">
        <w:t>Gwenfrewy</w:t>
      </w:r>
      <w:proofErr w:type="spellEnd"/>
      <w:r w:rsidRPr="00A51F77">
        <w:t xml:space="preserve"> remained at home. </w:t>
      </w:r>
      <w:r w:rsidR="000060C0">
        <w:t>For this, b</w:t>
      </w:r>
      <w:r w:rsidRPr="00A51F77">
        <w:t>oth </w:t>
      </w:r>
      <w:r w:rsidRPr="00A51F77">
        <w:rPr>
          <w:i/>
          <w:iCs/>
        </w:rPr>
        <w:t>vitae</w:t>
      </w:r>
      <w:r w:rsidRPr="00A51F77">
        <w:t xml:space="preserve"> in question offer </w:t>
      </w:r>
      <w:r w:rsidR="009F7519">
        <w:t xml:space="preserve">distinct </w:t>
      </w:r>
      <w:r w:rsidRPr="00A51F77">
        <w:t>potential motives. The anonymous </w:t>
      </w:r>
      <w:r w:rsidRPr="00A51F77">
        <w:rPr>
          <w:i/>
          <w:iCs/>
        </w:rPr>
        <w:t>VSW</w:t>
      </w:r>
      <w:r w:rsidRPr="00A51F77">
        <w:t xml:space="preserve"> describes </w:t>
      </w:r>
      <w:proofErr w:type="spellStart"/>
      <w:r w:rsidRPr="00A51F77">
        <w:t>Gwenfrewy</w:t>
      </w:r>
      <w:proofErr w:type="spellEnd"/>
      <w:r w:rsidRPr="00A51F77">
        <w:t xml:space="preserve"> as collecting items needed for Mass from her father’s house: “fire and water with salt</w:t>
      </w:r>
      <w:r w:rsidR="003A33D3">
        <w:t>.”</w:t>
      </w:r>
      <w:r w:rsidR="00D9153F">
        <w:rPr>
          <w:rStyle w:val="FootnoteReference"/>
        </w:rPr>
        <w:footnoteReference w:id="13"/>
      </w:r>
      <w:r w:rsidR="007C078C">
        <w:t xml:space="preserve"> </w:t>
      </w:r>
      <w:r w:rsidRPr="00A51F77">
        <w:t xml:space="preserve">By providing these liturgical elements, </w:t>
      </w:r>
      <w:proofErr w:type="spellStart"/>
      <w:r w:rsidRPr="00A51F77">
        <w:t>Gwenfrewy</w:t>
      </w:r>
      <w:proofErr w:type="spellEnd"/>
      <w:r w:rsidRPr="00A51F77">
        <w:t xml:space="preserve"> transforms a domestic task into a sacred duty. Scholars such as Jane Tibbets Schulenburg describe this as “practical piety</w:t>
      </w:r>
      <w:r w:rsidR="007C078C">
        <w:t>.”</w:t>
      </w:r>
      <w:r w:rsidR="00121B50">
        <w:rPr>
          <w:rStyle w:val="FootnoteReference"/>
        </w:rPr>
        <w:footnoteReference w:id="14"/>
      </w:r>
      <w:r w:rsidR="007C078C">
        <w:t xml:space="preserve"> </w:t>
      </w:r>
      <w:r w:rsidRPr="00A51F77">
        <w:t xml:space="preserve">For women saints, the domestic and sacred spheres often blurred. </w:t>
      </w:r>
      <w:proofErr w:type="spellStart"/>
      <w:r w:rsidRPr="00A51F77">
        <w:t>Gwenfrewy</w:t>
      </w:r>
      <w:proofErr w:type="spellEnd"/>
      <w:r w:rsidRPr="00A51F77">
        <w:t xml:space="preserve"> exemplifies this by performing practical, public acts, like preparing liturgical items, in her father’s domestic space</w:t>
      </w:r>
      <w:r w:rsidR="008B737D">
        <w:t>.</w:t>
      </w:r>
      <w:r w:rsidR="00C04054">
        <w:rPr>
          <w:rStyle w:val="FootnoteReference"/>
        </w:rPr>
        <w:footnoteReference w:id="15"/>
      </w:r>
      <w:r w:rsidR="009C0882">
        <w:t xml:space="preserve"> The text suggests that </w:t>
      </w:r>
      <w:proofErr w:type="spellStart"/>
      <w:r w:rsidR="009C0882">
        <w:t>Gwenfrewy</w:t>
      </w:r>
      <w:proofErr w:type="spellEnd"/>
      <w:r w:rsidR="009C0882">
        <w:t xml:space="preserve"> is an essential participant in her</w:t>
      </w:r>
      <w:r w:rsidR="001D047B">
        <w:t xml:space="preserve"> ecclesiastical</w:t>
      </w:r>
      <w:r w:rsidR="009C0882">
        <w:t xml:space="preserve"> community, </w:t>
      </w:r>
      <w:r w:rsidR="001D047B">
        <w:t>as evidenc</w:t>
      </w:r>
      <w:r w:rsidR="009C0882">
        <w:t xml:space="preserve">ed by the decision to place the vital elements </w:t>
      </w:r>
      <w:r w:rsidR="001D047B">
        <w:t>of</w:t>
      </w:r>
      <w:r w:rsidR="009C0882">
        <w:t xml:space="preserve"> Mass in her care.</w:t>
      </w:r>
      <w:r w:rsidR="001D047B">
        <w:t xml:space="preserve"> This is what ultimately leaves her vulnerable to the secular intrusion of Caradog, effectively linking her ritual service to her physical sacrifice and martyrdom.</w:t>
      </w:r>
    </w:p>
    <w:p w14:paraId="11F70054" w14:textId="77777777" w:rsidR="000439D9" w:rsidRDefault="000439D9" w:rsidP="00F77B45">
      <w:pPr>
        <w:spacing w:line="360" w:lineRule="auto"/>
        <w:jc w:val="both"/>
      </w:pPr>
    </w:p>
    <w:p w14:paraId="19C19EE9" w14:textId="4F943D80" w:rsidR="00982E93" w:rsidRDefault="001357DF" w:rsidP="00F77B45">
      <w:pPr>
        <w:spacing w:line="360" w:lineRule="auto"/>
        <w:jc w:val="both"/>
      </w:pPr>
      <w:r>
        <w:t>In contrast</w:t>
      </w:r>
      <w:r w:rsidR="00D65818">
        <w:t>,</w:t>
      </w:r>
      <w:r w:rsidR="00D9153F">
        <w:t xml:space="preserve"> Robert’s account </w:t>
      </w:r>
      <w:r w:rsidR="006F3678">
        <w:t xml:space="preserve">describes </w:t>
      </w:r>
      <w:proofErr w:type="spellStart"/>
      <w:r w:rsidR="006F3678">
        <w:t>Gwenfrewy</w:t>
      </w:r>
      <w:proofErr w:type="spellEnd"/>
      <w:r w:rsidR="003E0B8B">
        <w:t xml:space="preserve"> as </w:t>
      </w:r>
      <w:r w:rsidR="00FC0D95">
        <w:t>need</w:t>
      </w:r>
      <w:r w:rsidR="003E0B8B">
        <w:t>ing t</w:t>
      </w:r>
      <w:r w:rsidR="006F3678">
        <w:t>o stay at her father’s hous</w:t>
      </w:r>
      <w:r w:rsidR="003B6915">
        <w:t>e,</w:t>
      </w:r>
      <w:r w:rsidR="006F3678">
        <w:t xml:space="preserve"> </w:t>
      </w:r>
      <w:r w:rsidR="003B6915">
        <w:t xml:space="preserve">perhaps </w:t>
      </w:r>
      <w:r w:rsidR="00D65818">
        <w:t>due</w:t>
      </w:r>
      <w:r w:rsidR="006F3678">
        <w:t xml:space="preserve"> </w:t>
      </w:r>
      <w:r w:rsidR="00D65818">
        <w:t>to</w:t>
      </w:r>
      <w:r w:rsidR="006F3678">
        <w:t xml:space="preserve"> illness</w:t>
      </w:r>
      <w:r w:rsidR="003E0B8B">
        <w:t>.</w:t>
      </w:r>
      <w:r w:rsidR="003E0B8B" w:rsidRPr="003E0B8B">
        <w:rPr>
          <w:rStyle w:val="FootnoteReference"/>
        </w:rPr>
        <w:t xml:space="preserve"> </w:t>
      </w:r>
      <w:r w:rsidR="003E0B8B">
        <w:rPr>
          <w:rStyle w:val="FootnoteReference"/>
        </w:rPr>
        <w:footnoteReference w:id="16"/>
      </w:r>
      <w:r w:rsidR="003E0B8B">
        <w:t xml:space="preserve"> In this </w:t>
      </w:r>
      <w:r w:rsidR="003E0B8B" w:rsidRPr="003E0B8B">
        <w:rPr>
          <w:i/>
          <w:iCs/>
        </w:rPr>
        <w:t>vita</w:t>
      </w:r>
      <w:r w:rsidR="003E0B8B">
        <w:t xml:space="preserve">, </w:t>
      </w:r>
      <w:proofErr w:type="spellStart"/>
      <w:r w:rsidR="003E0B8B">
        <w:t>Gwenfrewy</w:t>
      </w:r>
      <w:proofErr w:type="spellEnd"/>
      <w:r w:rsidR="003E0B8B">
        <w:t xml:space="preserve"> assumes a passive role, consequently </w:t>
      </w:r>
      <w:r w:rsidR="00A31EE7">
        <w:t>reduc</w:t>
      </w:r>
      <w:r w:rsidR="003E0B8B">
        <w:t>ing</w:t>
      </w:r>
      <w:r w:rsidR="00A31EE7">
        <w:t xml:space="preserve"> the extent of </w:t>
      </w:r>
      <w:r w:rsidR="003E0B8B">
        <w:t>her</w:t>
      </w:r>
      <w:r w:rsidR="00A31EE7">
        <w:t xml:space="preserve"> agency.</w:t>
      </w:r>
      <w:r w:rsidR="003E0B8B">
        <w:t xml:space="preserve"> This aligns with Schulenburg’s view that, </w:t>
      </w:r>
      <w:r w:rsidR="00997D67">
        <w:t>within</w:t>
      </w:r>
      <w:r w:rsidR="003E0B8B">
        <w:t xml:space="preserve"> 11</w:t>
      </w:r>
      <w:r w:rsidR="003E0B8B" w:rsidRPr="003E0B8B">
        <w:rPr>
          <w:vertAlign w:val="superscript"/>
        </w:rPr>
        <w:t>th</w:t>
      </w:r>
      <w:r w:rsidR="00997D67">
        <w:t>-</w:t>
      </w:r>
      <w:r w:rsidR="003E0B8B">
        <w:t>century</w:t>
      </w:r>
      <w:r w:rsidR="00997D67">
        <w:t xml:space="preserve"> Europe</w:t>
      </w:r>
      <w:r w:rsidR="00C556FE">
        <w:t xml:space="preserve">, the </w:t>
      </w:r>
      <w:r w:rsidR="00997D67">
        <w:t xml:space="preserve">“Church attempted to popularize and promote passive </w:t>
      </w:r>
      <w:r w:rsidR="00997D67">
        <w:lastRenderedPageBreak/>
        <w:t>virtues for women.”</w:t>
      </w:r>
      <w:r w:rsidR="00997D67">
        <w:rPr>
          <w:rStyle w:val="FootnoteReference"/>
        </w:rPr>
        <w:footnoteReference w:id="17"/>
      </w:r>
      <w:r w:rsidR="00A34076">
        <w:t xml:space="preserve"> Schulenburg argues that women were expected to exemplify obedience and subservience</w:t>
      </w:r>
      <w:r w:rsidR="00173B4C">
        <w:t xml:space="preserve"> in domestic spheres, following a “rigid separation of public and domestic spheres.”</w:t>
      </w:r>
      <w:r w:rsidR="00173B4C">
        <w:rPr>
          <w:rStyle w:val="FootnoteReference"/>
        </w:rPr>
        <w:footnoteReference w:id="18"/>
      </w:r>
      <w:r w:rsidR="00173B4C">
        <w:t xml:space="preserve"> </w:t>
      </w:r>
      <w:r w:rsidR="004E23EB">
        <w:t xml:space="preserve">While the anonymous VSW presents </w:t>
      </w:r>
      <w:proofErr w:type="spellStart"/>
      <w:r w:rsidR="004E23EB">
        <w:t>Gwenfrewy</w:t>
      </w:r>
      <w:proofErr w:type="spellEnd"/>
      <w:r w:rsidR="004E23EB">
        <w:t xml:space="preserve"> as actively engaged in sacred duties, </w:t>
      </w:r>
      <w:r w:rsidR="007071F4">
        <w:t xml:space="preserve">Robert’s </w:t>
      </w:r>
      <w:r w:rsidR="007071F4" w:rsidRPr="007071F4">
        <w:rPr>
          <w:i/>
          <w:iCs/>
        </w:rPr>
        <w:t>vita</w:t>
      </w:r>
      <w:r w:rsidR="007071F4">
        <w:t xml:space="preserve"> effectively strips </w:t>
      </w:r>
      <w:proofErr w:type="spellStart"/>
      <w:r w:rsidR="007071F4">
        <w:t>Gwenfrewy</w:t>
      </w:r>
      <w:proofErr w:type="spellEnd"/>
      <w:r w:rsidR="007071F4">
        <w:t xml:space="preserve"> of public importance, reducing her to a domesticated, obedient woman. </w:t>
      </w:r>
    </w:p>
    <w:p w14:paraId="02E6BD10" w14:textId="77777777" w:rsidR="00A31EE7" w:rsidRDefault="00A31EE7" w:rsidP="00F77B45">
      <w:pPr>
        <w:spacing w:line="360" w:lineRule="auto"/>
        <w:jc w:val="both"/>
      </w:pPr>
    </w:p>
    <w:p w14:paraId="7E6E79E4" w14:textId="7A658BD5" w:rsidR="00715C7F" w:rsidRDefault="00292C0F" w:rsidP="00F77B45">
      <w:pPr>
        <w:spacing w:line="360" w:lineRule="auto"/>
        <w:jc w:val="both"/>
      </w:pPr>
      <w:r>
        <w:t xml:space="preserve">The </w:t>
      </w:r>
      <w:r w:rsidR="00B809F7">
        <w:t xml:space="preserve">arrival and ultimate </w:t>
      </w:r>
      <w:r w:rsidR="001A29A4">
        <w:t xml:space="preserve">proposal </w:t>
      </w:r>
      <w:r>
        <w:t xml:space="preserve">of Caradog ap Alog </w:t>
      </w:r>
      <w:r w:rsidR="001A29A4">
        <w:t xml:space="preserve">are described </w:t>
      </w:r>
      <w:r w:rsidR="0039705D">
        <w:t>similarly</w:t>
      </w:r>
      <w:r w:rsidR="001A29A4">
        <w:t xml:space="preserve"> in both </w:t>
      </w:r>
      <w:r w:rsidR="001A29A4" w:rsidRPr="00051840">
        <w:rPr>
          <w:i/>
          <w:iCs/>
        </w:rPr>
        <w:t>vitae</w:t>
      </w:r>
      <w:r w:rsidR="001A29A4">
        <w:t xml:space="preserve"> in question. </w:t>
      </w:r>
      <w:r>
        <w:t>The</w:t>
      </w:r>
      <w:r w:rsidR="0039705D">
        <w:t xml:space="preserve">y detail </w:t>
      </w:r>
      <w:r>
        <w:t>Caradog</w:t>
      </w:r>
      <w:r w:rsidR="0039705D">
        <w:t xml:space="preserve">’s arrival </w:t>
      </w:r>
      <w:proofErr w:type="gramStart"/>
      <w:r w:rsidR="0039705D">
        <w:t>as a consequence of</w:t>
      </w:r>
      <w:proofErr w:type="gramEnd"/>
      <w:r w:rsidR="0039705D">
        <w:t xml:space="preserve"> his thirst following fatigue from hunting. Upon discovering </w:t>
      </w:r>
      <w:proofErr w:type="spellStart"/>
      <w:r w:rsidR="0039705D">
        <w:t>Gwenfrewy</w:t>
      </w:r>
      <w:proofErr w:type="spellEnd"/>
      <w:r w:rsidR="0039705D">
        <w:t xml:space="preserve"> alone, his intentions become lustful, and he propositions her. Though </w:t>
      </w:r>
      <w:proofErr w:type="spellStart"/>
      <w:r w:rsidR="0039705D">
        <w:t>Gwenfrewy</w:t>
      </w:r>
      <w:proofErr w:type="spellEnd"/>
      <w:r w:rsidR="0039705D">
        <w:t xml:space="preserve"> initially rejects Caradog, </w:t>
      </w:r>
      <w:r w:rsidR="000E3EF7">
        <w:t>as</w:t>
      </w:r>
      <w:r w:rsidR="0039705D">
        <w:t xml:space="preserve"> she is betrothed to Christ, </w:t>
      </w:r>
      <w:r w:rsidR="000E3EF7">
        <w:t xml:space="preserve">his outraged response prompts her to reconsider her approach to appease him. </w:t>
      </w:r>
      <w:r w:rsidR="00EA6B8E">
        <w:t xml:space="preserve">Here, the </w:t>
      </w:r>
      <w:r w:rsidR="00EA6B8E" w:rsidRPr="00EA6B8E">
        <w:rPr>
          <w:i/>
          <w:iCs/>
        </w:rPr>
        <w:t>vitae</w:t>
      </w:r>
      <w:r w:rsidR="00EA6B8E">
        <w:t xml:space="preserve"> differ slightly. While they agree that </w:t>
      </w:r>
      <w:proofErr w:type="spellStart"/>
      <w:r w:rsidR="00EA6B8E">
        <w:t>Gwenfrewy</w:t>
      </w:r>
      <w:proofErr w:type="spellEnd"/>
      <w:r w:rsidR="00EA6B8E">
        <w:t xml:space="preserve"> initially </w:t>
      </w:r>
      <w:r w:rsidR="00AA3522">
        <w:t xml:space="preserve">flees </w:t>
      </w:r>
      <w:r w:rsidR="00EA6B8E">
        <w:t>to her bedroom</w:t>
      </w:r>
      <w:r w:rsidR="00AA3522">
        <w:t xml:space="preserve">, their justifications differ. </w:t>
      </w:r>
      <w:r w:rsidR="00B63CE8">
        <w:t xml:space="preserve">In Robert’s </w:t>
      </w:r>
      <w:r w:rsidR="00B63CE8" w:rsidRPr="00B63CE8">
        <w:rPr>
          <w:i/>
          <w:iCs/>
        </w:rPr>
        <w:t>vita</w:t>
      </w:r>
      <w:r w:rsidR="00B63CE8">
        <w:t xml:space="preserve">, </w:t>
      </w:r>
      <w:proofErr w:type="spellStart"/>
      <w:r w:rsidR="00A76FDB">
        <w:t>Gwenfrewy</w:t>
      </w:r>
      <w:proofErr w:type="spellEnd"/>
      <w:r w:rsidR="00A76FDB">
        <w:t xml:space="preserve"> tells Caradog that she will return to her bedroom as they wait for her father</w:t>
      </w:r>
      <w:r w:rsidR="00051840">
        <w:t xml:space="preserve"> to return from Mass.</w:t>
      </w:r>
    </w:p>
    <w:p w14:paraId="139F675F" w14:textId="77777777" w:rsidR="00715C7F" w:rsidRDefault="00715C7F" w:rsidP="00F77B45">
      <w:pPr>
        <w:spacing w:line="360" w:lineRule="auto"/>
        <w:jc w:val="both"/>
      </w:pPr>
    </w:p>
    <w:p w14:paraId="67B2EB05" w14:textId="7C49E20B" w:rsidR="00CC5C43" w:rsidRDefault="00A76FDB" w:rsidP="00F77B45">
      <w:pPr>
        <w:spacing w:line="360" w:lineRule="auto"/>
        <w:jc w:val="both"/>
      </w:pPr>
      <w:r>
        <w:t xml:space="preserve">In contrast, </w:t>
      </w:r>
      <w:r w:rsidR="00852815">
        <w:t xml:space="preserve">in </w:t>
      </w:r>
      <w:r>
        <w:t>the anonymous VSW</w:t>
      </w:r>
      <w:r w:rsidR="00852815">
        <w:t>, she</w:t>
      </w:r>
      <w:r>
        <w:t xml:space="preserve"> returns to the bedroom with the apparent intention of changing into more appropriate </w:t>
      </w:r>
      <w:r w:rsidR="00A26611">
        <w:t>attire but</w:t>
      </w:r>
      <w:r w:rsidR="005705D8">
        <w:t xml:space="preserve"> flees to the monastery</w:t>
      </w:r>
      <w:r w:rsidR="004E23EB">
        <w:t xml:space="preserve"> instead</w:t>
      </w:r>
      <w:r>
        <w:t xml:space="preserve">. </w:t>
      </w:r>
      <w:r w:rsidR="00715C7F">
        <w:t>Winward notes that such cunning deception</w:t>
      </w:r>
      <w:r w:rsidR="000A786A">
        <w:t xml:space="preserve"> </w:t>
      </w:r>
      <w:r w:rsidR="009819A6">
        <w:t>against</w:t>
      </w:r>
      <w:r w:rsidR="000A786A">
        <w:t xml:space="preserve"> </w:t>
      </w:r>
      <w:r w:rsidR="000A786A">
        <w:rPr>
          <w:kern w:val="0"/>
          <w14:ligatures w14:val="none"/>
        </w:rPr>
        <w:t>men or secular authorit</w:t>
      </w:r>
      <w:r w:rsidR="009819A6">
        <w:rPr>
          <w:kern w:val="0"/>
          <w14:ligatures w14:val="none"/>
        </w:rPr>
        <w:t>ies</w:t>
      </w:r>
      <w:r w:rsidR="000A786A">
        <w:rPr>
          <w:kern w:val="0"/>
          <w14:ligatures w14:val="none"/>
        </w:rPr>
        <w:t xml:space="preserve"> is common in </w:t>
      </w:r>
      <w:r w:rsidR="00A37A2E">
        <w:rPr>
          <w:kern w:val="0"/>
          <w14:ligatures w14:val="none"/>
        </w:rPr>
        <w:t xml:space="preserve">vernacular </w:t>
      </w:r>
      <w:r w:rsidR="000A786A">
        <w:rPr>
          <w:kern w:val="0"/>
          <w14:ligatures w14:val="none"/>
        </w:rPr>
        <w:t xml:space="preserve">literature about </w:t>
      </w:r>
      <w:r w:rsidR="00A37A2E">
        <w:rPr>
          <w:kern w:val="0"/>
          <w14:ligatures w14:val="none"/>
        </w:rPr>
        <w:t xml:space="preserve">Welsh </w:t>
      </w:r>
      <w:r w:rsidR="000A786A">
        <w:rPr>
          <w:kern w:val="0"/>
          <w14:ligatures w14:val="none"/>
        </w:rPr>
        <w:t>women saints; she cites</w:t>
      </w:r>
      <w:r w:rsidR="000A786A">
        <w:t xml:space="preserve"> Rhiannon</w:t>
      </w:r>
      <w:r w:rsidR="009819A6">
        <w:t>, who similarly</w:t>
      </w:r>
      <w:r w:rsidR="000A786A">
        <w:t xml:space="preserve"> deceive</w:t>
      </w:r>
      <w:r w:rsidR="009819A6">
        <w:t>s</w:t>
      </w:r>
      <w:r w:rsidR="000A786A">
        <w:t xml:space="preserve"> unwanted suitors</w:t>
      </w:r>
      <w:r w:rsidR="009819A6">
        <w:t>, and is seen as admirable.</w:t>
      </w:r>
      <w:r w:rsidR="006B5732">
        <w:rPr>
          <w:rStyle w:val="FootnoteReference"/>
        </w:rPr>
        <w:footnoteReference w:id="19"/>
      </w:r>
      <w:r w:rsidR="00F967C9">
        <w:t xml:space="preserve"> </w:t>
      </w:r>
      <w:r w:rsidR="00006FFC">
        <w:t xml:space="preserve">Compared with Robert’s </w:t>
      </w:r>
      <w:r w:rsidR="00006FFC" w:rsidRPr="00006FFC">
        <w:rPr>
          <w:i/>
          <w:iCs/>
        </w:rPr>
        <w:t>vita</w:t>
      </w:r>
      <w:r w:rsidR="00006FFC">
        <w:t xml:space="preserve">, the VSW </w:t>
      </w:r>
      <w:r w:rsidR="00AB0D85">
        <w:t>affords</w:t>
      </w:r>
      <w:r w:rsidR="00006FFC">
        <w:t xml:space="preserve"> </w:t>
      </w:r>
      <w:proofErr w:type="spellStart"/>
      <w:r w:rsidR="00006FFC">
        <w:t>Gwenfrewy</w:t>
      </w:r>
      <w:proofErr w:type="spellEnd"/>
      <w:r w:rsidR="00006FFC">
        <w:t xml:space="preserve"> more agency. Rather than waiting for her father to return</w:t>
      </w:r>
      <w:r w:rsidR="001903DE">
        <w:t xml:space="preserve"> and intervene</w:t>
      </w:r>
      <w:r w:rsidR="00006FFC">
        <w:t xml:space="preserve">, </w:t>
      </w:r>
      <w:proofErr w:type="spellStart"/>
      <w:r w:rsidR="00006FFC">
        <w:t>Gwenfrewy</w:t>
      </w:r>
      <w:proofErr w:type="spellEnd"/>
      <w:r w:rsidR="00006FFC">
        <w:t xml:space="preserve"> </w:t>
      </w:r>
      <w:r w:rsidR="001903DE">
        <w:t>indepen</w:t>
      </w:r>
      <w:r w:rsidR="0006286A">
        <w:t>dent</w:t>
      </w:r>
      <w:r w:rsidR="001903DE">
        <w:t>ly plans and executes her escape</w:t>
      </w:r>
      <w:r w:rsidR="00006FFC">
        <w:t xml:space="preserve">, </w:t>
      </w:r>
      <w:r w:rsidR="00706002">
        <w:t xml:space="preserve">actively </w:t>
      </w:r>
      <w:r w:rsidR="00006FFC">
        <w:t xml:space="preserve">manipulating Caradog. </w:t>
      </w:r>
      <w:r w:rsidR="00C37345">
        <w:t xml:space="preserve">This suggests </w:t>
      </w:r>
      <w:r w:rsidR="00DC1B1D">
        <w:t>a conscious effort by</w:t>
      </w:r>
      <w:r w:rsidR="00C37345">
        <w:t xml:space="preserve"> </w:t>
      </w:r>
      <w:r w:rsidR="00706002">
        <w:t xml:space="preserve">Robert of Shrewsbury to </w:t>
      </w:r>
      <w:r w:rsidR="00DC1B1D">
        <w:t>shape</w:t>
      </w:r>
      <w:r w:rsidR="00706002">
        <w:t xml:space="preserve"> </w:t>
      </w:r>
      <w:proofErr w:type="spellStart"/>
      <w:r w:rsidR="00706002">
        <w:t>Gwenfrewy’s</w:t>
      </w:r>
      <w:proofErr w:type="spellEnd"/>
      <w:r w:rsidR="00706002">
        <w:t xml:space="preserve"> character</w:t>
      </w:r>
      <w:r w:rsidR="00256232">
        <w:t xml:space="preserve"> </w:t>
      </w:r>
      <w:r w:rsidR="00B61FAE">
        <w:rPr>
          <w:kern w:val="0"/>
          <w14:ligatures w14:val="none"/>
        </w:rPr>
        <w:t xml:space="preserve">by </w:t>
      </w:r>
      <w:r w:rsidR="00C37345">
        <w:rPr>
          <w:kern w:val="0"/>
          <w14:ligatures w14:val="none"/>
        </w:rPr>
        <w:t>cast</w:t>
      </w:r>
      <w:r w:rsidR="00B61FAE">
        <w:rPr>
          <w:kern w:val="0"/>
          <w14:ligatures w14:val="none"/>
        </w:rPr>
        <w:t xml:space="preserve">ing </w:t>
      </w:r>
      <w:r w:rsidR="00AB0D85">
        <w:rPr>
          <w:kern w:val="0"/>
          <w14:ligatures w14:val="none"/>
        </w:rPr>
        <w:t>her limited</w:t>
      </w:r>
      <w:r w:rsidR="00B61FAE">
        <w:rPr>
          <w:kern w:val="0"/>
          <w14:ligatures w14:val="none"/>
        </w:rPr>
        <w:t xml:space="preserve"> agency </w:t>
      </w:r>
      <w:r w:rsidR="00C37345">
        <w:rPr>
          <w:kern w:val="0"/>
          <w14:ligatures w14:val="none"/>
        </w:rPr>
        <w:t>as</w:t>
      </w:r>
      <w:r w:rsidR="00B61FAE">
        <w:rPr>
          <w:kern w:val="0"/>
          <w14:ligatures w14:val="none"/>
        </w:rPr>
        <w:t xml:space="preserve"> passive</w:t>
      </w:r>
      <w:r w:rsidR="00C37345">
        <w:rPr>
          <w:kern w:val="0"/>
          <w14:ligatures w14:val="none"/>
        </w:rPr>
        <w:t xml:space="preserve"> and</w:t>
      </w:r>
      <w:r w:rsidR="00B61FAE">
        <w:rPr>
          <w:kern w:val="0"/>
          <w14:ligatures w14:val="none"/>
        </w:rPr>
        <w:t xml:space="preserve"> dependen</w:t>
      </w:r>
      <w:r w:rsidR="00C37345">
        <w:rPr>
          <w:kern w:val="0"/>
          <w14:ligatures w14:val="none"/>
        </w:rPr>
        <w:t>t</w:t>
      </w:r>
      <w:r w:rsidR="00B61FAE">
        <w:rPr>
          <w:kern w:val="0"/>
          <w14:ligatures w14:val="none"/>
        </w:rPr>
        <w:t xml:space="preserve"> on an authoritative male figure</w:t>
      </w:r>
      <w:r w:rsidR="00C37345">
        <w:rPr>
          <w:kern w:val="0"/>
          <w14:ligatures w14:val="none"/>
        </w:rPr>
        <w:t xml:space="preserve">. This could be considered </w:t>
      </w:r>
      <w:r w:rsidR="00706002">
        <w:t>a deliberate attempt to make her more palatable to a monastic audience, who expected women to behave obediently</w:t>
      </w:r>
      <w:r w:rsidR="009465D0">
        <w:t>.</w:t>
      </w:r>
      <w:r w:rsidR="00706002">
        <w:rPr>
          <w:rStyle w:val="FootnoteReference"/>
        </w:rPr>
        <w:footnoteReference w:id="20"/>
      </w:r>
      <w:r w:rsidR="009465D0">
        <w:t xml:space="preserve"> </w:t>
      </w:r>
    </w:p>
    <w:bookmarkEnd w:id="0"/>
    <w:p w14:paraId="0719EAF3" w14:textId="77777777" w:rsidR="00A537FF" w:rsidRDefault="00A537FF" w:rsidP="00F77B45">
      <w:pPr>
        <w:spacing w:line="360" w:lineRule="auto"/>
        <w:jc w:val="both"/>
      </w:pPr>
    </w:p>
    <w:p w14:paraId="7F0642F5" w14:textId="65F0ECC6" w:rsidR="00B65824" w:rsidRDefault="00904880" w:rsidP="00F77B45">
      <w:pPr>
        <w:spacing w:line="360" w:lineRule="auto"/>
        <w:jc w:val="both"/>
        <w:rPr>
          <w:kern w:val="0"/>
          <w14:ligatures w14:val="none"/>
        </w:rPr>
      </w:pPr>
      <w:r>
        <w:t xml:space="preserve">Once Caradog comprehends that he has been deceived, he quickly pursues </w:t>
      </w:r>
      <w:proofErr w:type="spellStart"/>
      <w:r>
        <w:t>Gwenfrewy</w:t>
      </w:r>
      <w:proofErr w:type="spellEnd"/>
      <w:r>
        <w:t xml:space="preserve">. The VSW describes this incident briefly, stating that Caradog, seeing </w:t>
      </w:r>
      <w:proofErr w:type="spellStart"/>
      <w:r>
        <w:t>Gwenfrewy</w:t>
      </w:r>
      <w:proofErr w:type="spellEnd"/>
      <w:r>
        <w:t xml:space="preserve"> as she arrives at the door of the monastery, immediately draws his sword and </w:t>
      </w:r>
      <w:r w:rsidR="00D71B24">
        <w:t>decapitates</w:t>
      </w:r>
      <w:r>
        <w:t xml:space="preserve"> her.</w:t>
      </w:r>
      <w:r w:rsidR="0005576B">
        <w:t xml:space="preserve"> Her martyrdom here is </w:t>
      </w:r>
      <w:r w:rsidR="00DD0CF3">
        <w:t>instantaneous</w:t>
      </w:r>
      <w:r w:rsidR="00B5518E">
        <w:t xml:space="preserve">, the </w:t>
      </w:r>
      <w:r w:rsidR="00B5518E" w:rsidRPr="00D42FEB">
        <w:rPr>
          <w:i/>
          <w:iCs/>
        </w:rPr>
        <w:t>vita</w:t>
      </w:r>
      <w:r w:rsidR="00B5518E">
        <w:t xml:space="preserve"> focusing rather on the transformation of the landscape</w:t>
      </w:r>
      <w:r w:rsidR="00D7116B">
        <w:t xml:space="preserve"> following her decapitation</w:t>
      </w:r>
      <w:r w:rsidR="00DD0CF3">
        <w:t xml:space="preserve">. </w:t>
      </w:r>
      <w:r>
        <w:t>In contrast, Robert’s account offers a more detailed</w:t>
      </w:r>
      <w:r w:rsidR="00D42FEB">
        <w:t xml:space="preserve"> and gruesome</w:t>
      </w:r>
      <w:r>
        <w:t xml:space="preserve"> retelling of the event, in which Caradog</w:t>
      </w:r>
      <w:r w:rsidR="00D71B24">
        <w:t xml:space="preserve"> and </w:t>
      </w:r>
      <w:proofErr w:type="spellStart"/>
      <w:r w:rsidR="00D71B24">
        <w:t>Gwenfrewy</w:t>
      </w:r>
      <w:proofErr w:type="spellEnd"/>
      <w:r w:rsidR="00D71B24">
        <w:t xml:space="preserve"> engage in a short conversation before her imminent decapitation. </w:t>
      </w:r>
      <w:r w:rsidR="001B15DB">
        <w:t xml:space="preserve">Here, </w:t>
      </w:r>
      <w:proofErr w:type="spellStart"/>
      <w:r w:rsidR="001B15DB">
        <w:t>Gwenfrewy</w:t>
      </w:r>
      <w:proofErr w:type="spellEnd"/>
      <w:r w:rsidR="001B15DB">
        <w:t xml:space="preserve"> defends her betrothal to Christ, ultimately </w:t>
      </w:r>
      <w:r w:rsidR="00C102C8">
        <w:t xml:space="preserve">telling Caradog that nothing he can do </w:t>
      </w:r>
      <w:r w:rsidR="00DD065A">
        <w:t>will</w:t>
      </w:r>
      <w:r w:rsidR="00C102C8">
        <w:t xml:space="preserve"> convince her to marry him.</w:t>
      </w:r>
      <w:r w:rsidR="00B6326E">
        <w:t xml:space="preserve"> Caradog is enraged by her defiance and decapitates her. </w:t>
      </w:r>
      <w:r w:rsidR="00AD1F21">
        <w:t xml:space="preserve">Robert’s </w:t>
      </w:r>
      <w:r w:rsidR="00AD1F21" w:rsidRPr="00AD1F21">
        <w:rPr>
          <w:i/>
          <w:iCs/>
        </w:rPr>
        <w:t>vita</w:t>
      </w:r>
      <w:r w:rsidR="00AD1F21">
        <w:t xml:space="preserve"> </w:t>
      </w:r>
      <w:r w:rsidR="00303A8E">
        <w:t>describes her head</w:t>
      </w:r>
      <w:r w:rsidR="007601AB">
        <w:rPr>
          <w:kern w:val="0"/>
          <w14:ligatures w14:val="none"/>
        </w:rPr>
        <w:t xml:space="preserve"> as “rolling”</w:t>
      </w:r>
      <w:r w:rsidR="00FE7806">
        <w:rPr>
          <w:rStyle w:val="FootnoteReference"/>
          <w:kern w:val="0"/>
          <w14:ligatures w14:val="none"/>
        </w:rPr>
        <w:footnoteReference w:id="21"/>
      </w:r>
      <w:r w:rsidR="007601AB">
        <w:rPr>
          <w:kern w:val="0"/>
          <w14:ligatures w14:val="none"/>
        </w:rPr>
        <w:t xml:space="preserve"> into the church, landing at the feet of those attending Mass</w:t>
      </w:r>
      <w:r w:rsidR="00C521E6">
        <w:rPr>
          <w:kern w:val="0"/>
          <w14:ligatures w14:val="none"/>
        </w:rPr>
        <w:t>, and her “mutilated”</w:t>
      </w:r>
      <w:r w:rsidR="00C521E6">
        <w:rPr>
          <w:rStyle w:val="FootnoteReference"/>
          <w:kern w:val="0"/>
          <w14:ligatures w14:val="none"/>
        </w:rPr>
        <w:footnoteReference w:id="22"/>
      </w:r>
      <w:r w:rsidR="00C521E6">
        <w:rPr>
          <w:kern w:val="0"/>
          <w14:ligatures w14:val="none"/>
        </w:rPr>
        <w:t xml:space="preserve"> body lying outside the church doors.</w:t>
      </w:r>
      <w:r w:rsidR="00DC787E">
        <w:rPr>
          <w:kern w:val="0"/>
          <w14:ligatures w14:val="none"/>
        </w:rPr>
        <w:t xml:space="preserve"> Such detail could elicit a visceral reaction from </w:t>
      </w:r>
      <w:r w:rsidR="004E7C57">
        <w:rPr>
          <w:kern w:val="0"/>
          <w14:ligatures w14:val="none"/>
        </w:rPr>
        <w:t>Robert’s audience</w:t>
      </w:r>
      <w:r w:rsidR="00DC787E">
        <w:rPr>
          <w:kern w:val="0"/>
          <w14:ligatures w14:val="none"/>
        </w:rPr>
        <w:t xml:space="preserve">, especially when compared to the </w:t>
      </w:r>
      <w:r w:rsidR="00085562">
        <w:rPr>
          <w:kern w:val="0"/>
          <w14:ligatures w14:val="none"/>
        </w:rPr>
        <w:t xml:space="preserve">more </w:t>
      </w:r>
      <w:r w:rsidR="00DC787E">
        <w:rPr>
          <w:kern w:val="0"/>
          <w14:ligatures w14:val="none"/>
        </w:rPr>
        <w:t xml:space="preserve">concise </w:t>
      </w:r>
      <w:r w:rsidR="00DC787E" w:rsidRPr="00DC787E">
        <w:rPr>
          <w:i/>
          <w:iCs/>
          <w:kern w:val="0"/>
          <w14:ligatures w14:val="none"/>
        </w:rPr>
        <w:t>VSW</w:t>
      </w:r>
      <w:r w:rsidR="00DC787E">
        <w:rPr>
          <w:kern w:val="0"/>
          <w14:ligatures w14:val="none"/>
        </w:rPr>
        <w:t>.</w:t>
      </w:r>
      <w:r w:rsidR="00B55540">
        <w:rPr>
          <w:kern w:val="0"/>
          <w14:ligatures w14:val="none"/>
        </w:rPr>
        <w:t xml:space="preserve"> This violence is a common factor in the lives of medieval women saints</w:t>
      </w:r>
      <w:r w:rsidR="000758AA">
        <w:rPr>
          <w:kern w:val="0"/>
          <w14:ligatures w14:val="none"/>
        </w:rPr>
        <w:t>, occurring in a consistent pattern</w:t>
      </w:r>
      <w:r w:rsidR="00B55540">
        <w:rPr>
          <w:kern w:val="0"/>
          <w14:ligatures w14:val="none"/>
        </w:rPr>
        <w:t>.</w:t>
      </w:r>
      <w:r w:rsidR="00F12C11">
        <w:rPr>
          <w:rStyle w:val="FootnoteReference"/>
          <w:kern w:val="0"/>
          <w14:ligatures w14:val="none"/>
        </w:rPr>
        <w:footnoteReference w:id="23"/>
      </w:r>
    </w:p>
    <w:p w14:paraId="73D8881B" w14:textId="77777777" w:rsidR="00B65824" w:rsidRDefault="00B65824" w:rsidP="00F77B45">
      <w:pPr>
        <w:spacing w:line="360" w:lineRule="auto"/>
        <w:jc w:val="both"/>
        <w:rPr>
          <w:kern w:val="0"/>
          <w14:ligatures w14:val="none"/>
        </w:rPr>
      </w:pPr>
    </w:p>
    <w:p w14:paraId="5C776867" w14:textId="5D8B2DF2" w:rsidR="00904880" w:rsidRDefault="00085562" w:rsidP="00F77B45">
      <w:pPr>
        <w:spacing w:line="360" w:lineRule="auto"/>
        <w:jc w:val="both"/>
        <w:rPr>
          <w:kern w:val="0"/>
          <w14:ligatures w14:val="none"/>
        </w:rPr>
      </w:pPr>
      <w:r>
        <w:rPr>
          <w:kern w:val="0"/>
          <w14:ligatures w14:val="none"/>
        </w:rPr>
        <w:t xml:space="preserve">Essentially, </w:t>
      </w:r>
      <w:r w:rsidR="00B65824">
        <w:rPr>
          <w:kern w:val="0"/>
          <w14:ligatures w14:val="none"/>
        </w:rPr>
        <w:t>Robert’s</w:t>
      </w:r>
      <w:r w:rsidR="00ED5C43">
        <w:rPr>
          <w:kern w:val="0"/>
          <w14:ligatures w14:val="none"/>
        </w:rPr>
        <w:t xml:space="preserve"> </w:t>
      </w:r>
      <w:r w:rsidR="00ED5C43" w:rsidRPr="003662D3">
        <w:rPr>
          <w:i/>
          <w:iCs/>
          <w:kern w:val="0"/>
          <w14:ligatures w14:val="none"/>
        </w:rPr>
        <w:t>vita</w:t>
      </w:r>
      <w:r w:rsidR="00ED5C43">
        <w:rPr>
          <w:kern w:val="0"/>
          <w14:ligatures w14:val="none"/>
        </w:rPr>
        <w:t xml:space="preserve"> transforms Gwenfrewy's body into a public spectacle</w:t>
      </w:r>
      <w:r>
        <w:rPr>
          <w:kern w:val="0"/>
          <w14:ligatures w14:val="none"/>
        </w:rPr>
        <w:t>, further reinforcing Winward’s suggestion that she functions as an extension of Beuno, the male saint.</w:t>
      </w:r>
      <w:r w:rsidR="00CF0B95">
        <w:rPr>
          <w:rStyle w:val="FootnoteReference"/>
          <w:kern w:val="0"/>
          <w14:ligatures w14:val="none"/>
        </w:rPr>
        <w:footnoteReference w:id="24"/>
      </w:r>
      <w:r>
        <w:rPr>
          <w:kern w:val="0"/>
          <w14:ligatures w14:val="none"/>
        </w:rPr>
        <w:t xml:space="preserve"> </w:t>
      </w:r>
      <w:r w:rsidR="00612580">
        <w:rPr>
          <w:kern w:val="0"/>
          <w14:ligatures w14:val="none"/>
        </w:rPr>
        <w:t>This suggests that</w:t>
      </w:r>
      <w:r>
        <w:rPr>
          <w:kern w:val="0"/>
          <w14:ligatures w14:val="none"/>
        </w:rPr>
        <w:t xml:space="preserve"> </w:t>
      </w:r>
      <w:proofErr w:type="spellStart"/>
      <w:r>
        <w:rPr>
          <w:kern w:val="0"/>
          <w14:ligatures w14:val="none"/>
        </w:rPr>
        <w:t>Gwenfrewy</w:t>
      </w:r>
      <w:proofErr w:type="spellEnd"/>
      <w:r>
        <w:rPr>
          <w:kern w:val="0"/>
          <w14:ligatures w14:val="none"/>
        </w:rPr>
        <w:t xml:space="preserve">, although the primary subject of the </w:t>
      </w:r>
      <w:r w:rsidRPr="00085562">
        <w:rPr>
          <w:i/>
          <w:iCs/>
          <w:kern w:val="0"/>
          <w14:ligatures w14:val="none"/>
        </w:rPr>
        <w:t>vita</w:t>
      </w:r>
      <w:r>
        <w:rPr>
          <w:kern w:val="0"/>
          <w14:ligatures w14:val="none"/>
        </w:rPr>
        <w:t xml:space="preserve">, remains secondary </w:t>
      </w:r>
      <w:r w:rsidR="003910B2">
        <w:rPr>
          <w:kern w:val="0"/>
          <w14:ligatures w14:val="none"/>
        </w:rPr>
        <w:t>to both the</w:t>
      </w:r>
      <w:r>
        <w:rPr>
          <w:kern w:val="0"/>
          <w14:ligatures w14:val="none"/>
        </w:rPr>
        <w:t xml:space="preserve"> </w:t>
      </w:r>
      <w:r w:rsidR="003910B2">
        <w:rPr>
          <w:kern w:val="0"/>
          <w14:ligatures w14:val="none"/>
        </w:rPr>
        <w:t>authoritative male figure and</w:t>
      </w:r>
      <w:r>
        <w:rPr>
          <w:kern w:val="0"/>
          <w14:ligatures w14:val="none"/>
        </w:rPr>
        <w:t xml:space="preserve"> to the subsequent miracle performed upon </w:t>
      </w:r>
      <w:r w:rsidR="003910B2">
        <w:rPr>
          <w:kern w:val="0"/>
          <w14:ligatures w14:val="none"/>
        </w:rPr>
        <w:t>her</w:t>
      </w:r>
      <w:r w:rsidR="00D859B5">
        <w:rPr>
          <w:kern w:val="0"/>
          <w14:ligatures w14:val="none"/>
        </w:rPr>
        <w:t xml:space="preserve"> remains</w:t>
      </w:r>
      <w:r>
        <w:rPr>
          <w:kern w:val="0"/>
          <w14:ligatures w14:val="none"/>
        </w:rPr>
        <w:t xml:space="preserve">. </w:t>
      </w:r>
      <w:r w:rsidR="004433D4">
        <w:rPr>
          <w:kern w:val="0"/>
          <w14:ligatures w14:val="none"/>
        </w:rPr>
        <w:t>In this context, she is</w:t>
      </w:r>
      <w:r w:rsidR="00FF225B">
        <w:rPr>
          <w:kern w:val="0"/>
          <w14:ligatures w14:val="none"/>
        </w:rPr>
        <w:t xml:space="preserve"> </w:t>
      </w:r>
      <w:r>
        <w:rPr>
          <w:kern w:val="0"/>
          <w14:ligatures w14:val="none"/>
        </w:rPr>
        <w:t xml:space="preserve">physically punished by Caradog for the little agency afforded her in Robert’s </w:t>
      </w:r>
      <w:r w:rsidR="00AA7CC2" w:rsidRPr="00085562">
        <w:rPr>
          <w:i/>
          <w:iCs/>
          <w:kern w:val="0"/>
          <w14:ligatures w14:val="none"/>
        </w:rPr>
        <w:t>vita</w:t>
      </w:r>
      <w:r w:rsidR="00AA7CC2">
        <w:rPr>
          <w:kern w:val="0"/>
          <w14:ligatures w14:val="none"/>
        </w:rPr>
        <w:t xml:space="preserve"> and</w:t>
      </w:r>
      <w:r>
        <w:rPr>
          <w:kern w:val="0"/>
          <w14:ligatures w14:val="none"/>
        </w:rPr>
        <w:t xml:space="preserve"> remains a passive victim as</w:t>
      </w:r>
      <w:r w:rsidR="00EC66B7">
        <w:rPr>
          <w:kern w:val="0"/>
          <w14:ligatures w14:val="none"/>
        </w:rPr>
        <w:t xml:space="preserve"> a miracle is performed on her body, </w:t>
      </w:r>
      <w:r w:rsidR="004433D4">
        <w:rPr>
          <w:kern w:val="0"/>
          <w14:ligatures w14:val="none"/>
        </w:rPr>
        <w:t>reduc</w:t>
      </w:r>
      <w:r w:rsidR="00C321E1">
        <w:rPr>
          <w:kern w:val="0"/>
          <w14:ligatures w14:val="none"/>
        </w:rPr>
        <w:t xml:space="preserve">ing her </w:t>
      </w:r>
      <w:r w:rsidR="004433D4">
        <w:rPr>
          <w:kern w:val="0"/>
          <w14:ligatures w14:val="none"/>
        </w:rPr>
        <w:t>to a spectator of her own martyrdom.</w:t>
      </w:r>
      <w:r w:rsidR="007B41DB">
        <w:rPr>
          <w:kern w:val="0"/>
          <w14:ligatures w14:val="none"/>
        </w:rPr>
        <w:t xml:space="preserve"> </w:t>
      </w:r>
      <w:r w:rsidR="00F12C11">
        <w:rPr>
          <w:kern w:val="0"/>
          <w14:ligatures w14:val="none"/>
        </w:rPr>
        <w:t>However,</w:t>
      </w:r>
      <w:r w:rsidR="007B41DB">
        <w:rPr>
          <w:kern w:val="0"/>
          <w14:ligatures w14:val="none"/>
        </w:rPr>
        <w:t xml:space="preserve"> </w:t>
      </w:r>
      <w:r w:rsidR="00F12C11">
        <w:rPr>
          <w:kern w:val="0"/>
          <w14:ligatures w14:val="none"/>
        </w:rPr>
        <w:t>Jane Cartwright</w:t>
      </w:r>
      <w:r w:rsidR="00C334CB">
        <w:rPr>
          <w:kern w:val="0"/>
          <w14:ligatures w14:val="none"/>
        </w:rPr>
        <w:t xml:space="preserve"> argues that </w:t>
      </w:r>
      <w:proofErr w:type="spellStart"/>
      <w:r w:rsidR="008B10F4">
        <w:rPr>
          <w:kern w:val="0"/>
          <w14:ligatures w14:val="none"/>
        </w:rPr>
        <w:t>Gwenfrewy’s</w:t>
      </w:r>
      <w:proofErr w:type="spellEnd"/>
      <w:r w:rsidR="008B10F4">
        <w:rPr>
          <w:kern w:val="0"/>
          <w14:ligatures w14:val="none"/>
        </w:rPr>
        <w:t xml:space="preserve"> </w:t>
      </w:r>
      <w:r w:rsidR="000D47E1">
        <w:rPr>
          <w:kern w:val="0"/>
          <w14:ligatures w14:val="none"/>
        </w:rPr>
        <w:t>refusal to submit to Caradog and his sexual advances</w:t>
      </w:r>
      <w:r w:rsidR="008B10F4">
        <w:rPr>
          <w:kern w:val="0"/>
          <w14:ligatures w14:val="none"/>
        </w:rPr>
        <w:t xml:space="preserve">, and subsequent decapitation, </w:t>
      </w:r>
      <w:r w:rsidR="000D47E1">
        <w:rPr>
          <w:kern w:val="0"/>
          <w14:ligatures w14:val="none"/>
        </w:rPr>
        <w:t>are both displays of her agency.</w:t>
      </w:r>
      <w:r w:rsidR="00895D16">
        <w:rPr>
          <w:kern w:val="0"/>
          <w14:ligatures w14:val="none"/>
        </w:rPr>
        <w:t xml:space="preserve"> Cartwright cites </w:t>
      </w:r>
      <w:proofErr w:type="spellStart"/>
      <w:r w:rsidR="00895D16">
        <w:rPr>
          <w:kern w:val="0"/>
          <w14:ligatures w14:val="none"/>
        </w:rPr>
        <w:t>Giraldus</w:t>
      </w:r>
      <w:proofErr w:type="spellEnd"/>
      <w:r w:rsidR="00895D16">
        <w:rPr>
          <w:kern w:val="0"/>
          <w14:ligatures w14:val="none"/>
        </w:rPr>
        <w:t xml:space="preserve"> </w:t>
      </w:r>
      <w:proofErr w:type="spellStart"/>
      <w:r w:rsidR="00895D16">
        <w:rPr>
          <w:kern w:val="0"/>
          <w14:ligatures w14:val="none"/>
        </w:rPr>
        <w:t>Cambrensis</w:t>
      </w:r>
      <w:proofErr w:type="spellEnd"/>
      <w:r w:rsidR="00895D16">
        <w:rPr>
          <w:kern w:val="0"/>
          <w14:ligatures w14:val="none"/>
        </w:rPr>
        <w:t xml:space="preserve">’ writings on St Eluned, another female saint who was </w:t>
      </w:r>
      <w:r w:rsidR="00895D16">
        <w:rPr>
          <w:kern w:val="0"/>
          <w14:ligatures w14:val="none"/>
        </w:rPr>
        <w:lastRenderedPageBreak/>
        <w:t xml:space="preserve">beheaded by an unwanted pursuer. </w:t>
      </w:r>
      <w:r w:rsidR="000758AA">
        <w:rPr>
          <w:kern w:val="0"/>
          <w14:ligatures w14:val="none"/>
        </w:rPr>
        <w:t xml:space="preserve">Here, </w:t>
      </w:r>
      <w:r w:rsidR="00895D16">
        <w:rPr>
          <w:kern w:val="0"/>
          <w14:ligatures w14:val="none"/>
        </w:rPr>
        <w:t>Eluned’s refusal of a secular suitor is referred to as “triumphing in an ecstasy of self-denial.</w:t>
      </w:r>
      <w:r w:rsidR="00B45D9C">
        <w:rPr>
          <w:kern w:val="0"/>
          <w14:ligatures w14:val="none"/>
        </w:rPr>
        <w:t>”</w:t>
      </w:r>
      <w:r w:rsidR="00895D16">
        <w:rPr>
          <w:rStyle w:val="FootnoteReference"/>
          <w:kern w:val="0"/>
          <w14:ligatures w14:val="none"/>
        </w:rPr>
        <w:footnoteReference w:id="25"/>
      </w:r>
      <w:r w:rsidR="00895D16">
        <w:rPr>
          <w:kern w:val="0"/>
          <w14:ligatures w14:val="none"/>
        </w:rPr>
        <w:t xml:space="preserve"> In this context, both Eluned and </w:t>
      </w:r>
      <w:proofErr w:type="spellStart"/>
      <w:r w:rsidR="00895D16">
        <w:rPr>
          <w:kern w:val="0"/>
          <w14:ligatures w14:val="none"/>
        </w:rPr>
        <w:t>Gwenfrewy</w:t>
      </w:r>
      <w:proofErr w:type="spellEnd"/>
      <w:r w:rsidR="00895D16">
        <w:rPr>
          <w:kern w:val="0"/>
          <w14:ligatures w14:val="none"/>
        </w:rPr>
        <w:t xml:space="preserve"> are active participants in their own martyrdom </w:t>
      </w:r>
      <w:r w:rsidR="00D34A5C">
        <w:rPr>
          <w:kern w:val="0"/>
          <w14:ligatures w14:val="none"/>
        </w:rPr>
        <w:t>and, consequently, their elevation to sanctity.</w:t>
      </w:r>
    </w:p>
    <w:p w14:paraId="6C14FD06" w14:textId="77777777" w:rsidR="00057CCD" w:rsidRDefault="00057CCD" w:rsidP="00F77B45">
      <w:pPr>
        <w:spacing w:line="360" w:lineRule="auto"/>
        <w:jc w:val="both"/>
        <w:rPr>
          <w:kern w:val="0"/>
          <w14:ligatures w14:val="none"/>
        </w:rPr>
      </w:pPr>
    </w:p>
    <w:p w14:paraId="7B7B5FEC" w14:textId="64018A9F" w:rsidR="0094443B" w:rsidRDefault="005D08A0" w:rsidP="00F77B45">
      <w:pPr>
        <w:spacing w:line="360" w:lineRule="auto"/>
        <w:jc w:val="both"/>
      </w:pPr>
      <w:r>
        <w:t xml:space="preserve">The immediate aftermath of </w:t>
      </w:r>
      <w:proofErr w:type="spellStart"/>
      <w:r>
        <w:t>Gwenfrewy’s</w:t>
      </w:r>
      <w:proofErr w:type="spellEnd"/>
      <w:r>
        <w:t xml:space="preserve"> martyrdom differs between the </w:t>
      </w:r>
      <w:r w:rsidRPr="005D08A0">
        <w:rPr>
          <w:i/>
          <w:iCs/>
        </w:rPr>
        <w:t>vitae</w:t>
      </w:r>
      <w:r>
        <w:t xml:space="preserve"> in question.</w:t>
      </w:r>
      <w:r w:rsidR="00A16921">
        <w:t xml:space="preserve"> The VSW is consistently brie</w:t>
      </w:r>
      <w:r w:rsidR="007E1DB3">
        <w:t>f</w:t>
      </w:r>
      <w:r w:rsidR="00A16921">
        <w:t xml:space="preserve">. It </w:t>
      </w:r>
      <w:r>
        <w:t>describes Beuno cursing Caradog, which causes him to melt, “as wax before fire.”</w:t>
      </w:r>
      <w:r>
        <w:rPr>
          <w:rStyle w:val="FootnoteReference"/>
        </w:rPr>
        <w:footnoteReference w:id="26"/>
      </w:r>
      <w:r w:rsidR="00830B3F">
        <w:t xml:space="preserve"> Beuno returns Gwenfrewy’s head to her body, and following a prayer to God, her head becomes one with her body, leaving behind only a faint white scar. </w:t>
      </w:r>
      <w:r w:rsidR="00C63FF1">
        <w:t xml:space="preserve">Robert’s </w:t>
      </w:r>
      <w:r w:rsidR="00C63FF1" w:rsidRPr="00C63FF1">
        <w:rPr>
          <w:i/>
          <w:iCs/>
        </w:rPr>
        <w:t>vita</w:t>
      </w:r>
      <w:r w:rsidR="00C63FF1">
        <w:t>, of course, offers far more detail.</w:t>
      </w:r>
      <w:r w:rsidR="00225EC7">
        <w:t xml:space="preserve"> Beuno finds Caradog wiping </w:t>
      </w:r>
      <w:proofErr w:type="spellStart"/>
      <w:r w:rsidR="00225EC7">
        <w:t>Gwenfrewy’s</w:t>
      </w:r>
      <w:proofErr w:type="spellEnd"/>
      <w:r w:rsidR="00225EC7">
        <w:t xml:space="preserve"> blood from his sword, seemingly indifferent to the act he had moments before committed. </w:t>
      </w:r>
      <w:r w:rsidR="00AA3050">
        <w:t>The saint confronts Caradog with Gwenfrewy’s head in his hands, and Caradog instantly dies, melts, and is “swallowed up by the gaping earth and had sunk his soul into the abyss.”</w:t>
      </w:r>
      <w:r w:rsidR="00592FA0">
        <w:rPr>
          <w:rStyle w:val="FootnoteReference"/>
        </w:rPr>
        <w:footnoteReference w:id="27"/>
      </w:r>
      <w:r w:rsidR="005F56E5">
        <w:t xml:space="preserve"> According to Robert, Beuno places Gwenfrewy’s head with her body and covers it with his cloak. The Mass continues, and only when it is finished does Beuno implore the congregation to pray to God for her resurrection</w:t>
      </w:r>
      <w:r w:rsidR="002E3D92">
        <w:t xml:space="preserve">, to which </w:t>
      </w:r>
      <w:proofErr w:type="spellStart"/>
      <w:r w:rsidR="002E3D92">
        <w:t>Gwenfrewy</w:t>
      </w:r>
      <w:proofErr w:type="spellEnd"/>
      <w:r w:rsidR="002E3D92">
        <w:t xml:space="preserve"> rises from her death as though she had been asleep, a thin scar around her neck where her head had been decapitated.</w:t>
      </w:r>
      <w:r w:rsidR="00E45A23">
        <w:t xml:space="preserve"> </w:t>
      </w:r>
      <w:r w:rsidR="00011599">
        <w:t xml:space="preserve">Both </w:t>
      </w:r>
      <w:r w:rsidR="00011599" w:rsidRPr="00011599">
        <w:rPr>
          <w:i/>
          <w:iCs/>
        </w:rPr>
        <w:t>vitae</w:t>
      </w:r>
      <w:r w:rsidR="00011599">
        <w:t xml:space="preserve"> </w:t>
      </w:r>
      <w:r w:rsidR="00354C0A">
        <w:t xml:space="preserve">evidently </w:t>
      </w:r>
      <w:r w:rsidR="00011599">
        <w:t>agree that</w:t>
      </w:r>
      <w:r w:rsidR="00354C0A">
        <w:t xml:space="preserve"> violating a virgin will invoke divine punishment.</w:t>
      </w:r>
      <w:r w:rsidR="00011599">
        <w:t xml:space="preserve"> </w:t>
      </w:r>
    </w:p>
    <w:p w14:paraId="0E1B0EA9" w14:textId="77777777" w:rsidR="00FE0391" w:rsidRDefault="00FE0391" w:rsidP="00F77B45">
      <w:pPr>
        <w:spacing w:line="360" w:lineRule="auto"/>
        <w:jc w:val="both"/>
      </w:pPr>
    </w:p>
    <w:p w14:paraId="57F013D4" w14:textId="5BE52AD4" w:rsidR="00B45DB2" w:rsidRDefault="0094443B" w:rsidP="00F77B45">
      <w:pPr>
        <w:spacing w:line="360" w:lineRule="auto"/>
        <w:jc w:val="both"/>
      </w:pPr>
      <w:r>
        <w:t xml:space="preserve">Karen </w:t>
      </w:r>
      <w:r w:rsidR="00B02ED2">
        <w:t>Winstead argues that the body of the virgin</w:t>
      </w:r>
      <w:r w:rsidR="002D61E9">
        <w:t xml:space="preserve">, mutilated and </w:t>
      </w:r>
      <w:r w:rsidR="00B70E7E">
        <w:t>made whole</w:t>
      </w:r>
      <w:r w:rsidR="002D61E9">
        <w:t xml:space="preserve">, </w:t>
      </w:r>
      <w:r w:rsidR="00F91F3B">
        <w:t>is reminiscent of the Eucharist</w:t>
      </w:r>
      <w:r w:rsidR="00270E5A">
        <w:t xml:space="preserve">, as the bread resembling Christ’s body is fragmented but remains resembling </w:t>
      </w:r>
      <w:r w:rsidR="003131A8">
        <w:t>his</w:t>
      </w:r>
      <w:r w:rsidR="00270E5A">
        <w:t xml:space="preserve"> whole body</w:t>
      </w:r>
      <w:r w:rsidR="00F91F3B">
        <w:t>.</w:t>
      </w:r>
      <w:r w:rsidR="00E06731">
        <w:rPr>
          <w:rStyle w:val="FootnoteReference"/>
        </w:rPr>
        <w:footnoteReference w:id="28"/>
      </w:r>
      <w:r w:rsidR="00E06731">
        <w:t xml:space="preserve"> </w:t>
      </w:r>
      <w:r w:rsidR="00807538">
        <w:t xml:space="preserve">In this context, Gwenfrewy, who is fragmented by decapitation and then made whole through resurrection, resembles the Eucharist. </w:t>
      </w:r>
      <w:r>
        <w:t xml:space="preserve">Winstead recognises the paradoxical nature of these virgins’ becoming saints, in which </w:t>
      </w:r>
      <w:r>
        <w:lastRenderedPageBreak/>
        <w:t>the instruments of their torture become indicative of their identity.</w:t>
      </w:r>
      <w:r>
        <w:rPr>
          <w:rStyle w:val="FootnoteReference"/>
        </w:rPr>
        <w:footnoteReference w:id="29"/>
      </w:r>
      <w:r w:rsidR="009C30C6">
        <w:t xml:space="preserve"> In the case of </w:t>
      </w:r>
      <w:proofErr w:type="spellStart"/>
      <w:r w:rsidR="009C30C6">
        <w:t>Gwenfrewy</w:t>
      </w:r>
      <w:proofErr w:type="spellEnd"/>
      <w:r w:rsidR="009C30C6">
        <w:t xml:space="preserve">, the sword used by Caradog to decapitate her is a phallic image. </w:t>
      </w:r>
      <w:r w:rsidR="003677F7">
        <w:t>Her body has been denied to him sexually,</w:t>
      </w:r>
      <w:r w:rsidR="009C30C6">
        <w:t xml:space="preserve"> and </w:t>
      </w:r>
      <w:r w:rsidR="00FE0391">
        <w:t xml:space="preserve">thus, </w:t>
      </w:r>
      <w:r w:rsidR="009C30C6">
        <w:t xml:space="preserve">he turns to violence. </w:t>
      </w:r>
      <w:r w:rsidR="00A97FEB">
        <w:t xml:space="preserve">Caradog’s decision to behead her is particularly </w:t>
      </w:r>
      <w:r w:rsidR="00663959">
        <w:t>interesting</w:t>
      </w:r>
      <w:r w:rsidR="00A97FEB">
        <w:t>, as Kathleen Coyne Kelly notes that</w:t>
      </w:r>
      <w:r w:rsidR="00663959">
        <w:t xml:space="preserve"> during the age of antiquity, the neck, or rather the throat, was deemed to “</w:t>
      </w:r>
      <w:r w:rsidR="00663959" w:rsidRPr="00663959">
        <w:t>be homologous to the neck of the uterus</w:t>
      </w:r>
      <w:r w:rsidR="00663959">
        <w:t>.”</w:t>
      </w:r>
      <w:r w:rsidR="00663959">
        <w:rPr>
          <w:rStyle w:val="FootnoteReference"/>
        </w:rPr>
        <w:footnoteReference w:id="30"/>
      </w:r>
      <w:r w:rsidR="00EE7A76">
        <w:t xml:space="preserve"> Gwenfrewy’s martyrdom is also an attempt to silence her, as the throat is “the site of the voice.”</w:t>
      </w:r>
      <w:r w:rsidR="00EE7A76">
        <w:rPr>
          <w:rStyle w:val="FootnoteReference"/>
        </w:rPr>
        <w:footnoteReference w:id="31"/>
      </w:r>
      <w:r w:rsidR="00EE7A76">
        <w:t xml:space="preserve"> </w:t>
      </w:r>
      <w:r w:rsidR="00563095">
        <w:t xml:space="preserve">However, her resurrection suggests </w:t>
      </w:r>
      <w:r w:rsidR="007976FD">
        <w:t>Caradog's</w:t>
      </w:r>
      <w:r w:rsidR="00563095">
        <w:t xml:space="preserve"> failure to domesticate her spiritual agency. </w:t>
      </w:r>
      <w:r w:rsidR="00F40560">
        <w:t xml:space="preserve">Instead, Caradog provides </w:t>
      </w:r>
      <w:proofErr w:type="spellStart"/>
      <w:r w:rsidR="00F40560">
        <w:t>Gwenfrewy</w:t>
      </w:r>
      <w:proofErr w:type="spellEnd"/>
      <w:r w:rsidR="00F40560">
        <w:t xml:space="preserve"> with a permanent </w:t>
      </w:r>
      <w:r w:rsidR="0063659F">
        <w:t>“emblem”</w:t>
      </w:r>
      <w:r w:rsidR="0063659F">
        <w:rPr>
          <w:rStyle w:val="FootnoteReference"/>
        </w:rPr>
        <w:footnoteReference w:id="32"/>
      </w:r>
      <w:r w:rsidR="000D4190">
        <w:t>:</w:t>
      </w:r>
      <w:r w:rsidR="00BC7942">
        <w:t xml:space="preserve"> the scar on her neck where he struck her with his sword</w:t>
      </w:r>
      <w:r w:rsidR="00116703">
        <w:t xml:space="preserve"> </w:t>
      </w:r>
      <w:r w:rsidR="000D4190">
        <w:t xml:space="preserve">becomes an iconographic mark of her transition from a mortal woman to a saint. </w:t>
      </w:r>
    </w:p>
    <w:p w14:paraId="687EC470" w14:textId="77777777" w:rsidR="00F41E4B" w:rsidRDefault="00F41E4B" w:rsidP="00F77B45">
      <w:pPr>
        <w:spacing w:line="360" w:lineRule="auto"/>
        <w:jc w:val="both"/>
      </w:pPr>
    </w:p>
    <w:p w14:paraId="20EE2045" w14:textId="59C0CF52" w:rsidR="00FD11C8" w:rsidRDefault="003623AB" w:rsidP="00F77B45">
      <w:pPr>
        <w:spacing w:line="360" w:lineRule="auto"/>
        <w:jc w:val="both"/>
      </w:pPr>
      <w:r>
        <w:t xml:space="preserve">It is agreed in both </w:t>
      </w:r>
      <w:r w:rsidRPr="003623AB">
        <w:rPr>
          <w:i/>
          <w:iCs/>
        </w:rPr>
        <w:t>vitae</w:t>
      </w:r>
      <w:r>
        <w:t xml:space="preserve"> that a well had sprung from where </w:t>
      </w:r>
      <w:proofErr w:type="spellStart"/>
      <w:r>
        <w:t>Gwenfrewy’s</w:t>
      </w:r>
      <w:proofErr w:type="spellEnd"/>
      <w:r>
        <w:t xml:space="preserve"> severed head fell</w:t>
      </w:r>
      <w:r w:rsidR="00501EA7">
        <w:t xml:space="preserve">. </w:t>
      </w:r>
      <w:r w:rsidR="005B5A3E">
        <w:t xml:space="preserve">Following the emerging popularity of </w:t>
      </w:r>
      <w:proofErr w:type="spellStart"/>
      <w:r w:rsidR="005B5A3E">
        <w:t>Gwenfrewy’s</w:t>
      </w:r>
      <w:proofErr w:type="spellEnd"/>
      <w:r w:rsidR="005B5A3E">
        <w:t xml:space="preserve"> cult in the 12</w:t>
      </w:r>
      <w:r w:rsidR="005B5A3E" w:rsidRPr="00E35CEF">
        <w:rPr>
          <w:vertAlign w:val="superscript"/>
        </w:rPr>
        <w:t>th</w:t>
      </w:r>
      <w:r w:rsidR="005B5A3E">
        <w:t xml:space="preserve"> century, no doubt thanks to the </w:t>
      </w:r>
      <w:r w:rsidR="005B5A3E" w:rsidRPr="00E35CEF">
        <w:rPr>
          <w:i/>
          <w:iCs/>
        </w:rPr>
        <w:t>vitae</w:t>
      </w:r>
      <w:r w:rsidR="005B5A3E">
        <w:t xml:space="preserve"> in question, the well gained a reputation for being a “curative shrine.”</w:t>
      </w:r>
      <w:r w:rsidR="005B5A3E">
        <w:rPr>
          <w:rStyle w:val="FootnoteReference"/>
        </w:rPr>
        <w:footnoteReference w:id="33"/>
      </w:r>
      <w:r w:rsidR="005B5A3E">
        <w:t xml:space="preserve"> </w:t>
      </w:r>
      <w:proofErr w:type="spellStart"/>
      <w:r w:rsidR="005B5A3E">
        <w:t>Gwenfrewy’s</w:t>
      </w:r>
      <w:proofErr w:type="spellEnd"/>
      <w:r w:rsidR="005B5A3E">
        <w:t xml:space="preserve"> Well provides physical restoration to the community and visiting pilgrims. Elissa Henken notes that these saintly wells would be used as “intermediary agents.”</w:t>
      </w:r>
      <w:r w:rsidR="005B5A3E">
        <w:rPr>
          <w:rStyle w:val="FootnoteReference"/>
        </w:rPr>
        <w:footnoteReference w:id="34"/>
      </w:r>
      <w:r w:rsidR="005B5A3E">
        <w:t xml:space="preserve"> In this context, the well would allow continued access to </w:t>
      </w:r>
      <w:proofErr w:type="spellStart"/>
      <w:r w:rsidR="005B5A3E">
        <w:t>Gwenfrewy’s</w:t>
      </w:r>
      <w:proofErr w:type="spellEnd"/>
      <w:r w:rsidR="005B5A3E">
        <w:t xml:space="preserve"> “supernatural powers”</w:t>
      </w:r>
      <w:r w:rsidR="005B5A3E">
        <w:rPr>
          <w:rStyle w:val="FootnoteReference"/>
        </w:rPr>
        <w:footnoteReference w:id="35"/>
      </w:r>
      <w:r w:rsidR="005B5A3E">
        <w:t xml:space="preserve"> in the absence of </w:t>
      </w:r>
      <w:proofErr w:type="spellStart"/>
      <w:r w:rsidR="005B5A3E">
        <w:t>Gwenfrewy</w:t>
      </w:r>
      <w:proofErr w:type="spellEnd"/>
      <w:r w:rsidR="005B5A3E">
        <w:t xml:space="preserve"> herself or her relics. </w:t>
      </w:r>
      <w:r w:rsidR="00EC6669">
        <w:t xml:space="preserve">The stones of the well are described in both </w:t>
      </w:r>
      <w:r w:rsidR="00EC6669" w:rsidRPr="00077FA1">
        <w:rPr>
          <w:i/>
          <w:iCs/>
        </w:rPr>
        <w:t>vitae</w:t>
      </w:r>
      <w:r w:rsidR="00EC6669">
        <w:t xml:space="preserve"> as being marked with </w:t>
      </w:r>
      <w:proofErr w:type="spellStart"/>
      <w:r w:rsidR="00EC6669">
        <w:t>Gwenfrewy’s</w:t>
      </w:r>
      <w:proofErr w:type="spellEnd"/>
      <w:r w:rsidR="00EC6669">
        <w:t xml:space="preserve"> blood from her decapitation, and the moss, likened to her hair,</w:t>
      </w:r>
      <w:r w:rsidR="00EC6669">
        <w:rPr>
          <w:rStyle w:val="FootnoteReference"/>
        </w:rPr>
        <w:footnoteReference w:id="36"/>
      </w:r>
      <w:r w:rsidR="00EC6669">
        <w:t xml:space="preserve"> as smelling of incense.</w:t>
      </w:r>
      <w:r w:rsidR="00C931C1">
        <w:t xml:space="preserve"> Here, the blood and the moss </w:t>
      </w:r>
      <w:r w:rsidR="000F38BE">
        <w:t>serve</w:t>
      </w:r>
      <w:r w:rsidR="00C931C1">
        <w:t xml:space="preserve"> as iconography</w:t>
      </w:r>
      <w:r w:rsidR="000F38BE">
        <w:t xml:space="preserve"> for pilgrims to witness and acknowledge </w:t>
      </w:r>
      <w:proofErr w:type="spellStart"/>
      <w:r w:rsidR="000F38BE">
        <w:t>Gwenfrewy's</w:t>
      </w:r>
      <w:proofErr w:type="spellEnd"/>
      <w:r w:rsidR="000F38BE">
        <w:t xml:space="preserve"> presence. </w:t>
      </w:r>
      <w:r w:rsidR="00D6008F">
        <w:t xml:space="preserve">The 12th century, in which </w:t>
      </w:r>
      <w:proofErr w:type="spellStart"/>
      <w:r w:rsidR="00D6008F">
        <w:t>Gwenfrewy’s</w:t>
      </w:r>
      <w:proofErr w:type="spellEnd"/>
      <w:r w:rsidR="00D6008F">
        <w:t xml:space="preserve"> </w:t>
      </w:r>
      <w:r w:rsidR="00D6008F" w:rsidRPr="00732DC4">
        <w:rPr>
          <w:i/>
          <w:iCs/>
        </w:rPr>
        <w:t>vitae</w:t>
      </w:r>
      <w:r w:rsidR="00D6008F">
        <w:t xml:space="preserve"> were produced, saw the development of </w:t>
      </w:r>
      <w:r w:rsidR="00D6008F">
        <w:lastRenderedPageBreak/>
        <w:t>affective piety.</w:t>
      </w:r>
      <w:r w:rsidR="00D6008F">
        <w:rPr>
          <w:rStyle w:val="FootnoteReference"/>
        </w:rPr>
        <w:footnoteReference w:id="37"/>
      </w:r>
      <w:r w:rsidR="00D6008F">
        <w:t xml:space="preserve"> This meant that devotional traditions shifted to focus on Christ’s humanity, urging Christians to connect emotionally with the sacred. Michelle Sauer argues that, in the case of medieval manuscripts, many of their users believed that depictions and likenesses of Christian iconographic figures were essentially alive. </w:t>
      </w:r>
      <w:r w:rsidR="002831FB">
        <w:t>In her example, Sauer claims that a medieval user might touch an illustration of Christ in a manuscript, believing it to be “akin to touching a proxy of his body.”</w:t>
      </w:r>
      <w:r w:rsidR="002831FB">
        <w:rPr>
          <w:rStyle w:val="FootnoteReference"/>
        </w:rPr>
        <w:footnoteReference w:id="38"/>
      </w:r>
      <w:r w:rsidR="0051146F">
        <w:t xml:space="preserve"> In this context, </w:t>
      </w:r>
      <w:proofErr w:type="spellStart"/>
      <w:r w:rsidR="0051146F">
        <w:t>Gwenfrewy’s</w:t>
      </w:r>
      <w:proofErr w:type="spellEnd"/>
      <w:r w:rsidR="0051146F">
        <w:t xml:space="preserve"> Well might be considered the closest physical manifestation to </w:t>
      </w:r>
      <w:proofErr w:type="spellStart"/>
      <w:r w:rsidR="0051146F">
        <w:t>Gwenfrewy</w:t>
      </w:r>
      <w:proofErr w:type="spellEnd"/>
      <w:r w:rsidR="0051146F">
        <w:t xml:space="preserve"> herself</w:t>
      </w:r>
      <w:r w:rsidR="00905F93">
        <w:t xml:space="preserve"> and</w:t>
      </w:r>
      <w:r w:rsidR="000E5735">
        <w:t>,</w:t>
      </w:r>
      <w:r w:rsidR="00905F93">
        <w:t xml:space="preserve"> consequently, the physical manifestation of her </w:t>
      </w:r>
      <w:r w:rsidR="00392662">
        <w:t xml:space="preserve">saintly ability to heal. </w:t>
      </w:r>
      <w:r w:rsidR="00F90EFF">
        <w:t xml:space="preserve">This is furthered by the understanding of tactile piety, </w:t>
      </w:r>
      <w:r w:rsidR="00FD11C8">
        <w:t>which placed much emphasis on a pilgrim’s physical display of veneration.</w:t>
      </w:r>
      <w:r w:rsidR="00182E36">
        <w:t xml:space="preserve"> Dee Dyas describes this devotional tradition as revealing “an extraordinary degree of physicality at the heart of much Christian spirituality.”</w:t>
      </w:r>
      <w:r w:rsidR="00FF1CA0">
        <w:rPr>
          <w:rStyle w:val="FootnoteReference"/>
        </w:rPr>
        <w:footnoteReference w:id="39"/>
      </w:r>
    </w:p>
    <w:p w14:paraId="64188B3F" w14:textId="77777777" w:rsidR="00715C7F" w:rsidRDefault="00715C7F" w:rsidP="00F77B45">
      <w:pPr>
        <w:spacing w:line="360" w:lineRule="auto"/>
        <w:jc w:val="both"/>
      </w:pPr>
    </w:p>
    <w:p w14:paraId="24E89532" w14:textId="628E999D" w:rsidR="00856DC1" w:rsidRDefault="007D7358" w:rsidP="00F77B45">
      <w:pPr>
        <w:spacing w:line="360" w:lineRule="auto"/>
        <w:jc w:val="both"/>
        <w:rPr>
          <w:color w:val="000000"/>
        </w:rPr>
      </w:pPr>
      <w:r>
        <w:t xml:space="preserve">It is crucial to understand the significance of the authorship of both </w:t>
      </w:r>
      <w:r w:rsidRPr="000A62D8">
        <w:rPr>
          <w:i/>
          <w:iCs/>
        </w:rPr>
        <w:t>vitae</w:t>
      </w:r>
      <w:r>
        <w:t xml:space="preserve"> in question.</w:t>
      </w:r>
      <w:r w:rsidR="00EF6261">
        <w:t xml:space="preserve"> Prior Robert of Shrewsbury’s </w:t>
      </w:r>
      <w:r w:rsidR="00EF6261" w:rsidRPr="00EF6261">
        <w:rPr>
          <w:i/>
          <w:iCs/>
        </w:rPr>
        <w:t>vita</w:t>
      </w:r>
      <w:r w:rsidR="00EF6261">
        <w:t xml:space="preserve"> dates to </w:t>
      </w:r>
      <w:r w:rsidR="006C3579">
        <w:t>1138</w:t>
      </w:r>
      <w:r w:rsidR="00EF6261">
        <w:t xml:space="preserve">. </w:t>
      </w:r>
      <w:r w:rsidR="00B20D83">
        <w:t>Madeleine Gray</w:t>
      </w:r>
      <w:r w:rsidR="00D464FA">
        <w:t xml:space="preserve"> notes</w:t>
      </w:r>
      <w:r w:rsidR="0071777A">
        <w:t xml:space="preserve"> that, while the acquisition of </w:t>
      </w:r>
      <w:proofErr w:type="spellStart"/>
      <w:r w:rsidR="0071777A">
        <w:t>Gwenfrewy’s</w:t>
      </w:r>
      <w:proofErr w:type="spellEnd"/>
      <w:r w:rsidR="0071777A">
        <w:t xml:space="preserve"> relics, such as the exhumation of her body from its original burial in </w:t>
      </w:r>
      <w:proofErr w:type="spellStart"/>
      <w:r w:rsidR="0071777A">
        <w:t>Gwytherin</w:t>
      </w:r>
      <w:proofErr w:type="spellEnd"/>
      <w:r w:rsidR="00FB0988">
        <w:t xml:space="preserve">, was contested by locals, Robert </w:t>
      </w:r>
      <w:r w:rsidR="004D5180">
        <w:t xml:space="preserve">claimed to have </w:t>
      </w:r>
      <w:r w:rsidR="002E1D9B">
        <w:t xml:space="preserve">sought and received permission from the bishop of Bangor and the </w:t>
      </w:r>
      <w:r w:rsidR="009A2594">
        <w:t xml:space="preserve">local </w:t>
      </w:r>
      <w:r w:rsidR="002E1D9B">
        <w:t>prince, presumably Owain Gwynedd.</w:t>
      </w:r>
      <w:r w:rsidR="00B4263D">
        <w:t xml:space="preserve"> Gray suggests this was a rebuttal against “accusations of relic theft.”</w:t>
      </w:r>
      <w:r w:rsidR="00B4263D">
        <w:rPr>
          <w:rStyle w:val="FootnoteReference"/>
        </w:rPr>
        <w:footnoteReference w:id="40"/>
      </w:r>
      <w:r w:rsidR="00717545">
        <w:t xml:space="preserve"> The theft of saintly relics was otherwise known as </w:t>
      </w:r>
      <w:r w:rsidR="00717545">
        <w:rPr>
          <w:i/>
          <w:iCs/>
          <w:color w:val="000000"/>
        </w:rPr>
        <w:t>furta sacr</w:t>
      </w:r>
      <w:r w:rsidR="00717545">
        <w:rPr>
          <w:i/>
          <w:iCs/>
          <w:color w:val="000000"/>
        </w:rPr>
        <w:t xml:space="preserve">a. </w:t>
      </w:r>
      <w:r w:rsidR="0066527D">
        <w:rPr>
          <w:color w:val="000000"/>
        </w:rPr>
        <w:t xml:space="preserve">It was common to justify such theft </w:t>
      </w:r>
      <w:r w:rsidR="00B55145">
        <w:rPr>
          <w:color w:val="000000"/>
        </w:rPr>
        <w:t xml:space="preserve">in </w:t>
      </w:r>
      <w:r w:rsidR="00B55145">
        <w:rPr>
          <w:color w:val="000000"/>
        </w:rPr>
        <w:lastRenderedPageBreak/>
        <w:t xml:space="preserve">hagiographical texts, such as Robert’s </w:t>
      </w:r>
      <w:r w:rsidR="00B55145" w:rsidRPr="00B55145">
        <w:rPr>
          <w:i/>
          <w:iCs/>
          <w:color w:val="000000"/>
        </w:rPr>
        <w:t>vita</w:t>
      </w:r>
      <w:r w:rsidR="00160B0D">
        <w:rPr>
          <w:color w:val="000000"/>
        </w:rPr>
        <w:t>, and to utilise tropes that implied that the acquisition of the relics would “increase the relative value of the cult</w:t>
      </w:r>
      <w:r w:rsidR="00C81CA1">
        <w:rPr>
          <w:color w:val="000000"/>
        </w:rPr>
        <w:t>,</w:t>
      </w:r>
      <w:r w:rsidR="00160B0D">
        <w:rPr>
          <w:color w:val="000000"/>
        </w:rPr>
        <w:t>”</w:t>
      </w:r>
      <w:r w:rsidR="00160B0D">
        <w:rPr>
          <w:rStyle w:val="FootnoteReference"/>
          <w:color w:val="000000"/>
        </w:rPr>
        <w:footnoteReference w:id="41"/>
      </w:r>
      <w:r w:rsidR="00C81CA1">
        <w:rPr>
          <w:color w:val="000000"/>
        </w:rPr>
        <w:t xml:space="preserve"> ultimately </w:t>
      </w:r>
      <w:r w:rsidR="006E09A2">
        <w:rPr>
          <w:color w:val="000000"/>
        </w:rPr>
        <w:t>benefiting the new community in which the relics reside. Considering that Shrewsbury Abbey had begun construction in 1083, these relics would provide it with “</w:t>
      </w:r>
      <w:proofErr w:type="spellStart"/>
      <w:r w:rsidR="006E09A2">
        <w:rPr>
          <w:color w:val="000000"/>
        </w:rPr>
        <w:t>bravitas</w:t>
      </w:r>
      <w:proofErr w:type="spellEnd"/>
      <w:r w:rsidR="006E09A2">
        <w:rPr>
          <w:color w:val="000000"/>
        </w:rPr>
        <w:t xml:space="preserve"> and financial benefits.”</w:t>
      </w:r>
      <w:r w:rsidR="006E09A2">
        <w:rPr>
          <w:rStyle w:val="FootnoteReference"/>
          <w:color w:val="000000"/>
        </w:rPr>
        <w:footnoteReference w:id="42"/>
      </w:r>
      <w:r w:rsidR="00635006">
        <w:rPr>
          <w:color w:val="000000"/>
        </w:rPr>
        <w:t xml:space="preserve"> </w:t>
      </w:r>
      <w:r w:rsidR="00844B73">
        <w:rPr>
          <w:color w:val="000000"/>
        </w:rPr>
        <w:t>Patrick Geary argues, however, that the value of a relic is socially constructed by its community</w:t>
      </w:r>
      <w:r w:rsidR="00BB44E5">
        <w:rPr>
          <w:color w:val="000000"/>
        </w:rPr>
        <w:t>, and therefore it loses value when it is separated from its original locality.</w:t>
      </w:r>
      <w:r w:rsidR="00EE1F38">
        <w:rPr>
          <w:rStyle w:val="FootnoteReference"/>
          <w:color w:val="000000"/>
        </w:rPr>
        <w:footnoteReference w:id="43"/>
      </w:r>
      <w:r w:rsidR="00BB44E5">
        <w:rPr>
          <w:color w:val="000000"/>
        </w:rPr>
        <w:t xml:space="preserve"> Robert of Shrewsbury might have written the </w:t>
      </w:r>
      <w:r w:rsidR="00BB44E5" w:rsidRPr="00BB44E5">
        <w:rPr>
          <w:i/>
          <w:iCs/>
          <w:color w:val="000000"/>
        </w:rPr>
        <w:t>vita</w:t>
      </w:r>
      <w:r w:rsidR="00BB44E5">
        <w:rPr>
          <w:color w:val="000000"/>
        </w:rPr>
        <w:t xml:space="preserve"> </w:t>
      </w:r>
      <w:r w:rsidR="00EE1F38">
        <w:rPr>
          <w:color w:val="000000"/>
          <w:kern w:val="0"/>
          <w14:ligatures w14:val="none"/>
        </w:rPr>
        <w:t>to reassert the relic's value and ensure it would bring prestige and wealth to Shrewsbury</w:t>
      </w:r>
      <w:r w:rsidR="009759DC">
        <w:rPr>
          <w:color w:val="000000"/>
        </w:rPr>
        <w:t xml:space="preserve"> Abbey. </w:t>
      </w:r>
    </w:p>
    <w:p w14:paraId="2212B469" w14:textId="77777777" w:rsidR="00032820" w:rsidRDefault="00032820" w:rsidP="00F77B45">
      <w:pPr>
        <w:spacing w:line="360" w:lineRule="auto"/>
        <w:jc w:val="both"/>
        <w:rPr>
          <w:color w:val="000000"/>
        </w:rPr>
      </w:pPr>
    </w:p>
    <w:p w14:paraId="0CBF2750" w14:textId="284350A1" w:rsidR="00032820" w:rsidRDefault="008D4D91" w:rsidP="00F77B45">
      <w:pPr>
        <w:spacing w:line="360" w:lineRule="auto"/>
        <w:jc w:val="both"/>
        <w:rPr>
          <w:color w:val="000000"/>
        </w:rPr>
      </w:pPr>
      <w:r>
        <w:rPr>
          <w:color w:val="000000"/>
        </w:rPr>
        <w:t xml:space="preserve">In comparison, the identity author of the anonymous </w:t>
      </w:r>
      <w:r w:rsidRPr="008D4D91">
        <w:rPr>
          <w:i/>
          <w:iCs/>
          <w:color w:val="000000"/>
        </w:rPr>
        <w:t>VSW</w:t>
      </w:r>
      <w:r>
        <w:rPr>
          <w:color w:val="000000"/>
        </w:rPr>
        <w:t xml:space="preserve"> is highly contested among scholars. While some believe the author was Welsh, there are arguments that the author was a monk at </w:t>
      </w:r>
      <w:proofErr w:type="spellStart"/>
      <w:r>
        <w:rPr>
          <w:color w:val="000000"/>
        </w:rPr>
        <w:t>Basingwerk</w:t>
      </w:r>
      <w:proofErr w:type="spellEnd"/>
      <w:r>
        <w:rPr>
          <w:color w:val="000000"/>
        </w:rPr>
        <w:t xml:space="preserve"> Abbey, which would make the author likely Savignac-Norman, or that the </w:t>
      </w:r>
      <w:r w:rsidRPr="008D4D91">
        <w:rPr>
          <w:i/>
          <w:iCs/>
          <w:color w:val="000000"/>
        </w:rPr>
        <w:t>vita</w:t>
      </w:r>
      <w:r>
        <w:rPr>
          <w:color w:val="000000"/>
        </w:rPr>
        <w:t xml:space="preserve"> was written for a monk, but not necessarily by one.</w:t>
      </w:r>
      <w:r>
        <w:rPr>
          <w:rStyle w:val="FootnoteReference"/>
          <w:color w:val="000000"/>
        </w:rPr>
        <w:footnoteReference w:id="44"/>
      </w:r>
      <w:r w:rsidR="002A77A6">
        <w:rPr>
          <w:color w:val="000000"/>
        </w:rPr>
        <w:t xml:space="preserve"> Regardless of the author’s identity, there was a distinct difference between their writing and that of Robert of Shrewsbury.  </w:t>
      </w:r>
      <w:r w:rsidR="00FD6583">
        <w:rPr>
          <w:color w:val="000000"/>
        </w:rPr>
        <w:t>Robert’s account offers additional implications in the narrative that reflect the Church’s attempts to reassert 12</w:t>
      </w:r>
      <w:r w:rsidR="00FD6583" w:rsidRPr="00FD6583">
        <w:rPr>
          <w:color w:val="000000"/>
          <w:vertAlign w:val="superscript"/>
        </w:rPr>
        <w:t>th</w:t>
      </w:r>
      <w:r w:rsidR="00FD6583">
        <w:rPr>
          <w:color w:val="000000"/>
        </w:rPr>
        <w:t>-century expectations for women</w:t>
      </w:r>
      <w:r w:rsidR="00876876">
        <w:rPr>
          <w:color w:val="000000"/>
        </w:rPr>
        <w:t xml:space="preserve">, while the anonymous VSW perhaps offers a less sanitised account of </w:t>
      </w:r>
      <w:proofErr w:type="spellStart"/>
      <w:r w:rsidR="00876876">
        <w:rPr>
          <w:color w:val="000000"/>
        </w:rPr>
        <w:t>Gwenfrewy</w:t>
      </w:r>
      <w:proofErr w:type="spellEnd"/>
      <w:r w:rsidR="00876876">
        <w:rPr>
          <w:color w:val="000000"/>
        </w:rPr>
        <w:t xml:space="preserve">. </w:t>
      </w:r>
    </w:p>
    <w:p w14:paraId="08CFE6F5" w14:textId="77777777" w:rsidR="004200B5" w:rsidRDefault="004200B5" w:rsidP="00F77B45">
      <w:pPr>
        <w:spacing w:line="360" w:lineRule="auto"/>
        <w:jc w:val="both"/>
        <w:rPr>
          <w:color w:val="000000"/>
        </w:rPr>
      </w:pPr>
    </w:p>
    <w:p w14:paraId="5107CD2B" w14:textId="351C76A4" w:rsidR="00CC0671" w:rsidRDefault="00CC0671" w:rsidP="00F77B45">
      <w:pPr>
        <w:spacing w:line="360" w:lineRule="auto"/>
        <w:jc w:val="both"/>
        <w:rPr>
          <w:color w:val="000000"/>
        </w:rPr>
      </w:pPr>
      <w:r>
        <w:rPr>
          <w:color w:val="000000"/>
        </w:rPr>
        <w:t xml:space="preserve">Ultimately, </w:t>
      </w:r>
      <w:proofErr w:type="spellStart"/>
      <w:r>
        <w:rPr>
          <w:color w:val="000000"/>
        </w:rPr>
        <w:t>Gwenfrewy</w:t>
      </w:r>
      <w:proofErr w:type="spellEnd"/>
      <w:r>
        <w:rPr>
          <w:color w:val="000000"/>
        </w:rPr>
        <w:t xml:space="preserve"> is a figure whose martyrdom and subsequent sanctification are political tools. Robert of Shrewsbury illustrates </w:t>
      </w:r>
      <w:proofErr w:type="spellStart"/>
      <w:r>
        <w:rPr>
          <w:color w:val="000000"/>
        </w:rPr>
        <w:t>Gwenfrewy</w:t>
      </w:r>
      <w:proofErr w:type="spellEnd"/>
      <w:r>
        <w:rPr>
          <w:color w:val="000000"/>
        </w:rPr>
        <w:t xml:space="preserve"> as a passive victim to commodify her virginity as an achievable aspiration for medieval women, reflecting the social and religious expectations of women in the 12</w:t>
      </w:r>
      <w:r w:rsidRPr="00CC0671">
        <w:rPr>
          <w:color w:val="000000"/>
          <w:vertAlign w:val="superscript"/>
        </w:rPr>
        <w:t>th</w:t>
      </w:r>
      <w:r>
        <w:rPr>
          <w:color w:val="000000"/>
        </w:rPr>
        <w:t xml:space="preserve"> century. </w:t>
      </w:r>
      <w:r w:rsidR="006D5B90">
        <w:rPr>
          <w:color w:val="000000"/>
        </w:rPr>
        <w:t xml:space="preserve">This passivity allows </w:t>
      </w:r>
      <w:proofErr w:type="spellStart"/>
      <w:r w:rsidR="006D5B90">
        <w:rPr>
          <w:color w:val="000000"/>
        </w:rPr>
        <w:t>Gwenfrewy’s</w:t>
      </w:r>
      <w:proofErr w:type="spellEnd"/>
      <w:r w:rsidR="006D5B90">
        <w:rPr>
          <w:color w:val="000000"/>
        </w:rPr>
        <w:t xml:space="preserve"> image to be mediated by the monastery. </w:t>
      </w:r>
      <w:r w:rsidR="001D3F87">
        <w:rPr>
          <w:color w:val="000000"/>
        </w:rPr>
        <w:t xml:space="preserve">Robert’s </w:t>
      </w:r>
      <w:r w:rsidR="001D3F87" w:rsidRPr="001D3F87">
        <w:rPr>
          <w:i/>
          <w:iCs/>
          <w:color w:val="000000"/>
        </w:rPr>
        <w:t>vita</w:t>
      </w:r>
      <w:r w:rsidR="001D3F87">
        <w:rPr>
          <w:color w:val="000000"/>
        </w:rPr>
        <w:t xml:space="preserve"> aims to justify the relocation of her relics to ensure the prestige of Shrewsbury Abbey. </w:t>
      </w:r>
      <w:r w:rsidR="00106042">
        <w:rPr>
          <w:color w:val="000000"/>
        </w:rPr>
        <w:t xml:space="preserve">While the VSW’s </w:t>
      </w:r>
      <w:r w:rsidR="00106042">
        <w:rPr>
          <w:color w:val="000000"/>
        </w:rPr>
        <w:lastRenderedPageBreak/>
        <w:t xml:space="preserve">author is unknown, and much debate surrounds their identity, </w:t>
      </w:r>
      <w:r w:rsidR="00E413DD">
        <w:rPr>
          <w:color w:val="000000"/>
        </w:rPr>
        <w:t xml:space="preserve">it is possible to suggest that if they were a monk, writing or commissioning this </w:t>
      </w:r>
      <w:r w:rsidR="00E413DD" w:rsidRPr="00E413DD">
        <w:rPr>
          <w:i/>
          <w:iCs/>
          <w:color w:val="000000"/>
        </w:rPr>
        <w:t>vita</w:t>
      </w:r>
      <w:r w:rsidR="00E413DD">
        <w:rPr>
          <w:color w:val="000000"/>
        </w:rPr>
        <w:t xml:space="preserve"> could be an attempt to anchor </w:t>
      </w:r>
      <w:proofErr w:type="spellStart"/>
      <w:r w:rsidR="00E413DD">
        <w:rPr>
          <w:color w:val="000000"/>
        </w:rPr>
        <w:t>Gwenfrewy</w:t>
      </w:r>
      <w:proofErr w:type="spellEnd"/>
      <w:r w:rsidR="00E413DD">
        <w:rPr>
          <w:color w:val="000000"/>
        </w:rPr>
        <w:t xml:space="preserve"> to her homeland. Regardless, </w:t>
      </w:r>
      <w:proofErr w:type="gramStart"/>
      <w:r w:rsidR="00E413DD">
        <w:rPr>
          <w:color w:val="000000"/>
        </w:rPr>
        <w:t xml:space="preserve">it is clear that </w:t>
      </w:r>
      <w:proofErr w:type="spellStart"/>
      <w:r w:rsidR="00E413DD">
        <w:rPr>
          <w:color w:val="000000"/>
        </w:rPr>
        <w:t>Gwenfrewy’s</w:t>
      </w:r>
      <w:proofErr w:type="spellEnd"/>
      <w:proofErr w:type="gramEnd"/>
      <w:r w:rsidR="00E413DD">
        <w:rPr>
          <w:color w:val="000000"/>
        </w:rPr>
        <w:t xml:space="preserve"> remains became a contested resource, caught between the Welsh locality and the English monastery, both </w:t>
      </w:r>
      <w:r w:rsidR="00DF1C36">
        <w:rPr>
          <w:color w:val="000000"/>
        </w:rPr>
        <w:t>of which sought</w:t>
      </w:r>
      <w:r w:rsidR="00E413DD">
        <w:rPr>
          <w:color w:val="000000"/>
        </w:rPr>
        <w:t xml:space="preserve"> to benefit financially and politically.</w:t>
      </w:r>
      <w:r w:rsidR="00DF1C36">
        <w:rPr>
          <w:color w:val="000000"/>
        </w:rPr>
        <w:t xml:space="preserve"> These </w:t>
      </w:r>
      <w:r w:rsidR="00DF1C36" w:rsidRPr="00DF1C36">
        <w:rPr>
          <w:i/>
          <w:iCs/>
          <w:color w:val="000000"/>
        </w:rPr>
        <w:t>vitae</w:t>
      </w:r>
      <w:r w:rsidR="00DF1C36">
        <w:rPr>
          <w:color w:val="000000"/>
        </w:rPr>
        <w:t xml:space="preserve"> offer a tangible presence in comparison to oral tradition. </w:t>
      </w:r>
    </w:p>
    <w:p w14:paraId="306EA4B6" w14:textId="2A71C25B" w:rsidR="00715C7F" w:rsidRDefault="00715C7F" w:rsidP="00847A7D">
      <w:pPr>
        <w:pStyle w:val="Heading1"/>
      </w:pPr>
    </w:p>
    <w:p w14:paraId="7017E358" w14:textId="77777777" w:rsidR="00847A7D" w:rsidRDefault="00847A7D" w:rsidP="00847A7D"/>
    <w:p w14:paraId="57B62440" w14:textId="77777777" w:rsidR="00847A7D" w:rsidRDefault="00847A7D" w:rsidP="00847A7D"/>
    <w:p w14:paraId="2485C96D" w14:textId="77777777" w:rsidR="00847A7D" w:rsidRDefault="00847A7D" w:rsidP="00847A7D"/>
    <w:p w14:paraId="30026250" w14:textId="77777777" w:rsidR="00847A7D" w:rsidRDefault="00847A7D" w:rsidP="00847A7D"/>
    <w:p w14:paraId="3457A96B" w14:textId="77777777" w:rsidR="00847A7D" w:rsidRDefault="00847A7D" w:rsidP="00847A7D"/>
    <w:p w14:paraId="26AB18B4" w14:textId="77777777" w:rsidR="00847A7D" w:rsidRDefault="00847A7D" w:rsidP="00847A7D"/>
    <w:p w14:paraId="74AE41F8" w14:textId="77777777" w:rsidR="00847A7D" w:rsidRDefault="00847A7D" w:rsidP="00847A7D"/>
    <w:p w14:paraId="2D536347" w14:textId="77777777" w:rsidR="00847A7D" w:rsidRDefault="00847A7D" w:rsidP="00847A7D"/>
    <w:p w14:paraId="6E0B533A" w14:textId="77777777" w:rsidR="00847A7D" w:rsidRDefault="00847A7D" w:rsidP="00847A7D"/>
    <w:p w14:paraId="57226CF0" w14:textId="77777777" w:rsidR="00847A7D" w:rsidRDefault="00847A7D" w:rsidP="00847A7D"/>
    <w:p w14:paraId="25A913A7" w14:textId="77777777" w:rsidR="00847A7D" w:rsidRDefault="00847A7D" w:rsidP="00847A7D"/>
    <w:p w14:paraId="25BC1C80" w14:textId="77777777" w:rsidR="00847A7D" w:rsidRDefault="00847A7D" w:rsidP="00847A7D"/>
    <w:p w14:paraId="18C707C2" w14:textId="77777777" w:rsidR="00847A7D" w:rsidRDefault="00847A7D" w:rsidP="00847A7D"/>
    <w:p w14:paraId="4D8F29D5" w14:textId="77777777" w:rsidR="00847A7D" w:rsidRDefault="00847A7D" w:rsidP="00847A7D"/>
    <w:p w14:paraId="4F5C7FD5" w14:textId="77777777" w:rsidR="00847A7D" w:rsidRDefault="00847A7D" w:rsidP="00847A7D"/>
    <w:p w14:paraId="7966E49C" w14:textId="77777777" w:rsidR="00847A7D" w:rsidRDefault="00847A7D" w:rsidP="00847A7D"/>
    <w:p w14:paraId="3EB18A5A" w14:textId="77777777" w:rsidR="00847A7D" w:rsidRDefault="00847A7D" w:rsidP="00847A7D"/>
    <w:p w14:paraId="208F9C7E" w14:textId="77777777" w:rsidR="00847A7D" w:rsidRDefault="00847A7D" w:rsidP="00847A7D"/>
    <w:p w14:paraId="23F95F20" w14:textId="77777777" w:rsidR="00847A7D" w:rsidRDefault="00847A7D" w:rsidP="00847A7D"/>
    <w:p w14:paraId="48957EAE" w14:textId="77777777" w:rsidR="00847A7D" w:rsidRDefault="00847A7D" w:rsidP="00847A7D"/>
    <w:p w14:paraId="1D50C530" w14:textId="77777777" w:rsidR="00847A7D" w:rsidRDefault="00847A7D" w:rsidP="00847A7D"/>
    <w:p w14:paraId="4E00AAF5" w14:textId="77777777" w:rsidR="00847A7D" w:rsidRDefault="00847A7D" w:rsidP="00847A7D">
      <w:pPr>
        <w:jc w:val="center"/>
        <w:rPr>
          <w:u w:val="single"/>
        </w:rPr>
      </w:pPr>
    </w:p>
    <w:p w14:paraId="79ECB104" w14:textId="4F140495" w:rsidR="00847A7D" w:rsidRDefault="00847A7D" w:rsidP="00847A7D">
      <w:pPr>
        <w:jc w:val="center"/>
        <w:rPr>
          <w:u w:val="single"/>
        </w:rPr>
      </w:pPr>
      <w:r w:rsidRPr="00847A7D">
        <w:rPr>
          <w:u w:val="single"/>
        </w:rPr>
        <w:t>Bibliography</w:t>
      </w:r>
    </w:p>
    <w:p w14:paraId="03738A3C" w14:textId="77777777" w:rsidR="00847A7D" w:rsidRPr="00847A7D" w:rsidRDefault="00847A7D" w:rsidP="00847A7D">
      <w:pPr>
        <w:rPr>
          <w:u w:val="single"/>
        </w:rPr>
      </w:pPr>
    </w:p>
    <w:p w14:paraId="0DD393C7" w14:textId="20283F53" w:rsidR="00847A7D" w:rsidRPr="00847A7D" w:rsidRDefault="00847A7D" w:rsidP="00847A7D">
      <w:pPr>
        <w:rPr>
          <w:sz w:val="21"/>
          <w:szCs w:val="21"/>
        </w:rPr>
      </w:pPr>
      <w:r w:rsidRPr="00847A7D">
        <w:rPr>
          <w:sz w:val="21"/>
          <w:szCs w:val="21"/>
        </w:rPr>
        <w:t xml:space="preserve">The Life of Saint </w:t>
      </w:r>
      <w:proofErr w:type="spellStart"/>
      <w:r w:rsidRPr="00847A7D">
        <w:rPr>
          <w:sz w:val="21"/>
          <w:szCs w:val="21"/>
        </w:rPr>
        <w:t>Winefride</w:t>
      </w:r>
      <w:proofErr w:type="spellEnd"/>
      <w:r w:rsidRPr="00847A7D">
        <w:rPr>
          <w:sz w:val="21"/>
          <w:szCs w:val="21"/>
        </w:rPr>
        <w:t xml:space="preserve"> Virgin Martyr</w:t>
      </w:r>
      <w:r w:rsidRPr="00847A7D">
        <w:rPr>
          <w:sz w:val="21"/>
          <w:szCs w:val="21"/>
        </w:rPr>
        <w:t xml:space="preserve">, </w:t>
      </w:r>
      <w:r w:rsidRPr="00847A7D">
        <w:rPr>
          <w:i/>
          <w:iCs/>
          <w:sz w:val="21"/>
          <w:szCs w:val="21"/>
        </w:rPr>
        <w:t xml:space="preserve">Two </w:t>
      </w:r>
      <w:proofErr w:type="spellStart"/>
      <w:r w:rsidRPr="00847A7D">
        <w:rPr>
          <w:i/>
          <w:iCs/>
          <w:sz w:val="21"/>
          <w:szCs w:val="21"/>
        </w:rPr>
        <w:t>Mediæval</w:t>
      </w:r>
      <w:proofErr w:type="spellEnd"/>
      <w:r w:rsidRPr="00847A7D">
        <w:rPr>
          <w:i/>
          <w:iCs/>
          <w:sz w:val="21"/>
          <w:szCs w:val="21"/>
        </w:rPr>
        <w:t xml:space="preserve"> Lives of Saint </w:t>
      </w:r>
      <w:proofErr w:type="spellStart"/>
      <w:r w:rsidRPr="00847A7D">
        <w:rPr>
          <w:i/>
          <w:iCs/>
          <w:sz w:val="21"/>
          <w:szCs w:val="21"/>
        </w:rPr>
        <w:t>Winefride</w:t>
      </w:r>
      <w:proofErr w:type="spellEnd"/>
      <w:r w:rsidRPr="00847A7D">
        <w:rPr>
          <w:sz w:val="21"/>
          <w:szCs w:val="21"/>
        </w:rPr>
        <w:t xml:space="preserve">, trans. by H. Feiss and R. E. </w:t>
      </w:r>
      <w:proofErr w:type="gramStart"/>
      <w:r w:rsidRPr="00847A7D">
        <w:rPr>
          <w:sz w:val="21"/>
          <w:szCs w:val="21"/>
        </w:rPr>
        <w:t>Pepin(</w:t>
      </w:r>
      <w:proofErr w:type="gramEnd"/>
      <w:r w:rsidRPr="00847A7D">
        <w:rPr>
          <w:sz w:val="21"/>
          <w:szCs w:val="21"/>
        </w:rPr>
        <w:t>Toronto: Peregrina Pub. Co., 2000), pp. 27–76</w:t>
      </w:r>
    </w:p>
    <w:p w14:paraId="08D90426" w14:textId="77777777" w:rsidR="00847A7D" w:rsidRPr="00847A7D" w:rsidRDefault="00847A7D" w:rsidP="00847A7D">
      <w:pPr>
        <w:rPr>
          <w:sz w:val="21"/>
          <w:szCs w:val="21"/>
        </w:rPr>
      </w:pPr>
      <w:r w:rsidRPr="00847A7D">
        <w:rPr>
          <w:sz w:val="21"/>
          <w:szCs w:val="21"/>
        </w:rPr>
        <w:t>Baring-Gould, S. and John Fisher, </w:t>
      </w:r>
      <w:r w:rsidRPr="00847A7D">
        <w:rPr>
          <w:i/>
          <w:iCs/>
          <w:sz w:val="21"/>
          <w:szCs w:val="21"/>
        </w:rPr>
        <w:t>The Lives of the British Saints</w:t>
      </w:r>
      <w:r w:rsidRPr="00847A7D">
        <w:rPr>
          <w:sz w:val="21"/>
          <w:szCs w:val="21"/>
        </w:rPr>
        <w:t>, 3 vols (London: The Honourable Society of Cymmrodorion, 1911) [accessed 18 February 2026]</w:t>
      </w:r>
    </w:p>
    <w:p w14:paraId="0880EAE4" w14:textId="77777777" w:rsidR="00847A7D" w:rsidRPr="00847A7D" w:rsidRDefault="00847A7D" w:rsidP="00847A7D">
      <w:pPr>
        <w:rPr>
          <w:sz w:val="21"/>
          <w:szCs w:val="21"/>
        </w:rPr>
      </w:pPr>
      <w:r w:rsidRPr="00847A7D">
        <w:rPr>
          <w:sz w:val="21"/>
          <w:szCs w:val="21"/>
        </w:rPr>
        <w:t>Bynum, Caroline W., </w:t>
      </w:r>
      <w:r w:rsidRPr="00847A7D">
        <w:rPr>
          <w:i/>
          <w:iCs/>
          <w:sz w:val="21"/>
          <w:szCs w:val="21"/>
        </w:rPr>
        <w:t>Holy Feast and Holy Fast: The Religious Significance of Food to Medieval Women</w:t>
      </w:r>
      <w:r w:rsidRPr="00847A7D">
        <w:rPr>
          <w:sz w:val="21"/>
          <w:szCs w:val="21"/>
        </w:rPr>
        <w:t> (University of California Press, 1987) &lt;</w:t>
      </w:r>
      <w:hyperlink r:id="rId8" w:anchor="book_id=7190&amp;library_id=CalibreLibrary&amp;panel=book_details" w:tgtFrame="_blank" w:history="1">
        <w:r w:rsidRPr="00847A7D">
          <w:rPr>
            <w:rStyle w:val="Hyperlink"/>
            <w:sz w:val="21"/>
            <w:szCs w:val="21"/>
          </w:rPr>
          <w:t>https://isidore.co/calibre/#book_id=7190&amp;library_id=CalibreLibrary&amp;panel=book_details</w:t>
        </w:r>
      </w:hyperlink>
      <w:r w:rsidRPr="00847A7D">
        <w:rPr>
          <w:sz w:val="21"/>
          <w:szCs w:val="21"/>
        </w:rPr>
        <w:t>&gt; [accessed 25 February 2026]</w:t>
      </w:r>
    </w:p>
    <w:p w14:paraId="54BFF270" w14:textId="77777777" w:rsidR="00847A7D" w:rsidRPr="00847A7D" w:rsidRDefault="00847A7D" w:rsidP="00847A7D">
      <w:pPr>
        <w:rPr>
          <w:sz w:val="21"/>
          <w:szCs w:val="21"/>
        </w:rPr>
      </w:pPr>
      <w:r w:rsidRPr="00847A7D">
        <w:rPr>
          <w:sz w:val="21"/>
          <w:szCs w:val="21"/>
        </w:rPr>
        <w:t>Cartwright, Jane, 'Dead Virgins: Feminine Sanctity in Medieval Wales', </w:t>
      </w:r>
      <w:r w:rsidRPr="00847A7D">
        <w:rPr>
          <w:i/>
          <w:iCs/>
          <w:sz w:val="21"/>
          <w:szCs w:val="21"/>
        </w:rPr>
        <w:t xml:space="preserve">Medium </w:t>
      </w:r>
      <w:proofErr w:type="spellStart"/>
      <w:r w:rsidRPr="00847A7D">
        <w:rPr>
          <w:i/>
          <w:iCs/>
          <w:sz w:val="21"/>
          <w:szCs w:val="21"/>
        </w:rPr>
        <w:t>Ævum</w:t>
      </w:r>
      <w:proofErr w:type="spellEnd"/>
      <w:r w:rsidRPr="00847A7D">
        <w:rPr>
          <w:i/>
          <w:iCs/>
          <w:sz w:val="21"/>
          <w:szCs w:val="21"/>
        </w:rPr>
        <w:t>, </w:t>
      </w:r>
      <w:r w:rsidRPr="00847A7D">
        <w:rPr>
          <w:sz w:val="21"/>
          <w:szCs w:val="21"/>
        </w:rPr>
        <w:t>71 (2002), 1–28 &lt;</w:t>
      </w:r>
      <w:hyperlink r:id="rId9" w:tgtFrame="_blank" w:history="1">
        <w:r w:rsidRPr="00847A7D">
          <w:rPr>
            <w:rStyle w:val="Hyperlink"/>
            <w:sz w:val="21"/>
            <w:szCs w:val="21"/>
          </w:rPr>
          <w:t>https://www.jstor.org/stable/43630386</w:t>
        </w:r>
      </w:hyperlink>
      <w:r w:rsidRPr="00847A7D">
        <w:rPr>
          <w:sz w:val="21"/>
          <w:szCs w:val="21"/>
        </w:rPr>
        <w:t>&gt; [accessed 17 February 2026]</w:t>
      </w:r>
    </w:p>
    <w:p w14:paraId="693AD123" w14:textId="1BD3DDD8" w:rsidR="00847A7D" w:rsidRPr="00847A7D" w:rsidRDefault="00847A7D" w:rsidP="00847A7D">
      <w:pPr>
        <w:rPr>
          <w:sz w:val="21"/>
          <w:szCs w:val="21"/>
        </w:rPr>
      </w:pPr>
      <w:r w:rsidRPr="00847A7D">
        <w:rPr>
          <w:sz w:val="21"/>
          <w:szCs w:val="21"/>
        </w:rPr>
        <w:t xml:space="preserve">Curran, Kimm, Review of Jane Cartwright, </w:t>
      </w:r>
      <w:r w:rsidRPr="00847A7D">
        <w:rPr>
          <w:i/>
          <w:iCs/>
          <w:sz w:val="21"/>
          <w:szCs w:val="21"/>
        </w:rPr>
        <w:t>Feminine Sanctity and Spirituality in Medieval Wales</w:t>
      </w:r>
      <w:r w:rsidRPr="00847A7D">
        <w:rPr>
          <w:sz w:val="21"/>
          <w:szCs w:val="21"/>
        </w:rPr>
        <w:t xml:space="preserve"> (2008), History of Women Religious of Britain and Ireland (2009), &lt;</w:t>
      </w:r>
      <w:hyperlink r:id="rId10" w:history="1">
        <w:r w:rsidRPr="00847A7D">
          <w:rPr>
            <w:rStyle w:val="Hyperlink"/>
            <w:sz w:val="21"/>
            <w:szCs w:val="21"/>
          </w:rPr>
          <w:t>https://historyofwomenreligious.org/jane-cartwright-feminine-sancitity-and-spirituality-in-medieval-wales-university-of-wales-press-cardiff-2008/</w:t>
        </w:r>
      </w:hyperlink>
      <w:r w:rsidRPr="00847A7D">
        <w:rPr>
          <w:sz w:val="21"/>
          <w:szCs w:val="21"/>
        </w:rPr>
        <w:t xml:space="preserve">&gt; </w:t>
      </w:r>
    </w:p>
    <w:p w14:paraId="62C482B6" w14:textId="77777777" w:rsidR="00847A7D" w:rsidRPr="00847A7D" w:rsidRDefault="00847A7D" w:rsidP="00847A7D">
      <w:pPr>
        <w:rPr>
          <w:sz w:val="21"/>
          <w:szCs w:val="21"/>
        </w:rPr>
      </w:pPr>
      <w:r w:rsidRPr="00847A7D">
        <w:rPr>
          <w:sz w:val="21"/>
          <w:szCs w:val="21"/>
        </w:rPr>
        <w:t>Dyas, Dee, 'To be a Pilgrim: Tactile Piety, Virtual Pilgrimage and the Experience of Place in Christian Pilgrimage', in </w:t>
      </w:r>
      <w:r w:rsidRPr="00847A7D">
        <w:rPr>
          <w:i/>
          <w:iCs/>
          <w:sz w:val="21"/>
          <w:szCs w:val="21"/>
        </w:rPr>
        <w:t>Matter of Faith: An Interdisciplinary Study of Relics and Relic Veneration in the Medieval Period</w:t>
      </w:r>
      <w:r w:rsidRPr="00847A7D">
        <w:rPr>
          <w:sz w:val="21"/>
          <w:szCs w:val="21"/>
        </w:rPr>
        <w:t xml:space="preserve">, ed. by James Robinson, Lloyd de Beer and Anna </w:t>
      </w:r>
      <w:proofErr w:type="spellStart"/>
      <w:r w:rsidRPr="00847A7D">
        <w:rPr>
          <w:sz w:val="21"/>
          <w:szCs w:val="21"/>
        </w:rPr>
        <w:t>Hardnen</w:t>
      </w:r>
      <w:proofErr w:type="spellEnd"/>
      <w:r w:rsidRPr="00847A7D">
        <w:rPr>
          <w:sz w:val="21"/>
          <w:szCs w:val="21"/>
        </w:rPr>
        <w:t>(London: The British Museum, 2014), pp. 1–7 &lt;</w:t>
      </w:r>
      <w:hyperlink r:id="rId11" w:tgtFrame="_blank" w:history="1">
        <w:r w:rsidRPr="00847A7D">
          <w:rPr>
            <w:rStyle w:val="Hyperlink"/>
            <w:sz w:val="21"/>
            <w:szCs w:val="21"/>
          </w:rPr>
          <w:t>https://britishmuseum.iro.bl.uk/concern/books/5c9614ae-1cb1-4a84-b663-c6db86ac107e</w:t>
        </w:r>
      </w:hyperlink>
      <w:r w:rsidRPr="00847A7D">
        <w:rPr>
          <w:sz w:val="21"/>
          <w:szCs w:val="21"/>
        </w:rPr>
        <w:t>&gt; [accessed 17 March 2026]</w:t>
      </w:r>
    </w:p>
    <w:p w14:paraId="27D759A9" w14:textId="77777777" w:rsidR="00847A7D" w:rsidRPr="00847A7D" w:rsidRDefault="00847A7D" w:rsidP="00847A7D">
      <w:pPr>
        <w:rPr>
          <w:sz w:val="21"/>
          <w:szCs w:val="21"/>
        </w:rPr>
      </w:pPr>
      <w:r w:rsidRPr="00847A7D">
        <w:rPr>
          <w:sz w:val="21"/>
          <w:szCs w:val="21"/>
        </w:rPr>
        <w:t>Edwards, Sean R., </w:t>
      </w:r>
      <w:r w:rsidRPr="00847A7D">
        <w:rPr>
          <w:i/>
          <w:iCs/>
          <w:sz w:val="21"/>
          <w:szCs w:val="21"/>
        </w:rPr>
        <w:t>Mosses in English Literature</w:t>
      </w:r>
      <w:r w:rsidRPr="00847A7D">
        <w:rPr>
          <w:sz w:val="21"/>
          <w:szCs w:val="21"/>
        </w:rPr>
        <w:t> (Cardiff: British Bryological Society, 1992) &lt;</w:t>
      </w:r>
      <w:hyperlink r:id="rId12" w:tgtFrame="_blank" w:history="1">
        <w:r w:rsidRPr="00847A7D">
          <w:rPr>
            <w:rStyle w:val="Hyperlink"/>
            <w:sz w:val="21"/>
            <w:szCs w:val="21"/>
          </w:rPr>
          <w:t>https://www.britishbryologicalsociety.org.uk/wp-content/uploads/2022/09/1992-BBS-Special-Vol.-4-Mosses-in-English-Literature-S.-Edwards_1992_OCR.pdf</w:t>
        </w:r>
      </w:hyperlink>
      <w:r w:rsidRPr="00847A7D">
        <w:rPr>
          <w:sz w:val="21"/>
          <w:szCs w:val="21"/>
        </w:rPr>
        <w:t>&gt; [accessed 16 March 2026]</w:t>
      </w:r>
    </w:p>
    <w:p w14:paraId="0B975E32" w14:textId="77777777" w:rsidR="00847A7D" w:rsidRPr="00847A7D" w:rsidRDefault="00847A7D" w:rsidP="00847A7D">
      <w:pPr>
        <w:rPr>
          <w:sz w:val="21"/>
          <w:szCs w:val="21"/>
        </w:rPr>
      </w:pPr>
      <w:r w:rsidRPr="00847A7D">
        <w:rPr>
          <w:sz w:val="21"/>
          <w:szCs w:val="21"/>
        </w:rPr>
        <w:t>Geary, Patrick J., </w:t>
      </w:r>
      <w:r w:rsidRPr="00847A7D">
        <w:rPr>
          <w:i/>
          <w:iCs/>
          <w:sz w:val="21"/>
          <w:szCs w:val="21"/>
        </w:rPr>
        <w:t>Furta Sacra : Thefts of Relics in the Central Middle Ages</w:t>
      </w:r>
      <w:r w:rsidRPr="00847A7D">
        <w:rPr>
          <w:sz w:val="21"/>
          <w:szCs w:val="21"/>
        </w:rPr>
        <w:t> (New Jersey: Princeton University Press, 1990) &lt;</w:t>
      </w:r>
      <w:hyperlink r:id="rId13" w:anchor="page=144" w:tgtFrame="_blank" w:history="1">
        <w:r w:rsidRPr="00847A7D">
          <w:rPr>
            <w:rStyle w:val="Hyperlink"/>
            <w:sz w:val="21"/>
            <w:szCs w:val="21"/>
          </w:rPr>
          <w:t>https://www-fulcrum-org.uwtsd.idm.oclc.org/epubs/9c67wq25b?locale=en#page=144</w:t>
        </w:r>
      </w:hyperlink>
      <w:r w:rsidRPr="00847A7D">
        <w:rPr>
          <w:sz w:val="21"/>
          <w:szCs w:val="21"/>
        </w:rPr>
        <w:t>&gt; [accessed 17 March 2026]</w:t>
      </w:r>
    </w:p>
    <w:p w14:paraId="490567AD" w14:textId="5E6B01F0" w:rsidR="00847A7D" w:rsidRPr="00847A7D" w:rsidRDefault="00847A7D" w:rsidP="00847A7D">
      <w:pPr>
        <w:rPr>
          <w:sz w:val="21"/>
          <w:szCs w:val="21"/>
        </w:rPr>
      </w:pPr>
      <w:r w:rsidRPr="00847A7D">
        <w:rPr>
          <w:sz w:val="21"/>
          <w:szCs w:val="21"/>
        </w:rPr>
        <w:t>Golder, Raphaëlle S., 'The Changing Uses and</w:t>
      </w:r>
      <w:r w:rsidRPr="00847A7D">
        <w:rPr>
          <w:sz w:val="21"/>
          <w:szCs w:val="21"/>
        </w:rPr>
        <w:t xml:space="preserve"> </w:t>
      </w:r>
      <w:r w:rsidRPr="00847A7D">
        <w:rPr>
          <w:sz w:val="21"/>
          <w:szCs w:val="21"/>
        </w:rPr>
        <w:t>Developments of Affectivity in</w:t>
      </w:r>
      <w:r w:rsidRPr="00847A7D">
        <w:rPr>
          <w:sz w:val="21"/>
          <w:szCs w:val="21"/>
        </w:rPr>
        <w:br/>
        <w:t>the Practice of Confession</w:t>
      </w:r>
      <w:r w:rsidRPr="00847A7D">
        <w:rPr>
          <w:sz w:val="21"/>
          <w:szCs w:val="21"/>
        </w:rPr>
        <w:t xml:space="preserve"> </w:t>
      </w:r>
      <w:r w:rsidRPr="00847A7D">
        <w:rPr>
          <w:sz w:val="21"/>
          <w:szCs w:val="21"/>
        </w:rPr>
        <w:t>(12th-13th Centuries)' (Doctor of Philosophy, University of Cambridge, 2022) &lt;</w:t>
      </w:r>
      <w:hyperlink r:id="rId14" w:tgtFrame="_blank" w:history="1">
        <w:r w:rsidRPr="00847A7D">
          <w:rPr>
            <w:rStyle w:val="Hyperlink"/>
            <w:sz w:val="21"/>
            <w:szCs w:val="21"/>
          </w:rPr>
          <w:t>https://www.repository.cam.ac.uk/items/b2ca8c89-fd0e-47e8-8bfa-662c3b3778fc</w:t>
        </w:r>
      </w:hyperlink>
      <w:r w:rsidRPr="00847A7D">
        <w:rPr>
          <w:sz w:val="21"/>
          <w:szCs w:val="21"/>
        </w:rPr>
        <w:t>&gt; [accessed 16 March 2026]</w:t>
      </w:r>
    </w:p>
    <w:p w14:paraId="6F672492" w14:textId="77777777" w:rsidR="00847A7D" w:rsidRPr="00847A7D" w:rsidRDefault="00847A7D" w:rsidP="00847A7D">
      <w:pPr>
        <w:rPr>
          <w:sz w:val="21"/>
          <w:szCs w:val="21"/>
        </w:rPr>
      </w:pPr>
      <w:r w:rsidRPr="00847A7D">
        <w:rPr>
          <w:sz w:val="21"/>
          <w:szCs w:val="21"/>
        </w:rPr>
        <w:t xml:space="preserve">Gray, Madeleine, 'Contested Relics: </w:t>
      </w:r>
      <w:proofErr w:type="spellStart"/>
      <w:r w:rsidRPr="00847A7D">
        <w:rPr>
          <w:sz w:val="21"/>
          <w:szCs w:val="21"/>
        </w:rPr>
        <w:t>Winefride</w:t>
      </w:r>
      <w:proofErr w:type="spellEnd"/>
      <w:r w:rsidRPr="00847A7D">
        <w:rPr>
          <w:sz w:val="21"/>
          <w:szCs w:val="21"/>
        </w:rPr>
        <w:t xml:space="preserve"> and the Saints of the Atlantic Churches', in </w:t>
      </w:r>
      <w:r w:rsidRPr="00847A7D">
        <w:rPr>
          <w:i/>
          <w:iCs/>
          <w:sz w:val="21"/>
          <w:szCs w:val="21"/>
        </w:rPr>
        <w:t>Matter of Faith: An Interdisciplinary Study of Relics and Relic Veneration in the Medieval Period</w:t>
      </w:r>
      <w:r w:rsidRPr="00847A7D">
        <w:rPr>
          <w:sz w:val="21"/>
          <w:szCs w:val="21"/>
        </w:rPr>
        <w:t xml:space="preserve">, ed. by James Robinson, Lloyd de Beer and Anna </w:t>
      </w:r>
      <w:proofErr w:type="spellStart"/>
      <w:r w:rsidRPr="00847A7D">
        <w:rPr>
          <w:sz w:val="21"/>
          <w:szCs w:val="21"/>
        </w:rPr>
        <w:t>Hardnen</w:t>
      </w:r>
      <w:proofErr w:type="spellEnd"/>
      <w:r w:rsidRPr="00847A7D">
        <w:rPr>
          <w:sz w:val="21"/>
          <w:szCs w:val="21"/>
        </w:rPr>
        <w:t>(London: The British Museum, 2014), pp. 164–169 &lt;</w:t>
      </w:r>
      <w:hyperlink r:id="rId15" w:tgtFrame="_blank" w:history="1">
        <w:r w:rsidRPr="00847A7D">
          <w:rPr>
            <w:rStyle w:val="Hyperlink"/>
            <w:sz w:val="21"/>
            <w:szCs w:val="21"/>
          </w:rPr>
          <w:t>https://britishmuseum.iro.bl.uk/concern/books/5c9614ae-1cb1-4a84-b663-c6db86ac107e</w:t>
        </w:r>
      </w:hyperlink>
      <w:r w:rsidRPr="00847A7D">
        <w:rPr>
          <w:sz w:val="21"/>
          <w:szCs w:val="21"/>
        </w:rPr>
        <w:t>&gt; [accessed 17 March 2026]</w:t>
      </w:r>
    </w:p>
    <w:p w14:paraId="62F2F53D" w14:textId="77777777" w:rsidR="00847A7D" w:rsidRPr="00847A7D" w:rsidRDefault="00847A7D" w:rsidP="00847A7D">
      <w:pPr>
        <w:rPr>
          <w:sz w:val="21"/>
          <w:szCs w:val="21"/>
        </w:rPr>
      </w:pPr>
      <w:r w:rsidRPr="00847A7D">
        <w:rPr>
          <w:sz w:val="21"/>
          <w:szCs w:val="21"/>
        </w:rPr>
        <w:t>Henken, E. R., </w:t>
      </w:r>
      <w:r w:rsidRPr="00847A7D">
        <w:rPr>
          <w:i/>
          <w:iCs/>
          <w:sz w:val="21"/>
          <w:szCs w:val="21"/>
        </w:rPr>
        <w:t>The Welsh Saints: A Study in Patterned Lives</w:t>
      </w:r>
      <w:r w:rsidRPr="00847A7D">
        <w:rPr>
          <w:sz w:val="21"/>
          <w:szCs w:val="21"/>
        </w:rPr>
        <w:t> (DS Brewer, 1991)</w:t>
      </w:r>
    </w:p>
    <w:p w14:paraId="1DB71D46" w14:textId="77777777" w:rsidR="00847A7D" w:rsidRPr="00847A7D" w:rsidRDefault="00847A7D" w:rsidP="00847A7D">
      <w:pPr>
        <w:rPr>
          <w:sz w:val="21"/>
          <w:szCs w:val="21"/>
        </w:rPr>
      </w:pPr>
      <w:r w:rsidRPr="00847A7D">
        <w:rPr>
          <w:sz w:val="21"/>
          <w:szCs w:val="21"/>
        </w:rPr>
        <w:lastRenderedPageBreak/>
        <w:t>Howard, Katherine, 'Female Saints and the Performance of Virginity in the Medieval', </w:t>
      </w:r>
      <w:r w:rsidRPr="00847A7D">
        <w:rPr>
          <w:i/>
          <w:iCs/>
          <w:sz w:val="21"/>
          <w:szCs w:val="21"/>
        </w:rPr>
        <w:t xml:space="preserve">SUURJ: Seattle University Under Gr </w:t>
      </w:r>
      <w:proofErr w:type="spellStart"/>
      <w:r w:rsidRPr="00847A7D">
        <w:rPr>
          <w:i/>
          <w:iCs/>
          <w:sz w:val="21"/>
          <w:szCs w:val="21"/>
        </w:rPr>
        <w:t>Aduate</w:t>
      </w:r>
      <w:proofErr w:type="spellEnd"/>
      <w:r w:rsidRPr="00847A7D">
        <w:rPr>
          <w:i/>
          <w:iCs/>
          <w:sz w:val="21"/>
          <w:szCs w:val="21"/>
        </w:rPr>
        <w:t xml:space="preserve"> Research Journal, </w:t>
      </w:r>
      <w:r w:rsidRPr="00847A7D">
        <w:rPr>
          <w:sz w:val="21"/>
          <w:szCs w:val="21"/>
        </w:rPr>
        <w:t>6 (2022) &lt;</w:t>
      </w:r>
      <w:hyperlink r:id="rId16" w:tgtFrame="_blank" w:history="1">
        <w:r w:rsidRPr="00847A7D">
          <w:rPr>
            <w:rStyle w:val="Hyperlink"/>
            <w:sz w:val="21"/>
            <w:szCs w:val="21"/>
          </w:rPr>
          <w:t>https://scholarworks.seattleu.edu/cgi/viewcontent.cgi?article=1259&amp;context=suurj</w:t>
        </w:r>
      </w:hyperlink>
      <w:r w:rsidRPr="00847A7D">
        <w:rPr>
          <w:sz w:val="21"/>
          <w:szCs w:val="21"/>
        </w:rPr>
        <w:t>&gt; [accessed 16 March 2026]</w:t>
      </w:r>
    </w:p>
    <w:p w14:paraId="14EAC06D" w14:textId="77777777" w:rsidR="00847A7D" w:rsidRPr="00847A7D" w:rsidRDefault="00847A7D" w:rsidP="00847A7D">
      <w:pPr>
        <w:rPr>
          <w:sz w:val="21"/>
          <w:szCs w:val="21"/>
        </w:rPr>
      </w:pPr>
      <w:r w:rsidRPr="00847A7D">
        <w:rPr>
          <w:sz w:val="21"/>
          <w:szCs w:val="21"/>
        </w:rPr>
        <w:t>Kelly, Kathleen C., </w:t>
      </w:r>
      <w:r w:rsidRPr="00847A7D">
        <w:rPr>
          <w:i/>
          <w:iCs/>
          <w:sz w:val="21"/>
          <w:szCs w:val="21"/>
        </w:rPr>
        <w:t>Performing Virginity</w:t>
      </w:r>
      <w:r w:rsidRPr="00847A7D">
        <w:rPr>
          <w:i/>
          <w:iCs/>
          <w:sz w:val="21"/>
          <w:szCs w:val="21"/>
        </w:rPr>
        <w:br/>
        <w:t>and Testing Chastity</w:t>
      </w:r>
      <w:r w:rsidRPr="00847A7D">
        <w:rPr>
          <w:i/>
          <w:iCs/>
          <w:sz w:val="21"/>
          <w:szCs w:val="21"/>
        </w:rPr>
        <w:br/>
        <w:t>in the Middle Ages</w:t>
      </w:r>
      <w:r w:rsidRPr="00847A7D">
        <w:rPr>
          <w:sz w:val="21"/>
          <w:szCs w:val="21"/>
        </w:rPr>
        <w:t> (London: Routledge, 2000)</w:t>
      </w:r>
    </w:p>
    <w:p w14:paraId="0CE4DFB5" w14:textId="77777777" w:rsidR="00847A7D" w:rsidRPr="00847A7D" w:rsidRDefault="00847A7D" w:rsidP="00847A7D">
      <w:pPr>
        <w:rPr>
          <w:sz w:val="21"/>
          <w:szCs w:val="21"/>
        </w:rPr>
      </w:pPr>
      <w:r w:rsidRPr="00847A7D">
        <w:rPr>
          <w:sz w:val="21"/>
          <w:szCs w:val="21"/>
        </w:rPr>
        <w:t>Meyrick, Thomas, </w:t>
      </w:r>
      <w:r w:rsidRPr="00847A7D">
        <w:rPr>
          <w:i/>
          <w:iCs/>
          <w:sz w:val="21"/>
          <w:szCs w:val="21"/>
        </w:rPr>
        <w:t xml:space="preserve">Life of St. </w:t>
      </w:r>
      <w:proofErr w:type="spellStart"/>
      <w:r w:rsidRPr="00847A7D">
        <w:rPr>
          <w:i/>
          <w:iCs/>
          <w:sz w:val="21"/>
          <w:szCs w:val="21"/>
        </w:rPr>
        <w:t>Wenefred</w:t>
      </w:r>
      <w:proofErr w:type="spellEnd"/>
      <w:r w:rsidRPr="00847A7D">
        <w:rPr>
          <w:sz w:val="21"/>
          <w:szCs w:val="21"/>
        </w:rPr>
        <w:t> (R. Washbourne, 1878) &lt;</w:t>
      </w:r>
      <w:hyperlink r:id="rId17" w:anchor="v=onepage&amp;q&amp;f=false" w:tgtFrame="_blank" w:history="1">
        <w:r w:rsidRPr="00847A7D">
          <w:rPr>
            <w:rStyle w:val="Hyperlink"/>
            <w:sz w:val="21"/>
            <w:szCs w:val="21"/>
          </w:rPr>
          <w:t>https://books.google.co.uk/books?id=zXMBAAAAQAAJ&amp;printsec=frontcover&amp;source=gbs_ge_summary_r&amp;cad=0#v=onepage&amp;q&amp;f=false</w:t>
        </w:r>
      </w:hyperlink>
      <w:r w:rsidRPr="00847A7D">
        <w:rPr>
          <w:sz w:val="21"/>
          <w:szCs w:val="21"/>
        </w:rPr>
        <w:t>&gt; [accessed 24 February 2026]</w:t>
      </w:r>
    </w:p>
    <w:p w14:paraId="4366C885" w14:textId="77777777" w:rsidR="00847A7D" w:rsidRPr="00847A7D" w:rsidRDefault="00847A7D" w:rsidP="00847A7D">
      <w:pPr>
        <w:rPr>
          <w:sz w:val="21"/>
          <w:szCs w:val="21"/>
        </w:rPr>
      </w:pPr>
      <w:r w:rsidRPr="00847A7D">
        <w:rPr>
          <w:sz w:val="21"/>
          <w:szCs w:val="21"/>
        </w:rPr>
        <w:t>O'Brien O'Keeffe, Katherine, </w:t>
      </w:r>
      <w:r w:rsidRPr="00847A7D">
        <w:rPr>
          <w:i/>
          <w:iCs/>
          <w:sz w:val="21"/>
          <w:szCs w:val="21"/>
        </w:rPr>
        <w:t>Stealing Obedience: Narratives of Agency and Identity in Later Anglo-Saxon England</w:t>
      </w:r>
      <w:r w:rsidRPr="00847A7D">
        <w:rPr>
          <w:sz w:val="21"/>
          <w:szCs w:val="21"/>
        </w:rPr>
        <w:t> (Toronto: University of Toronto Press, 2012) &lt;</w:t>
      </w:r>
      <w:hyperlink r:id="rId18" w:tgtFrame="_blank" w:history="1">
        <w:r w:rsidRPr="00847A7D">
          <w:rPr>
            <w:rStyle w:val="Hyperlink"/>
            <w:sz w:val="21"/>
            <w:szCs w:val="21"/>
          </w:rPr>
          <w:t>https://books.google.co.uk/books?id=FbkAveuvSnYC&amp;source=gbs_navlinks_s</w:t>
        </w:r>
      </w:hyperlink>
      <w:r w:rsidRPr="00847A7D">
        <w:rPr>
          <w:sz w:val="21"/>
          <w:szCs w:val="21"/>
        </w:rPr>
        <w:t>&gt; [accessed 13 March 2026]</w:t>
      </w:r>
    </w:p>
    <w:p w14:paraId="59275EC5" w14:textId="77777777" w:rsidR="00847A7D" w:rsidRPr="00847A7D" w:rsidRDefault="00847A7D" w:rsidP="00847A7D">
      <w:pPr>
        <w:rPr>
          <w:sz w:val="21"/>
          <w:szCs w:val="21"/>
        </w:rPr>
      </w:pPr>
      <w:r w:rsidRPr="00847A7D">
        <w:rPr>
          <w:sz w:val="21"/>
          <w:szCs w:val="21"/>
        </w:rPr>
        <w:t>Pierce, Thomas J., </w:t>
      </w:r>
      <w:r w:rsidRPr="00847A7D">
        <w:rPr>
          <w:i/>
          <w:iCs/>
          <w:sz w:val="21"/>
          <w:szCs w:val="21"/>
        </w:rPr>
        <w:t>GWENFREWI, Or WINIFRED (Fl. Early 7th Century), Saint, </w:t>
      </w:r>
      <w:r w:rsidRPr="00847A7D">
        <w:rPr>
          <w:sz w:val="21"/>
          <w:szCs w:val="21"/>
        </w:rPr>
        <w:t>(1959) &lt;</w:t>
      </w:r>
      <w:hyperlink r:id="rId19" w:tgtFrame="_blank" w:history="1">
        <w:r w:rsidRPr="00847A7D">
          <w:rPr>
            <w:rStyle w:val="Hyperlink"/>
            <w:sz w:val="21"/>
            <w:szCs w:val="21"/>
          </w:rPr>
          <w:t>https://biography.wales/article/s-GWEN-FFR-0600</w:t>
        </w:r>
      </w:hyperlink>
      <w:r w:rsidRPr="00847A7D">
        <w:rPr>
          <w:sz w:val="21"/>
          <w:szCs w:val="21"/>
        </w:rPr>
        <w:t>&gt;</w:t>
      </w:r>
    </w:p>
    <w:p w14:paraId="566B9E35" w14:textId="77777777" w:rsidR="00847A7D" w:rsidRPr="00847A7D" w:rsidRDefault="00847A7D" w:rsidP="00847A7D">
      <w:pPr>
        <w:rPr>
          <w:sz w:val="21"/>
          <w:szCs w:val="21"/>
        </w:rPr>
      </w:pPr>
      <w:r w:rsidRPr="00847A7D">
        <w:rPr>
          <w:sz w:val="21"/>
          <w:szCs w:val="21"/>
        </w:rPr>
        <w:t>Pritchard, T. W., </w:t>
      </w:r>
      <w:r w:rsidRPr="00847A7D">
        <w:rPr>
          <w:i/>
          <w:iCs/>
          <w:sz w:val="21"/>
          <w:szCs w:val="21"/>
        </w:rPr>
        <w:t xml:space="preserve">St </w:t>
      </w:r>
      <w:proofErr w:type="spellStart"/>
      <w:r w:rsidRPr="00847A7D">
        <w:rPr>
          <w:i/>
          <w:iCs/>
          <w:sz w:val="21"/>
          <w:szCs w:val="21"/>
        </w:rPr>
        <w:t>Winefride</w:t>
      </w:r>
      <w:proofErr w:type="spellEnd"/>
      <w:r w:rsidRPr="00847A7D">
        <w:rPr>
          <w:i/>
          <w:iCs/>
          <w:sz w:val="21"/>
          <w:szCs w:val="21"/>
        </w:rPr>
        <w:t>, Her Holy Well and the Jesuit Mission, C.650-1930</w:t>
      </w:r>
      <w:r w:rsidRPr="00847A7D">
        <w:rPr>
          <w:sz w:val="21"/>
          <w:szCs w:val="21"/>
        </w:rPr>
        <w:t> (Bridge Books, 2009)</w:t>
      </w:r>
    </w:p>
    <w:p w14:paraId="79A12DA5" w14:textId="77777777" w:rsidR="00847A7D" w:rsidRPr="00847A7D" w:rsidRDefault="00847A7D" w:rsidP="00847A7D">
      <w:pPr>
        <w:rPr>
          <w:sz w:val="21"/>
          <w:szCs w:val="21"/>
        </w:rPr>
      </w:pPr>
      <w:r w:rsidRPr="00847A7D">
        <w:rPr>
          <w:sz w:val="21"/>
          <w:szCs w:val="21"/>
        </w:rPr>
        <w:t>Sauer, Michelle, 'Queer Time and Lesbian Temporality in Medieval Women's Encounters with the Side Wound', in </w:t>
      </w:r>
      <w:r w:rsidRPr="00847A7D">
        <w:rPr>
          <w:i/>
          <w:iCs/>
          <w:sz w:val="21"/>
          <w:szCs w:val="21"/>
        </w:rPr>
        <w:t>Medieval Futurity: Essays for the Future of a Queer Medieval Studies</w:t>
      </w:r>
      <w:r w:rsidRPr="00847A7D">
        <w:rPr>
          <w:sz w:val="21"/>
          <w:szCs w:val="21"/>
        </w:rPr>
        <w:t xml:space="preserve">, ed. by Will Rogers and Christopher Michael </w:t>
      </w:r>
      <w:proofErr w:type="gramStart"/>
      <w:r w:rsidRPr="00847A7D">
        <w:rPr>
          <w:sz w:val="21"/>
          <w:szCs w:val="21"/>
        </w:rPr>
        <w:t>Roman(</w:t>
      </w:r>
      <w:proofErr w:type="gramEnd"/>
      <w:r w:rsidRPr="00847A7D">
        <w:rPr>
          <w:sz w:val="21"/>
          <w:szCs w:val="21"/>
        </w:rPr>
        <w:t>Medieval Institute Publications, 2020), pp. 199–220</w:t>
      </w:r>
    </w:p>
    <w:p w14:paraId="3760FD57" w14:textId="77777777" w:rsidR="00847A7D" w:rsidRPr="00847A7D" w:rsidRDefault="00847A7D" w:rsidP="00847A7D">
      <w:pPr>
        <w:rPr>
          <w:sz w:val="21"/>
          <w:szCs w:val="21"/>
        </w:rPr>
      </w:pPr>
      <w:r w:rsidRPr="00847A7D">
        <w:rPr>
          <w:sz w:val="21"/>
          <w:szCs w:val="21"/>
        </w:rPr>
        <w:t>Schulenburg, Jane T., </w:t>
      </w:r>
      <w:r w:rsidRPr="00847A7D">
        <w:rPr>
          <w:i/>
          <w:iCs/>
          <w:sz w:val="21"/>
          <w:szCs w:val="21"/>
        </w:rPr>
        <w:t>Forgetful of their Sex: Female Sanctity and Society, Ca.500-1100</w:t>
      </w:r>
      <w:r w:rsidRPr="00847A7D">
        <w:rPr>
          <w:sz w:val="21"/>
          <w:szCs w:val="21"/>
        </w:rPr>
        <w:t> (Chicago: The University of Chicago Press, 1998) &lt;</w:t>
      </w:r>
      <w:hyperlink r:id="rId20" w:anchor="book_id=8554&amp;library_id=CalibreLibrary&amp;panel=book_details" w:tgtFrame="_blank" w:history="1">
        <w:r w:rsidRPr="00847A7D">
          <w:rPr>
            <w:rStyle w:val="Hyperlink"/>
            <w:sz w:val="21"/>
            <w:szCs w:val="21"/>
          </w:rPr>
          <w:t>https://isidore.co/calibre/#book_id=8554&amp;library_id=CalibreLibrary&amp;panel=book_details</w:t>
        </w:r>
      </w:hyperlink>
      <w:r w:rsidRPr="00847A7D">
        <w:rPr>
          <w:sz w:val="21"/>
          <w:szCs w:val="21"/>
        </w:rPr>
        <w:t>&gt; [accessed 25 February 2026]</w:t>
      </w:r>
    </w:p>
    <w:p w14:paraId="1EE3C9C0" w14:textId="77777777" w:rsidR="00847A7D" w:rsidRPr="00847A7D" w:rsidRDefault="00847A7D" w:rsidP="00847A7D">
      <w:pPr>
        <w:rPr>
          <w:sz w:val="21"/>
          <w:szCs w:val="21"/>
        </w:rPr>
      </w:pPr>
      <w:r w:rsidRPr="00847A7D">
        <w:rPr>
          <w:sz w:val="21"/>
          <w:szCs w:val="21"/>
        </w:rPr>
        <w:t xml:space="preserve">Wade-Evans, A. W., 'The Life of St. </w:t>
      </w:r>
      <w:proofErr w:type="spellStart"/>
      <w:r w:rsidRPr="00847A7D">
        <w:rPr>
          <w:sz w:val="21"/>
          <w:szCs w:val="21"/>
        </w:rPr>
        <w:t>Wenefred</w:t>
      </w:r>
      <w:proofErr w:type="spellEnd"/>
      <w:r w:rsidRPr="00847A7D">
        <w:rPr>
          <w:sz w:val="21"/>
          <w:szCs w:val="21"/>
        </w:rPr>
        <w:t>', in (Cardiff: University of Wales Press Board, 1944), pp. 288–309</w:t>
      </w:r>
    </w:p>
    <w:p w14:paraId="23BF87BE" w14:textId="77777777" w:rsidR="00847A7D" w:rsidRPr="00847A7D" w:rsidRDefault="00847A7D" w:rsidP="00847A7D">
      <w:pPr>
        <w:rPr>
          <w:sz w:val="21"/>
          <w:szCs w:val="21"/>
        </w:rPr>
      </w:pPr>
      <w:r w:rsidRPr="00847A7D">
        <w:rPr>
          <w:sz w:val="21"/>
          <w:szCs w:val="21"/>
        </w:rPr>
        <w:t>Wiedenheft, Elizabeth A. &amp;., 'Circulating Saints: A Study of the Movement of Corporeal Relics in Three Regions of Western Europe, C. 800-1200' (Doctor of Philosophy, University of Nottingham, 2017), 85 &lt;</w:t>
      </w:r>
      <w:hyperlink r:id="rId21" w:tgtFrame="_blank" w:history="1">
        <w:r w:rsidRPr="00847A7D">
          <w:rPr>
            <w:rStyle w:val="Hyperlink"/>
            <w:sz w:val="21"/>
            <w:szCs w:val="21"/>
          </w:rPr>
          <w:t>https://repository.nottingham.ac.uk/server/api/core/bitstreams/07445203-1f59-43c9-a555-6647bfc6ef62/content</w:t>
        </w:r>
      </w:hyperlink>
      <w:r w:rsidRPr="00847A7D">
        <w:rPr>
          <w:sz w:val="21"/>
          <w:szCs w:val="21"/>
        </w:rPr>
        <w:t>&gt;</w:t>
      </w:r>
    </w:p>
    <w:p w14:paraId="05C75852" w14:textId="77777777" w:rsidR="00847A7D" w:rsidRPr="00847A7D" w:rsidRDefault="00847A7D" w:rsidP="00847A7D">
      <w:pPr>
        <w:rPr>
          <w:sz w:val="21"/>
          <w:szCs w:val="21"/>
        </w:rPr>
      </w:pPr>
      <w:r w:rsidRPr="00847A7D">
        <w:rPr>
          <w:sz w:val="21"/>
          <w:szCs w:val="21"/>
        </w:rPr>
        <w:t>Winstead, Karen A., </w:t>
      </w:r>
      <w:r w:rsidRPr="00847A7D">
        <w:rPr>
          <w:i/>
          <w:iCs/>
          <w:sz w:val="21"/>
          <w:szCs w:val="21"/>
        </w:rPr>
        <w:t>Virgin Martyrs: Legends of Sainthood in Late Medieval England</w:t>
      </w:r>
      <w:r w:rsidRPr="00847A7D">
        <w:rPr>
          <w:sz w:val="21"/>
          <w:szCs w:val="21"/>
        </w:rPr>
        <w:t> (Cornell University Press, 2018) &lt;</w:t>
      </w:r>
      <w:hyperlink r:id="rId22" w:tgtFrame="_blank" w:history="1">
        <w:r w:rsidRPr="00847A7D">
          <w:rPr>
            <w:rStyle w:val="Hyperlink"/>
            <w:sz w:val="21"/>
            <w:szCs w:val="21"/>
          </w:rPr>
          <w:t>https://www.google.co.uk/books/edition/Virgin_Martyrs/t7lcDwAAQBAJ?hl=en&amp;gbpv=1&amp;dq=Winstead,+Karen.+Virgin+Martyrs:+Legends+of+Sainthood+in+Late+Medieval+England.&amp;printsec=frontcover</w:t>
        </w:r>
      </w:hyperlink>
      <w:r w:rsidRPr="00847A7D">
        <w:rPr>
          <w:sz w:val="21"/>
          <w:szCs w:val="21"/>
        </w:rPr>
        <w:t>&gt; [accessed 16 March 2026]</w:t>
      </w:r>
    </w:p>
    <w:p w14:paraId="4B940287" w14:textId="77777777" w:rsidR="00847A7D" w:rsidRPr="00847A7D" w:rsidRDefault="00847A7D" w:rsidP="00847A7D">
      <w:pPr>
        <w:rPr>
          <w:sz w:val="21"/>
          <w:szCs w:val="21"/>
        </w:rPr>
      </w:pPr>
      <w:r w:rsidRPr="00847A7D">
        <w:rPr>
          <w:sz w:val="21"/>
          <w:szCs w:val="21"/>
        </w:rPr>
        <w:t xml:space="preserve">Winward, Fiona, 'The Lives of St </w:t>
      </w:r>
      <w:proofErr w:type="spellStart"/>
      <w:r w:rsidRPr="00847A7D">
        <w:rPr>
          <w:sz w:val="21"/>
          <w:szCs w:val="21"/>
        </w:rPr>
        <w:t>Wenefred</w:t>
      </w:r>
      <w:proofErr w:type="spellEnd"/>
      <w:r w:rsidRPr="00847A7D">
        <w:rPr>
          <w:sz w:val="21"/>
          <w:szCs w:val="21"/>
        </w:rPr>
        <w:t xml:space="preserve"> (BHL 8847-8851)', </w:t>
      </w:r>
      <w:r w:rsidRPr="00847A7D">
        <w:rPr>
          <w:i/>
          <w:iCs/>
          <w:sz w:val="21"/>
          <w:szCs w:val="21"/>
        </w:rPr>
        <w:t xml:space="preserve">Analecta </w:t>
      </w:r>
      <w:proofErr w:type="spellStart"/>
      <w:r w:rsidRPr="00847A7D">
        <w:rPr>
          <w:i/>
          <w:iCs/>
          <w:sz w:val="21"/>
          <w:szCs w:val="21"/>
        </w:rPr>
        <w:t>Bollandiana</w:t>
      </w:r>
      <w:proofErr w:type="spellEnd"/>
      <w:r w:rsidRPr="00847A7D">
        <w:rPr>
          <w:i/>
          <w:iCs/>
          <w:sz w:val="21"/>
          <w:szCs w:val="21"/>
        </w:rPr>
        <w:t>, </w:t>
      </w:r>
      <w:r w:rsidRPr="00847A7D">
        <w:rPr>
          <w:sz w:val="21"/>
          <w:szCs w:val="21"/>
        </w:rPr>
        <w:t>117 (1999), 89–132</w:t>
      </w:r>
    </w:p>
    <w:p w14:paraId="7866B348" w14:textId="5FADBA98" w:rsidR="00CC5C43" w:rsidRPr="00847A7D" w:rsidRDefault="00847A7D">
      <w:pPr>
        <w:rPr>
          <w:sz w:val="21"/>
          <w:szCs w:val="21"/>
        </w:rPr>
      </w:pPr>
      <w:r w:rsidRPr="00847A7D">
        <w:rPr>
          <w:sz w:val="21"/>
          <w:szCs w:val="21"/>
        </w:rPr>
        <w:t>Wogan-Browne, Jocelyn, </w:t>
      </w:r>
      <w:r w:rsidRPr="00847A7D">
        <w:rPr>
          <w:i/>
          <w:iCs/>
          <w:sz w:val="21"/>
          <w:szCs w:val="21"/>
        </w:rPr>
        <w:t>Saints' Lives and Women's Literary Culture C. 1150-1300 : Virginity and its Authorizations</w:t>
      </w:r>
      <w:r w:rsidRPr="00847A7D">
        <w:rPr>
          <w:sz w:val="21"/>
          <w:szCs w:val="21"/>
        </w:rPr>
        <w:t xml:space="preserve"> (Oxford: Oxford University Press, 2001) </w:t>
      </w:r>
      <w:r w:rsidRPr="00847A7D">
        <w:rPr>
          <w:sz w:val="21"/>
          <w:szCs w:val="21"/>
        </w:rPr>
        <w:lastRenderedPageBreak/>
        <w:t>&lt;</w:t>
      </w:r>
      <w:hyperlink r:id="rId23" w:tgtFrame="_blank" w:history="1">
        <w:r w:rsidRPr="00847A7D">
          <w:rPr>
            <w:rStyle w:val="Hyperlink"/>
            <w:sz w:val="21"/>
            <w:szCs w:val="21"/>
          </w:rPr>
          <w:t>https://archive.org/details/saintsliveswomen0000woga/page/n7/mode/1up?q=Hagiographical+Romance</w:t>
        </w:r>
      </w:hyperlink>
      <w:r w:rsidRPr="00847A7D">
        <w:rPr>
          <w:sz w:val="21"/>
          <w:szCs w:val="21"/>
        </w:rPr>
        <w:t>&gt; [accessed 15 March 2026]</w:t>
      </w:r>
    </w:p>
    <w:p w14:paraId="30F8FD0B" w14:textId="110EDD77" w:rsidR="0031121E" w:rsidRDefault="0031121E"/>
    <w:sectPr w:rsidR="0031121E">
      <w:headerReference w:type="default" r:id="rId24"/>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6C20FA" w14:textId="77777777" w:rsidR="002174B6" w:rsidRDefault="002174B6" w:rsidP="0031121E">
      <w:pPr>
        <w:spacing w:after="0" w:line="240" w:lineRule="auto"/>
      </w:pPr>
      <w:r>
        <w:separator/>
      </w:r>
    </w:p>
  </w:endnote>
  <w:endnote w:type="continuationSeparator" w:id="0">
    <w:p w14:paraId="4CAAC4EB" w14:textId="77777777" w:rsidR="002174B6" w:rsidRDefault="002174B6" w:rsidP="003112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98441527"/>
      <w:docPartObj>
        <w:docPartGallery w:val="Page Numbers (Bottom of Page)"/>
        <w:docPartUnique/>
      </w:docPartObj>
    </w:sdtPr>
    <w:sdtContent>
      <w:p w14:paraId="590478B5" w14:textId="25457184" w:rsidR="0031121E" w:rsidRDefault="0031121E" w:rsidP="00624F7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7747049" w14:textId="77777777" w:rsidR="0031121E" w:rsidRDefault="0031121E" w:rsidP="0031121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94965725"/>
      <w:docPartObj>
        <w:docPartGallery w:val="Page Numbers (Bottom of Page)"/>
        <w:docPartUnique/>
      </w:docPartObj>
    </w:sdtPr>
    <w:sdtEndPr>
      <w:rPr>
        <w:rStyle w:val="PageNumber"/>
        <w:i/>
        <w:iCs/>
        <w:sz w:val="20"/>
        <w:szCs w:val="20"/>
      </w:rPr>
    </w:sdtEndPr>
    <w:sdtContent>
      <w:p w14:paraId="6DFE2888" w14:textId="445E38D0" w:rsidR="0031121E" w:rsidRPr="0031121E" w:rsidRDefault="0031121E" w:rsidP="00624F7F">
        <w:pPr>
          <w:pStyle w:val="Footer"/>
          <w:framePr w:wrap="none" w:vAnchor="text" w:hAnchor="margin" w:xAlign="right" w:y="1"/>
          <w:rPr>
            <w:rStyle w:val="PageNumber"/>
            <w:i/>
            <w:iCs/>
            <w:sz w:val="20"/>
            <w:szCs w:val="20"/>
          </w:rPr>
        </w:pPr>
        <w:r w:rsidRPr="0031121E">
          <w:rPr>
            <w:rStyle w:val="PageNumber"/>
            <w:i/>
            <w:iCs/>
            <w:sz w:val="20"/>
            <w:szCs w:val="20"/>
          </w:rPr>
          <w:fldChar w:fldCharType="begin"/>
        </w:r>
        <w:r w:rsidRPr="0031121E">
          <w:rPr>
            <w:rStyle w:val="PageNumber"/>
            <w:i/>
            <w:iCs/>
            <w:sz w:val="20"/>
            <w:szCs w:val="20"/>
          </w:rPr>
          <w:instrText xml:space="preserve"> PAGE </w:instrText>
        </w:r>
        <w:r w:rsidRPr="0031121E">
          <w:rPr>
            <w:rStyle w:val="PageNumber"/>
            <w:i/>
            <w:iCs/>
            <w:sz w:val="20"/>
            <w:szCs w:val="20"/>
          </w:rPr>
          <w:fldChar w:fldCharType="separate"/>
        </w:r>
        <w:r w:rsidRPr="0031121E">
          <w:rPr>
            <w:rStyle w:val="PageNumber"/>
            <w:i/>
            <w:iCs/>
            <w:noProof/>
            <w:sz w:val="20"/>
            <w:szCs w:val="20"/>
          </w:rPr>
          <w:t>1</w:t>
        </w:r>
        <w:r w:rsidRPr="0031121E">
          <w:rPr>
            <w:rStyle w:val="PageNumber"/>
            <w:i/>
            <w:iCs/>
            <w:sz w:val="20"/>
            <w:szCs w:val="20"/>
          </w:rPr>
          <w:fldChar w:fldCharType="end"/>
        </w:r>
      </w:p>
    </w:sdtContent>
  </w:sdt>
  <w:p w14:paraId="4EB417B4" w14:textId="77777777" w:rsidR="0031121E" w:rsidRPr="0031121E" w:rsidRDefault="0031121E" w:rsidP="0031121E">
    <w:pPr>
      <w:pStyle w:val="Footer"/>
      <w:ind w:right="360"/>
      <w:rPr>
        <w:i/>
        <w:iC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F03C1" w14:textId="77777777" w:rsidR="002174B6" w:rsidRDefault="002174B6" w:rsidP="0031121E">
      <w:pPr>
        <w:spacing w:after="0" w:line="240" w:lineRule="auto"/>
      </w:pPr>
      <w:r>
        <w:separator/>
      </w:r>
    </w:p>
  </w:footnote>
  <w:footnote w:type="continuationSeparator" w:id="0">
    <w:p w14:paraId="373529FD" w14:textId="77777777" w:rsidR="002174B6" w:rsidRDefault="002174B6" w:rsidP="0031121E">
      <w:pPr>
        <w:spacing w:after="0" w:line="240" w:lineRule="auto"/>
      </w:pPr>
      <w:r>
        <w:continuationSeparator/>
      </w:r>
    </w:p>
  </w:footnote>
  <w:footnote w:id="1">
    <w:p w14:paraId="48A8A333" w14:textId="7B246BF7" w:rsidR="00DF55DE" w:rsidRDefault="00DF55DE">
      <w:pPr>
        <w:pStyle w:val="FootnoteText"/>
      </w:pPr>
      <w:r>
        <w:rPr>
          <w:rStyle w:val="FootnoteReference"/>
        </w:rPr>
        <w:footnoteRef/>
      </w:r>
      <w:r w:rsidR="00B3155A">
        <w:t xml:space="preserve"> Anonymous, ‘The Life of St. </w:t>
      </w:r>
      <w:proofErr w:type="spellStart"/>
      <w:r w:rsidR="00B3155A">
        <w:t>Wenefred</w:t>
      </w:r>
      <w:proofErr w:type="spellEnd"/>
      <w:r w:rsidR="00B3155A">
        <w:t xml:space="preserve">’, in Vitae Sanctorum Britanniae et </w:t>
      </w:r>
      <w:proofErr w:type="spellStart"/>
      <w:r w:rsidR="00B3155A">
        <w:t>Genealogiae</w:t>
      </w:r>
      <w:proofErr w:type="spellEnd"/>
      <w:r w:rsidR="00B3155A">
        <w:t xml:space="preserve">, ed. </w:t>
      </w:r>
      <w:r w:rsidR="0024637F">
        <w:t xml:space="preserve">and trans. </w:t>
      </w:r>
      <w:r w:rsidR="00B3155A">
        <w:t>by A.W. Wade-Evans (University of Wales Press Board, 1944) pp. 288-309</w:t>
      </w:r>
      <w:r w:rsidR="00614501">
        <w:t>.</w:t>
      </w:r>
    </w:p>
  </w:footnote>
  <w:footnote w:id="2">
    <w:p w14:paraId="482F3566" w14:textId="17ADA1C9" w:rsidR="00DF55DE" w:rsidRDefault="00DF55DE">
      <w:pPr>
        <w:pStyle w:val="FootnoteText"/>
      </w:pPr>
      <w:r>
        <w:rPr>
          <w:rStyle w:val="FootnoteReference"/>
        </w:rPr>
        <w:footnoteRef/>
      </w:r>
      <w:r>
        <w:t xml:space="preserve"> </w:t>
      </w:r>
      <w:r w:rsidR="00A87ABE">
        <w:t xml:space="preserve">Prior </w:t>
      </w:r>
      <w:r w:rsidR="00A87ABE" w:rsidRPr="00A87ABE">
        <w:t xml:space="preserve">Robert of Shrewsbury, ‘The Life and Translation of Saint </w:t>
      </w:r>
      <w:proofErr w:type="spellStart"/>
      <w:r w:rsidR="00A87ABE" w:rsidRPr="00A87ABE">
        <w:t>Winefride</w:t>
      </w:r>
      <w:proofErr w:type="spellEnd"/>
      <w:r w:rsidR="00A87ABE" w:rsidRPr="00A87ABE">
        <w:t>’, in </w:t>
      </w:r>
      <w:r w:rsidR="00A87ABE" w:rsidRPr="00A87ABE">
        <w:rPr>
          <w:i/>
          <w:iCs/>
        </w:rPr>
        <w:t xml:space="preserve">Two Mediaeval Lives of Saint </w:t>
      </w:r>
      <w:proofErr w:type="spellStart"/>
      <w:r w:rsidR="00A87ABE" w:rsidRPr="00A87ABE">
        <w:rPr>
          <w:i/>
          <w:iCs/>
        </w:rPr>
        <w:t>Winefride</w:t>
      </w:r>
      <w:proofErr w:type="spellEnd"/>
      <w:r w:rsidR="00A87ABE" w:rsidRPr="00A87ABE">
        <w:t>, trans. by Hugh Feiss and Ronald E. Pepin </w:t>
      </w:r>
      <w:r w:rsidR="00B3155A">
        <w:t>(Peregrina Pub. Co., 2000) pp. 27-76</w:t>
      </w:r>
      <w:r w:rsidR="00614501">
        <w:t>.</w:t>
      </w:r>
    </w:p>
  </w:footnote>
  <w:footnote w:id="3">
    <w:p w14:paraId="3ED6C52B" w14:textId="77777777" w:rsidR="00CC796E" w:rsidRDefault="00CC796E" w:rsidP="00CC796E">
      <w:pPr>
        <w:pStyle w:val="FootnoteText"/>
      </w:pPr>
      <w:r>
        <w:rPr>
          <w:rStyle w:val="FootnoteReference"/>
        </w:rPr>
        <w:footnoteRef/>
      </w:r>
      <w:r>
        <w:t xml:space="preserve"> Baring-Gould, S., and John Fisher, </w:t>
      </w:r>
      <w:r w:rsidRPr="00C630B8">
        <w:rPr>
          <w:i/>
          <w:iCs/>
        </w:rPr>
        <w:t>The Lives of the British Saints</w:t>
      </w:r>
      <w:r>
        <w:t>, (The Honourable Society of Cymmrodorion, 1911), p.188.</w:t>
      </w:r>
    </w:p>
  </w:footnote>
  <w:footnote w:id="4">
    <w:p w14:paraId="6546DF57" w14:textId="365EF94B" w:rsidR="00072D3E" w:rsidRDefault="00072D3E">
      <w:pPr>
        <w:pStyle w:val="FootnoteText"/>
      </w:pPr>
      <w:r>
        <w:rPr>
          <w:rStyle w:val="FootnoteReference"/>
        </w:rPr>
        <w:footnoteRef/>
      </w:r>
      <w:r>
        <w:t xml:space="preserve"> </w:t>
      </w:r>
      <w:r w:rsidR="00350EF1">
        <w:t xml:space="preserve">Fiona, Winward, ‘The Lives of St </w:t>
      </w:r>
      <w:proofErr w:type="spellStart"/>
      <w:r w:rsidR="00350EF1">
        <w:t>Wenefred</w:t>
      </w:r>
      <w:proofErr w:type="spellEnd"/>
      <w:r w:rsidR="00350EF1">
        <w:t xml:space="preserve"> (BHL 8847-8851)’, </w:t>
      </w:r>
      <w:r w:rsidR="00350EF1" w:rsidRPr="00350EF1">
        <w:rPr>
          <w:i/>
          <w:iCs/>
        </w:rPr>
        <w:t xml:space="preserve">Analecta </w:t>
      </w:r>
      <w:proofErr w:type="spellStart"/>
      <w:r w:rsidR="00350EF1" w:rsidRPr="00350EF1">
        <w:rPr>
          <w:i/>
          <w:iCs/>
        </w:rPr>
        <w:t>Bollandiana</w:t>
      </w:r>
      <w:proofErr w:type="spellEnd"/>
      <w:r w:rsidR="00350EF1">
        <w:t>, 117 (1999), p.106</w:t>
      </w:r>
      <w:r w:rsidR="006B5732">
        <w:t>.</w:t>
      </w:r>
    </w:p>
  </w:footnote>
  <w:footnote w:id="5">
    <w:p w14:paraId="69192434" w14:textId="310CCBEB" w:rsidR="000C35D1" w:rsidRDefault="000C35D1">
      <w:pPr>
        <w:pStyle w:val="FootnoteText"/>
      </w:pPr>
      <w:r>
        <w:rPr>
          <w:rStyle w:val="FootnoteReference"/>
        </w:rPr>
        <w:footnoteRef/>
      </w:r>
      <w:r>
        <w:t xml:space="preserve"> </w:t>
      </w:r>
      <w:r w:rsidR="002C567C">
        <w:t>Ibid, p.123.</w:t>
      </w:r>
    </w:p>
  </w:footnote>
  <w:footnote w:id="6">
    <w:p w14:paraId="42AD36F9" w14:textId="5758134D" w:rsidR="002C567C" w:rsidRDefault="002C567C">
      <w:pPr>
        <w:pStyle w:val="FootnoteText"/>
      </w:pPr>
      <w:r>
        <w:rPr>
          <w:rStyle w:val="FootnoteReference"/>
        </w:rPr>
        <w:footnoteRef/>
      </w:r>
      <w:r>
        <w:t xml:space="preserve"> Ibid, p.122.</w:t>
      </w:r>
    </w:p>
  </w:footnote>
  <w:footnote w:id="7">
    <w:p w14:paraId="00907B78" w14:textId="6B42EF7B" w:rsidR="00840AE7" w:rsidRDefault="00840AE7">
      <w:pPr>
        <w:pStyle w:val="FootnoteText"/>
      </w:pPr>
      <w:r>
        <w:rPr>
          <w:rStyle w:val="FootnoteReference"/>
        </w:rPr>
        <w:footnoteRef/>
      </w:r>
      <w:r>
        <w:t xml:space="preserve"> </w:t>
      </w:r>
      <w:r w:rsidR="0006400E">
        <w:t xml:space="preserve">Jocelyn Wogan-Browne, </w:t>
      </w:r>
      <w:r w:rsidR="0006400E" w:rsidRPr="0030526A">
        <w:rPr>
          <w:i/>
          <w:iCs/>
        </w:rPr>
        <w:t xml:space="preserve">Saints' </w:t>
      </w:r>
      <w:r w:rsidR="00000859">
        <w:rPr>
          <w:i/>
          <w:iCs/>
        </w:rPr>
        <w:t>L</w:t>
      </w:r>
      <w:r w:rsidR="0006400E" w:rsidRPr="0030526A">
        <w:rPr>
          <w:i/>
          <w:iCs/>
        </w:rPr>
        <w:t>ives and</w:t>
      </w:r>
      <w:r w:rsidR="00000859">
        <w:rPr>
          <w:i/>
          <w:iCs/>
        </w:rPr>
        <w:t xml:space="preserve"> W</w:t>
      </w:r>
      <w:r w:rsidR="0006400E" w:rsidRPr="0030526A">
        <w:rPr>
          <w:i/>
          <w:iCs/>
        </w:rPr>
        <w:t xml:space="preserve">omen's </w:t>
      </w:r>
      <w:r w:rsidR="00000859">
        <w:rPr>
          <w:i/>
          <w:iCs/>
        </w:rPr>
        <w:t>L</w:t>
      </w:r>
      <w:r w:rsidR="0006400E" w:rsidRPr="0030526A">
        <w:rPr>
          <w:i/>
          <w:iCs/>
        </w:rPr>
        <w:t xml:space="preserve">iterary </w:t>
      </w:r>
      <w:r w:rsidR="00000859">
        <w:rPr>
          <w:i/>
          <w:iCs/>
        </w:rPr>
        <w:t>C</w:t>
      </w:r>
      <w:r w:rsidR="0006400E" w:rsidRPr="0030526A">
        <w:rPr>
          <w:i/>
          <w:iCs/>
        </w:rPr>
        <w:t xml:space="preserve">ulture c. 1150-1300 : </w:t>
      </w:r>
      <w:r w:rsidR="00000859">
        <w:rPr>
          <w:i/>
          <w:iCs/>
        </w:rPr>
        <w:t>V</w:t>
      </w:r>
      <w:r w:rsidR="0006400E" w:rsidRPr="0030526A">
        <w:rPr>
          <w:i/>
          <w:iCs/>
        </w:rPr>
        <w:t xml:space="preserve">irginity and its </w:t>
      </w:r>
      <w:r w:rsidR="00000859">
        <w:rPr>
          <w:i/>
          <w:iCs/>
        </w:rPr>
        <w:t>A</w:t>
      </w:r>
      <w:r w:rsidR="0006400E" w:rsidRPr="0030526A">
        <w:rPr>
          <w:i/>
          <w:iCs/>
        </w:rPr>
        <w:t>uthorizations</w:t>
      </w:r>
      <w:r w:rsidR="0006400E">
        <w:t>, (Oxford University Press, 2001), pp. 3-5</w:t>
      </w:r>
      <w:r w:rsidR="0030526A">
        <w:t xml:space="preserve">, </w:t>
      </w:r>
      <w:r w:rsidR="0006400E">
        <w:t>&lt;</w:t>
      </w:r>
      <w:hyperlink r:id="rId1" w:history="1">
        <w:r w:rsidR="0006400E" w:rsidRPr="001C59E9">
          <w:rPr>
            <w:rStyle w:val="Hyperlink"/>
          </w:rPr>
          <w:t>https://archive.org/details/saintsliveswomen0000woga/page/n7/mode/1up</w:t>
        </w:r>
      </w:hyperlink>
      <w:r w:rsidR="0006400E">
        <w:t>&gt; [accessed 15 March 2026]</w:t>
      </w:r>
      <w:r w:rsidR="0030526A">
        <w:t>.</w:t>
      </w:r>
    </w:p>
  </w:footnote>
  <w:footnote w:id="8">
    <w:p w14:paraId="1DE4DA1B" w14:textId="1619D64B" w:rsidR="00982E93" w:rsidRDefault="00982E93" w:rsidP="00982E93">
      <w:pPr>
        <w:pStyle w:val="FootnoteText"/>
      </w:pPr>
      <w:r>
        <w:rPr>
          <w:rStyle w:val="FootnoteReference"/>
        </w:rPr>
        <w:footnoteRef/>
      </w:r>
      <w:r>
        <w:t xml:space="preserve"> </w:t>
      </w:r>
      <w:r w:rsidR="00C70400">
        <w:t xml:space="preserve">Anonymous, ‘The Life of St. </w:t>
      </w:r>
      <w:proofErr w:type="spellStart"/>
      <w:r w:rsidR="00C70400">
        <w:t>Wenefred</w:t>
      </w:r>
      <w:proofErr w:type="spellEnd"/>
      <w:r w:rsidR="00C70400">
        <w:t xml:space="preserve">’, in </w:t>
      </w:r>
      <w:r w:rsidR="00C70400" w:rsidRPr="00A3388F">
        <w:rPr>
          <w:i/>
          <w:iCs/>
        </w:rPr>
        <w:t>Vitae Sanctorum</w:t>
      </w:r>
      <w:r w:rsidR="00C70400">
        <w:t>, ed.</w:t>
      </w:r>
      <w:r w:rsidR="0024637F">
        <w:t xml:space="preserve"> and trans.</w:t>
      </w:r>
      <w:r w:rsidR="00C70400">
        <w:t xml:space="preserve"> by Wade-Evans, p.289</w:t>
      </w:r>
      <w:r w:rsidR="00614501">
        <w:t>.</w:t>
      </w:r>
    </w:p>
  </w:footnote>
  <w:footnote w:id="9">
    <w:p w14:paraId="13BEB107" w14:textId="041F5C97" w:rsidR="007C3AFB" w:rsidRDefault="007C3AFB" w:rsidP="007C3AFB">
      <w:pPr>
        <w:pStyle w:val="FootnoteText"/>
      </w:pPr>
      <w:r>
        <w:rPr>
          <w:rStyle w:val="FootnoteReference"/>
        </w:rPr>
        <w:footnoteRef/>
      </w:r>
      <w:r>
        <w:t xml:space="preserve"> </w:t>
      </w:r>
      <w:r w:rsidR="00350EF1">
        <w:t xml:space="preserve">Winward, ‘The Lives of St </w:t>
      </w:r>
      <w:proofErr w:type="spellStart"/>
      <w:r w:rsidR="00350EF1">
        <w:t>Wenefred</w:t>
      </w:r>
      <w:proofErr w:type="spellEnd"/>
      <w:r w:rsidR="00350EF1">
        <w:t>’, p.106</w:t>
      </w:r>
      <w:r w:rsidR="006B5732">
        <w:t>.</w:t>
      </w:r>
    </w:p>
  </w:footnote>
  <w:footnote w:id="10">
    <w:p w14:paraId="76432FA5" w14:textId="315ACBA5" w:rsidR="00C04054" w:rsidRDefault="00C04054">
      <w:pPr>
        <w:pStyle w:val="FootnoteText"/>
      </w:pPr>
      <w:r>
        <w:rPr>
          <w:rStyle w:val="FootnoteReference"/>
        </w:rPr>
        <w:footnoteRef/>
      </w:r>
      <w:r>
        <w:t xml:space="preserve"> </w:t>
      </w:r>
      <w:r w:rsidR="00D87216">
        <w:t xml:space="preserve">Bynum, Caroline Walker, </w:t>
      </w:r>
      <w:r w:rsidR="00D87216" w:rsidRPr="00D87216">
        <w:t>Holy Feast and Holy Fast: The Religious Significance of Food to Medieval Women</w:t>
      </w:r>
      <w:r w:rsidR="00D87216">
        <w:t>, (University of California Press, 1987) p.20</w:t>
      </w:r>
      <w:r w:rsidR="0064260F">
        <w:t>.</w:t>
      </w:r>
    </w:p>
  </w:footnote>
  <w:footnote w:id="11">
    <w:p w14:paraId="5175352B" w14:textId="22431F95" w:rsidR="00210B11" w:rsidRDefault="00210B11">
      <w:pPr>
        <w:pStyle w:val="FootnoteText"/>
      </w:pPr>
      <w:r>
        <w:rPr>
          <w:rStyle w:val="FootnoteReference"/>
        </w:rPr>
        <w:footnoteRef/>
      </w:r>
      <w:r>
        <w:t xml:space="preserve"> </w:t>
      </w:r>
      <w:r w:rsidR="0064260F">
        <w:t xml:space="preserve">Katherine O’Brien O’Keeffe, </w:t>
      </w:r>
      <w:r w:rsidR="0064260F" w:rsidRPr="0064260F">
        <w:t>Stealing Obedience: Narratives of Agency and Identity in Later Anglo-Saxon England</w:t>
      </w:r>
      <w:r w:rsidR="0064260F">
        <w:t>, (University of Toronto Press, 2012), p.81</w:t>
      </w:r>
      <w:r w:rsidR="00970C32">
        <w:t>, &lt;</w:t>
      </w:r>
      <w:hyperlink r:id="rId2" w:anchor="v=onepage&amp;q&amp;f=false" w:history="1">
        <w:r w:rsidR="00970C32" w:rsidRPr="00405A77">
          <w:rPr>
            <w:rStyle w:val="Hyperlink"/>
          </w:rPr>
          <w:t>https://books.google.co.uk/books?id=FbkAveuvSnYC&amp;printsec=frontcover#v=onepage&amp;q&amp;f=false</w:t>
        </w:r>
      </w:hyperlink>
      <w:r w:rsidR="00970C32">
        <w:t>&gt;  [accessed 13 March 2026]</w:t>
      </w:r>
      <w:r w:rsidR="006B5732">
        <w:t>.</w:t>
      </w:r>
    </w:p>
  </w:footnote>
  <w:footnote w:id="12">
    <w:p w14:paraId="2F14FCB1" w14:textId="4E9CF670" w:rsidR="0030526A" w:rsidRDefault="0030526A">
      <w:pPr>
        <w:pStyle w:val="FootnoteText"/>
      </w:pPr>
      <w:r>
        <w:rPr>
          <w:rStyle w:val="FootnoteReference"/>
        </w:rPr>
        <w:footnoteRef/>
      </w:r>
      <w:r>
        <w:t xml:space="preserve"> Wogan-Browne, </w:t>
      </w:r>
      <w:r w:rsidRPr="004B1B23">
        <w:rPr>
          <w:i/>
          <w:iCs/>
        </w:rPr>
        <w:t xml:space="preserve">Saints’ </w:t>
      </w:r>
      <w:r w:rsidR="000750C2">
        <w:rPr>
          <w:i/>
          <w:iCs/>
        </w:rPr>
        <w:t>L</w:t>
      </w:r>
      <w:r w:rsidRPr="004B1B23">
        <w:rPr>
          <w:i/>
          <w:iCs/>
        </w:rPr>
        <w:t xml:space="preserve">ives and </w:t>
      </w:r>
      <w:r w:rsidR="000750C2">
        <w:rPr>
          <w:i/>
          <w:iCs/>
        </w:rPr>
        <w:t>W</w:t>
      </w:r>
      <w:r w:rsidRPr="004B1B23">
        <w:rPr>
          <w:i/>
          <w:iCs/>
        </w:rPr>
        <w:t xml:space="preserve">omen’s </w:t>
      </w:r>
      <w:r w:rsidR="000750C2">
        <w:rPr>
          <w:i/>
          <w:iCs/>
        </w:rPr>
        <w:t>L</w:t>
      </w:r>
      <w:r w:rsidRPr="004B1B23">
        <w:rPr>
          <w:i/>
          <w:iCs/>
        </w:rPr>
        <w:t xml:space="preserve">iterary </w:t>
      </w:r>
      <w:r w:rsidR="000750C2">
        <w:rPr>
          <w:i/>
          <w:iCs/>
        </w:rPr>
        <w:t>C</w:t>
      </w:r>
      <w:r w:rsidRPr="004B1B23">
        <w:rPr>
          <w:i/>
          <w:iCs/>
        </w:rPr>
        <w:t>ulture</w:t>
      </w:r>
      <w:r>
        <w:t>, p.5.</w:t>
      </w:r>
    </w:p>
  </w:footnote>
  <w:footnote w:id="13">
    <w:p w14:paraId="5B4167DE" w14:textId="73079487" w:rsidR="00D9153F" w:rsidRDefault="00D9153F">
      <w:pPr>
        <w:pStyle w:val="FootnoteText"/>
      </w:pPr>
      <w:r>
        <w:rPr>
          <w:rStyle w:val="FootnoteReference"/>
        </w:rPr>
        <w:footnoteRef/>
      </w:r>
      <w:r>
        <w:t xml:space="preserve"> </w:t>
      </w:r>
      <w:r w:rsidR="00AE5EE0">
        <w:t xml:space="preserve">Anonymous, ‘The Life of St. </w:t>
      </w:r>
      <w:proofErr w:type="spellStart"/>
      <w:r w:rsidR="00AE5EE0">
        <w:t>Wenefred</w:t>
      </w:r>
      <w:proofErr w:type="spellEnd"/>
      <w:r w:rsidR="00AE5EE0">
        <w:t xml:space="preserve">’, in </w:t>
      </w:r>
      <w:r w:rsidR="00AE5EE0" w:rsidRPr="00A3388F">
        <w:rPr>
          <w:i/>
          <w:iCs/>
        </w:rPr>
        <w:t>Vitae Sanctorum</w:t>
      </w:r>
      <w:r w:rsidR="00AE5EE0">
        <w:t>, ed. and trans. by Wade-Evans, p.291.</w:t>
      </w:r>
    </w:p>
  </w:footnote>
  <w:footnote w:id="14">
    <w:p w14:paraId="17937065" w14:textId="03434586" w:rsidR="00121B50" w:rsidRDefault="00121B50">
      <w:pPr>
        <w:pStyle w:val="FootnoteText"/>
      </w:pPr>
      <w:r>
        <w:rPr>
          <w:rStyle w:val="FootnoteReference"/>
        </w:rPr>
        <w:footnoteRef/>
      </w:r>
      <w:r>
        <w:t xml:space="preserve"> </w:t>
      </w:r>
      <w:r w:rsidR="00BB6E79">
        <w:t xml:space="preserve">Schulenburg, Jane Tibbetts, </w:t>
      </w:r>
      <w:r w:rsidR="00BB6E79" w:rsidRPr="00D87216">
        <w:rPr>
          <w:i/>
          <w:iCs/>
        </w:rPr>
        <w:t>Forgetful of Their Sex: Female Sanctity and Society, ca.500-1100</w:t>
      </w:r>
      <w:r w:rsidR="00BB6E79">
        <w:t>, (The University of Chicago Press, 1998) p.21</w:t>
      </w:r>
      <w:r w:rsidR="0064260F">
        <w:t>.</w:t>
      </w:r>
    </w:p>
  </w:footnote>
  <w:footnote w:id="15">
    <w:p w14:paraId="3D7FDF95" w14:textId="19F6AB92" w:rsidR="00C04054" w:rsidRDefault="00C04054">
      <w:pPr>
        <w:pStyle w:val="FootnoteText"/>
      </w:pPr>
      <w:r>
        <w:rPr>
          <w:rStyle w:val="FootnoteReference"/>
        </w:rPr>
        <w:footnoteRef/>
      </w:r>
      <w:r>
        <w:t xml:space="preserve"> </w:t>
      </w:r>
      <w:r w:rsidR="00BB6E79">
        <w:t>Ibid,</w:t>
      </w:r>
      <w:r w:rsidR="00522481">
        <w:t xml:space="preserve"> pp. 60-62</w:t>
      </w:r>
      <w:r w:rsidR="009E21AC">
        <w:t>.</w:t>
      </w:r>
    </w:p>
  </w:footnote>
  <w:footnote w:id="16">
    <w:p w14:paraId="66760C96" w14:textId="77777777" w:rsidR="003E0B8B" w:rsidRDefault="003E0B8B" w:rsidP="003E0B8B">
      <w:pPr>
        <w:pStyle w:val="FootnoteText"/>
      </w:pPr>
      <w:r>
        <w:rPr>
          <w:rStyle w:val="FootnoteReference"/>
        </w:rPr>
        <w:footnoteRef/>
      </w:r>
      <w:r>
        <w:t xml:space="preserve"> Robert of Shrewsbury, ‘The Life and Translation of Saint </w:t>
      </w:r>
      <w:proofErr w:type="spellStart"/>
      <w:r>
        <w:t>Winefride</w:t>
      </w:r>
      <w:proofErr w:type="spellEnd"/>
      <w:r>
        <w:t xml:space="preserve">’, in </w:t>
      </w:r>
      <w:r w:rsidRPr="00CD6CB2">
        <w:rPr>
          <w:i/>
          <w:iCs/>
        </w:rPr>
        <w:t>Two Mediaeval Lives</w:t>
      </w:r>
      <w:r>
        <w:t>, trans. by Feiss and Pepin, p.33.</w:t>
      </w:r>
    </w:p>
  </w:footnote>
  <w:footnote w:id="17">
    <w:p w14:paraId="027747CE" w14:textId="3279F366" w:rsidR="00997D67" w:rsidRDefault="00997D67">
      <w:pPr>
        <w:pStyle w:val="FootnoteText"/>
      </w:pPr>
      <w:r>
        <w:rPr>
          <w:rStyle w:val="FootnoteReference"/>
        </w:rPr>
        <w:footnoteRef/>
      </w:r>
      <w:r>
        <w:t xml:space="preserve"> </w:t>
      </w:r>
      <w:r w:rsidR="00D53207">
        <w:t xml:space="preserve">Schulenburg, </w:t>
      </w:r>
      <w:r w:rsidR="00D53207" w:rsidRPr="00D53207">
        <w:rPr>
          <w:i/>
          <w:iCs/>
        </w:rPr>
        <w:t>Forgetful of Their Sex</w:t>
      </w:r>
      <w:r w:rsidR="00D53207">
        <w:t>, p.</w:t>
      </w:r>
      <w:r w:rsidR="004446F6">
        <w:t>7</w:t>
      </w:r>
      <w:r w:rsidR="00D53207">
        <w:t>.</w:t>
      </w:r>
    </w:p>
  </w:footnote>
  <w:footnote w:id="18">
    <w:p w14:paraId="42C5AA15" w14:textId="07C4CE7F" w:rsidR="00173B4C" w:rsidRDefault="00173B4C">
      <w:pPr>
        <w:pStyle w:val="FootnoteText"/>
      </w:pPr>
      <w:r>
        <w:rPr>
          <w:rStyle w:val="FootnoteReference"/>
        </w:rPr>
        <w:footnoteRef/>
      </w:r>
      <w:r>
        <w:t xml:space="preserve"> </w:t>
      </w:r>
      <w:r w:rsidR="0063449F">
        <w:t xml:space="preserve">Ibid. </w:t>
      </w:r>
    </w:p>
  </w:footnote>
  <w:footnote w:id="19">
    <w:p w14:paraId="2AC73697" w14:textId="436F5CAD" w:rsidR="006B5732" w:rsidRDefault="006B5732">
      <w:pPr>
        <w:pStyle w:val="FootnoteText"/>
      </w:pPr>
      <w:r>
        <w:rPr>
          <w:rStyle w:val="FootnoteReference"/>
        </w:rPr>
        <w:footnoteRef/>
      </w:r>
      <w:r>
        <w:t xml:space="preserve"> Winward, ‘The Lives of St </w:t>
      </w:r>
      <w:proofErr w:type="spellStart"/>
      <w:r>
        <w:t>Wenefred</w:t>
      </w:r>
      <w:proofErr w:type="spellEnd"/>
      <w:r>
        <w:t>’, p.107.</w:t>
      </w:r>
    </w:p>
  </w:footnote>
  <w:footnote w:id="20">
    <w:p w14:paraId="387A9D02" w14:textId="44B67A43" w:rsidR="00706002" w:rsidRDefault="00706002">
      <w:pPr>
        <w:pStyle w:val="FootnoteText"/>
      </w:pPr>
      <w:r>
        <w:rPr>
          <w:rStyle w:val="FootnoteReference"/>
        </w:rPr>
        <w:footnoteRef/>
      </w:r>
      <w:r>
        <w:t xml:space="preserve"> Schulenburg, </w:t>
      </w:r>
      <w:r w:rsidRPr="00D53207">
        <w:rPr>
          <w:i/>
          <w:iCs/>
        </w:rPr>
        <w:t>Forgetful of Their Sex</w:t>
      </w:r>
      <w:r>
        <w:t>, p.7.</w:t>
      </w:r>
    </w:p>
  </w:footnote>
  <w:footnote w:id="21">
    <w:p w14:paraId="33EE9C64" w14:textId="5F2E9631" w:rsidR="00FE7806" w:rsidRDefault="00FE7806">
      <w:pPr>
        <w:pStyle w:val="FootnoteText"/>
      </w:pPr>
      <w:r>
        <w:rPr>
          <w:rStyle w:val="FootnoteReference"/>
        </w:rPr>
        <w:footnoteRef/>
      </w:r>
      <w:r>
        <w:t xml:space="preserve"> Robert of Shrewsbury, ‘The Life and Translation of Saint </w:t>
      </w:r>
      <w:proofErr w:type="spellStart"/>
      <w:r>
        <w:t>Winefride</w:t>
      </w:r>
      <w:proofErr w:type="spellEnd"/>
      <w:r>
        <w:t xml:space="preserve">’, in </w:t>
      </w:r>
      <w:r w:rsidRPr="00CD6CB2">
        <w:rPr>
          <w:i/>
          <w:iCs/>
        </w:rPr>
        <w:t>Two Mediaeval Lives</w:t>
      </w:r>
      <w:r>
        <w:t>, trans. by Feiss and Pepin, p.35.</w:t>
      </w:r>
    </w:p>
  </w:footnote>
  <w:footnote w:id="22">
    <w:p w14:paraId="092ACAF5" w14:textId="4F4A0407" w:rsidR="00C521E6" w:rsidRDefault="00C521E6">
      <w:pPr>
        <w:pStyle w:val="FootnoteText"/>
      </w:pPr>
      <w:r>
        <w:rPr>
          <w:rStyle w:val="FootnoteReference"/>
        </w:rPr>
        <w:footnoteRef/>
      </w:r>
      <w:r>
        <w:t xml:space="preserve"> Ibid.</w:t>
      </w:r>
    </w:p>
  </w:footnote>
  <w:footnote w:id="23">
    <w:p w14:paraId="3E4BEE1E" w14:textId="60BBDA1B" w:rsidR="00F12C11" w:rsidRDefault="00F12C11">
      <w:pPr>
        <w:pStyle w:val="FootnoteText"/>
      </w:pPr>
      <w:r>
        <w:rPr>
          <w:rStyle w:val="FootnoteReference"/>
        </w:rPr>
        <w:footnoteRef/>
      </w:r>
      <w:r>
        <w:t xml:space="preserve"> </w:t>
      </w:r>
      <w:r w:rsidR="002F3C05">
        <w:t>Jane, Cartwright, ‘</w:t>
      </w:r>
      <w:r w:rsidR="002F3C05" w:rsidRPr="002F3C05">
        <w:t xml:space="preserve">Dead Virgins: Feminine Sanctity </w:t>
      </w:r>
      <w:proofErr w:type="gramStart"/>
      <w:r w:rsidR="002F3C05" w:rsidRPr="002F3C05">
        <w:t>In</w:t>
      </w:r>
      <w:proofErr w:type="gramEnd"/>
      <w:r w:rsidR="002F3C05" w:rsidRPr="002F3C05">
        <w:t xml:space="preserve"> Medieval Wales</w:t>
      </w:r>
      <w:r w:rsidR="002F3C05">
        <w:t xml:space="preserve">’, </w:t>
      </w:r>
      <w:r w:rsidR="002F3C05" w:rsidRPr="002F3C05">
        <w:t xml:space="preserve">Medium </w:t>
      </w:r>
      <w:proofErr w:type="spellStart"/>
      <w:r w:rsidR="002F3C05" w:rsidRPr="002F3C05">
        <w:t>Ævum</w:t>
      </w:r>
      <w:proofErr w:type="spellEnd"/>
      <w:r w:rsidR="002F3C05">
        <w:t>, 71 (2002), p.9, &lt;</w:t>
      </w:r>
      <w:hyperlink r:id="rId3" w:history="1">
        <w:r w:rsidR="002F3C05" w:rsidRPr="001C59E9">
          <w:rPr>
            <w:rStyle w:val="Hyperlink"/>
          </w:rPr>
          <w:t>https://www.jstor.org/stable/43630386</w:t>
        </w:r>
      </w:hyperlink>
      <w:r w:rsidR="002F3C05">
        <w:t>&gt; [accessed 17 February 2026]</w:t>
      </w:r>
      <w:r w:rsidR="00902E74">
        <w:t>.</w:t>
      </w:r>
    </w:p>
  </w:footnote>
  <w:footnote w:id="24">
    <w:p w14:paraId="6F49C559" w14:textId="5E838AD3" w:rsidR="00CF0B95" w:rsidRDefault="00CF0B95">
      <w:pPr>
        <w:pStyle w:val="FootnoteText"/>
      </w:pPr>
      <w:r>
        <w:rPr>
          <w:rStyle w:val="FootnoteReference"/>
        </w:rPr>
        <w:footnoteRef/>
      </w:r>
      <w:r>
        <w:t xml:space="preserve"> Winward, ‘The Lives of St </w:t>
      </w:r>
      <w:proofErr w:type="spellStart"/>
      <w:r>
        <w:t>Wenefred</w:t>
      </w:r>
      <w:proofErr w:type="spellEnd"/>
      <w:r>
        <w:t>’, p.106.</w:t>
      </w:r>
    </w:p>
  </w:footnote>
  <w:footnote w:id="25">
    <w:p w14:paraId="3CEE92C3" w14:textId="11AE9BAF" w:rsidR="00895D16" w:rsidRDefault="00895D16">
      <w:pPr>
        <w:pStyle w:val="FootnoteText"/>
      </w:pPr>
      <w:r>
        <w:rPr>
          <w:rStyle w:val="FootnoteReference"/>
        </w:rPr>
        <w:footnoteRef/>
      </w:r>
      <w:r>
        <w:t xml:space="preserve"> </w:t>
      </w:r>
      <w:r w:rsidR="00B45D9C">
        <w:t>Cartwright, ‘</w:t>
      </w:r>
      <w:r w:rsidR="00B45D9C" w:rsidRPr="002F3C05">
        <w:t>Dead Virgins</w:t>
      </w:r>
      <w:r w:rsidR="00B45D9C">
        <w:t>’, p.3.</w:t>
      </w:r>
    </w:p>
  </w:footnote>
  <w:footnote w:id="26">
    <w:p w14:paraId="5175B88E" w14:textId="1407AD12" w:rsidR="005D08A0" w:rsidRDefault="005D08A0">
      <w:pPr>
        <w:pStyle w:val="FootnoteText"/>
      </w:pPr>
      <w:r>
        <w:rPr>
          <w:rStyle w:val="FootnoteReference"/>
        </w:rPr>
        <w:footnoteRef/>
      </w:r>
      <w:r>
        <w:t xml:space="preserve"> Anonymous, ‘The Life of St. </w:t>
      </w:r>
      <w:proofErr w:type="spellStart"/>
      <w:r>
        <w:t>Wenefred</w:t>
      </w:r>
      <w:proofErr w:type="spellEnd"/>
      <w:r>
        <w:t xml:space="preserve">’, in </w:t>
      </w:r>
      <w:r w:rsidRPr="00A3388F">
        <w:rPr>
          <w:i/>
          <w:iCs/>
        </w:rPr>
        <w:t>Vitae Sanctorum</w:t>
      </w:r>
      <w:r>
        <w:t>, ed. and trans. by Wade-Evans, p.293.</w:t>
      </w:r>
    </w:p>
  </w:footnote>
  <w:footnote w:id="27">
    <w:p w14:paraId="08EF3E75" w14:textId="62375515" w:rsidR="00592FA0" w:rsidRDefault="00592FA0">
      <w:pPr>
        <w:pStyle w:val="FootnoteText"/>
      </w:pPr>
      <w:r>
        <w:rPr>
          <w:rStyle w:val="FootnoteReference"/>
        </w:rPr>
        <w:footnoteRef/>
      </w:r>
      <w:r>
        <w:t xml:space="preserve"> Robert of Shrewsbury, ‘The Life and Translation of Saint </w:t>
      </w:r>
      <w:proofErr w:type="spellStart"/>
      <w:r>
        <w:t>Winefride</w:t>
      </w:r>
      <w:proofErr w:type="spellEnd"/>
      <w:r>
        <w:t xml:space="preserve">’, in </w:t>
      </w:r>
      <w:r w:rsidRPr="00CD6CB2">
        <w:rPr>
          <w:i/>
          <w:iCs/>
        </w:rPr>
        <w:t>Two Mediaeval Lives</w:t>
      </w:r>
      <w:r>
        <w:t>, trans. by Feiss and Pepin, p.37.</w:t>
      </w:r>
    </w:p>
  </w:footnote>
  <w:footnote w:id="28">
    <w:p w14:paraId="7259103A" w14:textId="6F40F294" w:rsidR="00E06731" w:rsidRDefault="00E06731">
      <w:pPr>
        <w:pStyle w:val="FootnoteText"/>
      </w:pPr>
      <w:r>
        <w:rPr>
          <w:rStyle w:val="FootnoteReference"/>
        </w:rPr>
        <w:footnoteRef/>
      </w:r>
      <w:r>
        <w:t xml:space="preserve"> </w:t>
      </w:r>
      <w:r w:rsidR="00236132">
        <w:t xml:space="preserve">Karen A. Winstead, </w:t>
      </w:r>
      <w:r w:rsidR="00236132" w:rsidRPr="0063659F">
        <w:rPr>
          <w:i/>
          <w:iCs/>
        </w:rPr>
        <w:t>Virgin Martyrs: Legends of Sainthood in Late Medieval England</w:t>
      </w:r>
      <w:r w:rsidR="00236132">
        <w:t>, (Cornell University Press, 2018), p.1</w:t>
      </w:r>
      <w:r w:rsidR="000C282E">
        <w:t>2</w:t>
      </w:r>
      <w:r w:rsidR="00236132">
        <w:t>, &lt;</w:t>
      </w:r>
      <w:hyperlink r:id="rId4" w:history="1">
        <w:r w:rsidR="00236132" w:rsidRPr="001C59E9">
          <w:rPr>
            <w:rStyle w:val="Hyperlink"/>
          </w:rPr>
          <w:t>https://www.google.co.uk/books/edition/Virgin_Martyrs/t7lcDwAAQBAJ?hl=en&amp;gbpv=1</w:t>
        </w:r>
      </w:hyperlink>
      <w:r w:rsidR="00236132">
        <w:t>&gt; [accessed 16 March 2026]</w:t>
      </w:r>
      <w:r w:rsidR="00D56E4D">
        <w:t>.</w:t>
      </w:r>
    </w:p>
  </w:footnote>
  <w:footnote w:id="29">
    <w:p w14:paraId="5AAB8407" w14:textId="667C9335" w:rsidR="0094443B" w:rsidRDefault="0094443B">
      <w:pPr>
        <w:pStyle w:val="FootnoteText"/>
      </w:pPr>
      <w:r>
        <w:rPr>
          <w:rStyle w:val="FootnoteReference"/>
        </w:rPr>
        <w:footnoteRef/>
      </w:r>
      <w:r>
        <w:t xml:space="preserve"> Ibid.</w:t>
      </w:r>
    </w:p>
  </w:footnote>
  <w:footnote w:id="30">
    <w:p w14:paraId="3EFD3008" w14:textId="26EF66C1" w:rsidR="00663959" w:rsidRDefault="00663959">
      <w:pPr>
        <w:pStyle w:val="FootnoteText"/>
      </w:pPr>
      <w:r>
        <w:rPr>
          <w:rStyle w:val="FootnoteReference"/>
        </w:rPr>
        <w:footnoteRef/>
      </w:r>
      <w:r>
        <w:t xml:space="preserve"> Kathleen Coyne Kelly, </w:t>
      </w:r>
      <w:r w:rsidRPr="0063659F">
        <w:rPr>
          <w:i/>
          <w:iCs/>
        </w:rPr>
        <w:t>Performing Virginity and Testing Chastity in the Middle Ages</w:t>
      </w:r>
      <w:r>
        <w:t xml:space="preserve">, </w:t>
      </w:r>
      <w:r w:rsidR="00886257">
        <w:t>(Routledge, 2000), p.57.</w:t>
      </w:r>
    </w:p>
  </w:footnote>
  <w:footnote w:id="31">
    <w:p w14:paraId="7C0271B8" w14:textId="169F7A62" w:rsidR="00EE7A76" w:rsidRDefault="00EE7A76">
      <w:pPr>
        <w:pStyle w:val="FootnoteText"/>
      </w:pPr>
      <w:r>
        <w:rPr>
          <w:rStyle w:val="FootnoteReference"/>
        </w:rPr>
        <w:footnoteRef/>
      </w:r>
      <w:r>
        <w:t xml:space="preserve"> Ibid. </w:t>
      </w:r>
    </w:p>
  </w:footnote>
  <w:footnote w:id="32">
    <w:p w14:paraId="123D86D6" w14:textId="38F8C38A" w:rsidR="0063659F" w:rsidRDefault="0063659F">
      <w:pPr>
        <w:pStyle w:val="FootnoteText"/>
      </w:pPr>
      <w:r>
        <w:rPr>
          <w:rStyle w:val="FootnoteReference"/>
        </w:rPr>
        <w:footnoteRef/>
      </w:r>
      <w:r>
        <w:t xml:space="preserve"> Karen A. Winstead, </w:t>
      </w:r>
      <w:r w:rsidRPr="0063659F">
        <w:rPr>
          <w:i/>
          <w:iCs/>
        </w:rPr>
        <w:t xml:space="preserve">Virgin Martyrs, </w:t>
      </w:r>
      <w:r>
        <w:t>p.12.</w:t>
      </w:r>
    </w:p>
  </w:footnote>
  <w:footnote w:id="33">
    <w:p w14:paraId="3A246AF8" w14:textId="77777777" w:rsidR="005B5A3E" w:rsidRDefault="005B5A3E" w:rsidP="005B5A3E">
      <w:pPr>
        <w:pStyle w:val="FootnoteText"/>
      </w:pPr>
      <w:r>
        <w:rPr>
          <w:rStyle w:val="FootnoteReference"/>
        </w:rPr>
        <w:footnoteRef/>
      </w:r>
      <w:r>
        <w:t xml:space="preserve"> T.W. Pritchard, </w:t>
      </w:r>
      <w:r w:rsidRPr="00271389">
        <w:rPr>
          <w:i/>
          <w:iCs/>
        </w:rPr>
        <w:t xml:space="preserve">St </w:t>
      </w:r>
      <w:proofErr w:type="spellStart"/>
      <w:r w:rsidRPr="00271389">
        <w:rPr>
          <w:i/>
          <w:iCs/>
        </w:rPr>
        <w:t>Winefride</w:t>
      </w:r>
      <w:proofErr w:type="spellEnd"/>
      <w:r w:rsidRPr="00271389">
        <w:rPr>
          <w:i/>
          <w:iCs/>
        </w:rPr>
        <w:t>, Her Holy Well and the Jesuit Mission, c.650-1930</w:t>
      </w:r>
      <w:r>
        <w:t>, (Bridge Books, 2009), p.55.</w:t>
      </w:r>
    </w:p>
  </w:footnote>
  <w:footnote w:id="34">
    <w:p w14:paraId="22287719" w14:textId="77777777" w:rsidR="005B5A3E" w:rsidRDefault="005B5A3E" w:rsidP="005B5A3E">
      <w:pPr>
        <w:pStyle w:val="FootnoteText"/>
      </w:pPr>
      <w:r>
        <w:rPr>
          <w:rStyle w:val="FootnoteReference"/>
        </w:rPr>
        <w:footnoteRef/>
      </w:r>
      <w:r>
        <w:t xml:space="preserve"> E.R. Henken, </w:t>
      </w:r>
      <w:r w:rsidRPr="00923DA5">
        <w:rPr>
          <w:i/>
          <w:iCs/>
        </w:rPr>
        <w:t>The Welsh Saints: A Study in Patterned Lives</w:t>
      </w:r>
      <w:r>
        <w:t>, (DS Brewer, 1991), p.54.</w:t>
      </w:r>
    </w:p>
  </w:footnote>
  <w:footnote w:id="35">
    <w:p w14:paraId="056DCD1B" w14:textId="77777777" w:rsidR="005B5A3E" w:rsidRDefault="005B5A3E" w:rsidP="005B5A3E">
      <w:pPr>
        <w:pStyle w:val="FootnoteText"/>
      </w:pPr>
      <w:r>
        <w:rPr>
          <w:rStyle w:val="FootnoteReference"/>
        </w:rPr>
        <w:footnoteRef/>
      </w:r>
      <w:r>
        <w:t xml:space="preserve"> Ibid, p.49.</w:t>
      </w:r>
    </w:p>
  </w:footnote>
  <w:footnote w:id="36">
    <w:p w14:paraId="2C242629" w14:textId="77777777" w:rsidR="00EC6669" w:rsidRDefault="00EC6669" w:rsidP="00EC6669">
      <w:pPr>
        <w:pStyle w:val="FootnoteText"/>
      </w:pPr>
      <w:r>
        <w:rPr>
          <w:rStyle w:val="FootnoteReference"/>
        </w:rPr>
        <w:footnoteRef/>
      </w:r>
      <w:r>
        <w:t xml:space="preserve"> Sean R. Edwards, Mosses in English Literature, (British Bryological Society, 1992), p.1,</w:t>
      </w:r>
    </w:p>
    <w:p w14:paraId="01D8CC23" w14:textId="77777777" w:rsidR="00EC6669" w:rsidRDefault="00EC6669" w:rsidP="00EC6669">
      <w:pPr>
        <w:pStyle w:val="FootnoteText"/>
      </w:pPr>
      <w:r>
        <w:t>&lt;</w:t>
      </w:r>
      <w:hyperlink r:id="rId5" w:history="1">
        <w:r w:rsidRPr="00051322">
          <w:rPr>
            <w:rStyle w:val="Hyperlink"/>
          </w:rPr>
          <w:t>https://www.britishbryologicalsociety.org.uk/wp-content/uploads/2022/09/1992-BBS-Special-Vol.-4-Mosses-in-English-Literature-S.-Edwards_1992_OCR.pdf</w:t>
        </w:r>
      </w:hyperlink>
      <w:r>
        <w:t>&gt; [accessed 16 March 2026].</w:t>
      </w:r>
    </w:p>
  </w:footnote>
  <w:footnote w:id="37">
    <w:p w14:paraId="5CD66BB4" w14:textId="77777777" w:rsidR="00D6008F" w:rsidRDefault="00D6008F" w:rsidP="00D6008F">
      <w:pPr>
        <w:pStyle w:val="FootnoteText"/>
      </w:pPr>
      <w:r>
        <w:rPr>
          <w:rStyle w:val="FootnoteReference"/>
        </w:rPr>
        <w:footnoteRef/>
      </w:r>
      <w:r>
        <w:t xml:space="preserve"> </w:t>
      </w:r>
      <w:r w:rsidRPr="00856DC1">
        <w:t>Raphaëlle Sarah</w:t>
      </w:r>
      <w:r>
        <w:t xml:space="preserve"> Golder, ‘</w:t>
      </w:r>
      <w:r w:rsidRPr="00856DC1">
        <w:t>The Changing Uses and Developments of Affectivity in the Practice of Confession (12th -13th centuries)</w:t>
      </w:r>
      <w:r>
        <w:t>’, (unpublished doctoral thesis, University of Cambridge, 2022) &lt;</w:t>
      </w:r>
      <w:r w:rsidRPr="00856DC1">
        <w:t xml:space="preserve"> </w:t>
      </w:r>
      <w:hyperlink r:id="rId6" w:history="1">
        <w:r w:rsidRPr="00051322">
          <w:rPr>
            <w:rStyle w:val="Hyperlink"/>
          </w:rPr>
          <w:t>https://www.repository.cam.ac.uk/items/b2ca8c89-fd0e-47e8-8bfa-662c3b3778fc</w:t>
        </w:r>
      </w:hyperlink>
      <w:r>
        <w:t>&gt; [accessed 16 March 2026].</w:t>
      </w:r>
    </w:p>
  </w:footnote>
  <w:footnote w:id="38">
    <w:p w14:paraId="164321A1" w14:textId="393D9984" w:rsidR="002831FB" w:rsidRDefault="002831FB">
      <w:pPr>
        <w:pStyle w:val="FootnoteText"/>
      </w:pPr>
      <w:r>
        <w:rPr>
          <w:rStyle w:val="FootnoteReference"/>
        </w:rPr>
        <w:footnoteRef/>
      </w:r>
      <w:r>
        <w:t xml:space="preserve"> Michelle Sauer, ‘</w:t>
      </w:r>
      <w:r w:rsidRPr="002831FB">
        <w:t>Queer Time and Lesbian Temporality in Medieval Women's Encounters with the Side Wound</w:t>
      </w:r>
      <w:r>
        <w:t xml:space="preserve">’, in </w:t>
      </w:r>
      <w:r w:rsidRPr="002831FB">
        <w:rPr>
          <w:i/>
          <w:iCs/>
        </w:rPr>
        <w:t>Medieval Futurity: Essays for the Future of a Queer Medieval Studies,</w:t>
      </w:r>
      <w:r>
        <w:t xml:space="preserve"> ed. by Will Rogers and Christopher Michael Roman (Medieval Institute Publications, 2020) pp.199-220 (p.210).</w:t>
      </w:r>
    </w:p>
  </w:footnote>
  <w:footnote w:id="39">
    <w:p w14:paraId="54DE5A86" w14:textId="0451F942" w:rsidR="00FF1CA0" w:rsidRDefault="00FF1CA0">
      <w:pPr>
        <w:pStyle w:val="FootnoteText"/>
      </w:pPr>
      <w:r>
        <w:rPr>
          <w:rStyle w:val="FootnoteReference"/>
        </w:rPr>
        <w:footnoteRef/>
      </w:r>
      <w:r>
        <w:t xml:space="preserve"> </w:t>
      </w:r>
      <w:r w:rsidR="00202650">
        <w:t>Dee Dyas, ‘</w:t>
      </w:r>
      <w:r w:rsidR="00202650" w:rsidRPr="00202650">
        <w:t>To Be a Pilgrim: Tactile Piety, Virtual Pilgrimage and the Experience of Place in Christian Pilgrimage</w:t>
      </w:r>
      <w:r w:rsidR="00202650">
        <w:t xml:space="preserve">’, in </w:t>
      </w:r>
      <w:r w:rsidR="00202650" w:rsidRPr="00202650">
        <w:rPr>
          <w:i/>
          <w:iCs/>
        </w:rPr>
        <w:t>Matter of Faith: An Interdisciplinary Study of Relics and Relic Veneration in the Medieval Period</w:t>
      </w:r>
      <w:r w:rsidR="00202650">
        <w:t xml:space="preserve">, ed. by James Robinson, Lloyd de Beer, and Anna </w:t>
      </w:r>
      <w:proofErr w:type="spellStart"/>
      <w:r w:rsidR="00202650">
        <w:t>Hardnen</w:t>
      </w:r>
      <w:proofErr w:type="spellEnd"/>
      <w:r w:rsidR="00202650">
        <w:t xml:space="preserve"> (The British Museum, 2014), pp.1-7 (p.1)</w:t>
      </w:r>
      <w:r w:rsidR="00EE18B5">
        <w:t xml:space="preserve"> &lt;</w:t>
      </w:r>
      <w:hyperlink r:id="rId7" w:history="1">
        <w:r w:rsidR="00EE18B5" w:rsidRPr="00564106">
          <w:rPr>
            <w:rStyle w:val="Hyperlink"/>
          </w:rPr>
          <w:t>https://britishmuseum.iro.bl.uk/concern/books/5c9614ae-1cb1-4a84-b663-c6db86ac107e</w:t>
        </w:r>
      </w:hyperlink>
      <w:r w:rsidR="00EE18B5">
        <w:t>&gt; [accessed 17 March 2026]</w:t>
      </w:r>
      <w:r w:rsidR="003858B3">
        <w:t>.</w:t>
      </w:r>
    </w:p>
  </w:footnote>
  <w:footnote w:id="40">
    <w:p w14:paraId="31925CE7" w14:textId="383C81F2" w:rsidR="00B4263D" w:rsidRDefault="00B4263D">
      <w:pPr>
        <w:pStyle w:val="FootnoteText"/>
      </w:pPr>
      <w:r>
        <w:rPr>
          <w:rStyle w:val="FootnoteReference"/>
        </w:rPr>
        <w:footnoteRef/>
      </w:r>
      <w:r>
        <w:t xml:space="preserve"> </w:t>
      </w:r>
      <w:r w:rsidR="00F544F0">
        <w:t>Madeleine Gray</w:t>
      </w:r>
      <w:r w:rsidR="00F544F0">
        <w:t>, ‘</w:t>
      </w:r>
      <w:r w:rsidR="00F544F0" w:rsidRPr="00F544F0">
        <w:t xml:space="preserve">Contested Relics: </w:t>
      </w:r>
      <w:proofErr w:type="spellStart"/>
      <w:r w:rsidR="00F544F0" w:rsidRPr="00F544F0">
        <w:t>Winefride</w:t>
      </w:r>
      <w:proofErr w:type="spellEnd"/>
      <w:r w:rsidR="00F544F0" w:rsidRPr="00F544F0">
        <w:t xml:space="preserve"> and the Saints of the Atlantic Churches</w:t>
      </w:r>
      <w:r w:rsidR="00F544F0">
        <w:t>’</w:t>
      </w:r>
      <w:r w:rsidR="00F544F0">
        <w:t xml:space="preserve">, in </w:t>
      </w:r>
      <w:r w:rsidR="00F544F0" w:rsidRPr="00202650">
        <w:rPr>
          <w:i/>
          <w:iCs/>
        </w:rPr>
        <w:t>Matter of Faith: An Interdisciplinary Study of Relics and Relic Veneration in the Medieval Period</w:t>
      </w:r>
      <w:r w:rsidR="00F544F0">
        <w:t xml:space="preserve">, ed. by James Robinson, Lloyd de Beer, and Anna </w:t>
      </w:r>
      <w:proofErr w:type="spellStart"/>
      <w:r w:rsidR="00F544F0">
        <w:t>Hardnen</w:t>
      </w:r>
      <w:proofErr w:type="spellEnd"/>
      <w:r w:rsidR="00F544F0">
        <w:t xml:space="preserve"> (The British Museum, 2014), pp.</w:t>
      </w:r>
      <w:r w:rsidR="00F544F0">
        <w:t>164-169</w:t>
      </w:r>
      <w:r w:rsidR="00F544F0">
        <w:t xml:space="preserve"> (p.1</w:t>
      </w:r>
      <w:r w:rsidR="00F544F0">
        <w:t>64</w:t>
      </w:r>
      <w:r w:rsidR="00F544F0">
        <w:t>) &lt;</w:t>
      </w:r>
      <w:hyperlink r:id="rId8" w:history="1">
        <w:r w:rsidR="00F544F0" w:rsidRPr="00564106">
          <w:rPr>
            <w:rStyle w:val="Hyperlink"/>
          </w:rPr>
          <w:t>https://britishmuseum.iro.bl.uk/concern/books/5c9614ae-1cb1-4a84-b663-c6db86ac107e</w:t>
        </w:r>
      </w:hyperlink>
      <w:r w:rsidR="00F544F0">
        <w:t>&gt; [accessed 17 March 2026]</w:t>
      </w:r>
      <w:r w:rsidR="003858B3">
        <w:t>.</w:t>
      </w:r>
    </w:p>
  </w:footnote>
  <w:footnote w:id="41">
    <w:p w14:paraId="5339CDE9" w14:textId="59979BA0" w:rsidR="00160B0D" w:rsidRDefault="00160B0D">
      <w:pPr>
        <w:pStyle w:val="FootnoteText"/>
      </w:pPr>
      <w:r>
        <w:rPr>
          <w:rStyle w:val="FootnoteReference"/>
        </w:rPr>
        <w:footnoteRef/>
      </w:r>
      <w:r>
        <w:t xml:space="preserve"> </w:t>
      </w:r>
      <w:r w:rsidR="00400DCE">
        <w:t>Elizabeth A. Wiedenheft, ‘</w:t>
      </w:r>
      <w:r w:rsidR="00400DCE" w:rsidRPr="00400DCE">
        <w:t>Circulating Saints: A Study of the Movement of Corporeal Relics in Three Regions of Western Europe, c. 800-1200</w:t>
      </w:r>
      <w:r w:rsidR="00400DCE">
        <w:t>’, (unpublished doctoral thesis, University of Nottingham, 2017) &lt;</w:t>
      </w:r>
      <w:hyperlink r:id="rId9" w:history="1">
        <w:r w:rsidR="00400DCE" w:rsidRPr="00564106">
          <w:rPr>
            <w:rStyle w:val="Hyperlink"/>
          </w:rPr>
          <w:t>https://repository.nottingham.ac.uk/server/api/core/bitstreams/07445203-1f59-43c9-a555-6647bfc6ef62/content</w:t>
        </w:r>
      </w:hyperlink>
      <w:r w:rsidR="00400DCE">
        <w:t>&gt; [accessed 17 March 2026]</w:t>
      </w:r>
      <w:r w:rsidR="003858B3">
        <w:t xml:space="preserve"> p. 85.</w:t>
      </w:r>
    </w:p>
  </w:footnote>
  <w:footnote w:id="42">
    <w:p w14:paraId="28C9563C" w14:textId="78054552" w:rsidR="006E09A2" w:rsidRDefault="006E09A2">
      <w:pPr>
        <w:pStyle w:val="FootnoteText"/>
      </w:pPr>
      <w:r>
        <w:rPr>
          <w:rStyle w:val="FootnoteReference"/>
        </w:rPr>
        <w:footnoteRef/>
      </w:r>
      <w:r>
        <w:t xml:space="preserve"> </w:t>
      </w:r>
      <w:r>
        <w:t xml:space="preserve">Winward, ‘The Lives of St </w:t>
      </w:r>
      <w:proofErr w:type="spellStart"/>
      <w:r>
        <w:t>Wenefred</w:t>
      </w:r>
      <w:proofErr w:type="spellEnd"/>
      <w:r>
        <w:t>’, p.</w:t>
      </w:r>
      <w:r>
        <w:t>89.</w:t>
      </w:r>
    </w:p>
  </w:footnote>
  <w:footnote w:id="43">
    <w:p w14:paraId="56C2157B" w14:textId="4A08B66E" w:rsidR="00EE1F38" w:rsidRDefault="00EE1F38">
      <w:pPr>
        <w:pStyle w:val="FootnoteText"/>
      </w:pPr>
      <w:r>
        <w:rPr>
          <w:rStyle w:val="FootnoteReference"/>
        </w:rPr>
        <w:footnoteRef/>
      </w:r>
      <w:r>
        <w:t xml:space="preserve"> Patrick J. Geary, </w:t>
      </w:r>
      <w:r w:rsidRPr="00EE1F38">
        <w:rPr>
          <w:i/>
          <w:iCs/>
        </w:rPr>
        <w:t>Furta sacra: Thefts of Relics in the Central Middle</w:t>
      </w:r>
      <w:r w:rsidRPr="00EE1F38">
        <w:t xml:space="preserve"> Ages</w:t>
      </w:r>
      <w:r>
        <w:t xml:space="preserve"> (Princeton University Press, 1990) p.128. &lt;</w:t>
      </w:r>
      <w:hyperlink r:id="rId10" w:history="1">
        <w:r w:rsidRPr="00564106">
          <w:rPr>
            <w:rStyle w:val="Hyperlink"/>
          </w:rPr>
          <w:t>https://www-fulcrum-org.uwtsd.idm.oclc.org/epubs/9c67wq25b?locale=en#page=144</w:t>
        </w:r>
      </w:hyperlink>
      <w:r>
        <w:t>&gt; [accessed 17 March 2026]</w:t>
      </w:r>
    </w:p>
  </w:footnote>
  <w:footnote w:id="44">
    <w:p w14:paraId="6F26F36E" w14:textId="4FEF4A92" w:rsidR="008D4D91" w:rsidRDefault="008D4D91">
      <w:pPr>
        <w:pStyle w:val="FootnoteText"/>
      </w:pPr>
      <w:r>
        <w:rPr>
          <w:rStyle w:val="FootnoteReference"/>
        </w:rPr>
        <w:footnoteRef/>
      </w:r>
      <w:r>
        <w:t xml:space="preserve"> </w:t>
      </w:r>
      <w:r>
        <w:t xml:space="preserve">Winward, ‘The Lives of St </w:t>
      </w:r>
      <w:proofErr w:type="spellStart"/>
      <w:r>
        <w:t>Wenefred</w:t>
      </w:r>
      <w:proofErr w:type="spellEnd"/>
      <w:r>
        <w:t>’, p.</w:t>
      </w:r>
      <w:r>
        <w:t>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E01807" w14:textId="5BBDCA11" w:rsidR="0031121E" w:rsidRPr="0031121E" w:rsidRDefault="0031121E">
    <w:pPr>
      <w:pStyle w:val="Header"/>
      <w:rPr>
        <w:i/>
        <w:iCs/>
        <w:sz w:val="18"/>
        <w:szCs w:val="18"/>
      </w:rPr>
    </w:pPr>
    <w:r w:rsidRPr="0031121E">
      <w:rPr>
        <w:i/>
        <w:iCs/>
        <w:sz w:val="18"/>
        <w:szCs w:val="18"/>
      </w:rPr>
      <w:t xml:space="preserve">St </w:t>
    </w:r>
    <w:proofErr w:type="spellStart"/>
    <w:r w:rsidR="00EF7657">
      <w:rPr>
        <w:i/>
        <w:iCs/>
        <w:sz w:val="18"/>
        <w:szCs w:val="18"/>
      </w:rPr>
      <w:t>Gwenfrewy</w:t>
    </w:r>
    <w:proofErr w:type="spellEnd"/>
    <w:r w:rsidRPr="0031121E">
      <w:rPr>
        <w:i/>
        <w:iCs/>
        <w:sz w:val="18"/>
        <w:szCs w:val="18"/>
      </w:rPr>
      <w:ptab w:relativeTo="margin" w:alignment="center" w:leader="none"/>
    </w:r>
    <w:r w:rsidRPr="0031121E">
      <w:rPr>
        <w:i/>
        <w:iCs/>
        <w:sz w:val="18"/>
        <w:szCs w:val="18"/>
      </w:rPr>
      <w:ptab w:relativeTo="margin" w:alignment="right" w:leader="none"/>
    </w:r>
    <w:r w:rsidRPr="0031121E">
      <w:rPr>
        <w:i/>
        <w:iCs/>
        <w:sz w:val="18"/>
        <w:szCs w:val="18"/>
      </w:rPr>
      <w:t>Megan Arthur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A527AC"/>
    <w:multiLevelType w:val="hybridMultilevel"/>
    <w:tmpl w:val="51AE1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4378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175"/>
    <w:rsid w:val="00000859"/>
    <w:rsid w:val="00005E7A"/>
    <w:rsid w:val="000060C0"/>
    <w:rsid w:val="00006FFC"/>
    <w:rsid w:val="00011599"/>
    <w:rsid w:val="00014A10"/>
    <w:rsid w:val="000202EB"/>
    <w:rsid w:val="00032820"/>
    <w:rsid w:val="00041175"/>
    <w:rsid w:val="00043377"/>
    <w:rsid w:val="000439D9"/>
    <w:rsid w:val="00044312"/>
    <w:rsid w:val="00051840"/>
    <w:rsid w:val="00052936"/>
    <w:rsid w:val="0005576B"/>
    <w:rsid w:val="00057CCD"/>
    <w:rsid w:val="0006286A"/>
    <w:rsid w:val="0006400E"/>
    <w:rsid w:val="0007153F"/>
    <w:rsid w:val="00072D3E"/>
    <w:rsid w:val="00073520"/>
    <w:rsid w:val="00073CDD"/>
    <w:rsid w:val="00074688"/>
    <w:rsid w:val="000750C2"/>
    <w:rsid w:val="000758AA"/>
    <w:rsid w:val="00075A7E"/>
    <w:rsid w:val="00077FA1"/>
    <w:rsid w:val="00083830"/>
    <w:rsid w:val="00085562"/>
    <w:rsid w:val="0008571D"/>
    <w:rsid w:val="0009114E"/>
    <w:rsid w:val="00095016"/>
    <w:rsid w:val="000A3707"/>
    <w:rsid w:val="000A5D62"/>
    <w:rsid w:val="000A62D8"/>
    <w:rsid w:val="000A786A"/>
    <w:rsid w:val="000A7BD1"/>
    <w:rsid w:val="000C26E8"/>
    <w:rsid w:val="000C282E"/>
    <w:rsid w:val="000C35D1"/>
    <w:rsid w:val="000D0A7C"/>
    <w:rsid w:val="000D4190"/>
    <w:rsid w:val="000D47E1"/>
    <w:rsid w:val="000D5599"/>
    <w:rsid w:val="000E1B35"/>
    <w:rsid w:val="000E3A94"/>
    <w:rsid w:val="000E3EF7"/>
    <w:rsid w:val="000E5735"/>
    <w:rsid w:val="000F052F"/>
    <w:rsid w:val="000F2327"/>
    <w:rsid w:val="000F38BE"/>
    <w:rsid w:val="000F411A"/>
    <w:rsid w:val="000F4FCD"/>
    <w:rsid w:val="0010302D"/>
    <w:rsid w:val="00106042"/>
    <w:rsid w:val="00115E0C"/>
    <w:rsid w:val="00116703"/>
    <w:rsid w:val="00121B50"/>
    <w:rsid w:val="00130121"/>
    <w:rsid w:val="001315CD"/>
    <w:rsid w:val="00133197"/>
    <w:rsid w:val="001357DF"/>
    <w:rsid w:val="00136CD1"/>
    <w:rsid w:val="001376AD"/>
    <w:rsid w:val="00143867"/>
    <w:rsid w:val="00150CA0"/>
    <w:rsid w:val="00153D34"/>
    <w:rsid w:val="00160B0D"/>
    <w:rsid w:val="00160DA6"/>
    <w:rsid w:val="00165D44"/>
    <w:rsid w:val="00167753"/>
    <w:rsid w:val="00173B4C"/>
    <w:rsid w:val="00176146"/>
    <w:rsid w:val="00177425"/>
    <w:rsid w:val="00182DF8"/>
    <w:rsid w:val="00182E36"/>
    <w:rsid w:val="001903DE"/>
    <w:rsid w:val="0019610C"/>
    <w:rsid w:val="001A29A4"/>
    <w:rsid w:val="001B15DB"/>
    <w:rsid w:val="001B2342"/>
    <w:rsid w:val="001C386D"/>
    <w:rsid w:val="001C6D39"/>
    <w:rsid w:val="001D047B"/>
    <w:rsid w:val="001D3F87"/>
    <w:rsid w:val="001D7A7C"/>
    <w:rsid w:val="001E50EA"/>
    <w:rsid w:val="001E6FF1"/>
    <w:rsid w:val="001F1348"/>
    <w:rsid w:val="001F1428"/>
    <w:rsid w:val="00202650"/>
    <w:rsid w:val="00202BF5"/>
    <w:rsid w:val="00210B11"/>
    <w:rsid w:val="002148B8"/>
    <w:rsid w:val="002174B6"/>
    <w:rsid w:val="0022389E"/>
    <w:rsid w:val="00223BE1"/>
    <w:rsid w:val="00225EC7"/>
    <w:rsid w:val="00236132"/>
    <w:rsid w:val="002424FB"/>
    <w:rsid w:val="0024637F"/>
    <w:rsid w:val="00256232"/>
    <w:rsid w:val="00270E5A"/>
    <w:rsid w:val="00271389"/>
    <w:rsid w:val="00272A07"/>
    <w:rsid w:val="00273684"/>
    <w:rsid w:val="0027660F"/>
    <w:rsid w:val="00277633"/>
    <w:rsid w:val="002831FB"/>
    <w:rsid w:val="00292C0F"/>
    <w:rsid w:val="002A77A6"/>
    <w:rsid w:val="002A7997"/>
    <w:rsid w:val="002B114E"/>
    <w:rsid w:val="002B3BC4"/>
    <w:rsid w:val="002B41E8"/>
    <w:rsid w:val="002B7C0E"/>
    <w:rsid w:val="002C567C"/>
    <w:rsid w:val="002C612C"/>
    <w:rsid w:val="002C6FB7"/>
    <w:rsid w:val="002D301C"/>
    <w:rsid w:val="002D4897"/>
    <w:rsid w:val="002D5EEC"/>
    <w:rsid w:val="002D61E9"/>
    <w:rsid w:val="002D6978"/>
    <w:rsid w:val="002D724F"/>
    <w:rsid w:val="002E1D9B"/>
    <w:rsid w:val="002E3D92"/>
    <w:rsid w:val="002E603D"/>
    <w:rsid w:val="002E64BA"/>
    <w:rsid w:val="002F3C05"/>
    <w:rsid w:val="002F4796"/>
    <w:rsid w:val="002F60E0"/>
    <w:rsid w:val="002F7885"/>
    <w:rsid w:val="00303A8E"/>
    <w:rsid w:val="00304128"/>
    <w:rsid w:val="0030526A"/>
    <w:rsid w:val="0031121E"/>
    <w:rsid w:val="003131A8"/>
    <w:rsid w:val="00316D97"/>
    <w:rsid w:val="00337992"/>
    <w:rsid w:val="003430BD"/>
    <w:rsid w:val="00346B36"/>
    <w:rsid w:val="00350D70"/>
    <w:rsid w:val="00350EF1"/>
    <w:rsid w:val="00354C0A"/>
    <w:rsid w:val="0035708C"/>
    <w:rsid w:val="003623AB"/>
    <w:rsid w:val="003662D3"/>
    <w:rsid w:val="003677F7"/>
    <w:rsid w:val="00367937"/>
    <w:rsid w:val="00374968"/>
    <w:rsid w:val="00374A0A"/>
    <w:rsid w:val="00381F92"/>
    <w:rsid w:val="003858B3"/>
    <w:rsid w:val="00386842"/>
    <w:rsid w:val="003910B2"/>
    <w:rsid w:val="00392662"/>
    <w:rsid w:val="0039564C"/>
    <w:rsid w:val="0039705D"/>
    <w:rsid w:val="003A12DE"/>
    <w:rsid w:val="003A33D3"/>
    <w:rsid w:val="003B2489"/>
    <w:rsid w:val="003B293F"/>
    <w:rsid w:val="003B3F39"/>
    <w:rsid w:val="003B6915"/>
    <w:rsid w:val="003D7CEE"/>
    <w:rsid w:val="003E0B8B"/>
    <w:rsid w:val="003E64E4"/>
    <w:rsid w:val="00400DCE"/>
    <w:rsid w:val="00405A7E"/>
    <w:rsid w:val="00406E83"/>
    <w:rsid w:val="00411DD8"/>
    <w:rsid w:val="004200B5"/>
    <w:rsid w:val="00420B4F"/>
    <w:rsid w:val="00425CF8"/>
    <w:rsid w:val="0044033C"/>
    <w:rsid w:val="00441F00"/>
    <w:rsid w:val="00441F86"/>
    <w:rsid w:val="004433D4"/>
    <w:rsid w:val="004446F6"/>
    <w:rsid w:val="00452CD7"/>
    <w:rsid w:val="004535C8"/>
    <w:rsid w:val="004631D5"/>
    <w:rsid w:val="004646A8"/>
    <w:rsid w:val="00467A0D"/>
    <w:rsid w:val="00472A2E"/>
    <w:rsid w:val="00476510"/>
    <w:rsid w:val="00493B0A"/>
    <w:rsid w:val="00494AD7"/>
    <w:rsid w:val="004A2E9B"/>
    <w:rsid w:val="004A30D2"/>
    <w:rsid w:val="004A60AD"/>
    <w:rsid w:val="004B16D9"/>
    <w:rsid w:val="004B1B23"/>
    <w:rsid w:val="004C0931"/>
    <w:rsid w:val="004C4F2C"/>
    <w:rsid w:val="004C52FD"/>
    <w:rsid w:val="004C7649"/>
    <w:rsid w:val="004D0C68"/>
    <w:rsid w:val="004D3EBC"/>
    <w:rsid w:val="004D43EB"/>
    <w:rsid w:val="004D5180"/>
    <w:rsid w:val="004E23EB"/>
    <w:rsid w:val="004E7C57"/>
    <w:rsid w:val="004F0240"/>
    <w:rsid w:val="00501EA7"/>
    <w:rsid w:val="0051146F"/>
    <w:rsid w:val="00513773"/>
    <w:rsid w:val="00522481"/>
    <w:rsid w:val="005228DB"/>
    <w:rsid w:val="005229B6"/>
    <w:rsid w:val="00525700"/>
    <w:rsid w:val="00550E6D"/>
    <w:rsid w:val="0055445E"/>
    <w:rsid w:val="00555CAB"/>
    <w:rsid w:val="00563095"/>
    <w:rsid w:val="00564E07"/>
    <w:rsid w:val="005705D8"/>
    <w:rsid w:val="00572959"/>
    <w:rsid w:val="005763FD"/>
    <w:rsid w:val="005822E9"/>
    <w:rsid w:val="00587BE2"/>
    <w:rsid w:val="00592FA0"/>
    <w:rsid w:val="005B07AA"/>
    <w:rsid w:val="005B46C7"/>
    <w:rsid w:val="005B5A3E"/>
    <w:rsid w:val="005B7AD3"/>
    <w:rsid w:val="005C6335"/>
    <w:rsid w:val="005D08A0"/>
    <w:rsid w:val="005F0460"/>
    <w:rsid w:val="005F56E5"/>
    <w:rsid w:val="006042D5"/>
    <w:rsid w:val="00605B98"/>
    <w:rsid w:val="00606053"/>
    <w:rsid w:val="006075C7"/>
    <w:rsid w:val="00611D0B"/>
    <w:rsid w:val="00612580"/>
    <w:rsid w:val="00614501"/>
    <w:rsid w:val="006217D5"/>
    <w:rsid w:val="0063449F"/>
    <w:rsid w:val="00635006"/>
    <w:rsid w:val="0063659F"/>
    <w:rsid w:val="0064065F"/>
    <w:rsid w:val="0064260F"/>
    <w:rsid w:val="00645CBC"/>
    <w:rsid w:val="00653339"/>
    <w:rsid w:val="0066095E"/>
    <w:rsid w:val="00660979"/>
    <w:rsid w:val="00663959"/>
    <w:rsid w:val="0066527D"/>
    <w:rsid w:val="00667A71"/>
    <w:rsid w:val="00676C3D"/>
    <w:rsid w:val="00690A6A"/>
    <w:rsid w:val="00691EA4"/>
    <w:rsid w:val="006B0BF7"/>
    <w:rsid w:val="006B5732"/>
    <w:rsid w:val="006C3579"/>
    <w:rsid w:val="006C3748"/>
    <w:rsid w:val="006D1518"/>
    <w:rsid w:val="006D5B90"/>
    <w:rsid w:val="006E09A2"/>
    <w:rsid w:val="006E10EF"/>
    <w:rsid w:val="006E20B7"/>
    <w:rsid w:val="006E3C9E"/>
    <w:rsid w:val="006E6F54"/>
    <w:rsid w:val="006E76F7"/>
    <w:rsid w:val="006F3678"/>
    <w:rsid w:val="006F5907"/>
    <w:rsid w:val="00700DE3"/>
    <w:rsid w:val="00700F06"/>
    <w:rsid w:val="00706002"/>
    <w:rsid w:val="007071F4"/>
    <w:rsid w:val="00715C7F"/>
    <w:rsid w:val="00717545"/>
    <w:rsid w:val="0071777A"/>
    <w:rsid w:val="00730B12"/>
    <w:rsid w:val="00732DC4"/>
    <w:rsid w:val="00750B4A"/>
    <w:rsid w:val="00756239"/>
    <w:rsid w:val="007601AB"/>
    <w:rsid w:val="00761B41"/>
    <w:rsid w:val="0076209C"/>
    <w:rsid w:val="0077143D"/>
    <w:rsid w:val="00772C88"/>
    <w:rsid w:val="00775DE0"/>
    <w:rsid w:val="007976FD"/>
    <w:rsid w:val="007A0479"/>
    <w:rsid w:val="007A6A7E"/>
    <w:rsid w:val="007A708E"/>
    <w:rsid w:val="007B41DB"/>
    <w:rsid w:val="007C078C"/>
    <w:rsid w:val="007C3333"/>
    <w:rsid w:val="007C350E"/>
    <w:rsid w:val="007C3AFB"/>
    <w:rsid w:val="007D70D3"/>
    <w:rsid w:val="007D7358"/>
    <w:rsid w:val="007E1DB3"/>
    <w:rsid w:val="007E526D"/>
    <w:rsid w:val="007F5E5D"/>
    <w:rsid w:val="007F694E"/>
    <w:rsid w:val="007F6EBA"/>
    <w:rsid w:val="00807538"/>
    <w:rsid w:val="00823701"/>
    <w:rsid w:val="008257A8"/>
    <w:rsid w:val="00830B3F"/>
    <w:rsid w:val="008341D2"/>
    <w:rsid w:val="00837EF3"/>
    <w:rsid w:val="00840AE7"/>
    <w:rsid w:val="00844B73"/>
    <w:rsid w:val="00847A7D"/>
    <w:rsid w:val="00850954"/>
    <w:rsid w:val="00852815"/>
    <w:rsid w:val="00856518"/>
    <w:rsid w:val="00856864"/>
    <w:rsid w:val="00856DC1"/>
    <w:rsid w:val="008631A4"/>
    <w:rsid w:val="00876876"/>
    <w:rsid w:val="00883E91"/>
    <w:rsid w:val="00886257"/>
    <w:rsid w:val="008922E3"/>
    <w:rsid w:val="00894925"/>
    <w:rsid w:val="00895D16"/>
    <w:rsid w:val="008B10F4"/>
    <w:rsid w:val="008B737D"/>
    <w:rsid w:val="008C25A0"/>
    <w:rsid w:val="008C6D63"/>
    <w:rsid w:val="008D4D91"/>
    <w:rsid w:val="008E238F"/>
    <w:rsid w:val="008E340B"/>
    <w:rsid w:val="008E3AA6"/>
    <w:rsid w:val="008E3B18"/>
    <w:rsid w:val="008E579E"/>
    <w:rsid w:val="008F526F"/>
    <w:rsid w:val="008F56A7"/>
    <w:rsid w:val="00900DA7"/>
    <w:rsid w:val="00902E74"/>
    <w:rsid w:val="00904880"/>
    <w:rsid w:val="00904DDD"/>
    <w:rsid w:val="00905F93"/>
    <w:rsid w:val="00923DA5"/>
    <w:rsid w:val="00934822"/>
    <w:rsid w:val="00937204"/>
    <w:rsid w:val="009400CD"/>
    <w:rsid w:val="0094443B"/>
    <w:rsid w:val="009465D0"/>
    <w:rsid w:val="00950AF4"/>
    <w:rsid w:val="00955703"/>
    <w:rsid w:val="00964265"/>
    <w:rsid w:val="00966E0E"/>
    <w:rsid w:val="00970C32"/>
    <w:rsid w:val="009750D8"/>
    <w:rsid w:val="009759DC"/>
    <w:rsid w:val="009819A6"/>
    <w:rsid w:val="00982E93"/>
    <w:rsid w:val="00983328"/>
    <w:rsid w:val="009849FF"/>
    <w:rsid w:val="00997D67"/>
    <w:rsid w:val="009A2594"/>
    <w:rsid w:val="009A403B"/>
    <w:rsid w:val="009B0A17"/>
    <w:rsid w:val="009C0882"/>
    <w:rsid w:val="009C30C6"/>
    <w:rsid w:val="009C395A"/>
    <w:rsid w:val="009D0CA8"/>
    <w:rsid w:val="009E21AC"/>
    <w:rsid w:val="009F2F7E"/>
    <w:rsid w:val="009F33EF"/>
    <w:rsid w:val="009F433B"/>
    <w:rsid w:val="009F7519"/>
    <w:rsid w:val="00A00038"/>
    <w:rsid w:val="00A15BBE"/>
    <w:rsid w:val="00A16921"/>
    <w:rsid w:val="00A174D3"/>
    <w:rsid w:val="00A26611"/>
    <w:rsid w:val="00A26614"/>
    <w:rsid w:val="00A3089B"/>
    <w:rsid w:val="00A31498"/>
    <w:rsid w:val="00A31813"/>
    <w:rsid w:val="00A31EE7"/>
    <w:rsid w:val="00A3388F"/>
    <w:rsid w:val="00A33A44"/>
    <w:rsid w:val="00A34076"/>
    <w:rsid w:val="00A36941"/>
    <w:rsid w:val="00A372D8"/>
    <w:rsid w:val="00A37A2E"/>
    <w:rsid w:val="00A41AEC"/>
    <w:rsid w:val="00A444BD"/>
    <w:rsid w:val="00A5082B"/>
    <w:rsid w:val="00A51BC3"/>
    <w:rsid w:val="00A51F77"/>
    <w:rsid w:val="00A537FF"/>
    <w:rsid w:val="00A5438F"/>
    <w:rsid w:val="00A5529C"/>
    <w:rsid w:val="00A56D97"/>
    <w:rsid w:val="00A71E02"/>
    <w:rsid w:val="00A76FDB"/>
    <w:rsid w:val="00A82EFD"/>
    <w:rsid w:val="00A87ABE"/>
    <w:rsid w:val="00A906DF"/>
    <w:rsid w:val="00A960FC"/>
    <w:rsid w:val="00A97FEB"/>
    <w:rsid w:val="00AA3050"/>
    <w:rsid w:val="00AA3522"/>
    <w:rsid w:val="00AA6646"/>
    <w:rsid w:val="00AA7CC2"/>
    <w:rsid w:val="00AB0D85"/>
    <w:rsid w:val="00AB1265"/>
    <w:rsid w:val="00AB23C7"/>
    <w:rsid w:val="00AB5DF1"/>
    <w:rsid w:val="00AC0EAA"/>
    <w:rsid w:val="00AD00E1"/>
    <w:rsid w:val="00AD1F21"/>
    <w:rsid w:val="00AD586F"/>
    <w:rsid w:val="00AE16AB"/>
    <w:rsid w:val="00AE1BAF"/>
    <w:rsid w:val="00AE4BA9"/>
    <w:rsid w:val="00AE5EE0"/>
    <w:rsid w:val="00AE7923"/>
    <w:rsid w:val="00AF4818"/>
    <w:rsid w:val="00B02ED2"/>
    <w:rsid w:val="00B20D83"/>
    <w:rsid w:val="00B245D7"/>
    <w:rsid w:val="00B25CA5"/>
    <w:rsid w:val="00B3104D"/>
    <w:rsid w:val="00B3155A"/>
    <w:rsid w:val="00B31E96"/>
    <w:rsid w:val="00B32C01"/>
    <w:rsid w:val="00B3336E"/>
    <w:rsid w:val="00B4237E"/>
    <w:rsid w:val="00B4263D"/>
    <w:rsid w:val="00B45D9C"/>
    <w:rsid w:val="00B45DB2"/>
    <w:rsid w:val="00B55145"/>
    <w:rsid w:val="00B5518E"/>
    <w:rsid w:val="00B55540"/>
    <w:rsid w:val="00B61FAE"/>
    <w:rsid w:val="00B6326E"/>
    <w:rsid w:val="00B63CE8"/>
    <w:rsid w:val="00B64895"/>
    <w:rsid w:val="00B65824"/>
    <w:rsid w:val="00B65D4F"/>
    <w:rsid w:val="00B70E7E"/>
    <w:rsid w:val="00B73830"/>
    <w:rsid w:val="00B746F6"/>
    <w:rsid w:val="00B809F7"/>
    <w:rsid w:val="00B840C7"/>
    <w:rsid w:val="00BB0CDA"/>
    <w:rsid w:val="00BB44E5"/>
    <w:rsid w:val="00BB6E79"/>
    <w:rsid w:val="00BC2BCD"/>
    <w:rsid w:val="00BC7942"/>
    <w:rsid w:val="00BD3682"/>
    <w:rsid w:val="00BE6664"/>
    <w:rsid w:val="00BF7D98"/>
    <w:rsid w:val="00C04054"/>
    <w:rsid w:val="00C04793"/>
    <w:rsid w:val="00C102C8"/>
    <w:rsid w:val="00C17557"/>
    <w:rsid w:val="00C201C2"/>
    <w:rsid w:val="00C22213"/>
    <w:rsid w:val="00C26531"/>
    <w:rsid w:val="00C314B2"/>
    <w:rsid w:val="00C31DC0"/>
    <w:rsid w:val="00C321E1"/>
    <w:rsid w:val="00C32EC5"/>
    <w:rsid w:val="00C3348B"/>
    <w:rsid w:val="00C334CB"/>
    <w:rsid w:val="00C33A6A"/>
    <w:rsid w:val="00C37345"/>
    <w:rsid w:val="00C430CA"/>
    <w:rsid w:val="00C521E6"/>
    <w:rsid w:val="00C53236"/>
    <w:rsid w:val="00C556FE"/>
    <w:rsid w:val="00C630B8"/>
    <w:rsid w:val="00C63FF1"/>
    <w:rsid w:val="00C6427D"/>
    <w:rsid w:val="00C70400"/>
    <w:rsid w:val="00C81CA1"/>
    <w:rsid w:val="00C825FF"/>
    <w:rsid w:val="00C826B2"/>
    <w:rsid w:val="00C83502"/>
    <w:rsid w:val="00C931C1"/>
    <w:rsid w:val="00CA3509"/>
    <w:rsid w:val="00CA7DD5"/>
    <w:rsid w:val="00CB7C5A"/>
    <w:rsid w:val="00CC0671"/>
    <w:rsid w:val="00CC39D9"/>
    <w:rsid w:val="00CC5C43"/>
    <w:rsid w:val="00CC624B"/>
    <w:rsid w:val="00CC7458"/>
    <w:rsid w:val="00CC796E"/>
    <w:rsid w:val="00CD5DE7"/>
    <w:rsid w:val="00CD6CB2"/>
    <w:rsid w:val="00CD6FC5"/>
    <w:rsid w:val="00CE4107"/>
    <w:rsid w:val="00CF0B95"/>
    <w:rsid w:val="00D0354F"/>
    <w:rsid w:val="00D06F62"/>
    <w:rsid w:val="00D10ED5"/>
    <w:rsid w:val="00D11078"/>
    <w:rsid w:val="00D1438B"/>
    <w:rsid w:val="00D1507F"/>
    <w:rsid w:val="00D166F7"/>
    <w:rsid w:val="00D2518B"/>
    <w:rsid w:val="00D32AC4"/>
    <w:rsid w:val="00D34A5C"/>
    <w:rsid w:val="00D3601B"/>
    <w:rsid w:val="00D42FEB"/>
    <w:rsid w:val="00D455C3"/>
    <w:rsid w:val="00D464FA"/>
    <w:rsid w:val="00D5200A"/>
    <w:rsid w:val="00D52BC3"/>
    <w:rsid w:val="00D53207"/>
    <w:rsid w:val="00D56E4D"/>
    <w:rsid w:val="00D6008F"/>
    <w:rsid w:val="00D65818"/>
    <w:rsid w:val="00D7116B"/>
    <w:rsid w:val="00D71893"/>
    <w:rsid w:val="00D71B24"/>
    <w:rsid w:val="00D72525"/>
    <w:rsid w:val="00D73634"/>
    <w:rsid w:val="00D859B5"/>
    <w:rsid w:val="00D8663B"/>
    <w:rsid w:val="00D87216"/>
    <w:rsid w:val="00D9153F"/>
    <w:rsid w:val="00D915A6"/>
    <w:rsid w:val="00D9602D"/>
    <w:rsid w:val="00D96116"/>
    <w:rsid w:val="00DA126C"/>
    <w:rsid w:val="00DC1B1D"/>
    <w:rsid w:val="00DC787E"/>
    <w:rsid w:val="00DD065A"/>
    <w:rsid w:val="00DD0CF3"/>
    <w:rsid w:val="00DE39B2"/>
    <w:rsid w:val="00DE4101"/>
    <w:rsid w:val="00DE6B50"/>
    <w:rsid w:val="00DE778F"/>
    <w:rsid w:val="00DF1C36"/>
    <w:rsid w:val="00DF55DE"/>
    <w:rsid w:val="00E010C9"/>
    <w:rsid w:val="00E06731"/>
    <w:rsid w:val="00E079AF"/>
    <w:rsid w:val="00E12DDB"/>
    <w:rsid w:val="00E15239"/>
    <w:rsid w:val="00E2300B"/>
    <w:rsid w:val="00E35CEF"/>
    <w:rsid w:val="00E413DD"/>
    <w:rsid w:val="00E44D64"/>
    <w:rsid w:val="00E455A6"/>
    <w:rsid w:val="00E45A23"/>
    <w:rsid w:val="00E500B9"/>
    <w:rsid w:val="00E6295D"/>
    <w:rsid w:val="00E6519E"/>
    <w:rsid w:val="00E6658D"/>
    <w:rsid w:val="00E713DC"/>
    <w:rsid w:val="00E74BBE"/>
    <w:rsid w:val="00E83F63"/>
    <w:rsid w:val="00E944F4"/>
    <w:rsid w:val="00EA3D70"/>
    <w:rsid w:val="00EA51AD"/>
    <w:rsid w:val="00EA6321"/>
    <w:rsid w:val="00EA6B8E"/>
    <w:rsid w:val="00EB1B09"/>
    <w:rsid w:val="00EB1DB7"/>
    <w:rsid w:val="00EC4BC5"/>
    <w:rsid w:val="00EC6669"/>
    <w:rsid w:val="00EC66B7"/>
    <w:rsid w:val="00ED5C43"/>
    <w:rsid w:val="00EE18B5"/>
    <w:rsid w:val="00EE1F38"/>
    <w:rsid w:val="00EE7A76"/>
    <w:rsid w:val="00EF6261"/>
    <w:rsid w:val="00EF7657"/>
    <w:rsid w:val="00F05650"/>
    <w:rsid w:val="00F12C11"/>
    <w:rsid w:val="00F12E51"/>
    <w:rsid w:val="00F13047"/>
    <w:rsid w:val="00F24C25"/>
    <w:rsid w:val="00F2541E"/>
    <w:rsid w:val="00F30B7A"/>
    <w:rsid w:val="00F32FD1"/>
    <w:rsid w:val="00F34EDD"/>
    <w:rsid w:val="00F40560"/>
    <w:rsid w:val="00F417C7"/>
    <w:rsid w:val="00F41E4B"/>
    <w:rsid w:val="00F537A7"/>
    <w:rsid w:val="00F544F0"/>
    <w:rsid w:val="00F57CCC"/>
    <w:rsid w:val="00F651B1"/>
    <w:rsid w:val="00F718E7"/>
    <w:rsid w:val="00F73CDF"/>
    <w:rsid w:val="00F77B45"/>
    <w:rsid w:val="00F8606A"/>
    <w:rsid w:val="00F90EFF"/>
    <w:rsid w:val="00F91F3B"/>
    <w:rsid w:val="00F954B3"/>
    <w:rsid w:val="00F967C9"/>
    <w:rsid w:val="00FB0988"/>
    <w:rsid w:val="00FC0D95"/>
    <w:rsid w:val="00FC2515"/>
    <w:rsid w:val="00FC30CC"/>
    <w:rsid w:val="00FD11C8"/>
    <w:rsid w:val="00FD5F7B"/>
    <w:rsid w:val="00FD6583"/>
    <w:rsid w:val="00FD6718"/>
    <w:rsid w:val="00FE0391"/>
    <w:rsid w:val="00FE1FA1"/>
    <w:rsid w:val="00FE7806"/>
    <w:rsid w:val="00FF1CA0"/>
    <w:rsid w:val="00FF2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853D35D"/>
  <w15:chartTrackingRefBased/>
  <w15:docId w15:val="{E14F1BBE-A86D-E746-AEC4-631B0A053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11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411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411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11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11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11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11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11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11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1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411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411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11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11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11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11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11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1175"/>
    <w:rPr>
      <w:rFonts w:eastAsiaTheme="majorEastAsia" w:cstheme="majorBidi"/>
      <w:color w:val="272727" w:themeColor="text1" w:themeTint="D8"/>
    </w:rPr>
  </w:style>
  <w:style w:type="paragraph" w:styleId="Title">
    <w:name w:val="Title"/>
    <w:basedOn w:val="Normal"/>
    <w:next w:val="Normal"/>
    <w:link w:val="TitleChar"/>
    <w:uiPriority w:val="10"/>
    <w:qFormat/>
    <w:rsid w:val="000411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1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1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11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1175"/>
    <w:pPr>
      <w:spacing w:before="160"/>
      <w:jc w:val="center"/>
    </w:pPr>
    <w:rPr>
      <w:i/>
      <w:iCs/>
      <w:color w:val="404040" w:themeColor="text1" w:themeTint="BF"/>
    </w:rPr>
  </w:style>
  <w:style w:type="character" w:customStyle="1" w:styleId="QuoteChar">
    <w:name w:val="Quote Char"/>
    <w:basedOn w:val="DefaultParagraphFont"/>
    <w:link w:val="Quote"/>
    <w:uiPriority w:val="29"/>
    <w:rsid w:val="00041175"/>
    <w:rPr>
      <w:i/>
      <w:iCs/>
      <w:color w:val="404040" w:themeColor="text1" w:themeTint="BF"/>
    </w:rPr>
  </w:style>
  <w:style w:type="paragraph" w:styleId="ListParagraph">
    <w:name w:val="List Paragraph"/>
    <w:basedOn w:val="Normal"/>
    <w:uiPriority w:val="34"/>
    <w:qFormat/>
    <w:rsid w:val="00041175"/>
    <w:pPr>
      <w:ind w:left="720"/>
      <w:contextualSpacing/>
    </w:pPr>
  </w:style>
  <w:style w:type="character" w:styleId="IntenseEmphasis">
    <w:name w:val="Intense Emphasis"/>
    <w:basedOn w:val="DefaultParagraphFont"/>
    <w:uiPriority w:val="21"/>
    <w:qFormat/>
    <w:rsid w:val="00041175"/>
    <w:rPr>
      <w:i/>
      <w:iCs/>
      <w:color w:val="0F4761" w:themeColor="accent1" w:themeShade="BF"/>
    </w:rPr>
  </w:style>
  <w:style w:type="paragraph" w:styleId="IntenseQuote">
    <w:name w:val="Intense Quote"/>
    <w:basedOn w:val="Normal"/>
    <w:next w:val="Normal"/>
    <w:link w:val="IntenseQuoteChar"/>
    <w:uiPriority w:val="30"/>
    <w:qFormat/>
    <w:rsid w:val="000411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1175"/>
    <w:rPr>
      <w:i/>
      <w:iCs/>
      <w:color w:val="0F4761" w:themeColor="accent1" w:themeShade="BF"/>
    </w:rPr>
  </w:style>
  <w:style w:type="character" w:styleId="IntenseReference">
    <w:name w:val="Intense Reference"/>
    <w:basedOn w:val="DefaultParagraphFont"/>
    <w:uiPriority w:val="32"/>
    <w:qFormat/>
    <w:rsid w:val="00041175"/>
    <w:rPr>
      <w:b/>
      <w:bCs/>
      <w:smallCaps/>
      <w:color w:val="0F4761" w:themeColor="accent1" w:themeShade="BF"/>
      <w:spacing w:val="5"/>
    </w:rPr>
  </w:style>
  <w:style w:type="paragraph" w:styleId="Header">
    <w:name w:val="header"/>
    <w:basedOn w:val="Normal"/>
    <w:link w:val="HeaderChar"/>
    <w:uiPriority w:val="99"/>
    <w:unhideWhenUsed/>
    <w:rsid w:val="003112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121E"/>
  </w:style>
  <w:style w:type="paragraph" w:styleId="Footer">
    <w:name w:val="footer"/>
    <w:basedOn w:val="Normal"/>
    <w:link w:val="FooterChar"/>
    <w:uiPriority w:val="99"/>
    <w:unhideWhenUsed/>
    <w:rsid w:val="00311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121E"/>
  </w:style>
  <w:style w:type="character" w:styleId="PageNumber">
    <w:name w:val="page number"/>
    <w:basedOn w:val="DefaultParagraphFont"/>
    <w:uiPriority w:val="99"/>
    <w:semiHidden/>
    <w:unhideWhenUsed/>
    <w:rsid w:val="0031121E"/>
  </w:style>
  <w:style w:type="paragraph" w:styleId="FootnoteText">
    <w:name w:val="footnote text"/>
    <w:basedOn w:val="Normal"/>
    <w:link w:val="FootnoteTextChar"/>
    <w:uiPriority w:val="99"/>
    <w:semiHidden/>
    <w:unhideWhenUsed/>
    <w:rsid w:val="00C630B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30B8"/>
    <w:rPr>
      <w:sz w:val="20"/>
      <w:szCs w:val="20"/>
    </w:rPr>
  </w:style>
  <w:style w:type="character" w:styleId="FootnoteReference">
    <w:name w:val="footnote reference"/>
    <w:basedOn w:val="DefaultParagraphFont"/>
    <w:uiPriority w:val="99"/>
    <w:semiHidden/>
    <w:unhideWhenUsed/>
    <w:rsid w:val="00C630B8"/>
    <w:rPr>
      <w:vertAlign w:val="superscript"/>
    </w:rPr>
  </w:style>
  <w:style w:type="character" w:styleId="Hyperlink">
    <w:name w:val="Hyperlink"/>
    <w:basedOn w:val="DefaultParagraphFont"/>
    <w:uiPriority w:val="99"/>
    <w:unhideWhenUsed/>
    <w:rsid w:val="00CC5C43"/>
    <w:rPr>
      <w:color w:val="467886" w:themeColor="hyperlink"/>
      <w:u w:val="single"/>
    </w:rPr>
  </w:style>
  <w:style w:type="character" w:styleId="UnresolvedMention">
    <w:name w:val="Unresolved Mention"/>
    <w:basedOn w:val="DefaultParagraphFont"/>
    <w:uiPriority w:val="99"/>
    <w:semiHidden/>
    <w:unhideWhenUsed/>
    <w:rsid w:val="00CC5C43"/>
    <w:rPr>
      <w:color w:val="605E5C"/>
      <w:shd w:val="clear" w:color="auto" w:fill="E1DFDD"/>
    </w:rPr>
  </w:style>
  <w:style w:type="character" w:customStyle="1" w:styleId="gds-typography">
    <w:name w:val="gds-typography"/>
    <w:basedOn w:val="DefaultParagraphFont"/>
    <w:rsid w:val="00A31E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idore.co/calibre/" TargetMode="External"/><Relationship Id="rId13" Type="http://schemas.openxmlformats.org/officeDocument/2006/relationships/hyperlink" Target="https://www-fulcrum-org.uwtsd.idm.oclc.org/epubs/9c67wq25b?locale=en" TargetMode="External"/><Relationship Id="rId18" Type="http://schemas.openxmlformats.org/officeDocument/2006/relationships/hyperlink" Target="https://books.google.co.uk/books?id=FbkAveuvSnYC&amp;source=gbs_navlinks_s"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repository.nottingham.ac.uk/server/api/core/bitstreams/07445203-1f59-43c9-a555-6647bfc6ef62/content" TargetMode="External"/><Relationship Id="rId7" Type="http://schemas.openxmlformats.org/officeDocument/2006/relationships/endnotes" Target="endnotes.xml"/><Relationship Id="rId12" Type="http://schemas.openxmlformats.org/officeDocument/2006/relationships/hyperlink" Target="https://www.britishbryologicalsociety.org.uk/wp-content/uploads/2022/09/1992-BBS-Special-Vol.-4-Mosses-in-English-Literature-S.-Edwards_1992_OCR.pdf" TargetMode="External"/><Relationship Id="rId17" Type="http://schemas.openxmlformats.org/officeDocument/2006/relationships/hyperlink" Target="https://books.google.co.uk/books?id=zXMBAAAAQAAJ&amp;printsec=frontcover&amp;source=gbs_ge_summary_r&amp;cad=0"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scholarworks.seattleu.edu/cgi/viewcontent.cgi?article=1259&amp;context=suurj" TargetMode="External"/><Relationship Id="rId20" Type="http://schemas.openxmlformats.org/officeDocument/2006/relationships/hyperlink" Target="https://isidore.co/calibr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itishmuseum.iro.bl.uk/concern/books/5c9614ae-1cb1-4a84-b663-c6db86ac107e"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britishmuseum.iro.bl.uk/concern/books/5c9614ae-1cb1-4a84-b663-c6db86ac107e" TargetMode="External"/><Relationship Id="rId23" Type="http://schemas.openxmlformats.org/officeDocument/2006/relationships/hyperlink" Target="https://archive.org/details/saintsliveswomen0000woga/page/n7/mode/1up?q=Hagiographical+Romance" TargetMode="External"/><Relationship Id="rId28" Type="http://schemas.openxmlformats.org/officeDocument/2006/relationships/theme" Target="theme/theme1.xml"/><Relationship Id="rId10" Type="http://schemas.openxmlformats.org/officeDocument/2006/relationships/hyperlink" Target="https://historyofwomenreligious.org/jane-cartwright-feminine-sancitity-and-spirituality-in-medieval-wales-university-of-wales-press-cardiff-2008/" TargetMode="External"/><Relationship Id="rId19" Type="http://schemas.openxmlformats.org/officeDocument/2006/relationships/hyperlink" Target="https://biography.wales/article/s-GWEN-FFR-0600" TargetMode="External"/><Relationship Id="rId4" Type="http://schemas.openxmlformats.org/officeDocument/2006/relationships/settings" Target="settings.xml"/><Relationship Id="rId9" Type="http://schemas.openxmlformats.org/officeDocument/2006/relationships/hyperlink" Target="https://www.jstor.org/stable/43630386" TargetMode="External"/><Relationship Id="rId14" Type="http://schemas.openxmlformats.org/officeDocument/2006/relationships/hyperlink" Target="https://www.repository.cam.ac.uk/items/b2ca8c89-fd0e-47e8-8bfa-662c3b3778fc" TargetMode="External"/><Relationship Id="rId22" Type="http://schemas.openxmlformats.org/officeDocument/2006/relationships/hyperlink" Target="https://www.google.co.uk/books/edition/Virgin_Martyrs/t7lcDwAAQBAJ?hl=en&amp;gbpv=1&amp;dq=Winstead,+Karen.+Virgin+Martyrs:+Legends+of+Sainthood+in+Late+Medieval+England.&amp;printsec=frontcover"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ritishmuseum.iro.bl.uk/concern/books/5c9614ae-1cb1-4a84-b663-c6db86ac107e" TargetMode="External"/><Relationship Id="rId3" Type="http://schemas.openxmlformats.org/officeDocument/2006/relationships/hyperlink" Target="https://www.jstor.org/stable/43630386" TargetMode="External"/><Relationship Id="rId7" Type="http://schemas.openxmlformats.org/officeDocument/2006/relationships/hyperlink" Target="https://britishmuseum.iro.bl.uk/concern/books/5c9614ae-1cb1-4a84-b663-c6db86ac107e" TargetMode="External"/><Relationship Id="rId2" Type="http://schemas.openxmlformats.org/officeDocument/2006/relationships/hyperlink" Target="https://books.google.co.uk/books?id=FbkAveuvSnYC&amp;printsec=frontcover" TargetMode="External"/><Relationship Id="rId1" Type="http://schemas.openxmlformats.org/officeDocument/2006/relationships/hyperlink" Target="https://archive.org/details/saintsliveswomen0000woga/page/n7/mode/1up" TargetMode="External"/><Relationship Id="rId6" Type="http://schemas.openxmlformats.org/officeDocument/2006/relationships/hyperlink" Target="https://www.repository.cam.ac.uk/items/b2ca8c89-fd0e-47e8-8bfa-662c3b3778fc" TargetMode="External"/><Relationship Id="rId5" Type="http://schemas.openxmlformats.org/officeDocument/2006/relationships/hyperlink" Target="https://www.britishbryologicalsociety.org.uk/wp-content/uploads/2022/09/1992-BBS-Special-Vol.-4-Mosses-in-English-Literature-S.-Edwards_1992_OCR.pdf" TargetMode="External"/><Relationship Id="rId10" Type="http://schemas.openxmlformats.org/officeDocument/2006/relationships/hyperlink" Target="https://www-fulcrum-org.uwtsd.idm.oclc.org/epubs/9c67wq25b?locale=en#page=144" TargetMode="External"/><Relationship Id="rId4" Type="http://schemas.openxmlformats.org/officeDocument/2006/relationships/hyperlink" Target="https://www.google.co.uk/books/edition/Virgin_Martyrs/t7lcDwAAQBAJ?hl=en&amp;gbpv=1" TargetMode="External"/><Relationship Id="rId9" Type="http://schemas.openxmlformats.org/officeDocument/2006/relationships/hyperlink" Target="https://repository.nottingham.ac.uk/server/api/core/bitstreams/07445203-1f59-43c9-a555-6647bfc6ef62/cont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98271C-E4BB-2C43-B552-1712E05612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13</Pages>
  <Words>3788</Words>
  <Characters>20645</Characters>
  <Application>Microsoft Office Word</Application>
  <DocSecurity>0</DocSecurity>
  <Lines>344</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Leora Arthur (2507031)</dc:creator>
  <cp:keywords/>
  <dc:description/>
  <cp:lastModifiedBy>Megan Leora Arthur (2507031)</cp:lastModifiedBy>
  <cp:revision>486</cp:revision>
  <dcterms:created xsi:type="dcterms:W3CDTF">2026-03-14T22:59:00Z</dcterms:created>
  <dcterms:modified xsi:type="dcterms:W3CDTF">2026-03-17T14:54:00Z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F221A93D-7C7C-42DC-B752-C92BCAD0AF9E</vt:lpwstr>
  </property>
</Properties>
</file>