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b/>
          <w:bCs/>
          <w:sz w:val="24"/>
          <w:szCs w:val="24"/>
        </w:rPr>
      </w:pPr>
      <w:r>
        <w:rPr>
          <w:rFonts w:ascii="Arial" w:hAnsi="Arial" w:cs="Arial"/>
        </w:rPr>
        <w:drawing>
          <wp:anchor distT="0" distB="0" distL="114300" distR="114300" simplePos="0" relativeHeight="251659264" behindDoc="1" locked="0" layoutInCell="1" allowOverlap="1">
            <wp:simplePos x="0" y="0"/>
            <wp:positionH relativeFrom="column">
              <wp:posOffset>-266700</wp:posOffset>
            </wp:positionH>
            <wp:positionV relativeFrom="paragraph">
              <wp:posOffset>0</wp:posOffset>
            </wp:positionV>
            <wp:extent cx="1809750" cy="723900"/>
            <wp:effectExtent l="0" t="0" r="0" b="0"/>
            <wp:wrapTight wrapText="bothSides">
              <wp:wrapPolygon>
                <wp:start x="0" y="0"/>
                <wp:lineTo x="0" y="14211"/>
                <wp:lineTo x="2046" y="19326"/>
                <wp:lineTo x="2046" y="20463"/>
                <wp:lineTo x="17735" y="20463"/>
                <wp:lineTo x="17735" y="19326"/>
                <wp:lineTo x="21373" y="15347"/>
                <wp:lineTo x="21373" y="10232"/>
                <wp:lineTo x="19099" y="9663"/>
                <wp:lineTo x="19781" y="1137"/>
                <wp:lineTo x="15234" y="0"/>
                <wp:lineTo x="0" y="0"/>
              </wp:wrapPolygon>
            </wp:wrapTight>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2"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rPr>
          <w:rFonts w:ascii="Arial" w:hAnsi="Arial" w:cs="Arial"/>
          <w:sz w:val="24"/>
          <w:szCs w:val="24"/>
        </w:rPr>
      </w:pPr>
    </w:p>
    <w:p>
      <w:pPr>
        <w:rPr>
          <w:rFonts w:ascii="Arial" w:hAnsi="Arial" w:cs="Arial"/>
          <w:sz w:val="24"/>
          <w:szCs w:val="24"/>
        </w:rPr>
      </w:pPr>
    </w:p>
    <w:p>
      <w:pPr>
        <w:jc w:val="center"/>
        <w:rPr>
          <w:rFonts w:ascii="Times New Roman" w:hAnsi="Times New Roman" w:cs="Times New Roman"/>
          <w:b/>
          <w:sz w:val="24"/>
          <w:szCs w:val="24"/>
        </w:rPr>
      </w:pPr>
      <w:r>
        <w:rPr>
          <w:rFonts w:ascii="Times New Roman" w:hAnsi="Times New Roman" w:cs="Times New Roman"/>
          <w:b/>
          <w:sz w:val="24"/>
          <w:szCs w:val="24"/>
        </w:rPr>
        <w:t>Business Management Portfolio</w:t>
      </w:r>
    </w:p>
    <w:p>
      <w:pPr>
        <w:jc w:val="center"/>
        <w:rPr>
          <w:rFonts w:ascii="Times New Roman" w:hAnsi="Times New Roman" w:cs="Times New Roman"/>
          <w:b/>
          <w:sz w:val="24"/>
          <w:szCs w:val="24"/>
        </w:rPr>
      </w:pPr>
      <w:r>
        <w:rPr>
          <w:rFonts w:ascii="Times New Roman" w:hAnsi="Times New Roman" w:cs="Times New Roman"/>
          <w:b/>
          <w:sz w:val="24"/>
          <w:szCs w:val="24"/>
        </w:rPr>
        <w:t>International Business Communication</w:t>
      </w:r>
    </w:p>
    <w:p>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Module Lead:</w:t>
      </w:r>
      <w:r>
        <w:rPr>
          <w:rFonts w:ascii="Times New Roman" w:hAnsi="Times New Roman" w:cs="Times New Roman"/>
          <w:sz w:val="24"/>
          <w:szCs w:val="24"/>
        </w:rPr>
        <w:t xml:space="preserve"> Gwyneth Jones</w:t>
      </w:r>
    </w:p>
    <w:p>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Intercultural Communication and Culture in Expanding Business to Asia</w:t>
      </w:r>
    </w:p>
    <w:p>
      <w:pPr>
        <w:spacing w:line="480" w:lineRule="auto"/>
        <w:jc w:val="center"/>
        <w:rPr>
          <w:rFonts w:hint="default" w:ascii="Times New Roman" w:hAnsi="Times New Roman" w:eastAsia="宋体" w:cs="Times New Roman"/>
          <w:b/>
          <w:bCs/>
          <w:sz w:val="24"/>
          <w:szCs w:val="24"/>
          <w:lang w:val="en-US" w:eastAsia="zh-CN"/>
        </w:rPr>
      </w:pPr>
      <w:r>
        <w:rPr>
          <w:rFonts w:ascii="Times New Roman" w:hAnsi="Times New Roman" w:cs="Times New Roman"/>
          <w:b/>
          <w:bCs/>
          <w:sz w:val="24"/>
          <w:szCs w:val="24"/>
        </w:rPr>
        <w:t>Student's Name</w:t>
      </w:r>
      <w:r>
        <w:rPr>
          <w:rFonts w:hint="eastAsia" w:ascii="Times New Roman" w:hAnsi="Times New Roman" w:eastAsia="宋体" w:cs="Times New Roman"/>
          <w:b/>
          <w:bCs/>
          <w:sz w:val="24"/>
          <w:szCs w:val="24"/>
          <w:lang w:val="en-US" w:eastAsia="zh-CN"/>
        </w:rPr>
        <w:t>:</w:t>
      </w:r>
      <w:r>
        <w:rPr>
          <w:rFonts w:hint="default" w:ascii="Times New Roman" w:hAnsi="Times New Roman" w:eastAsia="宋体" w:cs="Times New Roman"/>
          <w:b/>
          <w:bCs/>
          <w:sz w:val="24"/>
          <w:szCs w:val="24"/>
          <w:lang w:val="en-US" w:eastAsia="zh-CN"/>
        </w:rPr>
        <w:t>QihanJia</w:t>
      </w:r>
    </w:p>
    <w:p>
      <w:pPr>
        <w:spacing w:line="480" w:lineRule="auto"/>
        <w:jc w:val="center"/>
        <w:rPr>
          <w:rFonts w:hint="default" w:ascii="Times New Roman" w:hAnsi="Times New Roman" w:cs="Times New Roman"/>
          <w:b/>
          <w:bCs/>
          <w:sz w:val="24"/>
          <w:szCs w:val="24"/>
          <w:lang w:val="en-US"/>
        </w:rPr>
      </w:pPr>
      <w:r>
        <w:rPr>
          <w:rFonts w:ascii="Times New Roman" w:hAnsi="Times New Roman" w:cs="Times New Roman"/>
          <w:b/>
          <w:bCs/>
          <w:sz w:val="24"/>
          <w:szCs w:val="24"/>
        </w:rPr>
        <w:t>Date</w:t>
      </w:r>
      <w:r>
        <w:rPr>
          <w:rFonts w:hint="default" w:ascii="Times New Roman" w:hAnsi="Times New Roman" w:cs="Times New Roman"/>
          <w:b/>
          <w:bCs/>
          <w:sz w:val="24"/>
          <w:szCs w:val="24"/>
          <w:lang w:val="en-US"/>
        </w:rPr>
        <w:t>:2023.12.1</w:t>
      </w:r>
      <w:bookmarkStart w:id="24" w:name="_GoBack"/>
      <w:bookmarkEnd w:id="24"/>
    </w:p>
    <w:p>
      <w:pPr>
        <w:spacing w:line="480" w:lineRule="auto"/>
        <w:jc w:val="center"/>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Executive Summary</w:t>
      </w:r>
    </w:p>
    <w:p>
      <w:pPr>
        <w:spacing w:line="480" w:lineRule="auto"/>
        <w:rPr>
          <w:rFonts w:ascii="Times New Roman" w:hAnsi="Times New Roman" w:cs="Times New Roman"/>
          <w:bCs/>
          <w:sz w:val="24"/>
          <w:szCs w:val="24"/>
        </w:rPr>
      </w:pPr>
      <w:r>
        <w:rPr>
          <w:rFonts w:ascii="Times New Roman" w:hAnsi="Times New Roman" w:cs="Times New Roman"/>
          <w:bCs/>
          <w:sz w:val="24"/>
          <w:szCs w:val="24"/>
        </w:rPr>
        <w:t>The aim of this research is to offer Next, a clothes retailer located in the UK, complete counsel as it attempts to develop its business into the dynamic and diversified Asian market. The paper focuses on critical areas that are necessary for success in order to navigate this strategic endeavor. The principal objective is to furnish Next with a sophisticated comprehension of intercultural communication ideas, recognizing the need of proficient communication in global commerce. Through an examination of well-known frameworks such as Edward T. Hall's High-Low Context Communication Theory and Geert Hofstede's Cultural Dimensions, Next is able to get important insights into adapting its communication strategy to the cultural quirks that are common in the Asian market. The paper explores the fundamental abilities needed for fruitful cross-cultural interactions, including language fluency, negotiation, active listening, flexibility, and cross-cultural sensitivity. The Next team needs certain abilities in order to successfully negotiate the complexities of many cultural environments. The paper offers strategic recommendations based on an acknowledgement of the difficulties that arise in cross-cultural business contacts. Developing successful communication and relationship-building skills, comprehending the cultural aspects of target markets, and minimizing possible hazards are all part of Next's guidance. This paper essentially acts as a road map for Next's Asian expansion, addressing the challenges of cross-cultural communication and providing practical solutions to build successful, long-lasting commercial partnerships in this culturally heterogeneous area.</w:t>
      </w: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Table of Contents</w:t>
      </w:r>
    </w:p>
    <w:sdt>
      <w:sdtPr>
        <w:rPr>
          <w:rFonts w:ascii="Times New Roman" w:hAnsi="Times New Roman" w:cs="Times New Roman" w:eastAsiaTheme="minorHAnsi"/>
          <w:color w:val="auto"/>
          <w:sz w:val="24"/>
          <w:szCs w:val="24"/>
        </w:rPr>
        <w:id w:val="376976835"/>
        <w:docPartObj>
          <w:docPartGallery w:val="Table of Contents"/>
          <w:docPartUnique/>
        </w:docPartObj>
      </w:sdtPr>
      <w:sdtEndPr>
        <w:rPr>
          <w:rFonts w:ascii="Times New Roman" w:hAnsi="Times New Roman" w:cs="Times New Roman" w:eastAsiaTheme="minorHAnsi"/>
          <w:b/>
          <w:bCs/>
          <w:color w:val="auto"/>
          <w:sz w:val="24"/>
          <w:szCs w:val="24"/>
        </w:rPr>
      </w:sdtEndPr>
      <w:sdtContent>
        <w:p>
          <w:pPr>
            <w:pStyle w:val="23"/>
            <w:rPr>
              <w:rFonts w:ascii="Times New Roman" w:hAnsi="Times New Roman" w:cs="Times New Roman"/>
              <w:color w:val="auto"/>
              <w:sz w:val="24"/>
              <w:szCs w:val="24"/>
            </w:rPr>
          </w:pPr>
          <w:r>
            <w:rPr>
              <w:rFonts w:ascii="Times New Roman" w:hAnsi="Times New Roman" w:cs="Times New Roman"/>
              <w:color w:val="auto"/>
              <w:sz w:val="24"/>
              <w:szCs w:val="24"/>
            </w:rPr>
            <w:t>Contents</w:t>
          </w:r>
        </w:p>
        <w:p>
          <w:pPr>
            <w:pStyle w:val="9"/>
            <w:tabs>
              <w:tab w:val="left" w:pos="440"/>
              <w:tab w:val="right" w:leader="dot" w:pos="9350"/>
            </w:tabs>
            <w:rPr>
              <w:rFonts w:eastAsiaTheme="minorEastAsia"/>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"_Toc152229579" </w:instrText>
          </w:r>
          <w:r>
            <w:fldChar w:fldCharType="separate"/>
          </w:r>
          <w:r>
            <w:rPr>
              <w:rStyle w:val="16"/>
              <w:rFonts w:ascii="Times New Roman" w:hAnsi="Times New Roman" w:cs="Times New Roman"/>
              <w:b/>
            </w:rPr>
            <w:t>1.</w:t>
          </w:r>
          <w:r>
            <w:rPr>
              <w:rFonts w:eastAsiaTheme="minorEastAsia"/>
            </w:rPr>
            <w:tab/>
          </w:r>
          <w:r>
            <w:rPr>
              <w:rStyle w:val="16"/>
              <w:rFonts w:ascii="Times New Roman" w:hAnsi="Times New Roman" w:cs="Times New Roman"/>
              <w:b/>
            </w:rPr>
            <w:t>Introduction</w:t>
          </w:r>
          <w:r>
            <w:tab/>
          </w:r>
          <w:r>
            <w:fldChar w:fldCharType="begin"/>
          </w:r>
          <w:r>
            <w:instrText xml:space="preserve"> PAGEREF _Toc152229579 \h </w:instrText>
          </w:r>
          <w:r>
            <w:fldChar w:fldCharType="separate"/>
          </w:r>
          <w:r>
            <w:t>1</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"_Toc152229580" </w:instrText>
          </w:r>
          <w:r>
            <w:fldChar w:fldCharType="separate"/>
          </w:r>
          <w:r>
            <w:rPr>
              <w:rStyle w:val="16"/>
              <w:rFonts w:ascii="Times New Roman" w:hAnsi="Times New Roman" w:cs="Times New Roman"/>
              <w:b/>
            </w:rPr>
            <w:t>1.1.</w:t>
          </w:r>
          <w:r>
            <w:rPr>
              <w:rFonts w:eastAsiaTheme="minorEastAsia"/>
            </w:rPr>
            <w:tab/>
          </w:r>
          <w:r>
            <w:rPr>
              <w:rStyle w:val="16"/>
              <w:rFonts w:ascii="Times New Roman" w:hAnsi="Times New Roman" w:cs="Times New Roman"/>
              <w:b/>
            </w:rPr>
            <w:t>Terms of Reference</w:t>
          </w:r>
          <w:r>
            <w:tab/>
          </w:r>
          <w:r>
            <w:fldChar w:fldCharType="begin"/>
          </w:r>
          <w:r>
            <w:instrText xml:space="preserve"> PAGEREF _Toc152229580 \h </w:instrText>
          </w:r>
          <w:r>
            <w:fldChar w:fldCharType="separate"/>
          </w:r>
          <w:r>
            <w:t>1</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"_Toc152229581" </w:instrText>
          </w:r>
          <w:r>
            <w:fldChar w:fldCharType="separate"/>
          </w:r>
          <w:r>
            <w:rPr>
              <w:rStyle w:val="16"/>
              <w:rFonts w:ascii="Times New Roman" w:hAnsi="Times New Roman" w:cs="Times New Roman"/>
              <w:b/>
            </w:rPr>
            <w:t>1.2.</w:t>
          </w:r>
          <w:r>
            <w:rPr>
              <w:rFonts w:eastAsiaTheme="minorEastAsia"/>
            </w:rPr>
            <w:tab/>
          </w:r>
          <w:r>
            <w:rPr>
              <w:rStyle w:val="16"/>
              <w:rFonts w:ascii="Times New Roman" w:hAnsi="Times New Roman" w:cs="Times New Roman"/>
              <w:b/>
            </w:rPr>
            <w:t>Purpose</w:t>
          </w:r>
          <w:r>
            <w:tab/>
          </w:r>
          <w:r>
            <w:fldChar w:fldCharType="begin"/>
          </w:r>
          <w:r>
            <w:instrText xml:space="preserve"> PAGEREF _Toc152229581 \h </w:instrText>
          </w:r>
          <w:r>
            <w:fldChar w:fldCharType="separate"/>
          </w:r>
          <w:r>
            <w:t>1</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"_Toc152229582" </w:instrText>
          </w:r>
          <w:r>
            <w:fldChar w:fldCharType="separate"/>
          </w:r>
          <w:r>
            <w:rPr>
              <w:rStyle w:val="16"/>
              <w:rFonts w:ascii="Times New Roman" w:hAnsi="Times New Roman" w:cs="Times New Roman"/>
              <w:b/>
            </w:rPr>
            <w:t>1.3.</w:t>
          </w:r>
          <w:r>
            <w:rPr>
              <w:rFonts w:eastAsiaTheme="minorEastAsia"/>
            </w:rPr>
            <w:tab/>
          </w:r>
          <w:r>
            <w:rPr>
              <w:rStyle w:val="16"/>
              <w:rFonts w:ascii="Times New Roman" w:hAnsi="Times New Roman" w:cs="Times New Roman"/>
              <w:b/>
            </w:rPr>
            <w:t>Brief Introduction to the Clothing Retailer</w:t>
          </w:r>
          <w:r>
            <w:tab/>
          </w:r>
          <w:r>
            <w:fldChar w:fldCharType="begin"/>
          </w:r>
          <w:r>
            <w:instrText xml:space="preserve"> PAGEREF _Toc152229582 \h </w:instrText>
          </w:r>
          <w:r>
            <w:fldChar w:fldCharType="separate"/>
          </w:r>
          <w:r>
            <w:t>1</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"_Toc152229583" </w:instrText>
          </w:r>
          <w:r>
            <w:fldChar w:fldCharType="separate"/>
          </w:r>
          <w:r>
            <w:rPr>
              <w:rStyle w:val="16"/>
              <w:rFonts w:ascii="Times New Roman" w:hAnsi="Times New Roman" w:eastAsia="Times New Roman" w:cs="Times New Roman"/>
              <w:b/>
            </w:rPr>
            <w:t>1.4.</w:t>
          </w:r>
          <w:r>
            <w:rPr>
              <w:rFonts w:eastAsiaTheme="minorEastAsia"/>
            </w:rPr>
            <w:tab/>
          </w:r>
          <w:r>
            <w:rPr>
              <w:rStyle w:val="16"/>
              <w:rFonts w:ascii="Times New Roman" w:hAnsi="Times New Roman" w:eastAsia="Times New Roman" w:cs="Times New Roman"/>
              <w:b/>
            </w:rPr>
            <w:t>Overview of Report Content</w:t>
          </w:r>
          <w:r>
            <w:tab/>
          </w:r>
          <w:r>
            <w:fldChar w:fldCharType="begin"/>
          </w:r>
          <w:r>
            <w:instrText xml:space="preserve"> PAGEREF _Toc152229583 \h </w:instrText>
          </w:r>
          <w:r>
            <w:fldChar w:fldCharType="separate"/>
          </w:r>
          <w:r>
            <w:t>2</w:t>
          </w:r>
          <w:r>
            <w:fldChar w:fldCharType="end"/>
          </w:r>
          <w:r>
            <w:fldChar w:fldCharType="end"/>
          </w:r>
        </w:p>
        <w:p>
          <w:pPr>
            <w:pStyle w:val="9"/>
            <w:tabs>
              <w:tab w:val="left" w:pos="440"/>
              <w:tab w:val="right" w:leader="dot" w:pos="9350"/>
            </w:tabs>
            <w:rPr>
              <w:rFonts w:eastAsiaTheme="minorEastAsia"/>
            </w:rPr>
          </w:pPr>
          <w:r>
            <w:fldChar w:fldCharType="begin"/>
          </w:r>
          <w:r>
            <w:instrText xml:space="preserve"> HYPERLINK \l "_Toc152229584" </w:instrText>
          </w:r>
          <w:r>
            <w:fldChar w:fldCharType="separate"/>
          </w:r>
          <w:r>
            <w:rPr>
              <w:rStyle w:val="16"/>
              <w:rFonts w:ascii="Times New Roman" w:hAnsi="Times New Roman" w:cs="Times New Roman"/>
              <w:b/>
            </w:rPr>
            <w:t>2.</w:t>
          </w:r>
          <w:r>
            <w:rPr>
              <w:rFonts w:eastAsiaTheme="minorEastAsia"/>
            </w:rPr>
            <w:tab/>
          </w:r>
          <w:r>
            <w:rPr>
              <w:rStyle w:val="16"/>
              <w:rFonts w:ascii="Times New Roman" w:hAnsi="Times New Roman" w:cs="Times New Roman"/>
              <w:b/>
            </w:rPr>
            <w:t>Main Findings</w:t>
          </w:r>
          <w:r>
            <w:tab/>
          </w:r>
          <w:r>
            <w:fldChar w:fldCharType="begin"/>
          </w:r>
          <w:r>
            <w:instrText xml:space="preserve"> PAGEREF _Toc152229584 \h </w:instrText>
          </w:r>
          <w:r>
            <w:fldChar w:fldCharType="separate"/>
          </w:r>
          <w:r>
            <w:t>3</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"_Toc152229585" </w:instrText>
          </w:r>
          <w:r>
            <w:fldChar w:fldCharType="separate"/>
          </w:r>
          <w:r>
            <w:rPr>
              <w:rStyle w:val="16"/>
              <w:rFonts w:ascii="Times New Roman" w:hAnsi="Times New Roman" w:cs="Times New Roman"/>
              <w:b/>
            </w:rPr>
            <w:t>2.1.</w:t>
          </w:r>
          <w:r>
            <w:rPr>
              <w:rFonts w:eastAsiaTheme="minorEastAsia"/>
            </w:rPr>
            <w:tab/>
          </w:r>
          <w:r>
            <w:rPr>
              <w:rStyle w:val="16"/>
              <w:rFonts w:ascii="Times New Roman" w:hAnsi="Times New Roman" w:cs="Times New Roman"/>
              <w:b/>
            </w:rPr>
            <w:t>International Business Communication</w:t>
          </w:r>
          <w:r>
            <w:tab/>
          </w:r>
          <w:r>
            <w:fldChar w:fldCharType="begin"/>
          </w:r>
          <w:r>
            <w:instrText xml:space="preserve"> PAGEREF _Toc152229585 \h </w:instrText>
          </w:r>
          <w:r>
            <w:fldChar w:fldCharType="separate"/>
          </w:r>
          <w:r>
            <w:t>3</w:t>
          </w:r>
          <w:r>
            <w:fldChar w:fldCharType="end"/>
          </w:r>
          <w:r>
            <w:fldChar w:fldCharType="end"/>
          </w:r>
        </w:p>
        <w:p>
          <w:pPr>
            <w:pStyle w:val="6"/>
            <w:tabs>
              <w:tab w:val="right" w:leader="dot" w:pos="9350"/>
            </w:tabs>
            <w:rPr>
              <w:rFonts w:eastAsiaTheme="minorEastAsia"/>
            </w:rPr>
          </w:pPr>
          <w:r>
            <w:fldChar w:fldCharType="begin"/>
          </w:r>
          <w:r>
            <w:instrText xml:space="preserve"> HYPERLINK \l "_Toc152229586" </w:instrText>
          </w:r>
          <w:r>
            <w:fldChar w:fldCharType="separate"/>
          </w:r>
          <w:r>
            <w:rPr>
              <w:rStyle w:val="16"/>
              <w:rFonts w:ascii="Times New Roman" w:hAnsi="Times New Roman" w:cs="Times New Roman"/>
              <w:b/>
            </w:rPr>
            <w:t>Importance and Relevance</w:t>
          </w:r>
          <w:r>
            <w:tab/>
          </w:r>
          <w:r>
            <w:fldChar w:fldCharType="begin"/>
          </w:r>
          <w:r>
            <w:instrText xml:space="preserve"> PAGEREF _Toc152229586 \h </w:instrText>
          </w:r>
          <w:r>
            <w:fldChar w:fldCharType="separate"/>
          </w:r>
          <w:r>
            <w:t>3</w:t>
          </w:r>
          <w:r>
            <w:fldChar w:fldCharType="end"/>
          </w:r>
          <w:r>
            <w:fldChar w:fldCharType="end"/>
          </w:r>
        </w:p>
        <w:p>
          <w:pPr>
            <w:pStyle w:val="6"/>
            <w:tabs>
              <w:tab w:val="right" w:leader="dot" w:pos="9350"/>
            </w:tabs>
            <w:rPr>
              <w:rFonts w:eastAsiaTheme="minorEastAsia"/>
            </w:rPr>
          </w:pPr>
          <w:r>
            <w:fldChar w:fldCharType="begin"/>
          </w:r>
          <w:r>
            <w:instrText xml:space="preserve"> HYPERLINK \l "_Toc152229587" </w:instrText>
          </w:r>
          <w:r>
            <w:fldChar w:fldCharType="separate"/>
          </w:r>
          <w:r>
            <w:rPr>
              <w:rStyle w:val="16"/>
              <w:rFonts w:ascii="Times New Roman" w:hAnsi="Times New Roman" w:cs="Times New Roman"/>
              <w:b/>
            </w:rPr>
            <w:t>Reference to Relevant Theories</w:t>
          </w:r>
          <w:r>
            <w:tab/>
          </w:r>
          <w:r>
            <w:fldChar w:fldCharType="begin"/>
          </w:r>
          <w:r>
            <w:instrText xml:space="preserve"> PAGEREF _Toc152229587 \h </w:instrText>
          </w:r>
          <w:r>
            <w:fldChar w:fldCharType="separate"/>
          </w:r>
          <w:r>
            <w:t>3</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"_Toc152229588" </w:instrText>
          </w:r>
          <w:r>
            <w:fldChar w:fldCharType="separate"/>
          </w:r>
          <w:r>
            <w:rPr>
              <w:rStyle w:val="16"/>
              <w:rFonts w:ascii="Times New Roman" w:hAnsi="Times New Roman" w:cs="Times New Roman"/>
            </w:rPr>
            <w:t>2.2.</w:t>
          </w:r>
          <w:r>
            <w:rPr>
              <w:rFonts w:eastAsiaTheme="minorEastAsia"/>
            </w:rPr>
            <w:tab/>
          </w:r>
          <w:r>
            <w:rPr>
              <w:rStyle w:val="16"/>
              <w:rFonts w:ascii="Times New Roman" w:hAnsi="Times New Roman" w:cs="Times New Roman"/>
              <w:b/>
            </w:rPr>
            <w:t>Skills Requirements</w:t>
          </w:r>
          <w:r>
            <w:tab/>
          </w:r>
          <w:r>
            <w:fldChar w:fldCharType="begin"/>
          </w:r>
          <w:r>
            <w:instrText xml:space="preserve"> PAGEREF _Toc152229588 \h </w:instrText>
          </w:r>
          <w:r>
            <w:fldChar w:fldCharType="separate"/>
          </w:r>
          <w:r>
            <w:t>4</w:t>
          </w:r>
          <w:r>
            <w:fldChar w:fldCharType="end"/>
          </w:r>
          <w:r>
            <w:fldChar w:fldCharType="end"/>
          </w:r>
        </w:p>
        <w:p>
          <w:pPr>
            <w:pStyle w:val="6"/>
            <w:tabs>
              <w:tab w:val="right" w:leader="dot" w:pos="9350"/>
            </w:tabs>
            <w:rPr>
              <w:rFonts w:eastAsiaTheme="minorEastAsia"/>
            </w:rPr>
          </w:pPr>
          <w:r>
            <w:fldChar w:fldCharType="begin"/>
          </w:r>
          <w:r>
            <w:instrText xml:space="preserve"> HYPERLINK \l "_Toc152229589" </w:instrText>
          </w:r>
          <w:r>
            <w:fldChar w:fldCharType="separate"/>
          </w:r>
          <w:r>
            <w:rPr>
              <w:rStyle w:val="16"/>
              <w:rFonts w:ascii="Times New Roman" w:hAnsi="Times New Roman" w:cs="Times New Roman"/>
              <w:b/>
            </w:rPr>
            <w:t>Essential Skills</w:t>
          </w:r>
          <w:r>
            <w:tab/>
          </w:r>
          <w:r>
            <w:fldChar w:fldCharType="begin"/>
          </w:r>
          <w:r>
            <w:instrText xml:space="preserve"> PAGEREF _Toc152229589 \h </w:instrText>
          </w:r>
          <w:r>
            <w:fldChar w:fldCharType="separate"/>
          </w:r>
          <w:r>
            <w:t>4</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"_Toc152229590" </w:instrText>
          </w:r>
          <w:r>
            <w:fldChar w:fldCharType="separate"/>
          </w:r>
          <w:r>
            <w:rPr>
              <w:rStyle w:val="16"/>
              <w:rFonts w:ascii="Times New Roman" w:hAnsi="Times New Roman" w:cs="Times New Roman"/>
              <w:b/>
            </w:rPr>
            <w:t>2.3.</w:t>
          </w:r>
          <w:r>
            <w:rPr>
              <w:rFonts w:eastAsiaTheme="minorEastAsia"/>
            </w:rPr>
            <w:tab/>
          </w:r>
          <w:r>
            <w:rPr>
              <w:rStyle w:val="16"/>
              <w:rFonts w:ascii="Times New Roman" w:hAnsi="Times New Roman" w:cs="Times New Roman"/>
              <w:b/>
            </w:rPr>
            <w:t>Methods of Communication</w:t>
          </w:r>
          <w:r>
            <w:tab/>
          </w:r>
          <w:r>
            <w:fldChar w:fldCharType="begin"/>
          </w:r>
          <w:r>
            <w:instrText xml:space="preserve"> PAGEREF _Toc152229590 \h </w:instrText>
          </w:r>
          <w:r>
            <w:fldChar w:fldCharType="separate"/>
          </w:r>
          <w:r>
            <w:t>6</w:t>
          </w:r>
          <w:r>
            <w:fldChar w:fldCharType="end"/>
          </w:r>
          <w:r>
            <w:fldChar w:fldCharType="end"/>
          </w:r>
        </w:p>
        <w:p>
          <w:pPr>
            <w:pStyle w:val="6"/>
            <w:tabs>
              <w:tab w:val="right" w:leader="dot" w:pos="9350"/>
            </w:tabs>
            <w:rPr>
              <w:rFonts w:eastAsiaTheme="minorEastAsia"/>
            </w:rPr>
          </w:pPr>
          <w:r>
            <w:fldChar w:fldCharType="begin"/>
          </w:r>
          <w:r>
            <w:instrText xml:space="preserve"> HYPERLINK \l "_Toc152229591" </w:instrText>
          </w:r>
          <w:r>
            <w:fldChar w:fldCharType="separate"/>
          </w:r>
          <w:r>
            <w:rPr>
              <w:rStyle w:val="16"/>
              <w:rFonts w:ascii="Times New Roman" w:hAnsi="Times New Roman" w:cs="Times New Roman"/>
              <w:b/>
            </w:rPr>
            <w:t>Halls High-Low Context</w:t>
          </w:r>
          <w:r>
            <w:tab/>
          </w:r>
          <w:r>
            <w:fldChar w:fldCharType="begin"/>
          </w:r>
          <w:r>
            <w:instrText xml:space="preserve"> PAGEREF _Toc152229591 \h </w:instrText>
          </w:r>
          <w:r>
            <w:fldChar w:fldCharType="separate"/>
          </w:r>
          <w:r>
            <w:t>6</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"_Toc152229592" </w:instrText>
          </w:r>
          <w:r>
            <w:fldChar w:fldCharType="separate"/>
          </w:r>
          <w:r>
            <w:rPr>
              <w:rStyle w:val="16"/>
              <w:rFonts w:ascii="Times New Roman" w:hAnsi="Times New Roman" w:cs="Times New Roman"/>
              <w:b/>
            </w:rPr>
            <w:t>2.4.</w:t>
          </w:r>
          <w:r>
            <w:rPr>
              <w:rFonts w:eastAsiaTheme="minorEastAsia"/>
            </w:rPr>
            <w:tab/>
          </w:r>
          <w:r>
            <w:rPr>
              <w:rStyle w:val="16"/>
              <w:rFonts w:ascii="Times New Roman" w:hAnsi="Times New Roman" w:cs="Times New Roman"/>
              <w:b/>
            </w:rPr>
            <w:t>Effective Communication</w:t>
          </w:r>
          <w:r>
            <w:tab/>
          </w:r>
          <w:r>
            <w:fldChar w:fldCharType="begin"/>
          </w:r>
          <w:r>
            <w:instrText xml:space="preserve"> PAGEREF _Toc152229592 \h </w:instrText>
          </w:r>
          <w:r>
            <w:fldChar w:fldCharType="separate"/>
          </w:r>
          <w:r>
            <w:t>8</w:t>
          </w:r>
          <w:r>
            <w:fldChar w:fldCharType="end"/>
          </w:r>
          <w:r>
            <w:fldChar w:fldCharType="end"/>
          </w:r>
        </w:p>
        <w:p>
          <w:pPr>
            <w:pStyle w:val="6"/>
            <w:tabs>
              <w:tab w:val="right" w:leader="dot" w:pos="9350"/>
            </w:tabs>
            <w:rPr>
              <w:rFonts w:eastAsiaTheme="minorEastAsia"/>
            </w:rPr>
          </w:pPr>
          <w:r>
            <w:fldChar w:fldCharType="begin"/>
          </w:r>
          <w:r>
            <w:instrText xml:space="preserve"> HYPERLINK \l "_Toc152229593" </w:instrText>
          </w:r>
          <w:r>
            <w:fldChar w:fldCharType="separate"/>
          </w:r>
          <w:r>
            <w:rPr>
              <w:rStyle w:val="16"/>
              <w:rFonts w:ascii="Times New Roman" w:hAnsi="Times New Roman" w:cs="Times New Roman"/>
              <w:b/>
            </w:rPr>
            <w:t>Factors</w:t>
          </w:r>
          <w:r>
            <w:tab/>
          </w:r>
          <w:r>
            <w:fldChar w:fldCharType="begin"/>
          </w:r>
          <w:r>
            <w:instrText xml:space="preserve"> PAGEREF _Toc152229593 \h </w:instrText>
          </w:r>
          <w:r>
            <w:fldChar w:fldCharType="separate"/>
          </w:r>
          <w:r>
            <w:t>8</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"_Toc152229594" </w:instrText>
          </w:r>
          <w:r>
            <w:fldChar w:fldCharType="separate"/>
          </w:r>
          <w:r>
            <w:rPr>
              <w:rStyle w:val="16"/>
              <w:rFonts w:ascii="Times New Roman" w:hAnsi="Times New Roman" w:cs="Times New Roman"/>
              <w:b/>
            </w:rPr>
            <w:t>2.5.</w:t>
          </w:r>
          <w:r>
            <w:rPr>
              <w:rFonts w:eastAsiaTheme="minorEastAsia"/>
            </w:rPr>
            <w:tab/>
          </w:r>
          <w:r>
            <w:rPr>
              <w:rStyle w:val="16"/>
              <w:rFonts w:ascii="Times New Roman" w:hAnsi="Times New Roman" w:cs="Times New Roman"/>
              <w:b/>
            </w:rPr>
            <w:t>International Culture</w:t>
          </w:r>
          <w:r>
            <w:tab/>
          </w:r>
          <w:r>
            <w:fldChar w:fldCharType="begin"/>
          </w:r>
          <w:r>
            <w:instrText xml:space="preserve"> PAGEREF _Toc152229594 \h </w:instrText>
          </w:r>
          <w:r>
            <w:fldChar w:fldCharType="separate"/>
          </w:r>
          <w:r>
            <w:t>9</w:t>
          </w:r>
          <w:r>
            <w:fldChar w:fldCharType="end"/>
          </w:r>
          <w:r>
            <w:fldChar w:fldCharType="end"/>
          </w:r>
        </w:p>
        <w:p>
          <w:pPr>
            <w:pStyle w:val="6"/>
            <w:tabs>
              <w:tab w:val="right" w:leader="dot" w:pos="9350"/>
            </w:tabs>
            <w:rPr>
              <w:rFonts w:eastAsiaTheme="minorEastAsia"/>
            </w:rPr>
          </w:pPr>
          <w:r>
            <w:fldChar w:fldCharType="begin"/>
          </w:r>
          <w:r>
            <w:instrText xml:space="preserve"> HYPERLINK \l "_Toc152229595" </w:instrText>
          </w:r>
          <w:r>
            <w:fldChar w:fldCharType="separate"/>
          </w:r>
          <w:r>
            <w:rPr>
              <w:rStyle w:val="16"/>
              <w:rFonts w:ascii="Times New Roman" w:hAnsi="Times New Roman" w:cs="Times New Roman"/>
              <w:b/>
            </w:rPr>
            <w:t>Trompenaar’s 7 Dimensions to Culture:</w:t>
          </w:r>
          <w:r>
            <w:tab/>
          </w:r>
          <w:r>
            <w:fldChar w:fldCharType="begin"/>
          </w:r>
          <w:r>
            <w:instrText xml:space="preserve"> PAGEREF _Toc152229595 \h </w:instrText>
          </w:r>
          <w:r>
            <w:fldChar w:fldCharType="separate"/>
          </w:r>
          <w:r>
            <w:t>9</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"_Toc152229596" </w:instrText>
          </w:r>
          <w:r>
            <w:fldChar w:fldCharType="separate"/>
          </w:r>
          <w:r>
            <w:rPr>
              <w:rStyle w:val="16"/>
              <w:rFonts w:ascii="Times New Roman" w:hAnsi="Times New Roman" w:cs="Times New Roman"/>
              <w:b/>
            </w:rPr>
            <w:t>2.6.</w:t>
          </w:r>
          <w:r>
            <w:rPr>
              <w:rFonts w:eastAsiaTheme="minorEastAsia"/>
            </w:rPr>
            <w:tab/>
          </w:r>
          <w:r>
            <w:rPr>
              <w:rStyle w:val="16"/>
              <w:rFonts w:ascii="Times New Roman" w:hAnsi="Times New Roman" w:cs="Times New Roman"/>
              <w:b/>
            </w:rPr>
            <w:t>Importance of Building Relationships</w:t>
          </w:r>
          <w:r>
            <w:tab/>
          </w:r>
          <w:r>
            <w:fldChar w:fldCharType="begin"/>
          </w:r>
          <w:r>
            <w:instrText xml:space="preserve"> PAGEREF _Toc152229596 \h </w:instrText>
          </w:r>
          <w:r>
            <w:fldChar w:fldCharType="separate"/>
          </w:r>
          <w:r>
            <w:t>11</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"_Toc152229597" </w:instrText>
          </w:r>
          <w:r>
            <w:fldChar w:fldCharType="separate"/>
          </w:r>
          <w:r>
            <w:rPr>
              <w:rStyle w:val="16"/>
              <w:rFonts w:ascii="Times New Roman" w:hAnsi="Times New Roman" w:cs="Times New Roman"/>
              <w:b/>
            </w:rPr>
            <w:t>2.7.</w:t>
          </w:r>
          <w:r>
            <w:rPr>
              <w:rFonts w:eastAsiaTheme="minorEastAsia"/>
            </w:rPr>
            <w:tab/>
          </w:r>
          <w:r>
            <w:rPr>
              <w:rStyle w:val="16"/>
              <w:rFonts w:ascii="Times New Roman" w:hAnsi="Times New Roman" w:cs="Times New Roman"/>
              <w:b/>
            </w:rPr>
            <w:t>How to Build Trust</w:t>
          </w:r>
          <w:r>
            <w:tab/>
          </w:r>
          <w:r>
            <w:fldChar w:fldCharType="begin"/>
          </w:r>
          <w:r>
            <w:instrText xml:space="preserve"> PAGEREF _Toc152229597 \h </w:instrText>
          </w:r>
          <w:r>
            <w:fldChar w:fldCharType="separate"/>
          </w:r>
          <w:r>
            <w:t>13</w:t>
          </w:r>
          <w:r>
            <w:fldChar w:fldCharType="end"/>
          </w:r>
          <w:r>
            <w:fldChar w:fldCharType="end"/>
          </w:r>
        </w:p>
        <w:p>
          <w:pPr>
            <w:pStyle w:val="11"/>
            <w:tabs>
              <w:tab w:val="left" w:pos="880"/>
              <w:tab w:val="right" w:leader="dot" w:pos="9350"/>
            </w:tabs>
            <w:rPr>
              <w:rFonts w:eastAsiaTheme="minorEastAsia"/>
            </w:rPr>
          </w:pPr>
          <w:r>
            <w:fldChar w:fldCharType="begin"/>
          </w:r>
          <w:r>
            <w:instrText xml:space="preserve"> HYPERLINK \l "_Toc152229598" </w:instrText>
          </w:r>
          <w:r>
            <w:fldChar w:fldCharType="separate"/>
          </w:r>
          <w:r>
            <w:rPr>
              <w:rStyle w:val="16"/>
              <w:rFonts w:ascii="Times New Roman" w:hAnsi="Times New Roman" w:cs="Times New Roman"/>
              <w:b/>
            </w:rPr>
            <w:t>2.8.</w:t>
          </w:r>
          <w:r>
            <w:rPr>
              <w:rFonts w:eastAsiaTheme="minorEastAsia"/>
            </w:rPr>
            <w:tab/>
          </w:r>
          <w:r>
            <w:rPr>
              <w:rStyle w:val="16"/>
              <w:rFonts w:ascii="Times New Roman" w:hAnsi="Times New Roman" w:cs="Times New Roman"/>
              <w:b/>
            </w:rPr>
            <w:t>Failed Relationships</w:t>
          </w:r>
          <w:r>
            <w:tab/>
          </w:r>
          <w:r>
            <w:fldChar w:fldCharType="begin"/>
          </w:r>
          <w:r>
            <w:instrText xml:space="preserve"> PAGEREF _Toc152229598 \h </w:instrText>
          </w:r>
          <w:r>
            <w:fldChar w:fldCharType="separate"/>
          </w:r>
          <w:r>
            <w:t>15</w:t>
          </w:r>
          <w:r>
            <w:fldChar w:fldCharType="end"/>
          </w:r>
          <w:r>
            <w:fldChar w:fldCharType="end"/>
          </w:r>
        </w:p>
        <w:p>
          <w:pPr>
            <w:pStyle w:val="9"/>
            <w:tabs>
              <w:tab w:val="left" w:pos="440"/>
              <w:tab w:val="right" w:leader="dot" w:pos="9350"/>
            </w:tabs>
            <w:rPr>
              <w:rFonts w:eastAsiaTheme="minorEastAsia"/>
            </w:rPr>
          </w:pPr>
          <w:r>
            <w:fldChar w:fldCharType="begin"/>
          </w:r>
          <w:r>
            <w:instrText xml:space="preserve"> HYPERLINK \l "_Toc152229599" </w:instrText>
          </w:r>
          <w:r>
            <w:fldChar w:fldCharType="separate"/>
          </w:r>
          <w:r>
            <w:rPr>
              <w:rStyle w:val="16"/>
              <w:rFonts w:ascii="Times New Roman" w:hAnsi="Times New Roman" w:cs="Times New Roman"/>
              <w:b/>
            </w:rPr>
            <w:t>3.</w:t>
          </w:r>
          <w:r>
            <w:rPr>
              <w:rFonts w:eastAsiaTheme="minorEastAsia"/>
            </w:rPr>
            <w:tab/>
          </w:r>
          <w:r>
            <w:rPr>
              <w:rStyle w:val="16"/>
              <w:rFonts w:ascii="Times New Roman" w:hAnsi="Times New Roman" w:cs="Times New Roman"/>
              <w:b/>
            </w:rPr>
            <w:t>Conclusions</w:t>
          </w:r>
          <w:r>
            <w:tab/>
          </w:r>
          <w:r>
            <w:fldChar w:fldCharType="begin"/>
          </w:r>
          <w:r>
            <w:instrText xml:space="preserve"> PAGEREF _Toc152229599 \h </w:instrText>
          </w:r>
          <w:r>
            <w:fldChar w:fldCharType="separate"/>
          </w:r>
          <w:r>
            <w:t>17</w:t>
          </w:r>
          <w:r>
            <w:fldChar w:fldCharType="end"/>
          </w:r>
          <w:r>
            <w:fldChar w:fldCharType="end"/>
          </w:r>
        </w:p>
        <w:p>
          <w:pPr>
            <w:pStyle w:val="11"/>
            <w:tabs>
              <w:tab w:val="right" w:leader="dot" w:pos="9350"/>
            </w:tabs>
            <w:rPr>
              <w:rFonts w:eastAsiaTheme="minorEastAsia"/>
            </w:rPr>
          </w:pPr>
          <w:r>
            <w:fldChar w:fldCharType="begin"/>
          </w:r>
          <w:r>
            <w:instrText xml:space="preserve"> HYPERLINK \l "_Toc152229600" </w:instrText>
          </w:r>
          <w:r>
            <w:fldChar w:fldCharType="separate"/>
          </w:r>
          <w:r>
            <w:rPr>
              <w:rStyle w:val="16"/>
              <w:rFonts w:ascii="Times New Roman" w:hAnsi="Times New Roman" w:cs="Times New Roman"/>
              <w:b/>
            </w:rPr>
            <w:t>Reiteration of the Importance of Effective Communication</w:t>
          </w:r>
          <w:r>
            <w:tab/>
          </w:r>
          <w:r>
            <w:fldChar w:fldCharType="begin"/>
          </w:r>
          <w:r>
            <w:instrText xml:space="preserve"> PAGEREF _Toc152229600 \h </w:instrText>
          </w:r>
          <w:r>
            <w:fldChar w:fldCharType="separate"/>
          </w:r>
          <w:r>
            <w:t>18</w:t>
          </w:r>
          <w:r>
            <w:fldChar w:fldCharType="end"/>
          </w:r>
          <w:r>
            <w:fldChar w:fldCharType="end"/>
          </w:r>
        </w:p>
        <w:p>
          <w:pPr>
            <w:pStyle w:val="9"/>
            <w:tabs>
              <w:tab w:val="left" w:pos="440"/>
              <w:tab w:val="right" w:leader="dot" w:pos="9350"/>
            </w:tabs>
            <w:rPr>
              <w:rFonts w:eastAsiaTheme="minorEastAsia"/>
            </w:rPr>
          </w:pPr>
          <w:r>
            <w:fldChar w:fldCharType="begin"/>
          </w:r>
          <w:r>
            <w:instrText xml:space="preserve"> HYPERLINK \l "_Toc152229601" </w:instrText>
          </w:r>
          <w:r>
            <w:fldChar w:fldCharType="separate"/>
          </w:r>
          <w:r>
            <w:rPr>
              <w:rStyle w:val="16"/>
              <w:rFonts w:ascii="Times New Roman" w:hAnsi="Times New Roman" w:cs="Times New Roman"/>
              <w:b/>
            </w:rPr>
            <w:t>4.</w:t>
          </w:r>
          <w:r>
            <w:rPr>
              <w:rFonts w:eastAsiaTheme="minorEastAsia"/>
            </w:rPr>
            <w:tab/>
          </w:r>
          <w:r>
            <w:rPr>
              <w:rStyle w:val="16"/>
              <w:rFonts w:ascii="Times New Roman" w:hAnsi="Times New Roman" w:cs="Times New Roman"/>
              <w:b/>
            </w:rPr>
            <w:t>Recommendations</w:t>
          </w:r>
          <w:r>
            <w:tab/>
          </w:r>
          <w:r>
            <w:fldChar w:fldCharType="begin"/>
          </w:r>
          <w:r>
            <w:instrText xml:space="preserve"> PAGEREF _Toc152229601 \h </w:instrText>
          </w:r>
          <w:r>
            <w:fldChar w:fldCharType="separate"/>
          </w:r>
          <w:r>
            <w:t>18</w:t>
          </w:r>
          <w:r>
            <w:fldChar w:fldCharType="end"/>
          </w:r>
          <w:r>
            <w:fldChar w:fldCharType="end"/>
          </w:r>
        </w:p>
        <w:p>
          <w:pPr>
            <w:pStyle w:val="9"/>
            <w:tabs>
              <w:tab w:val="right" w:leader="dot" w:pos="9350"/>
            </w:tabs>
            <w:rPr>
              <w:rFonts w:eastAsiaTheme="minorEastAsia"/>
            </w:rPr>
          </w:pPr>
          <w:r>
            <w:fldChar w:fldCharType="begin"/>
          </w:r>
          <w:r>
            <w:instrText xml:space="preserve"> HYPERLINK \l "_Toc152229602" </w:instrText>
          </w:r>
          <w:r>
            <w:fldChar w:fldCharType="separate"/>
          </w:r>
          <w:r>
            <w:rPr>
              <w:rStyle w:val="16"/>
              <w:rFonts w:ascii="Times New Roman" w:hAnsi="Times New Roman" w:cs="Times New Roman"/>
              <w:b/>
            </w:rPr>
            <w:t>Appendices</w:t>
          </w:r>
          <w:r>
            <w:tab/>
          </w:r>
          <w:r>
            <w:fldChar w:fldCharType="begin"/>
          </w:r>
          <w:r>
            <w:instrText xml:space="preserve"> PAGEREF _Toc152229602 \h </w:instrText>
          </w:r>
          <w:r>
            <w:fldChar w:fldCharType="separate"/>
          </w:r>
          <w:r>
            <w:t>20</w:t>
          </w:r>
          <w:r>
            <w:fldChar w:fldCharType="end"/>
          </w:r>
          <w:r>
            <w:fldChar w:fldCharType="end"/>
          </w:r>
        </w:p>
        <w:p>
          <w:pPr>
            <w:pStyle w:val="9"/>
            <w:tabs>
              <w:tab w:val="right" w:leader="dot" w:pos="9350"/>
            </w:tabs>
            <w:rPr>
              <w:rFonts w:eastAsiaTheme="minorEastAsia"/>
            </w:rPr>
          </w:pPr>
          <w:r>
            <w:fldChar w:fldCharType="begin"/>
          </w:r>
          <w:r>
            <w:instrText xml:space="preserve"> HYPERLINK \l "_Toc152229603" </w:instrText>
          </w:r>
          <w:r>
            <w:fldChar w:fldCharType="separate"/>
          </w:r>
          <w:r>
            <w:rPr>
              <w:rStyle w:val="16"/>
              <w:rFonts w:ascii="Times New Roman" w:hAnsi="Times New Roman" w:cs="Times New Roman"/>
              <w:b/>
            </w:rPr>
            <w:t>References:</w:t>
          </w:r>
          <w:r>
            <w:tab/>
          </w:r>
          <w:r>
            <w:fldChar w:fldCharType="begin"/>
          </w:r>
          <w:r>
            <w:instrText xml:space="preserve"> PAGEREF _Toc152229603 \h </w:instrText>
          </w:r>
          <w:r>
            <w:fldChar w:fldCharType="separate"/>
          </w:r>
          <w:r>
            <w:t>22</w:t>
          </w:r>
          <w:r>
            <w:fldChar w:fldCharType="end"/>
          </w:r>
          <w:r>
            <w:fldChar w:fldCharType="end"/>
          </w:r>
        </w:p>
        <w:p>
          <w:pPr>
            <w:rPr>
              <w:rFonts w:ascii="Times New Roman" w:hAnsi="Times New Roman" w:cs="Times New Roman"/>
              <w:sz w:val="24"/>
              <w:szCs w:val="24"/>
            </w:rPr>
            <w:sectPr>
              <w:headerReference r:id="rId5" w:type="default"/>
              <w:pgSz w:w="12240" w:h="15840"/>
              <w:pgMar w:top="1440" w:right="1440" w:bottom="1440" w:left="1440" w:header="720" w:footer="720" w:gutter="0"/>
              <w:pgNumType w:fmt="lowerRoman" w:start="1"/>
              <w:cols w:space="720" w:num="1"/>
              <w:docGrid w:linePitch="360" w:charSpace="0"/>
            </w:sectPr>
          </w:pPr>
          <w:r>
            <w:rPr>
              <w:rFonts w:ascii="Times New Roman" w:hAnsi="Times New Roman" w:cs="Times New Roman"/>
              <w:b/>
              <w:bCs/>
              <w:sz w:val="24"/>
              <w:szCs w:val="24"/>
            </w:rPr>
            <w:fldChar w:fldCharType="end"/>
          </w:r>
        </w:p>
      </w:sdtContent>
    </w:sdt>
    <w:p>
      <w:pPr>
        <w:pStyle w:val="2"/>
        <w:numPr>
          <w:ilvl w:val="0"/>
          <w:numId w:val="1"/>
        </w:numPr>
        <w:spacing w:line="480" w:lineRule="auto"/>
        <w:jc w:val="center"/>
        <w:rPr>
          <w:rFonts w:ascii="Times New Roman" w:hAnsi="Times New Roman" w:cs="Times New Roman"/>
          <w:b/>
          <w:color w:val="auto"/>
          <w:sz w:val="24"/>
          <w:szCs w:val="24"/>
        </w:rPr>
      </w:pPr>
      <w:bookmarkStart w:id="0" w:name="_Toc152229579"/>
      <w:r>
        <w:rPr>
          <w:rFonts w:ascii="Times New Roman" w:hAnsi="Times New Roman" w:cs="Times New Roman"/>
          <w:b/>
          <w:color w:val="auto"/>
          <w:sz w:val="24"/>
          <w:szCs w:val="24"/>
        </w:rPr>
        <w:t>Introduction</w:t>
      </w:r>
      <w:bookmarkEnd w:id="0"/>
    </w:p>
    <w:p>
      <w:pPr>
        <w:pStyle w:val="3"/>
        <w:numPr>
          <w:ilvl w:val="1"/>
          <w:numId w:val="1"/>
        </w:numPr>
        <w:spacing w:line="480" w:lineRule="auto"/>
        <w:rPr>
          <w:rFonts w:ascii="Times New Roman" w:hAnsi="Times New Roman" w:cs="Times New Roman"/>
          <w:b/>
          <w:color w:val="auto"/>
          <w:sz w:val="24"/>
          <w:szCs w:val="24"/>
        </w:rPr>
      </w:pPr>
      <w:bookmarkStart w:id="1" w:name="_Toc152229580"/>
      <w:r>
        <w:rPr>
          <w:rFonts w:ascii="Times New Roman" w:hAnsi="Times New Roman" w:cs="Times New Roman"/>
          <w:b/>
          <w:color w:val="auto"/>
          <w:sz w:val="24"/>
          <w:szCs w:val="24"/>
        </w:rPr>
        <w:t>Terms of Reference</w:t>
      </w:r>
      <w:bookmarkEnd w:id="1"/>
    </w:p>
    <w:p>
      <w:pPr>
        <w:spacing w:line="480" w:lineRule="auto"/>
        <w:rPr>
          <w:rFonts w:ascii="Times New Roman" w:hAnsi="Times New Roman" w:cs="Times New Roman"/>
          <w:sz w:val="24"/>
          <w:szCs w:val="24"/>
        </w:rPr>
      </w:pPr>
      <w:r>
        <w:rPr>
          <w:rFonts w:ascii="Times New Roman" w:hAnsi="Times New Roman" w:cs="Times New Roman"/>
          <w:sz w:val="24"/>
          <w:szCs w:val="24"/>
        </w:rPr>
        <w:t>This section provides a clear outline of the report's objectives and scope, acting as a framework. It gives interested parties, including Next, a thorough grasp of the goals of the report and the particular topics it covers.</w:t>
      </w:r>
    </w:p>
    <w:p>
      <w:pPr>
        <w:pStyle w:val="3"/>
        <w:numPr>
          <w:ilvl w:val="1"/>
          <w:numId w:val="1"/>
        </w:numPr>
        <w:spacing w:line="480" w:lineRule="auto"/>
        <w:rPr>
          <w:rFonts w:ascii="Times New Roman" w:hAnsi="Times New Roman" w:cs="Times New Roman"/>
          <w:b/>
          <w:color w:val="auto"/>
          <w:sz w:val="24"/>
          <w:szCs w:val="24"/>
        </w:rPr>
      </w:pPr>
      <w:bookmarkStart w:id="2" w:name="_Toc152229581"/>
      <w:r>
        <w:rPr>
          <w:rFonts w:ascii="Times New Roman" w:hAnsi="Times New Roman" w:cs="Times New Roman"/>
          <w:b/>
          <w:color w:val="auto"/>
          <w:sz w:val="24"/>
          <w:szCs w:val="24"/>
        </w:rPr>
        <w:t>Purpose</w:t>
      </w:r>
      <w:bookmarkEnd w:id="2"/>
    </w:p>
    <w:p>
      <w:pPr>
        <w:spacing w:line="480" w:lineRule="auto"/>
        <w:rPr>
          <w:rFonts w:ascii="Times New Roman" w:hAnsi="Times New Roman" w:cs="Times New Roman"/>
          <w:sz w:val="24"/>
          <w:szCs w:val="24"/>
        </w:rPr>
      </w:pPr>
      <w:r>
        <w:rPr>
          <w:rFonts w:ascii="Times New Roman" w:hAnsi="Times New Roman" w:cs="Times New Roman"/>
          <w:sz w:val="24"/>
          <w:szCs w:val="24"/>
        </w:rPr>
        <w:t>To give Next a thorough knowledge of intercultural communication (Adler, 2013) ideas and how they apply to worldwide business, and give stakeholders the tools they need to successfully negotiate cross-cultural obstacles (Samovar and Porter, 2017). In addition, assist Next's strategic market entry into Asia by raising knowledge of local nuances and communication challenges. Additionally, provide the customer with practical advice to improve their capacity to establish fruitful and long-lasting commercial ties inside the target market.</w:t>
      </w:r>
    </w:p>
    <w:p>
      <w:pPr>
        <w:pStyle w:val="3"/>
        <w:numPr>
          <w:ilvl w:val="1"/>
          <w:numId w:val="1"/>
        </w:numPr>
        <w:spacing w:before="0" w:line="240" w:lineRule="auto"/>
        <w:rPr>
          <w:rFonts w:ascii="Times New Roman" w:hAnsi="Times New Roman" w:cs="Times New Roman"/>
          <w:b/>
          <w:color w:val="auto"/>
          <w:sz w:val="24"/>
          <w:szCs w:val="24"/>
        </w:rPr>
      </w:pPr>
      <w:bookmarkStart w:id="3" w:name="_Toc152229582"/>
      <w:r>
        <w:rPr>
          <w:rFonts w:ascii="Times New Roman" w:hAnsi="Times New Roman" w:cs="Times New Roman"/>
          <w:b/>
          <w:color w:val="auto"/>
          <w:sz w:val="24"/>
          <w:szCs w:val="24"/>
        </w:rPr>
        <w:t>Brief Introduction to the Clothing Retailer</w:t>
      </w:r>
      <w:bookmarkEnd w:id="3"/>
    </w:p>
    <w:p>
      <w:pPr>
        <w:shd w:val="clear" w:color="auto" w:fill="FFFFFF"/>
        <w:spacing w:before="360" w:after="36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Next, an established clothes store with a solid reputation for design and quality situated in the UK has seen interesting openings for growth in the vibrant Asian market. Having demonstrated success in serving a wide spectrum of clients in the UK and Europe, Next is well-positioned to benefit from the rising demand in Asia for stylish yet reasonably priced apparel. Notwithstanding, the merchant acknowledges the significance of proficient multicultural communication in cultivating prosperous commercial associations inside this novel industry. The decision by Next to enter the Asian market was motivated by a number of considerations, including the region's rising need for stylish yet reasonably priced apparel and the company's desire to diversify. The store may, for instance, create a line of products especially for the Asian market or concentrate on attracting younger customers there (Meyer, 2017).</w:t>
      </w:r>
    </w:p>
    <w:p>
      <w:pPr>
        <w:pStyle w:val="3"/>
        <w:numPr>
          <w:ilvl w:val="1"/>
          <w:numId w:val="1"/>
        </w:numPr>
        <w:spacing w:before="0" w:line="240" w:lineRule="auto"/>
        <w:rPr>
          <w:rFonts w:ascii="Times New Roman" w:hAnsi="Times New Roman" w:eastAsia="Times New Roman" w:cs="Times New Roman"/>
          <w:b/>
          <w:color w:val="auto"/>
          <w:sz w:val="24"/>
          <w:szCs w:val="24"/>
        </w:rPr>
      </w:pPr>
      <w:bookmarkStart w:id="4" w:name="_Toc152229583"/>
      <w:r>
        <w:rPr>
          <w:rFonts w:ascii="Times New Roman" w:hAnsi="Times New Roman" w:eastAsia="Times New Roman" w:cs="Times New Roman"/>
          <w:b/>
          <w:color w:val="auto"/>
          <w:sz w:val="24"/>
          <w:szCs w:val="24"/>
        </w:rPr>
        <w:t>Overview of Report Content</w:t>
      </w:r>
      <w:bookmarkEnd w:id="4"/>
    </w:p>
    <w:p>
      <w:pPr>
        <w:shd w:val="clear" w:color="auto" w:fill="FFFFFF"/>
        <w:spacing w:after="36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necessity of excellent communication in international business will be covered in the paper, along with the reasons why Next's success in Asia depends on tithe report will then list the fundamental abilities needed for effective cross-cultural communication and offer Next helpful guidance on honing these abilities. Subsequently, the paper will examine the many communication techniques employed in global business and offer Next recommendations for optimizing their utilization. Subsequently, the paper will address the many cultural aspects that are pertinent to global commerce and offer insights into the potential effects of these aspects on commercial dealings in Asia. Subsequently, the research will culminate with practical suggestions for Next, specifically designed to offer direction on how to establish significant relationships, cultivate prosperous collaborations, and surmount any communication obstacles in the Asian market.</w:t>
      </w:r>
    </w:p>
    <w:p>
      <w:pPr>
        <w:pStyle w:val="2"/>
        <w:numPr>
          <w:ilvl w:val="0"/>
          <w:numId w:val="1"/>
        </w:numPr>
        <w:spacing w:line="480" w:lineRule="auto"/>
        <w:jc w:val="center"/>
        <w:rPr>
          <w:rFonts w:ascii="Times New Roman" w:hAnsi="Times New Roman" w:cs="Times New Roman"/>
          <w:b/>
          <w:color w:val="auto"/>
          <w:sz w:val="24"/>
          <w:szCs w:val="24"/>
        </w:rPr>
      </w:pPr>
      <w:bookmarkStart w:id="5" w:name="_Toc152229584"/>
      <w:r>
        <w:rPr>
          <w:rFonts w:ascii="Times New Roman" w:hAnsi="Times New Roman" w:cs="Times New Roman"/>
          <w:b/>
          <w:color w:val="auto"/>
          <w:sz w:val="24"/>
          <w:szCs w:val="24"/>
        </w:rPr>
        <w:t>Main Findings</w:t>
      </w:r>
      <w:bookmarkEnd w:id="5"/>
    </w:p>
    <w:p>
      <w:pPr>
        <w:pStyle w:val="3"/>
        <w:numPr>
          <w:ilvl w:val="1"/>
          <w:numId w:val="1"/>
        </w:numPr>
        <w:spacing w:line="480" w:lineRule="auto"/>
        <w:rPr>
          <w:rFonts w:ascii="Times New Roman" w:hAnsi="Times New Roman" w:cs="Times New Roman"/>
          <w:b/>
          <w:color w:val="auto"/>
          <w:sz w:val="24"/>
          <w:szCs w:val="24"/>
        </w:rPr>
      </w:pPr>
      <w:bookmarkStart w:id="6" w:name="_Toc152229585"/>
      <w:r>
        <w:rPr>
          <w:rFonts w:ascii="Times New Roman" w:hAnsi="Times New Roman" w:cs="Times New Roman"/>
          <w:b/>
          <w:color w:val="auto"/>
          <w:sz w:val="24"/>
          <w:szCs w:val="24"/>
        </w:rPr>
        <w:t>International Business Communication</w:t>
      </w:r>
      <w:bookmarkEnd w:id="6"/>
    </w:p>
    <w:p>
      <w:pPr>
        <w:spacing w:after="0" w:line="240" w:lineRule="auto"/>
        <w:rPr>
          <w:rFonts w:ascii="Times New Roman" w:hAnsi="Times New Roman" w:cs="Times New Roman"/>
          <w:sz w:val="24"/>
          <w:szCs w:val="24"/>
        </w:rPr>
      </w:pPr>
      <w:bookmarkStart w:id="7" w:name="_Toc152229586"/>
      <w:r>
        <w:rPr>
          <w:rStyle w:val="20"/>
          <w:rFonts w:ascii="Times New Roman" w:hAnsi="Times New Roman" w:cs="Times New Roman"/>
          <w:b/>
          <w:color w:val="auto"/>
        </w:rPr>
        <w:t>Importance and Relevance</w:t>
      </w:r>
      <w:bookmarkEnd w:id="7"/>
      <w:r>
        <w:rPr>
          <w:rFonts w:ascii="Times New Roman" w:hAnsi="Times New Roman" w:cs="Times New Roman"/>
          <w:b/>
          <w:bCs/>
          <w:sz w:val="24"/>
          <w:szCs w:val="24"/>
        </w:rPr>
        <w:t>:</w:t>
      </w:r>
    </w:p>
    <w:p>
      <w:pPr>
        <w:spacing w:line="480" w:lineRule="auto"/>
        <w:rPr>
          <w:rFonts w:ascii="Times New Roman" w:hAnsi="Times New Roman" w:cs="Times New Roman"/>
          <w:sz w:val="24"/>
          <w:szCs w:val="24"/>
        </w:rPr>
      </w:pPr>
      <w:r>
        <w:rPr>
          <w:rFonts w:ascii="Times New Roman" w:hAnsi="Times New Roman" w:cs="Times New Roman"/>
          <w:sz w:val="24"/>
          <w:szCs w:val="24"/>
        </w:rPr>
        <w:t>As successful international commercial endeavors are largely dependent on effective communication, Next's entry into the Asian market must take this into account Luthans, Doh, 2020). Diverse civilizations, each with its own communication conventions and preferences, define the Asian market. In order to integrate its message, branding, and promotional methods with the cultural expectations of Asian customers, Next must priorities effective communication. Coordination of tasks, on-time delivery, and handling of potential supply chain issues all depend on effective communication. Operations at Next may be adversely affected by miscommunication. The Asian market is expanding and has a strong focus on technology and e-commerce. For Next to successfully navigate these digital environments, communication must be effective in order to guarantee clients a flawless online shopping experience and technology-driven processes that are efficient ( Nardon, 2008).</w:t>
      </w:r>
    </w:p>
    <w:p>
      <w:pPr>
        <w:spacing w:line="240" w:lineRule="auto"/>
        <w:rPr>
          <w:rFonts w:ascii="Times New Roman" w:hAnsi="Times New Roman" w:cs="Times New Roman"/>
          <w:sz w:val="24"/>
          <w:szCs w:val="24"/>
        </w:rPr>
      </w:pPr>
      <w:bookmarkStart w:id="8" w:name="_Toc152229587"/>
      <w:r>
        <w:rPr>
          <w:rStyle w:val="20"/>
          <w:rFonts w:ascii="Times New Roman" w:hAnsi="Times New Roman" w:cs="Times New Roman"/>
          <w:b/>
          <w:color w:val="auto"/>
        </w:rPr>
        <w:t>Reference to Relevant Theories</w:t>
      </w:r>
      <w:bookmarkEnd w:id="8"/>
    </w:p>
    <w:p>
      <w:pPr>
        <w:spacing w:line="480" w:lineRule="auto"/>
        <w:rPr>
          <w:rFonts w:ascii="Times New Roman" w:hAnsi="Times New Roman" w:cs="Times New Roman"/>
          <w:sz w:val="24"/>
          <w:szCs w:val="24"/>
        </w:rPr>
      </w:pPr>
      <w:r>
        <w:rPr>
          <w:rFonts w:ascii="Times New Roman" w:hAnsi="Times New Roman" w:cs="Times New Roman"/>
          <w:sz w:val="24"/>
          <w:szCs w:val="24"/>
        </w:rPr>
        <w:t>Next can leverage known ideas, such as those put out by Edward T. Hall and Geert Hofstede, to strengthen its grasp of international business communication.</w:t>
      </w:r>
    </w:p>
    <w:p>
      <w:pPr>
        <w:spacing w:line="480" w:lineRule="auto"/>
        <w:rPr>
          <w:rFonts w:ascii="Times New Roman" w:hAnsi="Times New Roman" w:cs="Times New Roman"/>
          <w:sz w:val="24"/>
          <w:szCs w:val="24"/>
        </w:rPr>
      </w:pPr>
      <w:r>
        <w:rPr>
          <w:rFonts w:ascii="Times New Roman" w:hAnsi="Times New Roman" w:cs="Times New Roman"/>
          <w:sz w:val="24"/>
          <w:szCs w:val="24"/>
        </w:rPr>
        <w:t>The Cultural Dimensions of Hofstede: A foundation for comprehending cultural differences in power distance, individualism vs. collectivism, uncertainty avoidance, and masculinity against femininity is provided by Geert Hofstede's theory of cultural dimensions. By utilizing Hofstede's findings, Next is able to customize its communication approach to effectively address the cultural subtleties that are characteristic of the Asian market (Hofstede et al., 2002).</w:t>
      </w:r>
    </w:p>
    <w:p>
      <w:pPr>
        <w:spacing w:line="480" w:lineRule="auto"/>
        <w:rPr>
          <w:rFonts w:ascii="Times New Roman" w:hAnsi="Times New Roman" w:cs="Times New Roman"/>
          <w:sz w:val="24"/>
          <w:szCs w:val="24"/>
        </w:rPr>
      </w:pPr>
      <w:r>
        <w:rPr>
          <w:rFonts w:ascii="Times New Roman" w:hAnsi="Times New Roman" w:cs="Times New Roman"/>
          <w:sz w:val="24"/>
          <w:szCs w:val="24"/>
        </w:rPr>
        <w:t>Edward T. Hall's High-Low Context Communication Theory: Next can benefit from this theory when navigating communication styles. Knowing a culture's high or low context helps Next create communications that suit the Asian audience's preferences for cultural communication (Hofstede et al., 2002).</w:t>
      </w:r>
    </w:p>
    <w:p>
      <w:pPr>
        <w:pStyle w:val="22"/>
        <w:numPr>
          <w:ilvl w:val="1"/>
          <w:numId w:val="1"/>
        </w:numPr>
        <w:spacing w:line="480" w:lineRule="auto"/>
        <w:rPr>
          <w:rFonts w:ascii="Times New Roman" w:hAnsi="Times New Roman" w:cs="Times New Roman"/>
          <w:sz w:val="24"/>
          <w:szCs w:val="24"/>
        </w:rPr>
      </w:pPr>
      <w:bookmarkStart w:id="9" w:name="_Toc152229588"/>
      <w:r>
        <w:rPr>
          <w:rStyle w:val="19"/>
          <w:rFonts w:ascii="Times New Roman" w:hAnsi="Times New Roman" w:cs="Times New Roman"/>
          <w:b/>
          <w:color w:val="auto"/>
          <w:sz w:val="24"/>
          <w:szCs w:val="24"/>
        </w:rPr>
        <w:t>Skills Requirements</w:t>
      </w:r>
      <w:bookmarkEnd w:id="9"/>
    </w:p>
    <w:p>
      <w:pPr>
        <w:spacing w:after="0" w:line="240" w:lineRule="auto"/>
        <w:rPr>
          <w:rFonts w:ascii="Times New Roman" w:hAnsi="Times New Roman" w:cs="Times New Roman"/>
          <w:sz w:val="24"/>
          <w:szCs w:val="24"/>
        </w:rPr>
      </w:pPr>
      <w:bookmarkStart w:id="10" w:name="_Toc152229589"/>
      <w:r>
        <w:rPr>
          <w:rStyle w:val="20"/>
          <w:rFonts w:ascii="Times New Roman" w:hAnsi="Times New Roman" w:cs="Times New Roman"/>
          <w:b/>
          <w:color w:val="auto"/>
        </w:rPr>
        <w:t>Essential Skills</w:t>
      </w:r>
      <w:bookmarkEnd w:id="10"/>
    </w:p>
    <w:p>
      <w:pPr>
        <w:spacing w:line="480" w:lineRule="auto"/>
        <w:rPr>
          <w:rFonts w:ascii="Times New Roman" w:hAnsi="Times New Roman" w:cs="Times New Roman"/>
          <w:sz w:val="24"/>
          <w:szCs w:val="24"/>
        </w:rPr>
      </w:pPr>
      <w:r>
        <w:rPr>
          <w:rFonts w:ascii="Times New Roman" w:hAnsi="Times New Roman" w:cs="Times New Roman"/>
          <w:sz w:val="24"/>
          <w:szCs w:val="24"/>
        </w:rPr>
        <w:t>Navigating the complexities of international business communication requires a skill set of paramount importance for Next's successful foray into the Asian market (Gudykunst and Kim, 2003). In order to comprehend and handle cultural quirks, Next's staff has to be very sensitive to cultural variety. Next can successfully adjust its messaging for varied audiences across the Asian market by taking into account variances in etiquette, communication styles, and non-verbal clues (Gudykunst and Kim, 2003).</w:t>
      </w:r>
    </w:p>
    <w:p>
      <w:pPr>
        <w:spacing w:line="480" w:lineRule="auto"/>
        <w:rPr>
          <w:rFonts w:ascii="Times New Roman" w:hAnsi="Times New Roman" w:cs="Times New Roman"/>
          <w:sz w:val="24"/>
          <w:szCs w:val="24"/>
        </w:rPr>
      </w:pPr>
      <w:r>
        <w:rPr>
          <w:rFonts w:ascii="Times New Roman" w:hAnsi="Times New Roman" w:cs="Times New Roman"/>
          <w:sz w:val="24"/>
          <w:szCs w:val="24"/>
        </w:rPr>
        <w:t>A key component of effective international business communication is active listening (Czinkota et al., 2021). The Next team has to be skilled at reading background cultural indicators and contextual clues in addition to spoken messages. Good listening builds corporate partnerships by promoting understanding between parties (Lustig et al., 2017).</w:t>
      </w:r>
    </w:p>
    <w:p>
      <w:pPr>
        <w:spacing w:line="480" w:lineRule="auto"/>
        <w:rPr>
          <w:rFonts w:ascii="Times New Roman" w:hAnsi="Times New Roman" w:cs="Times New Roman"/>
          <w:sz w:val="24"/>
          <w:szCs w:val="24"/>
        </w:rPr>
      </w:pPr>
      <w:r>
        <w:rPr>
          <w:rFonts w:ascii="Times New Roman" w:hAnsi="Times New Roman" w:cs="Times New Roman"/>
          <w:sz w:val="24"/>
          <w:szCs w:val="24"/>
        </w:rPr>
        <w:t>To handle the variety of negotiating techniques common in the Asian market, Next's staff has to have good negotiating abilities. To get good results, it is essential to comprehend cultural perspectives on hierarchy, negotiation, and decision-making procedures Lustig et al., 2017).</w:t>
      </w:r>
    </w:p>
    <w:p>
      <w:pPr>
        <w:spacing w:line="480" w:lineRule="auto"/>
        <w:rPr>
          <w:rFonts w:ascii="Times New Roman" w:hAnsi="Times New Roman" w:cs="Times New Roman"/>
          <w:sz w:val="24"/>
          <w:szCs w:val="24"/>
        </w:rPr>
      </w:pPr>
      <w:r>
        <w:rPr>
          <w:rFonts w:ascii="Times New Roman" w:hAnsi="Times New Roman" w:cs="Times New Roman"/>
          <w:sz w:val="24"/>
          <w:szCs w:val="24"/>
        </w:rPr>
        <w:t>Interpersonal Communication: Effective interpersonal communication is a prerequisite for forming healthy relationships. It is imperative that the Next team possess the ability to build rapport, articulate ideas effectively, and facilitate candid communication (Scott, 2000). Trust-building and long-term partnerships are facilitated by effective interpersonal communication.</w:t>
      </w:r>
    </w:p>
    <w:p>
      <w:pPr>
        <w:pStyle w:val="3"/>
        <w:numPr>
          <w:ilvl w:val="1"/>
          <w:numId w:val="1"/>
        </w:numPr>
        <w:spacing w:line="480" w:lineRule="auto"/>
        <w:rPr>
          <w:rFonts w:ascii="Times New Roman" w:hAnsi="Times New Roman" w:cs="Times New Roman"/>
          <w:b/>
          <w:color w:val="auto"/>
          <w:sz w:val="24"/>
          <w:szCs w:val="24"/>
        </w:rPr>
      </w:pPr>
      <w:bookmarkStart w:id="11" w:name="_Toc152229590"/>
      <w:r>
        <w:rPr>
          <w:rFonts w:ascii="Times New Roman" w:hAnsi="Times New Roman" w:cs="Times New Roman"/>
          <w:b/>
          <w:color w:val="auto"/>
          <w:sz w:val="24"/>
          <w:szCs w:val="24"/>
        </w:rPr>
        <w:t>Methods of Communication</w:t>
      </w:r>
      <w:bookmarkEnd w:id="11"/>
    </w:p>
    <w:p>
      <w:pPr>
        <w:spacing w:line="480" w:lineRule="auto"/>
        <w:rPr>
          <w:rFonts w:ascii="Times New Roman" w:hAnsi="Times New Roman" w:cs="Times New Roman"/>
          <w:sz w:val="24"/>
          <w:szCs w:val="24"/>
        </w:rPr>
      </w:pPr>
      <w:bookmarkStart w:id="12" w:name="_Toc152229591"/>
      <w:r>
        <w:rPr>
          <w:rStyle w:val="20"/>
          <w:rFonts w:ascii="Times New Roman" w:hAnsi="Times New Roman" w:cs="Times New Roman"/>
          <w:b/>
          <w:color w:val="auto"/>
        </w:rPr>
        <w:t>Halls High-Low Context</w:t>
      </w:r>
      <w:bookmarkEnd w:id="12"/>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Explanation</w:t>
      </w:r>
    </w:p>
    <w:p>
      <w:pPr>
        <w:spacing w:line="480" w:lineRule="auto"/>
        <w:rPr>
          <w:rFonts w:ascii="Times New Roman" w:hAnsi="Times New Roman" w:cs="Times New Roman"/>
          <w:sz w:val="24"/>
          <w:szCs w:val="24"/>
        </w:rPr>
      </w:pPr>
      <w:r>
        <w:rPr>
          <w:rFonts w:ascii="Times New Roman" w:hAnsi="Times New Roman" w:cs="Times New Roman"/>
          <w:sz w:val="24"/>
          <w:szCs w:val="24"/>
        </w:rPr>
        <w:t>Next's successful entry into the Asian market depends on its ability to comprehend the subtle differences between high- and low-context communications. According to Edward T. Hall's notion, communication explicitness serves as a criterion for cultural differentiation:</w:t>
      </w:r>
    </w:p>
    <w:p>
      <w:pPr>
        <w:spacing w:line="480" w:lineRule="auto"/>
        <w:rPr>
          <w:rFonts w:ascii="Times New Roman" w:hAnsi="Times New Roman" w:cs="Times New Roman"/>
          <w:sz w:val="24"/>
          <w:szCs w:val="24"/>
        </w:rPr>
      </w:pPr>
      <w:r>
        <w:rPr>
          <w:rFonts w:ascii="Times New Roman" w:hAnsi="Times New Roman" w:cs="Times New Roman"/>
          <w:b/>
          <w:sz w:val="24"/>
          <w:szCs w:val="24"/>
        </w:rPr>
        <w:t>High-Context Communication:</w:t>
      </w:r>
      <w:r>
        <w:rPr>
          <w:rFonts w:ascii="Times New Roman" w:hAnsi="Times New Roman" w:cs="Times New Roman"/>
          <w:sz w:val="24"/>
          <w:szCs w:val="24"/>
        </w:rPr>
        <w:t xml:space="preserve"> In high-context societies, relationships, non-verbal clues, and shared context are used to convey a lot of implicit information. People are supposed to decipher subtle meanings in complex communication. High-context communication is common in Asian countries, including China and Japan (Hall, 1976).</w:t>
      </w:r>
    </w:p>
    <w:p>
      <w:pPr>
        <w:spacing w:line="480" w:lineRule="auto"/>
        <w:rPr>
          <w:rFonts w:ascii="Times New Roman" w:hAnsi="Times New Roman" w:cs="Times New Roman"/>
          <w:sz w:val="24"/>
          <w:szCs w:val="24"/>
        </w:rPr>
      </w:pPr>
      <w:r>
        <w:rPr>
          <w:rFonts w:ascii="Times New Roman" w:hAnsi="Times New Roman" w:cs="Times New Roman"/>
          <w:b/>
          <w:sz w:val="24"/>
          <w:szCs w:val="24"/>
        </w:rPr>
        <w:t>Low-Context Communication:</w:t>
      </w:r>
      <w:r>
        <w:rPr>
          <w:rFonts w:ascii="Times New Roman" w:hAnsi="Times New Roman" w:cs="Times New Roman"/>
          <w:sz w:val="24"/>
          <w:szCs w:val="24"/>
        </w:rPr>
        <w:t xml:space="preserve"> Shared context is less important in low-context societies, which primarily rely on explicit verbal communication. The messages are clear, and there is little dependence on outside data. Low-context communication is often accepted in Western societies, including the UK (Hall, 1976).</w:t>
      </w:r>
    </w:p>
    <w:p>
      <w:pPr>
        <w:spacing w:after="0" w:line="240" w:lineRule="auto"/>
        <w:ind w:left="1440"/>
        <w:rPr>
          <w:rFonts w:ascii="Times New Roman" w:hAnsi="Times New Roman" w:cs="Times New Roman"/>
          <w:sz w:val="24"/>
          <w:szCs w:val="24"/>
        </w:rPr>
      </w:pPr>
      <w:r>
        <w:rPr>
          <w:rFonts w:ascii="Times New Roman" w:hAnsi="Times New Roman" w:cs="Times New Roman"/>
          <w:b/>
          <w:bCs/>
          <w:sz w:val="24"/>
          <w:szCs w:val="24"/>
        </w:rPr>
        <w:t>Examples of Impact on Business Interactions</w:t>
      </w:r>
    </w:p>
    <w:p>
      <w:pPr>
        <w:spacing w:line="480" w:lineRule="auto"/>
        <w:rPr>
          <w:rFonts w:ascii="Times New Roman" w:hAnsi="Times New Roman" w:cs="Times New Roman"/>
          <w:bCs/>
          <w:sz w:val="24"/>
          <w:szCs w:val="24"/>
        </w:rPr>
      </w:pPr>
      <w:r>
        <w:rPr>
          <w:rFonts w:ascii="Times New Roman" w:hAnsi="Times New Roman" w:cs="Times New Roman"/>
          <w:b/>
          <w:bCs/>
          <w:sz w:val="24"/>
          <w:szCs w:val="24"/>
        </w:rPr>
        <w:t xml:space="preserve">Negotiations: </w:t>
      </w:r>
      <w:r>
        <w:rPr>
          <w:rFonts w:ascii="Times New Roman" w:hAnsi="Times New Roman" w:cs="Times New Roman"/>
          <w:bCs/>
          <w:sz w:val="24"/>
          <w:szCs w:val="24"/>
        </w:rPr>
        <w:t>In high-context societies, indirect communication during negotiations may be necessary, necessitating a knowledge of non-verbal clues. A Chinese business partner, for instance, could express reluctance nonverbally. Low-context cultures often have more direct and explicit discussions (</w:t>
      </w:r>
      <w:r>
        <w:rPr>
          <w:rFonts w:ascii="Times New Roman" w:hAnsi="Times New Roman" w:cs="Times New Roman"/>
          <w:sz w:val="24"/>
          <w:szCs w:val="24"/>
        </w:rPr>
        <w:t>Nanda et al., 2009)</w:t>
      </w:r>
      <w:r>
        <w:rPr>
          <w:rFonts w:ascii="Times New Roman" w:hAnsi="Times New Roman" w:cs="Times New Roman"/>
          <w:bCs/>
          <w:sz w:val="24"/>
          <w:szCs w:val="24"/>
        </w:rPr>
        <w:t>.</w:t>
      </w:r>
    </w:p>
    <w:p>
      <w:pPr>
        <w:spacing w:line="480" w:lineRule="auto"/>
        <w:rPr>
          <w:rFonts w:ascii="Times New Roman" w:hAnsi="Times New Roman" w:cs="Times New Roman"/>
          <w:bCs/>
          <w:sz w:val="24"/>
          <w:szCs w:val="24"/>
        </w:rPr>
      </w:pPr>
      <w:r>
        <w:rPr>
          <w:rFonts w:ascii="Times New Roman" w:hAnsi="Times New Roman" w:cs="Times New Roman"/>
          <w:b/>
          <w:bCs/>
          <w:sz w:val="24"/>
          <w:szCs w:val="24"/>
        </w:rPr>
        <w:t xml:space="preserve">Marketing and Advertising: </w:t>
      </w:r>
      <w:r>
        <w:rPr>
          <w:rFonts w:ascii="Times New Roman" w:hAnsi="Times New Roman" w:cs="Times New Roman"/>
          <w:bCs/>
          <w:sz w:val="24"/>
          <w:szCs w:val="24"/>
        </w:rPr>
        <w:t>Marketing tactics that stress symbolic and cultural allusions are informed by high-context communication (</w:t>
      </w:r>
      <w:r>
        <w:rPr>
          <w:rFonts w:ascii="Times New Roman" w:hAnsi="Times New Roman" w:cs="Times New Roman"/>
          <w:sz w:val="24"/>
          <w:szCs w:val="24"/>
        </w:rPr>
        <w:t>Ting-Toomey, 1999)</w:t>
      </w:r>
      <w:r>
        <w:rPr>
          <w:rFonts w:ascii="Times New Roman" w:hAnsi="Times New Roman" w:cs="Times New Roman"/>
          <w:bCs/>
          <w:sz w:val="24"/>
          <w:szCs w:val="24"/>
        </w:rPr>
        <w:t>. When communicating with low context, be direct in your messaging. The marketing strategy used by Next should be in line with the target market's preferred communication style (</w:t>
      </w:r>
      <w:r>
        <w:rPr>
          <w:rFonts w:ascii="Times New Roman" w:hAnsi="Times New Roman" w:cs="Times New Roman"/>
          <w:sz w:val="24"/>
          <w:szCs w:val="24"/>
        </w:rPr>
        <w:t>Doole et al., 2008)</w:t>
      </w:r>
    </w:p>
    <w:p>
      <w:pPr>
        <w:pStyle w:val="3"/>
        <w:numPr>
          <w:ilvl w:val="1"/>
          <w:numId w:val="1"/>
        </w:numPr>
        <w:spacing w:line="480" w:lineRule="auto"/>
        <w:rPr>
          <w:rFonts w:ascii="Times New Roman" w:hAnsi="Times New Roman" w:cs="Times New Roman"/>
          <w:b/>
          <w:color w:val="auto"/>
          <w:sz w:val="24"/>
          <w:szCs w:val="24"/>
        </w:rPr>
      </w:pPr>
      <w:bookmarkStart w:id="13" w:name="_Toc152229592"/>
      <w:r>
        <w:rPr>
          <w:rFonts w:ascii="Times New Roman" w:hAnsi="Times New Roman" w:cs="Times New Roman"/>
          <w:b/>
          <w:color w:val="auto"/>
          <w:sz w:val="24"/>
          <w:szCs w:val="24"/>
        </w:rPr>
        <w:t>Effective Communication</w:t>
      </w:r>
      <w:bookmarkEnd w:id="13"/>
    </w:p>
    <w:p>
      <w:pPr>
        <w:pStyle w:val="4"/>
        <w:spacing w:before="0" w:line="240" w:lineRule="auto"/>
        <w:rPr>
          <w:rFonts w:ascii="Times New Roman" w:hAnsi="Times New Roman" w:cs="Times New Roman"/>
          <w:b/>
          <w:color w:val="auto"/>
        </w:rPr>
      </w:pPr>
      <w:bookmarkStart w:id="14" w:name="_Toc152229593"/>
      <w:r>
        <w:rPr>
          <w:rFonts w:ascii="Times New Roman" w:hAnsi="Times New Roman" w:cs="Times New Roman"/>
          <w:b/>
          <w:color w:val="auto"/>
        </w:rPr>
        <w:t>Factors</w:t>
      </w:r>
      <w:bookmarkEnd w:id="14"/>
    </w:p>
    <w:p>
      <w:pPr>
        <w:spacing w:line="480" w:lineRule="auto"/>
        <w:rPr>
          <w:rFonts w:ascii="Times New Roman" w:hAnsi="Times New Roman" w:cs="Times New Roman"/>
          <w:sz w:val="24"/>
          <w:szCs w:val="24"/>
        </w:rPr>
      </w:pPr>
      <w:r>
        <w:rPr>
          <w:rFonts w:ascii="Times New Roman" w:hAnsi="Times New Roman" w:cs="Times New Roman"/>
          <w:sz w:val="24"/>
          <w:szCs w:val="24"/>
        </w:rPr>
        <w:t>In a global company environment, maintaining successful communication requires managing a number of variables that affect information flow (Beamish, 2009). Leveraging cutting-edge communication technology allows for smooth engagement across regional borders, which is essential for Next's successful development into Asia. To improve productivity and connectedness, next should make investments in reliable communication systems, tools for video conferences, and collaboration software (Lustig et al., 2017).</w:t>
      </w:r>
    </w:p>
    <w:p>
      <w:pPr>
        <w:spacing w:line="480" w:lineRule="auto"/>
        <w:rPr>
          <w:rFonts w:ascii="Times New Roman" w:hAnsi="Times New Roman" w:cs="Times New Roman"/>
          <w:sz w:val="24"/>
          <w:szCs w:val="24"/>
        </w:rPr>
      </w:pPr>
      <w:r>
        <w:rPr>
          <w:rFonts w:ascii="Times New Roman" w:hAnsi="Times New Roman" w:cs="Times New Roman"/>
          <w:sz w:val="24"/>
          <w:szCs w:val="24"/>
        </w:rPr>
        <w:t>It need both language precision and cultural awareness to communicate effectively. Being able to communicate clearly and unambiguously lowers the possibility of misconceptions. Understanding cultural norms, values, and etiquette is part of cultural awareness, which extends beyond language (Tsui and Lau, 1996). To negotiate various cultural contexts, build strong bonds, and steer clear of cultural blunders, Next's crew should get cultural sensitivity training. Using a flexible approach guarantees that Next's messaging will be understood by a wide range of Asian consumers. The Next team should place a high value on rapport-building skills, active listening, and empathy (Lustig et al., 2017).</w:t>
      </w:r>
    </w:p>
    <w:p>
      <w:pPr>
        <w:pStyle w:val="3"/>
        <w:numPr>
          <w:ilvl w:val="1"/>
          <w:numId w:val="1"/>
        </w:numPr>
        <w:spacing w:line="480" w:lineRule="auto"/>
        <w:rPr>
          <w:rFonts w:ascii="Times New Roman" w:hAnsi="Times New Roman" w:cs="Times New Roman"/>
          <w:b/>
          <w:color w:val="auto"/>
          <w:sz w:val="24"/>
          <w:szCs w:val="24"/>
        </w:rPr>
      </w:pPr>
      <w:bookmarkStart w:id="15" w:name="_Toc152229594"/>
      <w:r>
        <w:rPr>
          <w:rFonts w:ascii="Times New Roman" w:hAnsi="Times New Roman" w:cs="Times New Roman"/>
          <w:b/>
          <w:color w:val="auto"/>
          <w:sz w:val="24"/>
          <w:szCs w:val="24"/>
        </w:rPr>
        <w:t>International Culture</w:t>
      </w:r>
      <w:bookmarkEnd w:id="15"/>
    </w:p>
    <w:p>
      <w:pPr>
        <w:pStyle w:val="4"/>
        <w:spacing w:line="480" w:lineRule="auto"/>
        <w:rPr>
          <w:rFonts w:ascii="Times New Roman" w:hAnsi="Times New Roman" w:cs="Times New Roman"/>
          <w:b/>
          <w:color w:val="auto"/>
        </w:rPr>
      </w:pPr>
      <w:bookmarkStart w:id="16" w:name="_Toc152229595"/>
      <w:r>
        <w:rPr>
          <w:rFonts w:ascii="Times New Roman" w:hAnsi="Times New Roman" w:cs="Times New Roman"/>
          <w:b/>
          <w:color w:val="auto"/>
        </w:rPr>
        <w:t>Trompenaar’s 7 Dimensions to Culture:</w:t>
      </w:r>
      <w:bookmarkEnd w:id="16"/>
    </w:p>
    <w:p>
      <w:pPr>
        <w:spacing w:after="0" w:line="240" w:lineRule="auto"/>
        <w:rPr>
          <w:rFonts w:ascii="Times New Roman" w:hAnsi="Times New Roman" w:cs="Times New Roman"/>
          <w:sz w:val="24"/>
          <w:szCs w:val="24"/>
        </w:rPr>
      </w:pPr>
      <w:r>
        <w:rPr>
          <w:rStyle w:val="21"/>
          <w:rFonts w:ascii="Times New Roman" w:hAnsi="Times New Roman" w:cs="Times New Roman"/>
          <w:b/>
          <w:color w:val="auto"/>
          <w:sz w:val="24"/>
          <w:szCs w:val="24"/>
        </w:rPr>
        <w:t>Overview</w:t>
      </w:r>
    </w:p>
    <w:p>
      <w:pPr>
        <w:spacing w:line="480" w:lineRule="auto"/>
        <w:rPr>
          <w:rFonts w:ascii="Times New Roman" w:hAnsi="Times New Roman" w:cs="Times New Roman"/>
          <w:sz w:val="24"/>
          <w:szCs w:val="24"/>
        </w:rPr>
      </w:pPr>
      <w:r>
        <w:rPr>
          <w:rFonts w:ascii="Times New Roman" w:hAnsi="Times New Roman" w:cs="Times New Roman"/>
          <w:sz w:val="24"/>
          <w:szCs w:val="24"/>
        </w:rPr>
        <w:t>To explain differences in cultural beliefs and behaviors, Dutch organizational theorist Fons Trompenaars created the idea of cultural dimensions. Seven dimensions make up his concept, each of which stands for a distinct facet of cultural orientation (Trompenaars and Hampden-Turner, 1998). For Next to connect with Asia's complex cultural landscape in a productive manner, it is imperative that they comprehend these elements.</w:t>
      </w:r>
    </w:p>
    <w:p>
      <w:pPr>
        <w:spacing w:after="0" w:line="360" w:lineRule="auto"/>
        <w:rPr>
          <w:rFonts w:ascii="Times New Roman" w:hAnsi="Times New Roman" w:cs="Times New Roman"/>
          <w:sz w:val="24"/>
          <w:szCs w:val="24"/>
        </w:rPr>
      </w:pPr>
      <w:r>
        <w:rPr>
          <w:rFonts w:ascii="Times New Roman" w:hAnsi="Times New Roman" w:cs="Times New Roman"/>
          <w:b/>
          <w:bCs/>
          <w:sz w:val="24"/>
          <w:szCs w:val="24"/>
        </w:rPr>
        <w:t>Universalism vs. Particularism:</w:t>
      </w:r>
    </w:p>
    <w:p>
      <w:pPr>
        <w:spacing w:line="480" w:lineRule="auto"/>
        <w:rPr>
          <w:rFonts w:ascii="Times New Roman" w:hAnsi="Times New Roman" w:cs="Times New Roman"/>
          <w:sz w:val="24"/>
          <w:szCs w:val="24"/>
        </w:rPr>
      </w:pPr>
      <w:r>
        <w:rPr>
          <w:rFonts w:ascii="Times New Roman" w:hAnsi="Times New Roman" w:cs="Times New Roman"/>
          <w:sz w:val="24"/>
          <w:szCs w:val="24"/>
        </w:rPr>
        <w:t>Universalist societies uphold uniform laws and customs, placing a strong emphasis on justice and uniformity. Particularist cultures value connections and encourage flexibility in decision-making. Developing personal ties is essential, especially in Asia where particularism is typically prevalent. Next ought to acknowledge the importance of customized encounters and modify its business procedures correspondingly.</w:t>
      </w:r>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Individualism vs. Communitarianism:</w:t>
      </w:r>
    </w:p>
    <w:p>
      <w:pPr>
        <w:spacing w:line="480" w:lineRule="auto"/>
        <w:rPr>
          <w:rFonts w:ascii="Times New Roman" w:hAnsi="Times New Roman" w:cs="Times New Roman"/>
          <w:sz w:val="24"/>
          <w:szCs w:val="24"/>
        </w:rPr>
      </w:pPr>
      <w:r>
        <w:rPr>
          <w:rFonts w:ascii="Times New Roman" w:hAnsi="Times New Roman" w:cs="Times New Roman"/>
          <w:sz w:val="24"/>
          <w:szCs w:val="24"/>
        </w:rPr>
        <w:t>While communitarian cultures place more emphasis on communal cohesion and common well-being, individualist cultures priorities personal objectives and liberty. Communities like China and Japan are ruled by communitarian principles. It should therefore recognize the value of cooperation, group decision-making, and group achievement in its business strategy.</w:t>
      </w:r>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Neutral vs. Affective:</w:t>
      </w:r>
    </w:p>
    <w:p>
      <w:pPr>
        <w:spacing w:line="480" w:lineRule="auto"/>
        <w:rPr>
          <w:rFonts w:ascii="Times New Roman" w:hAnsi="Times New Roman" w:cs="Times New Roman"/>
          <w:sz w:val="24"/>
          <w:szCs w:val="24"/>
        </w:rPr>
      </w:pPr>
      <w:r>
        <w:rPr>
          <w:rFonts w:ascii="Times New Roman" w:hAnsi="Times New Roman" w:cs="Times New Roman"/>
          <w:sz w:val="24"/>
          <w:szCs w:val="24"/>
        </w:rPr>
        <w:t>In work environments, neutral cultures preserve emotional reserve whereas affective cultures freely express their feelings. It is essential to grasp the emotional context of communication. Emotional expression could be more accepted in some Asian countries, like India, Japan, South Korea and Indonesia. In order to communicate effectively, one should next traverse this cultural subtlety (Trompenaars and Hampden-Turner, 1998).</w:t>
      </w:r>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Specific vs. Diffuse:</w:t>
      </w:r>
    </w:p>
    <w:p>
      <w:pPr>
        <w:spacing w:line="480" w:lineRule="auto"/>
        <w:rPr>
          <w:rFonts w:ascii="Times New Roman" w:hAnsi="Times New Roman" w:cs="Times New Roman"/>
          <w:sz w:val="24"/>
          <w:szCs w:val="24"/>
        </w:rPr>
      </w:pPr>
      <w:r>
        <w:rPr>
          <w:rFonts w:ascii="Times New Roman" w:hAnsi="Times New Roman" w:cs="Times New Roman"/>
          <w:sz w:val="24"/>
          <w:szCs w:val="24"/>
        </w:rPr>
        <w:t>While diffuse cultures combine business and personal life, specific cultures create distinct barriers between the two. In diffuse cultures, which are common throughout Asia, relationships go beyond the job. Developing human ties is essential, and Next should take this into account while forming commercial partnerships.</w:t>
      </w:r>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Achievement vs. Ascription:</w:t>
      </w:r>
    </w:p>
    <w:p>
      <w:pPr>
        <w:spacing w:line="480" w:lineRule="auto"/>
        <w:rPr>
          <w:rFonts w:ascii="Times New Roman" w:hAnsi="Times New Roman" w:cs="Times New Roman"/>
          <w:sz w:val="24"/>
          <w:szCs w:val="24"/>
        </w:rPr>
      </w:pPr>
      <w:r>
        <w:rPr>
          <w:rFonts w:ascii="Times New Roman" w:hAnsi="Times New Roman" w:cs="Times New Roman"/>
          <w:sz w:val="24"/>
          <w:szCs w:val="24"/>
        </w:rPr>
        <w:t>Ascription-oriented cultures place more significance on innate qualities, whereas achievement-oriented cultures respect status that is acquired. It's critical to acknowledge how status is seen. As ascription is important in nations like South Korea, Next needs to be aware of hierarchical systems and respect authority.</w:t>
      </w:r>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Sequential vs. Synchronous Time:</w:t>
      </w:r>
    </w:p>
    <w:p>
      <w:pPr>
        <w:spacing w:line="480" w:lineRule="auto"/>
        <w:rPr>
          <w:rFonts w:ascii="Times New Roman" w:hAnsi="Times New Roman" w:cs="Times New Roman"/>
          <w:sz w:val="24"/>
          <w:szCs w:val="24"/>
        </w:rPr>
      </w:pPr>
      <w:r>
        <w:rPr>
          <w:rFonts w:ascii="Times New Roman" w:hAnsi="Times New Roman" w:cs="Times New Roman"/>
          <w:sz w:val="24"/>
          <w:szCs w:val="24"/>
        </w:rPr>
        <w:t>While synchronous-time cultures place more importance on connections than timetables, sequential-time cultures place a high priority on timeliness and rigorous adherence to schedules. The target market's temporal orientation should therefore be accommodated. Synchronous time may be more common in many Asian cultures, prioritizing connections above rigorous timetable observance.</w:t>
      </w:r>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Internal vs. External Control:</w:t>
      </w:r>
    </w:p>
    <w:p>
      <w:pPr>
        <w:spacing w:line="480" w:lineRule="auto"/>
        <w:rPr>
          <w:rFonts w:ascii="Times New Roman" w:hAnsi="Times New Roman" w:cs="Times New Roman"/>
          <w:sz w:val="24"/>
          <w:szCs w:val="24"/>
        </w:rPr>
      </w:pPr>
      <w:r>
        <w:rPr>
          <w:rFonts w:ascii="Times New Roman" w:hAnsi="Times New Roman" w:cs="Times New Roman"/>
          <w:sz w:val="24"/>
          <w:szCs w:val="24"/>
        </w:rPr>
        <w:t>Whereas external control cultures blame external causes for results, internal control cultures hold that people can create their own destinies. Understanding the locus of control is essential. Subsequent should take into account external influences impacting company dynamics in places such as China, where external control may be more dominant (Trompenaars and Hampden-Turner, 1998).</w:t>
      </w:r>
    </w:p>
    <w:p>
      <w:pPr>
        <w:spacing w:after="0" w:line="240" w:lineRule="auto"/>
        <w:rPr>
          <w:rFonts w:ascii="Times New Roman" w:hAnsi="Times New Roman" w:cs="Times New Roman"/>
          <w:sz w:val="24"/>
          <w:szCs w:val="24"/>
        </w:rPr>
      </w:pPr>
      <w:r>
        <w:rPr>
          <w:rFonts w:ascii="Times New Roman" w:hAnsi="Times New Roman" w:cs="Times New Roman"/>
          <w:b/>
          <w:bCs/>
          <w:sz w:val="24"/>
          <w:szCs w:val="24"/>
        </w:rPr>
        <w:t>How These Dimensions Influence International Business Interactions:</w:t>
      </w:r>
    </w:p>
    <w:p>
      <w:pPr>
        <w:spacing w:line="480" w:lineRule="auto"/>
        <w:rPr>
          <w:rFonts w:ascii="Times New Roman" w:hAnsi="Times New Roman" w:cs="Times New Roman"/>
          <w:sz w:val="24"/>
          <w:szCs w:val="24"/>
        </w:rPr>
      </w:pPr>
      <w:r>
        <w:rPr>
          <w:rFonts w:ascii="Times New Roman" w:hAnsi="Times New Roman" w:cs="Times New Roman"/>
          <w:sz w:val="24"/>
          <w:szCs w:val="24"/>
        </w:rPr>
        <w:t>Comprehending Trompenaar's seven aspects offers Next a sophisticated viewpoint on cultural variances (Hichert and Faisst, 2022). Next can adjust its business strategy, communication tactics, and relationship-building endeavors to conform to the varied cultural norms throughout the Asian area by acknowledging the prevailing cultural orientations in each market (Fiol and Yuan, 2005). In the Asian market, the model is a useful tool for successfully negotiating the complexities of cross-cultural exchanges and international commercial relationships (Child and Yuan, 2009).</w:t>
      </w:r>
      <w:r>
        <w:rPr>
          <w:rFonts w:ascii="Times New Roman" w:hAnsi="Times New Roman" w:cs="Times New Roman"/>
          <w:vanish/>
          <w:sz w:val="24"/>
          <w:szCs w:val="24"/>
        </w:rPr>
        <w:t xml:space="preserve"> Top of Form</w:t>
      </w:r>
    </w:p>
    <w:p>
      <w:pPr>
        <w:pStyle w:val="3"/>
        <w:numPr>
          <w:ilvl w:val="1"/>
          <w:numId w:val="1"/>
        </w:numPr>
        <w:spacing w:before="0" w:line="240" w:lineRule="auto"/>
        <w:rPr>
          <w:rFonts w:ascii="Times New Roman" w:hAnsi="Times New Roman" w:cs="Times New Roman"/>
          <w:b/>
          <w:color w:val="auto"/>
          <w:sz w:val="24"/>
          <w:szCs w:val="24"/>
        </w:rPr>
      </w:pPr>
      <w:bookmarkStart w:id="17" w:name="_Toc152229596"/>
      <w:r>
        <w:rPr>
          <w:rFonts w:ascii="Times New Roman" w:hAnsi="Times New Roman" w:cs="Times New Roman"/>
          <w:b/>
          <w:color w:val="auto"/>
          <w:sz w:val="24"/>
          <w:szCs w:val="24"/>
        </w:rPr>
        <w:t>Importance of Building Relationships</w:t>
      </w:r>
      <w:bookmarkEnd w:id="17"/>
    </w:p>
    <w:p>
      <w:pPr>
        <w:spacing w:line="480" w:lineRule="auto"/>
        <w:rPr>
          <w:rFonts w:ascii="Times New Roman" w:hAnsi="Times New Roman" w:cs="Times New Roman"/>
          <w:sz w:val="24"/>
          <w:szCs w:val="24"/>
        </w:rPr>
      </w:pPr>
      <w:r>
        <w:rPr>
          <w:rFonts w:ascii="Times New Roman" w:hAnsi="Times New Roman" w:cs="Times New Roman"/>
          <w:sz w:val="24"/>
          <w:szCs w:val="24"/>
        </w:rPr>
        <w:t>Next believes that effective market entrance and long-term growth depend on recognizing and highlighting the importance of relationship-building. Interpersonal connections are highly valued in many Asian cultures. In addition to being simple transactions, business dealings provide chances to build deep relationships. The focus placed on developing rapport and trust should then be acknowledged and appreciated.</w:t>
      </w:r>
    </w:p>
    <w:p>
      <w:pPr>
        <w:spacing w:line="480" w:lineRule="auto"/>
        <w:rPr>
          <w:rFonts w:ascii="Times New Roman" w:hAnsi="Times New Roman" w:cs="Times New Roman"/>
          <w:sz w:val="24"/>
          <w:szCs w:val="24"/>
        </w:rPr>
      </w:pPr>
      <w:r>
        <w:rPr>
          <w:rFonts w:ascii="Times New Roman" w:hAnsi="Times New Roman" w:cs="Times New Roman"/>
          <w:sz w:val="24"/>
          <w:szCs w:val="24"/>
        </w:rPr>
        <w:t>In several Asian marketplaces, trust is the cornerstone of prosperous commercial partnerships. Building trust requires constant, dependable, and transparent communication over time. Since trust is the cornerstone of long-lasting connections, next should give special attention to behaviors that promote trust (Trompenaars and Hampden-Turner, 1998). Asians are known for their long-term outlook on forging relationships. Maybe long-term attempts to cultivate relationships have a greater impact than quick successes. It is recommended that Next coordinates its tactics with an investment in long-term partnerships.</w:t>
      </w:r>
    </w:p>
    <w:p>
      <w:pPr>
        <w:pStyle w:val="3"/>
        <w:numPr>
          <w:ilvl w:val="1"/>
          <w:numId w:val="1"/>
        </w:numPr>
        <w:spacing w:before="0" w:line="240" w:lineRule="auto"/>
        <w:rPr>
          <w:rFonts w:ascii="Times New Roman" w:hAnsi="Times New Roman" w:cs="Times New Roman"/>
          <w:b/>
          <w:color w:val="auto"/>
          <w:sz w:val="24"/>
          <w:szCs w:val="24"/>
        </w:rPr>
      </w:pPr>
      <w:bookmarkStart w:id="18" w:name="_Toc152229597"/>
      <w:r>
        <w:rPr>
          <w:rFonts w:ascii="Times New Roman" w:hAnsi="Times New Roman" w:cs="Times New Roman"/>
          <w:b/>
          <w:color w:val="auto"/>
          <w:sz w:val="24"/>
          <w:szCs w:val="24"/>
        </w:rPr>
        <w:t>How to Build Trust</w:t>
      </w:r>
      <w:bookmarkEnd w:id="18"/>
    </w:p>
    <w:p>
      <w:pPr>
        <w:spacing w:line="480" w:lineRule="auto"/>
        <w:rPr>
          <w:rFonts w:ascii="Times New Roman" w:hAnsi="Times New Roman" w:cs="Times New Roman"/>
          <w:sz w:val="24"/>
          <w:szCs w:val="24"/>
        </w:rPr>
      </w:pPr>
      <w:r>
        <w:rPr>
          <w:rFonts w:ascii="Times New Roman" w:hAnsi="Times New Roman" w:cs="Times New Roman"/>
          <w:sz w:val="24"/>
          <w:szCs w:val="24"/>
        </w:rPr>
        <w:t>Establishing trust is a complex and multidimensional process, particularly in the context of international trade. Building trust should be a fundamental part of Next's operations in every aspect of its Asian growth. Recognize and appreciate cultural diversity. Spend time and money learning about the subtle cultural differences in the particular Asian markets that Next is targeting. This entails being aware of regional norms about business etiquette, communication methods, and customs (Martin and Nakayama, 2010).</w:t>
      </w:r>
    </w:p>
    <w:p>
      <w:pPr>
        <w:spacing w:line="480" w:lineRule="auto"/>
        <w:rPr>
          <w:rFonts w:ascii="Times New Roman" w:hAnsi="Times New Roman" w:cs="Times New Roman"/>
          <w:sz w:val="24"/>
          <w:szCs w:val="24"/>
        </w:rPr>
      </w:pPr>
      <w:r>
        <w:rPr>
          <w:rFonts w:ascii="Times New Roman" w:hAnsi="Times New Roman" w:cs="Times New Roman"/>
          <w:sz w:val="24"/>
          <w:szCs w:val="24"/>
        </w:rPr>
        <w:t>Next should priorities honest and open communication with its Asian counterparts. This entails stating company procedures, guidelines, and any possible difficulties in plain terms. Any departure from the norm has to be reported right away. It is important for Next to demonstrate a history of fulfilling commitments, adhering to schedules, and guaranteeing the excellence and dependability of its offerings. Engaging in local charitable endeavors, corporate social responsibility programmers, and community events may enhance a brand's reputation and foster trust among a wider range of people (Bennett, 2009). Maintain moral business conduct. Maintaining a high code of ethics improves credibility. Any ethical issues or difficulties ought to be resolved openly, demonstrating Next's dedication to honesty.</w:t>
      </w:r>
    </w:p>
    <w:p>
      <w:pPr>
        <w:pStyle w:val="3"/>
        <w:numPr>
          <w:ilvl w:val="1"/>
          <w:numId w:val="1"/>
        </w:numPr>
        <w:spacing w:before="0" w:line="240" w:lineRule="auto"/>
        <w:rPr>
          <w:rFonts w:ascii="Times New Roman" w:hAnsi="Times New Roman" w:cs="Times New Roman"/>
          <w:b/>
          <w:color w:val="auto"/>
          <w:sz w:val="24"/>
          <w:szCs w:val="24"/>
        </w:rPr>
      </w:pPr>
      <w:bookmarkStart w:id="19" w:name="_Toc152229598"/>
      <w:r>
        <w:rPr>
          <w:rFonts w:ascii="Times New Roman" w:hAnsi="Times New Roman" w:cs="Times New Roman"/>
          <w:b/>
          <w:color w:val="auto"/>
          <w:sz w:val="24"/>
          <w:szCs w:val="24"/>
        </w:rPr>
        <w:t>Failed Relationships</w:t>
      </w:r>
      <w:bookmarkEnd w:id="19"/>
    </w:p>
    <w:p>
      <w:pPr>
        <w:spacing w:line="480" w:lineRule="auto"/>
        <w:rPr>
          <w:rFonts w:ascii="Times New Roman" w:hAnsi="Times New Roman" w:cs="Times New Roman"/>
          <w:sz w:val="24"/>
          <w:szCs w:val="24"/>
        </w:rPr>
      </w:pPr>
      <w:r>
        <w:rPr>
          <w:rFonts w:ascii="Times New Roman" w:hAnsi="Times New Roman" w:cs="Times New Roman"/>
          <w:sz w:val="24"/>
          <w:szCs w:val="24"/>
        </w:rPr>
        <w:t>It is imperative that Next comprehends the elements that lead to unsuccessful foreign company partnerships in order to reduce risks and optimize the outcomes of its Asian development. Here is a thorough breakdown of the important elements:</w:t>
      </w:r>
    </w:p>
    <w:p>
      <w:pPr>
        <w:spacing w:line="480" w:lineRule="auto"/>
        <w:rPr>
          <w:rFonts w:ascii="Times New Roman" w:hAnsi="Times New Roman" w:cs="Times New Roman"/>
          <w:sz w:val="24"/>
          <w:szCs w:val="24"/>
        </w:rPr>
      </w:pPr>
      <w:r>
        <w:rPr>
          <w:rFonts w:ascii="Times New Roman" w:hAnsi="Times New Roman" w:cs="Times New Roman"/>
          <w:sz w:val="24"/>
          <w:szCs w:val="24"/>
        </w:rPr>
        <w:t>Poor cross-cultural competency among members of a team can impede productive cooperation and communication. The efficacy of business relationships might be diminished by misinterpretations resulting from an incapacity to understand and value various cultural views. Language limitations can make it difficult for communications to be understood and communicated clearly, both when speaking and writing (Martin and Nakayama, 2010). Relationship disintegration may be exacerbated by misunderstandings, miscommunications, or misinterpretations. Successful business partnerships are built on trust. The partnership might end if Next is unable to build trust or if trust is damaged by unfulfilled promises, contract violations, or unethical behaviour.</w:t>
      </w:r>
    </w:p>
    <w:p>
      <w:pPr>
        <w:spacing w:line="480" w:lineRule="auto"/>
        <w:rPr>
          <w:rFonts w:ascii="Times New Roman" w:hAnsi="Times New Roman" w:cs="Times New Roman"/>
          <w:sz w:val="24"/>
          <w:szCs w:val="24"/>
        </w:rPr>
      </w:pPr>
      <w:r>
        <w:rPr>
          <w:rFonts w:ascii="Times New Roman" w:hAnsi="Times New Roman" w:cs="Times New Roman"/>
          <w:sz w:val="24"/>
          <w:szCs w:val="24"/>
        </w:rPr>
        <w:t>Disappointing and frustrating outcomes may arise from Next and its Asian competitors having mismatched expectations (Nason et al., 2017). To prevent disappointment, discrepancies in performance measurements, schedules, or corporate objectives should be discussed early in the partnership (Aaker and Joachimsthaler, 2005).</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Relationship dissolution may result from an incapacity to handle crises successfully (Bennett, 2009). Legal issues and strained relationships can arise from a failure to follow local laws and regulations. Sustained performance requires a thorough understanding of and adherence to the legal structure of the Asian markets. </w:t>
      </w:r>
    </w:p>
    <w:p>
      <w:pPr>
        <w:pStyle w:val="2"/>
        <w:numPr>
          <w:ilvl w:val="0"/>
          <w:numId w:val="1"/>
        </w:numPr>
        <w:spacing w:before="0" w:line="240" w:lineRule="auto"/>
        <w:ind w:left="432" w:hanging="432"/>
        <w:jc w:val="center"/>
        <w:rPr>
          <w:rFonts w:ascii="Times New Roman" w:hAnsi="Times New Roman" w:cs="Times New Roman"/>
          <w:b/>
          <w:color w:val="auto"/>
          <w:sz w:val="24"/>
          <w:szCs w:val="24"/>
        </w:rPr>
      </w:pPr>
      <w:bookmarkStart w:id="20" w:name="_Toc152229599"/>
      <w:r>
        <w:rPr>
          <w:rFonts w:ascii="Times New Roman" w:hAnsi="Times New Roman" w:cs="Times New Roman"/>
          <w:b/>
          <w:color w:val="auto"/>
          <w:sz w:val="24"/>
          <w:szCs w:val="24"/>
        </w:rPr>
        <w:t>Conclusions</w:t>
      </w:r>
      <w:bookmarkEnd w:id="20"/>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As Next enters the Asian market, this paper has explored important facets of cross-cultural communication and culture. Important conclusions highlight how crucial good communication, cross-cultural competency, and relationship-building are to the success of global corporate ventures (House et al., 2004). When we compile the knowledge acquired, it is evident that cultivating fruitful and long-lasting commercial connections requires an awareness of and ability to navigate cultural differences. The subtleties of trust-building, communication, and learning from mistakes become critical components of Next's strategic growth. The research of unsuccessful connections has yielded a thorough understanding of potential dangers and significant insights for Next's future partnerships. Cultural misconceptions and insufficient due diligence are only two examples of </w:t>
      </w:r>
    </w:p>
    <w:p>
      <w:pPr>
        <w:spacing w:line="480" w:lineRule="auto"/>
        <w:rPr>
          <w:rFonts w:ascii="Times New Roman" w:hAnsi="Times New Roman" w:cs="Times New Roman"/>
          <w:sz w:val="24"/>
          <w:szCs w:val="24"/>
        </w:rPr>
      </w:pPr>
      <w:r>
        <w:rPr>
          <w:rFonts w:ascii="Times New Roman" w:hAnsi="Times New Roman" w:cs="Times New Roman"/>
          <w:sz w:val="24"/>
          <w:szCs w:val="24"/>
        </w:rPr>
        <w:t>Prioritizing the improvement and adaptation of communication techniques will be crucial for Next to overcome challenges and make a successful entry into the Asian market as it moves forward.</w:t>
      </w:r>
    </w:p>
    <w:p>
      <w:pPr>
        <w:pStyle w:val="2"/>
        <w:numPr>
          <w:ilvl w:val="0"/>
          <w:numId w:val="1"/>
        </w:numPr>
        <w:spacing w:before="0" w:line="240" w:lineRule="auto"/>
        <w:ind w:left="432" w:hanging="432"/>
        <w:jc w:val="center"/>
        <w:rPr>
          <w:rFonts w:ascii="Times New Roman" w:hAnsi="Times New Roman" w:cs="Times New Roman"/>
          <w:b/>
          <w:color w:val="auto"/>
          <w:sz w:val="24"/>
          <w:szCs w:val="24"/>
        </w:rPr>
      </w:pPr>
      <w:bookmarkStart w:id="21" w:name="_Toc152229601"/>
      <w:r>
        <w:rPr>
          <w:rFonts w:ascii="Times New Roman" w:hAnsi="Times New Roman" w:cs="Times New Roman"/>
          <w:b/>
          <w:color w:val="auto"/>
          <w:sz w:val="24"/>
          <w:szCs w:val="24"/>
        </w:rPr>
        <w:t>Recommendations</w:t>
      </w:r>
      <w:bookmarkEnd w:id="21"/>
    </w:p>
    <w:p>
      <w:pPr>
        <w:spacing w:line="480" w:lineRule="auto"/>
        <w:rPr>
          <w:rFonts w:ascii="Times New Roman" w:hAnsi="Times New Roman" w:cs="Times New Roman"/>
          <w:sz w:val="24"/>
          <w:szCs w:val="24"/>
        </w:rPr>
      </w:pPr>
      <w:r>
        <w:rPr>
          <w:rFonts w:ascii="Times New Roman" w:hAnsi="Times New Roman" w:cs="Times New Roman"/>
          <w:sz w:val="24"/>
          <w:szCs w:val="24"/>
        </w:rPr>
        <w:t>This paper recommends the following actions for Next's successful Asian growth to avoid future failures:</w:t>
      </w:r>
    </w:p>
    <w:p>
      <w:pPr>
        <w:spacing w:line="480" w:lineRule="auto"/>
        <w:rPr>
          <w:rFonts w:ascii="Times New Roman" w:hAnsi="Times New Roman" w:cs="Times New Roman"/>
          <w:sz w:val="24"/>
          <w:szCs w:val="24"/>
        </w:rPr>
      </w:pPr>
      <w:r>
        <w:rPr>
          <w:rFonts w:ascii="Times New Roman" w:hAnsi="Times New Roman" w:cs="Times New Roman"/>
          <w:sz w:val="24"/>
          <w:szCs w:val="24"/>
        </w:rPr>
        <w:t>Provide thorough cultural competency training for multinational company staff. This will help them traverse varied cultures and avoid misunderstandings. Form strategic ties with Asian market-savvy local consultants. Collaborating with local cultural, business, and regulatory experts can bring significant insights. Develop proactive communication tactics to overcome language obstacles, communication styles, and cultural differences. Promote openness, clarity, and agility in communication.</w:t>
      </w:r>
    </w:p>
    <w:p>
      <w:pPr>
        <w:spacing w:line="480" w:lineRule="auto"/>
        <w:rPr>
          <w:rFonts w:ascii="Times New Roman" w:hAnsi="Times New Roman" w:cs="Times New Roman"/>
          <w:sz w:val="24"/>
          <w:szCs w:val="24"/>
        </w:rPr>
      </w:pPr>
      <w:r>
        <w:rPr>
          <w:rFonts w:ascii="Times New Roman" w:hAnsi="Times New Roman" w:cs="Times New Roman"/>
          <w:sz w:val="24"/>
          <w:szCs w:val="24"/>
        </w:rPr>
        <w:t>Establish cultural and market monitoring systems. Be flexible and adapt methods to changing conditions and local partner input. Implement strong conflict resolution mechanisms to resolve conflicts quickly and peacefully. This includes clear communication routes and escalation processes to prevent misunderstandings. Perform comprehensive due diligence before forming alliances or making major business choices. Legal, economic, and cultural examinations guarantee Next's goals and values are met.</w:t>
      </w:r>
    </w:p>
    <w:p>
      <w:pPr>
        <w:spacing w:line="480" w:lineRule="auto"/>
        <w:rPr>
          <w:rFonts w:ascii="Times New Roman" w:hAnsi="Times New Roman" w:cs="Times New Roman"/>
          <w:sz w:val="24"/>
          <w:szCs w:val="24"/>
        </w:rPr>
      </w:pPr>
      <w:r>
        <w:rPr>
          <w:rFonts w:ascii="Times New Roman" w:hAnsi="Times New Roman" w:cs="Times New Roman"/>
          <w:sz w:val="24"/>
          <w:szCs w:val="24"/>
        </w:rPr>
        <w:t>Request comments on cultural sensitivity and improvement areas. Creating cross-cultural liaisons in the organization can help bridge cultural divides and promote understanding. Promote diversity and inclusion at Next. This broadens internal viewpoints and improves the organization's capacity to negotiate different external settings.</w:t>
      </w:r>
    </w:p>
    <w:p>
      <w:pPr>
        <w:pStyle w:val="2"/>
        <w:jc w:val="center"/>
        <w:rPr>
          <w:rFonts w:ascii="Times New Roman" w:hAnsi="Times New Roman" w:cs="Times New Roman"/>
          <w:b/>
          <w:color w:val="auto"/>
          <w:sz w:val="24"/>
          <w:szCs w:val="24"/>
        </w:rPr>
      </w:pPr>
      <w:bookmarkStart w:id="22" w:name="_Toc152229602"/>
      <w:r>
        <w:rPr>
          <w:rFonts w:ascii="Times New Roman" w:hAnsi="Times New Roman" w:cs="Times New Roman"/>
          <w:b/>
          <w:color w:val="auto"/>
          <w:sz w:val="24"/>
          <w:szCs w:val="24"/>
        </w:rPr>
        <w:t>Appendices</w:t>
      </w:r>
      <w:bookmarkEnd w:id="22"/>
    </w:p>
    <w:p>
      <w:pPr>
        <w:spacing w:after="0" w:line="480" w:lineRule="auto"/>
        <w:rPr>
          <w:rFonts w:ascii="Times New Roman" w:hAnsi="Times New Roman" w:cs="Times New Roman"/>
          <w:b/>
          <w:sz w:val="24"/>
          <w:szCs w:val="24"/>
        </w:rPr>
      </w:pPr>
      <w:r>
        <w:rPr>
          <w:rFonts w:ascii="Times New Roman" w:hAnsi="Times New Roman" w:cs="Times New Roman"/>
          <w:b/>
          <w:sz w:val="24"/>
          <w:szCs w:val="24"/>
        </w:rPr>
        <w:t>Appendix : Case Studies of Successful Intercultural Business Relationships</w:t>
      </w:r>
    </w:p>
    <w:p>
      <w:pPr>
        <w:spacing w:after="0" w:line="480" w:lineRule="auto"/>
        <w:rPr>
          <w:rFonts w:ascii="Times New Roman" w:hAnsi="Times New Roman" w:cs="Times New Roman"/>
          <w:sz w:val="24"/>
          <w:szCs w:val="24"/>
        </w:rPr>
      </w:pPr>
      <w:r>
        <w:rPr>
          <w:rFonts w:ascii="Times New Roman" w:hAnsi="Times New Roman" w:cs="Times New Roman"/>
          <w:sz w:val="24"/>
          <w:szCs w:val="24"/>
        </w:rPr>
        <w:t>Case Study 1: Coca-Cola China</w:t>
      </w:r>
    </w:p>
    <w:p>
      <w:pPr>
        <w:spacing w:after="0" w:line="480" w:lineRule="auto"/>
        <w:rPr>
          <w:rFonts w:ascii="Times New Roman" w:hAnsi="Times New Roman" w:cs="Times New Roman"/>
          <w:sz w:val="24"/>
          <w:szCs w:val="24"/>
        </w:rPr>
      </w:pPr>
      <w:r>
        <w:rPr>
          <w:rFonts w:ascii="Times New Roman" w:hAnsi="Times New Roman" w:cs="Times New Roman"/>
          <w:sz w:val="24"/>
          <w:szCs w:val="24"/>
        </w:rPr>
        <w:t>Coca-Cola's cross-cultural communication approach helped it succeed in China. The corporation has excellent partnerships with Chinese partners and tailored its marketing strategies to Chinese customers.</w:t>
      </w:r>
    </w:p>
    <w:p>
      <w:pPr>
        <w:spacing w:after="0" w:line="480" w:lineRule="auto"/>
        <w:rPr>
          <w:rFonts w:ascii="Times New Roman" w:hAnsi="Times New Roman" w:cs="Times New Roman"/>
          <w:sz w:val="24"/>
          <w:szCs w:val="24"/>
        </w:rPr>
      </w:pPr>
      <w:r>
        <w:rPr>
          <w:rFonts w:ascii="Times New Roman" w:hAnsi="Times New Roman" w:cs="Times New Roman"/>
          <w:sz w:val="24"/>
          <w:szCs w:val="24"/>
        </w:rPr>
        <w:t>Case Study 2: Japan Starbucks</w:t>
      </w:r>
    </w:p>
    <w:p>
      <w:pPr>
        <w:spacing w:after="0" w:line="480" w:lineRule="auto"/>
        <w:rPr>
          <w:rFonts w:ascii="Times New Roman" w:hAnsi="Times New Roman" w:cs="Times New Roman"/>
          <w:sz w:val="24"/>
          <w:szCs w:val="24"/>
        </w:rPr>
      </w:pPr>
      <w:r>
        <w:rPr>
          <w:rFonts w:ascii="Times New Roman" w:hAnsi="Times New Roman" w:cs="Times New Roman"/>
          <w:sz w:val="24"/>
          <w:szCs w:val="24"/>
        </w:rPr>
        <w:t>Starbucks is equally successful in Japan, where it tailors its menu and shop design. The organization also trains its staff to give exceptional customer service, which is prized in Japan.</w:t>
      </w:r>
    </w:p>
    <w:p>
      <w:pPr>
        <w:spacing w:after="0" w:line="480" w:lineRule="auto"/>
        <w:rPr>
          <w:rFonts w:ascii="Times New Roman" w:hAnsi="Times New Roman" w:cs="Times New Roman"/>
          <w:sz w:val="24"/>
          <w:szCs w:val="24"/>
        </w:rPr>
      </w:pPr>
      <w:r>
        <w:rPr>
          <w:rFonts w:ascii="Times New Roman" w:hAnsi="Times New Roman" w:cs="Times New Roman"/>
          <w:sz w:val="24"/>
          <w:szCs w:val="24"/>
        </w:rPr>
        <w:t>Third Case Study: Unilever India</w:t>
      </w:r>
    </w:p>
    <w:p>
      <w:pPr>
        <w:spacing w:after="0" w:line="480" w:lineRule="auto"/>
        <w:rPr>
          <w:rFonts w:ascii="Times New Roman" w:hAnsi="Times New Roman" w:cs="Times New Roman"/>
          <w:sz w:val="24"/>
          <w:szCs w:val="24"/>
        </w:rPr>
      </w:pPr>
      <w:r>
        <w:rPr>
          <w:rFonts w:ascii="Times New Roman" w:hAnsi="Times New Roman" w:cs="Times New Roman"/>
          <w:sz w:val="24"/>
          <w:szCs w:val="24"/>
        </w:rPr>
        <w:t>Over its long history in India, Unilever has successfully adapted its goods and marketing techniques to the Indian market. The corporation also has significant Indian partnerships.</w:t>
      </w:r>
    </w:p>
    <w:p>
      <w:pPr>
        <w:spacing w:after="0" w:line="480" w:lineRule="auto"/>
        <w:rPr>
          <w:rFonts w:ascii="Times New Roman" w:hAnsi="Times New Roman" w:cs="Times New Roman"/>
          <w:sz w:val="24"/>
          <w:szCs w:val="24"/>
        </w:rPr>
      </w:pPr>
      <w:r>
        <w:rPr>
          <w:rFonts w:ascii="Times New Roman" w:hAnsi="Times New Roman" w:cs="Times New Roman"/>
          <w:sz w:val="24"/>
          <w:szCs w:val="24"/>
        </w:rPr>
        <w:t>These are a few successful intercultural business collaborations. Next may succeed in Asia by following this report's advice.</w:t>
      </w:r>
    </w:p>
    <w:p>
      <w:pPr>
        <w:pStyle w:val="2"/>
        <w:spacing w:before="0" w:line="480" w:lineRule="auto"/>
        <w:jc w:val="center"/>
        <w:rPr>
          <w:rFonts w:ascii="Times New Roman" w:hAnsi="Times New Roman" w:cs="Times New Roman"/>
          <w:b/>
          <w:color w:val="auto"/>
          <w:sz w:val="24"/>
          <w:szCs w:val="24"/>
        </w:rPr>
      </w:pPr>
      <w:bookmarkStart w:id="23" w:name="_Toc152229603"/>
      <w:r>
        <w:rPr>
          <w:rFonts w:ascii="Times New Roman" w:hAnsi="Times New Roman" w:cs="Times New Roman"/>
          <w:b/>
          <w:color w:val="auto"/>
          <w:sz w:val="24"/>
          <w:szCs w:val="24"/>
        </w:rPr>
        <w:t>References:</w:t>
      </w:r>
      <w:bookmarkEnd w:id="23"/>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Aaker, Jennifer L., and Erich Joachimsthaler. (2005). Brand as a Business Asset: Measuring, Managing, and Profiting from Brand Equity. 3rd ed. McGraw-Hill/Irwin.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Adler, Nancy J. (2013). Intercultural Communication: A Synthesis. 10th ed. Oxford University Press.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Beamish, Peter W. (2009). Managing the Global Firm. Palgrave Macmillan.</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Bennett, Michael J. (2009). Managing Intercultural Communication: A Practical Guide for Global Managers. Intercultural Press.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Child, John, and Dingxin Yuan. (2009). “The Chinese management model: A response to the Western management model?” Journal of Management Studies, 46(8), 1416-1442.</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Czinkota, Mark R., Ilkka A. Ronkainen, and Sumeet Gupta. (2021). International Business. 9th ed. Cambridge University Press.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Doole, Irene, John Lowe, and Robert O’Brien. (2008). International Marketing Strategy: Analysis, Planning and Implementation. 6th ed. Thompson Learning.</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Fiol, C. Marlene, and Dingxin Yuan. (2005). “Where culture meets strategy: A theory of cultural contingency in the strategy process.” Organizational Studies, 26(4), 475-504.</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Gudykunst, William B., and Young Yun Kim. (2003). Communicating with Culture: An Interdisciplinary Approach. Sage Publications.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Hall, Edward T. (1976). Beyond Culture. Anchor Press/Doubleday.</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Hichert, Robert, and Jochen Faisst. (2022). International Business Communication Standards, Version 1.2. IBCS Media.</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Hofstede, Geert, Peter B. Pedersen, Geert Jan Hofstede, and Femke Hofstede. (2002). Culture’s Consequences: Comparing Values, Behaviors, Institutions and Organizations across Nations. 2nd ed. Sage Publications.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House, Robert J., Paul J. Hanges, Mansour Javidan, Peter W. Dorfman, and V. Kumar. (2004). “Cultural leadership across the world: Results of project GLOBE.” Journal of Management Studies, 41(5), 723-753.</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International Journal of Business Communication. Retrieved from here.</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Luthans, Fred, and Jongpil Doh. (2020). International Management, Culture, Strategy and Behaviour. McGraw Hill.</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Lustig, Myron W., Jolene Koester, and William C. Ritchie. (2017). Intercultural competence: Intercultural communication across cultures. 5th ed. Routledge.</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Martin, Judith N., and Toshie K. Nakayama. (2010). Intercultural communication in organizations. Sage Publications.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Meyer, Ethan. (n.d.). “How cultures across the world approach leadership.” Harvard Business Review. Retrieved from here.</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Nardon, Peter. (2008). Navigating the Digital Age: Business Strategies for a Networked World. 2nd ed. FT Press.</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Nanda, Ashok, Gagan Prabhu, and Stephanie Hart. (2009). “The role of guanxi in Chinese business networks: An exploratory study.” International Journal of Business and Management, 3(11), 62-75.</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Nason, Susie, José Salvacruz, and John P. Stevenson. (n.d.). “HBR Case study: Competing against bling.” Harvard Business Review. Retrieved from here.</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Samovar, Larry A., Richard E. Porter, and Intercultural Communication Research Institute. (2017). Intercultural communication: A reader. 15th ed. Wadsworth Cengage Learning.</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Scott, James C. (n.d.). “Differences in American and British Vocabulary: Implications for International Business Communication.” Business Communication Quarterly, 63(4), 27-39.</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Tsui, A. W., &amp; Lau, T. (1996). “Values, interpersonal relationships, and organizational behavior in Chinese societies: Perspectives from East and West.” Management and Organization Review, 2(1), 95-115.</w:t>
      </w:r>
    </w:p>
    <w:p>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Trompenaars, F., &amp; Hampden-Turner. (1998). Riding the Waves of Culture: Understanding Cultural Diversity in Global Business. McGraw-Hill.</w:t>
      </w:r>
    </w:p>
    <w:sectPr>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0" w:usb3="00000000" w:csb0="0000019F" w:csb1="00000000"/>
  </w:font>
  <w:font w:name="Arial">
    <w:panose1 w:val="020B0604020202090204"/>
    <w:charset w:val="00"/>
    <w:family w:val="swiss"/>
    <w:pitch w:val="default"/>
    <w:sig w:usb0="E0000AFF" w:usb1="00007843" w:usb2="00000001" w:usb3="00000000" w:csb0="400001BF" w:csb1="DFF70000"/>
  </w:font>
  <w:font w:name="Courier New">
    <w:panose1 w:val="02070409020205090404"/>
    <w:charset w:val="00"/>
    <w:family w:val="modern"/>
    <w:pitch w:val="default"/>
    <w:sig w:usb0="E0000AFF" w:usb1="40007843" w:usb2="00000001" w:usb3="00000000" w:csb0="400001BF" w:csb1="DFF7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8"/>
          <w:jc w:val="right"/>
        </w:pPr>
        <w:r>
          <w:fldChar w:fldCharType="begin"/>
        </w:r>
        <w:r>
          <w:instrText xml:space="preserve"> PAGE   \* MERGEFORMAT </w:instrText>
        </w:r>
        <w:r>
          <w:fldChar w:fldCharType="separate"/>
        </w:r>
        <w:r>
          <w:t>1</w:t>
        </w:r>
        <w:r>
          <w:fldChar w:fldCharType="end"/>
        </w:r>
      </w:p>
    </w:sdtContent>
  </w:sdt>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34007D"/>
    <w:multiLevelType w:val="multilevel"/>
    <w:tmpl w:val="4234007D"/>
    <w:lvl w:ilvl="0" w:tentative="0">
      <w:start w:val="1"/>
      <w:numFmt w:val="decimal"/>
      <w:lvlText w:val="%1."/>
      <w:lvlJc w:val="left"/>
      <w:pPr>
        <w:ind w:left="435" w:hanging="43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58"/>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4E1"/>
    <w:rsid w:val="001A2F5D"/>
    <w:rsid w:val="001E1CC8"/>
    <w:rsid w:val="001F59E8"/>
    <w:rsid w:val="00216316"/>
    <w:rsid w:val="00275833"/>
    <w:rsid w:val="003B13F1"/>
    <w:rsid w:val="004766FC"/>
    <w:rsid w:val="00533927"/>
    <w:rsid w:val="0055100A"/>
    <w:rsid w:val="00551EE0"/>
    <w:rsid w:val="005954BD"/>
    <w:rsid w:val="005E3B44"/>
    <w:rsid w:val="006535BB"/>
    <w:rsid w:val="00672CD2"/>
    <w:rsid w:val="006D74E1"/>
    <w:rsid w:val="00777869"/>
    <w:rsid w:val="00781F2A"/>
    <w:rsid w:val="007D19CA"/>
    <w:rsid w:val="008265BA"/>
    <w:rsid w:val="00965852"/>
    <w:rsid w:val="009F06DB"/>
    <w:rsid w:val="00A05B12"/>
    <w:rsid w:val="00AA06FB"/>
    <w:rsid w:val="00B03A7F"/>
    <w:rsid w:val="00B9662E"/>
    <w:rsid w:val="00C47D64"/>
    <w:rsid w:val="00C7318C"/>
    <w:rsid w:val="00CB1749"/>
    <w:rsid w:val="00CC439A"/>
    <w:rsid w:val="00CC57E7"/>
    <w:rsid w:val="00D41C55"/>
    <w:rsid w:val="00DD7F54"/>
    <w:rsid w:val="00E11EE5"/>
    <w:rsid w:val="00E64431"/>
    <w:rsid w:val="00E76F45"/>
    <w:rsid w:val="00EE4A19"/>
    <w:rsid w:val="00F64CF6"/>
    <w:rsid w:val="7AFD6C7C"/>
    <w:rsid w:val="FA71C237"/>
    <w:rsid w:val="FFFF7A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0"/>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21"/>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6">
    <w:name w:val="toc 3"/>
    <w:basedOn w:val="1"/>
    <w:next w:val="1"/>
    <w:unhideWhenUsed/>
    <w:uiPriority w:val="39"/>
    <w:pPr>
      <w:spacing w:after="100"/>
      <w:ind w:left="440"/>
    </w:pPr>
  </w:style>
  <w:style w:type="paragraph" w:styleId="7">
    <w:name w:val="footer"/>
    <w:basedOn w:val="1"/>
    <w:link w:val="25"/>
    <w:unhideWhenUsed/>
    <w:uiPriority w:val="99"/>
    <w:pPr>
      <w:tabs>
        <w:tab w:val="center" w:pos="4680"/>
        <w:tab w:val="right" w:pos="9360"/>
      </w:tabs>
      <w:spacing w:after="0" w:line="240" w:lineRule="auto"/>
    </w:pPr>
  </w:style>
  <w:style w:type="paragraph" w:styleId="8">
    <w:name w:val="header"/>
    <w:basedOn w:val="1"/>
    <w:link w:val="24"/>
    <w:unhideWhenUsed/>
    <w:uiPriority w:val="99"/>
    <w:pPr>
      <w:tabs>
        <w:tab w:val="center" w:pos="4680"/>
        <w:tab w:val="right" w:pos="9360"/>
      </w:tabs>
      <w:spacing w:after="0" w:line="240" w:lineRule="auto"/>
    </w:pPr>
  </w:style>
  <w:style w:type="paragraph" w:styleId="9">
    <w:name w:val="toc 1"/>
    <w:basedOn w:val="1"/>
    <w:next w:val="1"/>
    <w:unhideWhenUsed/>
    <w:uiPriority w:val="39"/>
    <w:pPr>
      <w:spacing w:after="100"/>
    </w:pPr>
  </w:style>
  <w:style w:type="paragraph" w:styleId="10">
    <w:name w:val="footnote text"/>
    <w:basedOn w:val="1"/>
    <w:link w:val="26"/>
    <w:semiHidden/>
    <w:unhideWhenUsed/>
    <w:uiPriority w:val="99"/>
    <w:pPr>
      <w:spacing w:after="0" w:line="240" w:lineRule="auto"/>
    </w:pPr>
    <w:rPr>
      <w:sz w:val="20"/>
      <w:szCs w:val="20"/>
    </w:rPr>
  </w:style>
  <w:style w:type="paragraph" w:styleId="11">
    <w:name w:val="toc 2"/>
    <w:basedOn w:val="1"/>
    <w:next w:val="1"/>
    <w:unhideWhenUsed/>
    <w:uiPriority w:val="39"/>
    <w:pPr>
      <w:spacing w:after="100"/>
      <w:ind w:left="220"/>
    </w:pPr>
  </w:style>
  <w:style w:type="paragraph" w:styleId="12">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5">
    <w:name w:val="Strong"/>
    <w:basedOn w:val="14"/>
    <w:qFormat/>
    <w:uiPriority w:val="22"/>
    <w:rPr>
      <w:b/>
      <w:bCs/>
    </w:rPr>
  </w:style>
  <w:style w:type="character" w:styleId="16">
    <w:name w:val="Hyperlink"/>
    <w:basedOn w:val="14"/>
    <w:unhideWhenUsed/>
    <w:uiPriority w:val="99"/>
    <w:rPr>
      <w:color w:val="0563C1" w:themeColor="hyperlink"/>
      <w:u w:val="single"/>
      <w14:textFill>
        <w14:solidFill>
          <w14:schemeClr w14:val="hlink"/>
        </w14:solidFill>
      </w14:textFill>
    </w:rPr>
  </w:style>
  <w:style w:type="character" w:styleId="17">
    <w:name w:val="footnote reference"/>
    <w:basedOn w:val="14"/>
    <w:semiHidden/>
    <w:unhideWhenUsed/>
    <w:uiPriority w:val="99"/>
    <w:rPr>
      <w:vertAlign w:val="superscript"/>
    </w:rPr>
  </w:style>
  <w:style w:type="character" w:customStyle="1" w:styleId="18">
    <w:name w:val="Heading 1 Char"/>
    <w:basedOn w:val="14"/>
    <w:link w:val="2"/>
    <w:uiPriority w:val="9"/>
    <w:rPr>
      <w:rFonts w:asciiTheme="majorHAnsi" w:hAnsiTheme="majorHAnsi" w:eastAsiaTheme="majorEastAsia" w:cstheme="majorBidi"/>
      <w:color w:val="2F5597" w:themeColor="accent1" w:themeShade="BF"/>
      <w:sz w:val="32"/>
      <w:szCs w:val="32"/>
    </w:rPr>
  </w:style>
  <w:style w:type="character" w:customStyle="1" w:styleId="19">
    <w:name w:val="Heading 2 Char"/>
    <w:basedOn w:val="14"/>
    <w:link w:val="3"/>
    <w:uiPriority w:val="9"/>
    <w:rPr>
      <w:rFonts w:asciiTheme="majorHAnsi" w:hAnsiTheme="majorHAnsi" w:eastAsiaTheme="majorEastAsia" w:cstheme="majorBidi"/>
      <w:color w:val="2F5597" w:themeColor="accent1" w:themeShade="BF"/>
      <w:sz w:val="26"/>
      <w:szCs w:val="26"/>
    </w:rPr>
  </w:style>
  <w:style w:type="character" w:customStyle="1" w:styleId="20">
    <w:name w:val="Heading 3 Char"/>
    <w:basedOn w:val="14"/>
    <w:link w:val="4"/>
    <w:uiPriority w:val="9"/>
    <w:rPr>
      <w:rFonts w:asciiTheme="majorHAnsi" w:hAnsiTheme="majorHAnsi" w:eastAsiaTheme="majorEastAsia" w:cstheme="majorBidi"/>
      <w:color w:val="203864" w:themeColor="accent1" w:themeShade="80"/>
      <w:sz w:val="24"/>
      <w:szCs w:val="24"/>
    </w:rPr>
  </w:style>
  <w:style w:type="character" w:customStyle="1" w:styleId="21">
    <w:name w:val="Heading 4 Char"/>
    <w:basedOn w:val="14"/>
    <w:link w:val="5"/>
    <w:uiPriority w:val="9"/>
    <w:rPr>
      <w:rFonts w:asciiTheme="majorHAnsi" w:hAnsiTheme="majorHAnsi" w:eastAsiaTheme="majorEastAsia" w:cstheme="majorBidi"/>
      <w:i/>
      <w:iCs/>
      <w:color w:val="2F5597" w:themeColor="accent1" w:themeShade="BF"/>
    </w:rPr>
  </w:style>
  <w:style w:type="paragraph" w:styleId="22">
    <w:name w:val="List Paragraph"/>
    <w:basedOn w:val="1"/>
    <w:qFormat/>
    <w:uiPriority w:val="34"/>
    <w:pPr>
      <w:ind w:left="720"/>
      <w:contextualSpacing/>
    </w:pPr>
  </w:style>
  <w:style w:type="paragraph" w:customStyle="1" w:styleId="23">
    <w:name w:val="TOC Heading"/>
    <w:basedOn w:val="2"/>
    <w:next w:val="1"/>
    <w:unhideWhenUsed/>
    <w:qFormat/>
    <w:uiPriority w:val="39"/>
    <w:pPr>
      <w:outlineLvl w:val="9"/>
    </w:pPr>
  </w:style>
  <w:style w:type="character" w:customStyle="1" w:styleId="24">
    <w:name w:val="Header Char"/>
    <w:basedOn w:val="14"/>
    <w:link w:val="8"/>
    <w:uiPriority w:val="99"/>
  </w:style>
  <w:style w:type="character" w:customStyle="1" w:styleId="25">
    <w:name w:val="Footer Char"/>
    <w:basedOn w:val="14"/>
    <w:link w:val="7"/>
    <w:uiPriority w:val="99"/>
  </w:style>
  <w:style w:type="character" w:customStyle="1" w:styleId="26">
    <w:name w:val="Footnote Text Char"/>
    <w:basedOn w:val="14"/>
    <w:link w:val="10"/>
    <w:semiHidden/>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cid:image001.png@01D0EA4A.2BD679A0"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4462</Words>
  <Characters>25435</Characters>
  <Lines>211</Lines>
  <Paragraphs>59</Paragraphs>
  <TotalTime>4</TotalTime>
  <ScaleCrop>false</ScaleCrop>
  <LinksUpToDate>false</LinksUpToDate>
  <CharactersWithSpaces>29838</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2023-12-01T10:21:00Z</dcterms:created>
  <dc:creator>Data</dc:creator>
  <cp:lastModifiedBy>贾棋涵</cp:lastModifiedBy>
  <dcterms:modified xsi:type="dcterms:W3CDTF">2023-12-01T19:48:32Z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4EDFA7953A54341990386A65C102A0C3_43</vt:lpwstr>
  </property>
</Properties>
</file>