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E40359">
      <w:pPr>
        <w:pStyle w:val="4"/>
        <w:tabs>
          <w:tab w:val="clear" w:pos="4153"/>
          <w:tab w:val="clear" w:pos="8306"/>
        </w:tabs>
        <w:jc w:val="right"/>
        <w:rPr>
          <w:rFonts w:ascii="Arial" w:hAnsi="Arial" w:cs="Arial"/>
          <w:b/>
          <w:sz w:val="28"/>
          <w:szCs w:val="28"/>
        </w:rPr>
      </w:pPr>
      <w:r>
        <w:rPr>
          <w:rFonts w:ascii="Arial" w:hAnsi="Arial" w:cs="Arial"/>
          <w:b/>
          <w:sz w:val="28"/>
          <w:szCs w:val="28"/>
        </w:rPr>
        <w:t xml:space="preserve"> </w:t>
      </w:r>
    </w:p>
    <w:p w14:paraId="196160A6">
      <w:pPr>
        <w:rPr>
          <w:rFonts w:ascii="Arial" w:hAnsi="Arial" w:cs="Arial"/>
        </w:rPr>
      </w:pPr>
    </w:p>
    <w:tbl>
      <w:tblPr>
        <w:tblStyle w:val="6"/>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8130"/>
      </w:tblGrid>
      <w:tr w14:paraId="5D92EE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14:paraId="47C588C3">
            <w:pPr>
              <w:keepNext/>
              <w:overflowPunct w:val="0"/>
              <w:autoSpaceDE w:val="0"/>
              <w:autoSpaceDN w:val="0"/>
              <w:adjustRightInd w:val="0"/>
              <w:jc w:val="center"/>
              <w:textAlignment w:val="baseline"/>
              <w:outlineLvl w:val="3"/>
              <w:rPr>
                <w:rFonts w:ascii="Arial" w:hAnsi="Arial" w:cs="Arial"/>
                <w:sz w:val="40"/>
                <w:szCs w:val="40"/>
                <w:lang w:val="en-US"/>
              </w:rPr>
            </w:pPr>
            <w:r>
              <w:rPr>
                <w:rFonts w:ascii="Arial" w:hAnsi="Arial" w:cs="Arial"/>
                <w:b/>
                <w:sz w:val="40"/>
                <w:szCs w:val="40"/>
                <w:lang w:val="en-US"/>
              </w:rPr>
              <w:t>BA</w:t>
            </w:r>
            <w:r>
              <w:rPr>
                <w:rFonts w:ascii="Arial" w:hAnsi="Arial" w:cs="Arial"/>
                <w:sz w:val="40"/>
                <w:szCs w:val="40"/>
                <w:lang w:val="en-US"/>
              </w:rPr>
              <w:t xml:space="preserve"> </w:t>
            </w:r>
            <w:r>
              <w:rPr>
                <w:rFonts w:ascii="Arial" w:hAnsi="Arial" w:cs="Arial"/>
                <w:b/>
                <w:sz w:val="40"/>
                <w:szCs w:val="40"/>
                <w:lang w:val="en-US"/>
              </w:rPr>
              <w:t xml:space="preserve">ASSIGNMENT SPECIFICATION </w:t>
            </w:r>
          </w:p>
          <w:p w14:paraId="001C6D1F">
            <w:pPr>
              <w:pStyle w:val="3"/>
              <w:rPr>
                <w:rFonts w:ascii="Arial" w:hAnsi="Arial" w:cs="Arial"/>
                <w:b/>
              </w:rPr>
            </w:pPr>
            <w:r>
              <w:rPr>
                <w:rFonts w:ascii="Arial" w:hAnsi="Arial" w:eastAsia="Calibri" w:cs="Arial"/>
                <w:b/>
                <w:sz w:val="20"/>
              </w:rPr>
              <w:t>SCHOOL OF BUSINESS, FINANCE &amp; MANAGEMENT</w:t>
            </w:r>
          </w:p>
        </w:tc>
      </w:tr>
    </w:tbl>
    <w:p w14:paraId="68CC7748">
      <w:pPr>
        <w:jc w:val="center"/>
        <w:rPr>
          <w:rFonts w:ascii="Arial" w:hAnsi="Arial" w:cs="Arial"/>
          <w:b/>
          <w:i/>
          <w:sz w:val="32"/>
        </w:rPr>
      </w:pPr>
    </w:p>
    <w:tbl>
      <w:tblPr>
        <w:tblStyle w:val="6"/>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14:paraId="41B113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0708EAB0">
            <w:pPr>
              <w:spacing w:before="120" w:after="120"/>
              <w:jc w:val="both"/>
              <w:rPr>
                <w:rFonts w:ascii="Arial" w:hAnsi="Arial" w:cs="Arial"/>
                <w:b/>
                <w:sz w:val="22"/>
                <w:szCs w:val="22"/>
              </w:rPr>
            </w:pPr>
            <w:bookmarkStart w:id="0" w:name="_GoBack"/>
            <w:bookmarkEnd w:id="0"/>
            <w:r>
              <w:rPr>
                <w:rFonts w:ascii="Arial" w:hAnsi="Arial" w:cs="Arial"/>
                <w:b/>
                <w:sz w:val="22"/>
                <w:szCs w:val="22"/>
              </w:rPr>
              <w:t>Student name:</w:t>
            </w:r>
          </w:p>
        </w:tc>
        <w:tc>
          <w:tcPr>
            <w:tcW w:w="3293" w:type="dxa"/>
          </w:tcPr>
          <w:p w14:paraId="7C201A21">
            <w:pPr>
              <w:spacing w:before="120" w:after="120"/>
              <w:jc w:val="both"/>
              <w:rPr>
                <w:rFonts w:hint="default" w:ascii="Arial" w:hAnsi="Arial" w:cs="Arial" w:eastAsiaTheme="minorEastAsia"/>
                <w:b/>
                <w:sz w:val="22"/>
                <w:szCs w:val="22"/>
                <w:lang w:val="en-US" w:eastAsia="zh-CN"/>
              </w:rPr>
            </w:pPr>
            <w:r>
              <w:rPr>
                <w:rFonts w:hint="eastAsia" w:ascii="Arial" w:hAnsi="Arial" w:cs="Arial"/>
                <w:b/>
                <w:sz w:val="22"/>
                <w:szCs w:val="22"/>
                <w:lang w:val="en-US" w:eastAsia="zh-CN"/>
              </w:rPr>
              <w:t>Yuze Tang</w:t>
            </w:r>
          </w:p>
        </w:tc>
        <w:tc>
          <w:tcPr>
            <w:tcW w:w="2268" w:type="dxa"/>
            <w:shd w:val="clear" w:color="auto" w:fill="D9D9D9"/>
          </w:tcPr>
          <w:p w14:paraId="76976D0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2A3EAE4A">
            <w:pPr>
              <w:spacing w:before="120" w:after="120"/>
              <w:jc w:val="both"/>
              <w:rPr>
                <w:rFonts w:hint="default" w:ascii="Arial" w:hAnsi="Arial" w:cs="Arial" w:eastAsiaTheme="minorEastAsia"/>
                <w:b/>
                <w:sz w:val="22"/>
                <w:szCs w:val="22"/>
                <w:lang w:val="en-US" w:eastAsia="zh-CN"/>
              </w:rPr>
            </w:pPr>
            <w:r>
              <w:rPr>
                <w:rFonts w:hint="eastAsia" w:ascii="Arial" w:hAnsi="Arial" w:cs="Arial"/>
                <w:b/>
                <w:sz w:val="22"/>
                <w:szCs w:val="22"/>
                <w:lang w:val="en-US" w:eastAsia="zh-CN"/>
              </w:rPr>
              <w:t>2500218</w:t>
            </w:r>
          </w:p>
        </w:tc>
      </w:tr>
      <w:tr w14:paraId="4875B0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4141BA3F">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1192D157">
            <w:pPr>
              <w:spacing w:before="120" w:after="120"/>
              <w:jc w:val="both"/>
              <w:rPr>
                <w:rFonts w:ascii="Arial" w:hAnsi="Arial" w:cs="Arial"/>
                <w:b/>
                <w:sz w:val="22"/>
                <w:szCs w:val="22"/>
              </w:rPr>
            </w:pPr>
            <w:r>
              <w:rPr>
                <w:rFonts w:ascii="Arial" w:hAnsi="Arial" w:eastAsia="Calibri" w:cs="Arial"/>
                <w:b/>
              </w:rPr>
              <w:t>BA</w:t>
            </w:r>
          </w:p>
        </w:tc>
      </w:tr>
      <w:tr w14:paraId="04C978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66104D88">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1A7B3C6A">
            <w:pPr>
              <w:spacing w:before="120" w:after="120"/>
              <w:jc w:val="both"/>
              <w:rPr>
                <w:rFonts w:ascii="Arial" w:hAnsi="Arial" w:cs="Arial"/>
                <w:b/>
                <w:sz w:val="22"/>
                <w:szCs w:val="22"/>
              </w:rPr>
            </w:pPr>
            <w:r>
              <w:rPr>
                <w:rFonts w:ascii="Arial" w:hAnsi="Arial" w:eastAsia="Calibri" w:cs="Arial"/>
                <w:b/>
                <w:sz w:val="22"/>
                <w:szCs w:val="22"/>
              </w:rPr>
              <w:t>International Business Communications</w:t>
            </w:r>
          </w:p>
        </w:tc>
      </w:tr>
      <w:tr w14:paraId="375788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401F2B6C">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06D19EF0">
            <w:pPr>
              <w:spacing w:before="120" w:after="120"/>
              <w:jc w:val="both"/>
              <w:rPr>
                <w:rFonts w:ascii="Arial" w:hAnsi="Arial" w:cs="Arial"/>
                <w:b/>
                <w:sz w:val="22"/>
                <w:szCs w:val="22"/>
              </w:rPr>
            </w:pPr>
            <w:r>
              <w:rPr>
                <w:rFonts w:ascii="Arial" w:hAnsi="Arial" w:eastAsia="Calibri" w:cs="Arial"/>
                <w:b/>
              </w:rPr>
              <w:t>M3X9089</w:t>
            </w:r>
          </w:p>
        </w:tc>
        <w:tc>
          <w:tcPr>
            <w:tcW w:w="2268" w:type="dxa"/>
            <w:shd w:val="clear" w:color="auto" w:fill="D9D9D9"/>
          </w:tcPr>
          <w:p w14:paraId="32CB025A">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31261422">
            <w:pPr>
              <w:spacing w:before="120" w:after="120"/>
              <w:jc w:val="both"/>
              <w:rPr>
                <w:rFonts w:ascii="Arial" w:hAnsi="Arial" w:eastAsia="Calibri" w:cs="Arial"/>
                <w:b/>
              </w:rPr>
            </w:pPr>
            <w:r>
              <w:rPr>
                <w:rFonts w:ascii="Arial" w:hAnsi="Arial" w:eastAsia="Calibri" w:cs="Arial"/>
                <w:b/>
              </w:rPr>
              <w:t>50%</w:t>
            </w:r>
          </w:p>
          <w:p w14:paraId="1CDF233C">
            <w:pPr>
              <w:spacing w:before="120" w:after="120"/>
              <w:jc w:val="both"/>
              <w:rPr>
                <w:rFonts w:ascii="Arial" w:hAnsi="Arial" w:cs="Arial"/>
                <w:b/>
                <w:sz w:val="22"/>
                <w:szCs w:val="22"/>
              </w:rPr>
            </w:pPr>
            <w:r>
              <w:rPr>
                <w:rFonts w:ascii="Arial" w:hAnsi="Arial" w:eastAsia="Calibri" w:cs="Arial"/>
                <w:b/>
              </w:rPr>
              <w:t>Assignment 2 of 2</w:t>
            </w:r>
          </w:p>
        </w:tc>
      </w:tr>
      <w:tr w14:paraId="699FFB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3410A002">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7CD74F41">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6B086B58">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D0AFD30">
            <w:pPr>
              <w:spacing w:before="120" w:after="120"/>
              <w:jc w:val="both"/>
              <w:rPr>
                <w:rFonts w:ascii="Arial" w:hAnsi="Arial" w:cs="Arial"/>
                <w:b/>
                <w:sz w:val="22"/>
                <w:szCs w:val="22"/>
              </w:rPr>
            </w:pPr>
            <w:r>
              <w:rPr>
                <w:rFonts w:ascii="Arial" w:hAnsi="Arial" w:cs="Arial"/>
                <w:b/>
                <w:sz w:val="22"/>
                <w:szCs w:val="22"/>
              </w:rPr>
              <w:t>Davina Wyn Evans</w:t>
            </w:r>
          </w:p>
        </w:tc>
      </w:tr>
      <w:tr w14:paraId="750961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398A8C88">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33E20B0">
            <w:pPr>
              <w:spacing w:before="120" w:after="120"/>
              <w:jc w:val="both"/>
              <w:rPr>
                <w:rFonts w:ascii="Arial" w:hAnsi="Arial" w:cs="Arial"/>
                <w:b/>
                <w:sz w:val="22"/>
                <w:szCs w:val="22"/>
              </w:rPr>
            </w:pPr>
            <w:r>
              <w:rPr>
                <w:rFonts w:ascii="Arial" w:hAnsi="Arial" w:cs="Arial"/>
                <w:b/>
                <w:sz w:val="22"/>
                <w:szCs w:val="22"/>
              </w:rPr>
              <w:t>IBC Challenges</w:t>
            </w:r>
          </w:p>
        </w:tc>
        <w:tc>
          <w:tcPr>
            <w:tcW w:w="2268" w:type="dxa"/>
            <w:shd w:val="pct15" w:color="auto" w:fill="auto"/>
          </w:tcPr>
          <w:p w14:paraId="5178CD4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676E90">
            <w:pPr>
              <w:spacing w:before="120" w:after="120"/>
              <w:jc w:val="both"/>
              <w:rPr>
                <w:rFonts w:ascii="Arial" w:hAnsi="Arial" w:cs="Arial"/>
                <w:b/>
                <w:sz w:val="22"/>
                <w:szCs w:val="22"/>
              </w:rPr>
            </w:pPr>
            <w:r>
              <w:rPr>
                <w:rFonts w:ascii="Arial" w:hAnsi="Arial" w:cs="Arial"/>
                <w:b/>
                <w:sz w:val="22"/>
                <w:szCs w:val="22"/>
              </w:rPr>
              <w:t>2500</w:t>
            </w:r>
          </w:p>
        </w:tc>
      </w:tr>
      <w:tr w14:paraId="22A0F5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03E9A2A1">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3510AC9E">
            <w:pPr>
              <w:spacing w:before="120" w:after="120"/>
              <w:jc w:val="both"/>
              <w:rPr>
                <w:rFonts w:ascii="Arial" w:hAnsi="Arial" w:cs="Arial"/>
                <w:b/>
                <w:sz w:val="22"/>
                <w:szCs w:val="22"/>
              </w:rPr>
            </w:pPr>
            <w:r>
              <w:rPr>
                <w:rFonts w:ascii="Arial" w:hAnsi="Arial" w:cs="Arial"/>
                <w:b/>
                <w:sz w:val="22"/>
                <w:szCs w:val="22"/>
              </w:rPr>
              <w:t>7</w:t>
            </w:r>
            <w:r>
              <w:rPr>
                <w:rFonts w:ascii="Arial" w:hAnsi="Arial" w:cs="Arial"/>
                <w:b/>
                <w:sz w:val="22"/>
                <w:szCs w:val="22"/>
                <w:vertAlign w:val="superscript"/>
              </w:rPr>
              <w:t>th</w:t>
            </w:r>
            <w:r>
              <w:rPr>
                <w:rFonts w:ascii="Arial" w:hAnsi="Arial" w:cs="Arial"/>
                <w:b/>
                <w:sz w:val="22"/>
                <w:szCs w:val="22"/>
              </w:rPr>
              <w:t xml:space="preserve"> January 2022</w:t>
            </w:r>
          </w:p>
        </w:tc>
        <w:tc>
          <w:tcPr>
            <w:tcW w:w="2268" w:type="dxa"/>
            <w:shd w:val="pct15" w:color="auto" w:fill="auto"/>
          </w:tcPr>
          <w:p w14:paraId="5BBAF0BB">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2DB20CC7">
            <w:pPr>
              <w:spacing w:before="120" w:after="120"/>
              <w:jc w:val="both"/>
              <w:rPr>
                <w:rFonts w:ascii="Arial" w:hAnsi="Arial" w:cs="Arial"/>
                <w:b/>
                <w:sz w:val="22"/>
                <w:szCs w:val="22"/>
              </w:rPr>
            </w:pPr>
            <w:r>
              <w:rPr>
                <w:rFonts w:ascii="Arial" w:hAnsi="Arial" w:cs="Arial"/>
                <w:b/>
                <w:sz w:val="22"/>
                <w:szCs w:val="22"/>
              </w:rPr>
              <w:t>4</w:t>
            </w:r>
            <w:r>
              <w:rPr>
                <w:rFonts w:ascii="Arial" w:hAnsi="Arial" w:cs="Arial"/>
                <w:b/>
                <w:sz w:val="22"/>
                <w:szCs w:val="22"/>
                <w:vertAlign w:val="superscript"/>
              </w:rPr>
              <w:t>th</w:t>
            </w:r>
            <w:r>
              <w:rPr>
                <w:rFonts w:ascii="Arial" w:hAnsi="Arial" w:cs="Arial"/>
                <w:b/>
                <w:sz w:val="22"/>
                <w:szCs w:val="22"/>
              </w:rPr>
              <w:t xml:space="preserve"> February 2022</w:t>
            </w:r>
          </w:p>
        </w:tc>
      </w:tr>
      <w:tr w14:paraId="0DA76C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140191B6">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1B3FB25C">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AA3295">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1D63830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14:paraId="3BB045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5" w:color="auto" w:fill="auto"/>
          </w:tcPr>
          <w:p w14:paraId="6AFC4D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C34ABD0">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4735B7C">
      <w:pPr>
        <w:rPr>
          <w:rFonts w:ascii="Arial" w:hAnsi="Arial" w:cs="Arial"/>
          <w:sz w:val="32"/>
        </w:rPr>
      </w:pPr>
    </w:p>
    <w:p w14:paraId="11E62EAC">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Introduction</w:t>
      </w:r>
    </w:p>
    <w:p w14:paraId="304784AF">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Against the backdrop of deepening globalization, transnational business cooperation within Europe has grown increasingly close. As a major financial hub and trade gateway in Western Europe, the United Kingdom occupies a pivotal position in global trade, leveraging its open market environment and sophisticated financial services system. Germany, serving as the core engine of Europe's economy, has become a benchmark for manufacturing across Europe and the world through its leading automotive production, precision machinery industries, and rigorous industrial framework (Porter &amp; Kramer, 2021; Dunning, 2020). The two nations maintain frequent exchanges across multiple critical economic sectors, serving as vital trading partners with continuously expanding depth and breadth in bilateral cooperation. However, despite their geographical proximity and shared status as developed nations, Germany and the UK have evolved distinct business cultures due to differences in historical development, social traditions, and value systems. These disparities become particularly pronounced in cross-border commercial interactions, frequently leading to communication misunderstandings and conflicts. Such issues not only hinder cooperation efficiency but also risk undermining mutual trust, forming a major bottleneck constraining the advancement of bilateral business collaboration to higher levels (Shenkar &amp; Luo, 2022; Lewis, 2020).</w:t>
      </w:r>
    </w:p>
    <w:p w14:paraId="343DEF27">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The purpose of this study is to systematically analyze the nature and impact of communication barriers in German-English international business interactions and propose practical solutions to provide theoretical guidance for enterprises and business professionals engaged in cross-border cooperation between Germany and the UK. The research will first outline the German business landscape and core scenarios of German-English business communication. It will then analyze the causes and effects of these barriers using theories such as Hofstede's cultural dimensions. Finally, drawing on the reflective model, it will propose solutions at three levels: cultural adaptation, mechanism development, and talent cultivation.</w:t>
      </w:r>
    </w:p>
    <w:p w14:paraId="6B5D6EF9">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582C7641">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2ECE0291">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58D98D16">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0436D4D4">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063FAB7D">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0BEEF188">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3D37DF20">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6C3C34E0">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4F181B6E">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48FF2C2E">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53D33908">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7647083">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6EDFBF2C">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7590D197">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28894D37">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35D4E44">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C16B891">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72890240">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376011B6">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339717F">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0D90D048">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56B4E180">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4E5D83B2">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63CA1E86">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7E20871">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3154E5EA">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06F5EA9">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4F9EBC7E">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A3D254B">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lang w:val="en-US" w:eastAsia="zh-CN"/>
        </w:rPr>
        <w:t>S</w:t>
      </w:r>
      <w:r>
        <w:rPr>
          <w:rFonts w:hint="default" w:ascii="Times New Roman" w:hAnsi="Times New Roman" w:cs="Times New Roman"/>
        </w:rPr>
        <w:t>ituated in central Europe, is a highly developed industrial nation whose GDP consistently ranks first in Europe. Its automotive, chemical, and precision machinery industries not only dominate the European market but have also established the “Made in Germany” standard as a benchmark for high quality globally (Whitley &amp; Kristensen, 2020). This industrial strength is inextricably linked to its unique business ecosystem: Germany's commercial structure centers on small and medium-sized enterprises (SMEs)—often termed “hidden champions”—with family-owned businesses comprising over 60% of the total. These enterprises often specialize in niche sectors for decades, cultivating a management philosophy centered on “dedicated expertise and long-termism.” This manifests in rigorous organizational structures and clearly defined hierarchical decision-making processes, where all business decisions must be grounded in detailed data and logical reasoning rather than relying on experience-based judgments or short-term profit considerations (House et al., 2021).</w:t>
      </w:r>
    </w:p>
    <w:p w14:paraId="2797BB53">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Notably, Germany's dual vocational education system has supplied the business sector with a substantial pool of highly skilled technical and managerial talent. This “school theory + corporate practice” training model has cultivated a strong sense of compliance and professional competence among German business professionals. For instance, supply chain managers at BMW Group must not only master logistics management theory but also undergo thousands of hours of practical assessments within corporate settings before becoming fully qualified. This expertise directly manifests in the precision and standardization of business communication (Kristensen &amp; Whitley, 2021).</w:t>
      </w:r>
    </w:p>
    <w:p w14:paraId="654071FF">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 xml:space="preserve">From a policy perspective, as a core EU member state, Germany rigorously enforces unified EU regulations on trade, environmental protection, and product quality. The automotive sector alone adheres to over 200 mandatory technical standards. Government market oversight follows a “precautionary principle,” requiring chemical companies to submit comprehensive environmental impact assessments before obtaining production permits (Bevan &amp; Hood, 2021). Simultaneously, Germany's digital transformation progresses rapidly, with over 90% of enterprises achieving full-process digital office operations. The widespread adoption of technologies like cross-border video conferencing and cloud-based collaboration platforms provides robust technical support for German-British multinational business communication. However, this also necessitates mutual adaptation to each other's digital communication habits (Marschan-Piekkari et al., 2022). </w:t>
      </w:r>
    </w:p>
    <w:p w14:paraId="517FD460">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Based on actual cases of Sino-German business cooperation, core communication scenarios between the two parties can be categorized into three main types, each giving rise to typical communication barriers due to cultural differences. In business negotiation scenarios, negotiations over core elements such as pricing, terms, and responsibility allocation often reach deadlocks due to divergent decision-making logics. For instance, during 2023 negotiations between a British auto parts company and a Munich-based transmission system manufacturer, the British delegation proposed an accelerated timeline—“confirming cooperation intent within one week and finalizing the contract within one month”—alongside a preliminary price range based on market conditions. The German representatives, however, demanded the British company's financial statements for the past three years, product quality inspection reports, and market share data. They questioned the vague pricing range and even requested detailed cost breakdowns for different product batches. This led the British side to perceive the Germans as “excessively demanding and inefficient,” causing negotiations to stall (Commisceo-Global, 2023).</w:t>
      </w:r>
    </w:p>
    <w:p w14:paraId="22430B0F">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 xml:space="preserve">Barriers in daily collaboration scenarios primarily stem from differences in communication pace and style. When a London-based tech company collaborated with a Berlin R&amp;D team on developing AI algorithms, the British team typically engaged in small talk for 10 minutes before video conferences—discussing weather, sports events, and other topics to build rapport—and frequently interjected spontaneous ideas during meetings. The German team, however, strictly adhered to the agenda, starting meetings punctually with no more than two minutes for small talk. They required that spontaneous ideas be “formulated into written proposals before discussion.” Initially, this difference in pace meant weekly meetings required an extra hour to clarify core issues, significantly reducing collaboration efficiency (Spencer-Oatey &amp; Xing, 2021). Misunderstandings in written communication are more insidious. A British trading company emailed its German partner suggesting, “Perhaps we could consider adjusting delivery cycles to align with market demand.” The German team interpreted phrases like “perhaps” and “consider” as vague, perceiving the proposal as a preliminary idea rather than a formal recommendation. Consequently, they failed to promptly follow up with adjustments, ultimately causing some products to miss their sales window. Only during a post-event review did they realize the British side had actually expected the Germans to immediately assess the feasibility of the adjustment (Hall &amp; Hall, 2020). </w:t>
      </w:r>
    </w:p>
    <w:p w14:paraId="21E1D7DF">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The obstacles in these scenarios do not exist in isolation but stem from deep-seated differences in business structures, policy environments, cultural customs, and communication styles. According to Hofstede's cultural dimensions theory, Germany's uncertainty avoidance index stands at 65 points, significantly higher than the UK's 35 points. This disparity drives Germans to pursue “certainty” throughout business activities—contract terms must cover all potential risks, decisions require multi-tiered validation, and product standards demand strict quantification. Conversely, the British are more accepting of ambiguity and uncertainty, favoring an “adjust-as-you-go” approach (Hofstede Insights, 2020). Trompenaars' “Time Orientation” dimension further explains these behavioral differences: Germany operates within a “linear time” culture, viewing time as something to be planned in an orderly fashion, with each stage dedicated to specific tasks—such as negotiations structured into distinct phases like “data verification—term negotiation—detail confirmation.” The UK, however, belongs to a “flexible time” culture, permitting task overlap and pace adjustments, prioritizing “results orientation” over “rigorous process” (Trompenaars, 2021).</w:t>
      </w:r>
    </w:p>
    <w:p w14:paraId="32E5F95C">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 xml:space="preserve">Policy differences have become increasingly pronounced since Brexit. While Germany adheres to the EU's unified CE certification standards, the UK has introduced its own UKCA certification system. Although mutual recognition applies to certain products, testing procedures differ across sectors such as machinery and electronics. In 2022, a German machine tool manufacturer exporting equipment to the UK failed to anticipate the specific electromagnetic compatibility requirements under UKCA certification. Consequently, the equipment failed post-arrival inspections, necessitating two months of rework and incurring costs exceeding hundreds of thousands of yuan (Bevan &amp; Hood, 2021). Differences in business structures further exacerbate conflicts in decision-making efficiency. Decisions in German family-owned enterprises typically require joint participation from core family members, management, and technical experts. For instance, collaborative decisions at a family-run chemical company undergo four stages—“market research by the marketing department—technical evaluation by the engineering department—management discussion—approval by the family council”—averaging three months. In contrast, decision-making in British SMEs is typically led by founders or core management, relying on rapid judgments based on market feedback. For instance, a London-based tech startup often finalizes partnership decisions within one week of a management meeting (Whitley &amp; Kristensen, 2020). </w:t>
      </w:r>
    </w:p>
    <w:p w14:paraId="563EDD3F">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To address these deep-seated barriers, leveraging the “experience-reflection-synthesis-application” logic of the Gibbs Reflection Model, implementation strategies can be proposed across three dimensions: cultural adaptation, mechanism building, and talent development. Multiple enterprises have already validated the effectiveness of these strategies through practical application. Regarding cultural adaptation, Germany's Siemens Group developed a specialized “UK-Germany Business Culture Alignment Course” to address communication challenges with British partners. The curriculum covers common topics in British business small talk, techniques for interpreting indirect expressions, and key points in German decision-making processes. All employees handling UK business operations are required to complete this training. Following the training, Siemens reduced its engine component negotiation cycle with Rolls-Royce from four months to 2.5 months, while lowering misunderstanding rates by 60% (House et al., 2021).</w:t>
      </w:r>
    </w:p>
    <w:p w14:paraId="65A2BF51">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In establishing communication mechanisms, HSBC (a Sino-German joint venture) developed the Cross-Cultural Business Communication Handbook, which defines communication protocols for three core scenarios: Daily collaboration adopts a “fixed agenda + flexible discussion” meeting format, with the first 20 minutes proceeding according to the agenda and the last 10 minutes open for discussion; Written communication distinguishes between “formal documents” and “informal communication.” Formal documents require quantitative expressions and priority labeling, while informal communication (e.g., instant messages) may be appropriately simplified but must clearly indicate “whether a response is required” (Bargiela-Chiappini &amp; Nickerson, 2022).</w:t>
      </w:r>
    </w:p>
    <w:p w14:paraId="5B66B0A6">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At the talent development level, Bosch Group implements a “German-British Employee Exchange Program,” annually selecting 20 German employees to work at its UK subsidiary for six months while simultaneously hosting 20 British employees for rotational assignments at its German headquarters. This enables employees to experience each other's cultures and communication styles through practical work. Feedback from participating employees indicates that their “understanding” of each other's behaviors increased from 30% to 85% after the on-site experience. Furthermore, the success rate of the Group's cross-cultural projects rose from 58% to 82% (Kolb, 2020). These cases demonstrate that targeted strategies to bridge cultural differences can effectively enhance the efficiency and quality of German-British business communication.</w:t>
      </w:r>
    </w:p>
    <w:p w14:paraId="46A337D3">
      <w:pPr>
        <w:keepNext w:val="0"/>
        <w:keepLines w:val="0"/>
        <w:widowControl/>
        <w:suppressLineNumbers w:val="0"/>
        <w:spacing w:line="480" w:lineRule="auto"/>
        <w:jc w:val="both"/>
        <w:rPr>
          <w:rFonts w:hint="default" w:ascii="Times New Roman" w:hAnsi="Times New Roman" w:eastAsia="宋体" w:cs="Times New Roman"/>
          <w:kern w:val="0"/>
          <w:sz w:val="24"/>
          <w:szCs w:val="24"/>
          <w:lang w:val="en-US" w:eastAsia="zh-CN" w:bidi="ar"/>
        </w:rPr>
      </w:pPr>
    </w:p>
    <w:p w14:paraId="5227F9EE">
      <w:pPr>
        <w:pStyle w:val="5"/>
        <w:keepNext w:val="0"/>
        <w:keepLines w:val="0"/>
        <w:widowControl/>
        <w:suppressLineNumbers w:val="0"/>
        <w:spacing w:line="480" w:lineRule="auto"/>
        <w:jc w:val="both"/>
        <w:rPr>
          <w:rFonts w:hint="default" w:ascii="Times New Roman" w:hAnsi="Times New Roman" w:cs="Times New Roman"/>
        </w:rPr>
      </w:pPr>
    </w:p>
    <w:p w14:paraId="24353352">
      <w:pPr>
        <w:pStyle w:val="5"/>
        <w:keepNext w:val="0"/>
        <w:keepLines w:val="0"/>
        <w:widowControl/>
        <w:suppressLineNumbers w:val="0"/>
        <w:spacing w:line="480" w:lineRule="auto"/>
        <w:jc w:val="both"/>
        <w:rPr>
          <w:rFonts w:hint="default" w:ascii="Times New Roman" w:hAnsi="Times New Roman" w:cs="Times New Roman"/>
        </w:rPr>
      </w:pPr>
    </w:p>
    <w:p w14:paraId="1F9F359C">
      <w:pPr>
        <w:pStyle w:val="5"/>
        <w:keepNext w:val="0"/>
        <w:keepLines w:val="0"/>
        <w:widowControl/>
        <w:suppressLineNumbers w:val="0"/>
        <w:spacing w:line="480" w:lineRule="auto"/>
        <w:jc w:val="both"/>
        <w:rPr>
          <w:rFonts w:hint="default" w:ascii="Times New Roman" w:hAnsi="Times New Roman" w:cs="Times New Roman"/>
        </w:rPr>
      </w:pPr>
    </w:p>
    <w:p w14:paraId="67CD80A6">
      <w:pPr>
        <w:pStyle w:val="5"/>
        <w:keepNext w:val="0"/>
        <w:keepLines w:val="0"/>
        <w:widowControl/>
        <w:suppressLineNumbers w:val="0"/>
        <w:spacing w:line="480" w:lineRule="auto"/>
        <w:jc w:val="both"/>
        <w:rPr>
          <w:rFonts w:hint="default" w:ascii="Times New Roman" w:hAnsi="Times New Roman" w:cs="Times New Roman"/>
        </w:rPr>
      </w:pPr>
    </w:p>
    <w:p w14:paraId="4C126CC5">
      <w:pPr>
        <w:pStyle w:val="5"/>
        <w:keepNext w:val="0"/>
        <w:keepLines w:val="0"/>
        <w:widowControl/>
        <w:suppressLineNumbers w:val="0"/>
        <w:spacing w:line="480" w:lineRule="auto"/>
        <w:jc w:val="both"/>
        <w:rPr>
          <w:rFonts w:hint="default" w:ascii="Times New Roman" w:hAnsi="Times New Roman" w:cs="Times New Roman"/>
        </w:rPr>
      </w:pPr>
    </w:p>
    <w:p w14:paraId="0A1BE8F7">
      <w:pPr>
        <w:pStyle w:val="5"/>
        <w:keepNext w:val="0"/>
        <w:keepLines w:val="0"/>
        <w:widowControl/>
        <w:suppressLineNumbers w:val="0"/>
        <w:spacing w:line="480" w:lineRule="auto"/>
        <w:jc w:val="both"/>
        <w:rPr>
          <w:rFonts w:hint="default" w:ascii="Times New Roman" w:hAnsi="Times New Roman" w:cs="Times New Roman"/>
        </w:rPr>
      </w:pPr>
    </w:p>
    <w:p w14:paraId="39B9A979">
      <w:pPr>
        <w:pStyle w:val="5"/>
        <w:keepNext w:val="0"/>
        <w:keepLines w:val="0"/>
        <w:widowControl/>
        <w:suppressLineNumbers w:val="0"/>
        <w:spacing w:line="480" w:lineRule="auto"/>
        <w:jc w:val="both"/>
        <w:rPr>
          <w:rFonts w:hint="default" w:ascii="Times New Roman" w:hAnsi="Times New Roman" w:cs="Times New Roman"/>
        </w:rPr>
      </w:pPr>
    </w:p>
    <w:p w14:paraId="4616D603">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In summary, the core barriers to business communication between Germany and the UK stem from cognitive and behavioral discrepancies arising from differences in commercial structures, policy environments, cultural customs, and communication styles. These discrepancies not only cause short-term negotiation delays and increased costs but also undermine the foundation of cooperative trust over the long term. Proactively adapting to the other party's culture, establishing standardized communication mechanisms, and strengthening cross-cultural talent development can effectively bridge communication gaps and enhance cooperation efficiency (Shenkar &amp; Luo, 2022).</w:t>
      </w:r>
    </w:p>
    <w:p w14:paraId="652C28FC">
      <w:pPr>
        <w:pStyle w:val="5"/>
        <w:keepNext w:val="0"/>
        <w:keepLines w:val="0"/>
        <w:widowControl/>
        <w:suppressLineNumbers w:val="0"/>
        <w:spacing w:line="480" w:lineRule="auto"/>
        <w:jc w:val="both"/>
        <w:rPr>
          <w:rFonts w:hint="default" w:ascii="Times New Roman" w:hAnsi="Times New Roman" w:cs="Times New Roman"/>
        </w:rPr>
      </w:pPr>
      <w:r>
        <w:rPr>
          <w:rFonts w:hint="default" w:ascii="Times New Roman" w:hAnsi="Times New Roman" w:cs="Times New Roman"/>
        </w:rPr>
        <w:t>This research conclusion addresses the paper's objective of exploring the nature of German-English business communication barriers and their resolution strategies, providing practical guidance for cross-border collaboration between enterprises in both countries. Based on these findings, it is recommended that enterprises from both countries adopt an open and inclusive attitude toward differences in cross-cultural cooperation, transforming cultural variations into collaborative advantages (Lewis, 2020). Furthermore, future efforts should focus on strengthening inter-industry exchanges, establishing cross-border business communication standards, and advancing German-British business cooperation to deeper levels (Dunning, 2020).</w:t>
      </w:r>
    </w:p>
    <w:p w14:paraId="489CA4FA">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167CF2BC">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69B193FD">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03DD6A57">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530619BC">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071C53EE">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2812E232">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14:paraId="5775A880">
      <w:pPr>
        <w:keepNext w:val="0"/>
        <w:keepLines w:val="0"/>
        <w:widowControl/>
        <w:suppressLineNumbers w:val="0"/>
        <w:jc w:val="left"/>
        <w:rPr>
          <w:rStyle w:val="8"/>
          <w:rFonts w:hint="default" w:ascii="Times New Roman" w:hAnsi="Times New Roman" w:eastAsia="宋体" w:cs="Times New Roman"/>
          <w:b w:val="0"/>
          <w:bCs/>
          <w:kern w:val="0"/>
          <w:sz w:val="24"/>
          <w:szCs w:val="24"/>
          <w:lang w:val="en-US" w:eastAsia="zh-CN" w:bidi="ar"/>
        </w:rPr>
      </w:pPr>
      <w:r>
        <w:rPr>
          <w:rStyle w:val="8"/>
          <w:rFonts w:hint="eastAsia" w:ascii="Times New Roman" w:hAnsi="Times New Roman" w:eastAsia="宋体" w:cs="Times New Roman"/>
          <w:b w:val="0"/>
          <w:bCs/>
          <w:kern w:val="0"/>
          <w:sz w:val="24"/>
          <w:szCs w:val="24"/>
          <w:lang w:val="en-US" w:eastAsia="zh-CN" w:bidi="ar"/>
        </w:rPr>
        <w:t>References</w:t>
      </w:r>
    </w:p>
    <w:p w14:paraId="124CDF0D">
      <w:pPr>
        <w:keepNext w:val="0"/>
        <w:keepLines w:val="0"/>
        <w:widowControl/>
        <w:suppressLineNumbers w:val="0"/>
        <w:jc w:val="left"/>
        <w:rPr>
          <w:rStyle w:val="8"/>
          <w:rFonts w:hint="default" w:ascii="Times New Roman" w:hAnsi="Times New Roman" w:eastAsia="宋体" w:cs="Times New Roman"/>
          <w:kern w:val="0"/>
          <w:sz w:val="24"/>
          <w:szCs w:val="24"/>
          <w:lang w:val="en-US" w:eastAsia="zh-CN" w:bidi="ar"/>
        </w:rPr>
      </w:pPr>
    </w:p>
    <w:p w14:paraId="459436B8">
      <w:pPr>
        <w:keepNext w:val="0"/>
        <w:keepLines w:val="0"/>
        <w:widowControl/>
        <w:numPr>
          <w:ilvl w:val="0"/>
          <w:numId w:val="1"/>
        </w:numPr>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Bargiela-Chiappini, F. &amp; Nickerson, C. (2022) </w:t>
      </w:r>
      <w:r>
        <w:rPr>
          <w:rStyle w:val="9"/>
          <w:rFonts w:hint="default" w:ascii="Times New Roman" w:hAnsi="Times New Roman" w:eastAsia="宋体" w:cs="Times New Roman"/>
          <w:kern w:val="0"/>
          <w:sz w:val="24"/>
          <w:szCs w:val="24"/>
          <w:lang w:val="en-US" w:eastAsia="zh-CN" w:bidi="ar"/>
        </w:rPr>
        <w:t>Business Discourse in the Digital Age</w:t>
      </w:r>
      <w:r>
        <w:rPr>
          <w:rFonts w:hint="default" w:ascii="Times New Roman" w:hAnsi="Times New Roman" w:eastAsia="宋体" w:cs="Times New Roman"/>
          <w:kern w:val="0"/>
          <w:sz w:val="24"/>
          <w:szCs w:val="24"/>
          <w:lang w:val="en-US" w:eastAsia="zh-CN" w:bidi="ar"/>
        </w:rPr>
        <w:t>. London: Continuum.</w:t>
      </w:r>
    </w:p>
    <w:p w14:paraId="7A2E07DD">
      <w:pPr>
        <w:keepNext w:val="0"/>
        <w:keepLines w:val="0"/>
        <w:widowControl/>
        <w:numPr>
          <w:ilvl w:val="0"/>
          <w:numId w:val="0"/>
        </w:numPr>
        <w:suppressLineNumbers w:val="0"/>
        <w:jc w:val="left"/>
        <w:rPr>
          <w:rFonts w:hint="default" w:ascii="Times New Roman" w:hAnsi="Times New Roman" w:cs="Times New Roman"/>
          <w:sz w:val="24"/>
          <w:szCs w:val="24"/>
        </w:rPr>
      </w:pPr>
    </w:p>
    <w:p w14:paraId="72B67F15">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Bevan, S. &amp; Hood, N. (2021) Brexit and UK-EU trade relations: A post-pandemic analysis. </w:t>
      </w:r>
      <w:r>
        <w:rPr>
          <w:rStyle w:val="9"/>
          <w:rFonts w:hint="default" w:ascii="Times New Roman" w:hAnsi="Times New Roman" w:eastAsia="宋体" w:cs="Times New Roman"/>
          <w:kern w:val="0"/>
          <w:sz w:val="24"/>
          <w:szCs w:val="24"/>
          <w:lang w:val="en-US" w:eastAsia="zh-CN" w:bidi="ar"/>
        </w:rPr>
        <w:t>Journal of Common Market Studies</w:t>
      </w:r>
      <w:r>
        <w:rPr>
          <w:rFonts w:hint="default" w:ascii="Times New Roman" w:hAnsi="Times New Roman" w:eastAsia="宋体" w:cs="Times New Roman"/>
          <w:kern w:val="0"/>
          <w:sz w:val="24"/>
          <w:szCs w:val="24"/>
          <w:lang w:val="en-US" w:eastAsia="zh-CN" w:bidi="ar"/>
        </w:rPr>
        <w:t>, 59(3), pp. 789-806.</w:t>
      </w:r>
    </w:p>
    <w:p w14:paraId="12767377">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18CA784A">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Boomer, D.R. (2021) Reflective practice for modern adult education. </w:t>
      </w:r>
      <w:r>
        <w:rPr>
          <w:rStyle w:val="9"/>
          <w:rFonts w:hint="default" w:ascii="Times New Roman" w:hAnsi="Times New Roman" w:eastAsia="宋体" w:cs="Times New Roman"/>
          <w:kern w:val="0"/>
          <w:sz w:val="24"/>
          <w:szCs w:val="24"/>
          <w:lang w:val="en-US" w:eastAsia="zh-CN" w:bidi="ar"/>
        </w:rPr>
        <w:t>Adult Education Quarterly</w:t>
      </w:r>
      <w:r>
        <w:rPr>
          <w:rFonts w:hint="default" w:ascii="Times New Roman" w:hAnsi="Times New Roman" w:eastAsia="宋体" w:cs="Times New Roman"/>
          <w:kern w:val="0"/>
          <w:sz w:val="24"/>
          <w:szCs w:val="24"/>
          <w:lang w:val="en-US" w:eastAsia="zh-CN" w:bidi="ar"/>
        </w:rPr>
        <w:t>, 71(2), pp. 112-129.</w:t>
      </w:r>
    </w:p>
    <w:p w14:paraId="74B2B232">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748E73DA">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Commisceo-Global (2023) </w:t>
      </w:r>
      <w:r>
        <w:rPr>
          <w:rStyle w:val="9"/>
          <w:rFonts w:hint="default" w:ascii="Times New Roman" w:hAnsi="Times New Roman" w:eastAsia="宋体" w:cs="Times New Roman"/>
          <w:kern w:val="0"/>
          <w:sz w:val="24"/>
          <w:szCs w:val="24"/>
          <w:lang w:val="en-US" w:eastAsia="zh-CN" w:bidi="ar"/>
        </w:rPr>
        <w:t>Country Cultural Guides &amp; Expatriate Management Guidelines</w:t>
      </w:r>
      <w:r>
        <w:rPr>
          <w:rFonts w:hint="default" w:ascii="Times New Roman" w:hAnsi="Times New Roman" w:eastAsia="宋体" w:cs="Times New Roman"/>
          <w:kern w:val="0"/>
          <w:sz w:val="24"/>
          <w:szCs w:val="24"/>
          <w:lang w:val="en-US" w:eastAsia="zh-CN" w:bidi="ar"/>
        </w:rPr>
        <w:t xml:space="preserve"> [Online]. Available from: https://www.commisceo-global.com [Accessed 8 December 2025].</w:t>
      </w:r>
    </w:p>
    <w:p w14:paraId="49CA52B3">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11554AB7">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Dunning, J.H. (2020) </w:t>
      </w:r>
      <w:r>
        <w:rPr>
          <w:rStyle w:val="9"/>
          <w:rFonts w:hint="default" w:ascii="Times New Roman" w:hAnsi="Times New Roman" w:eastAsia="宋体" w:cs="Times New Roman"/>
          <w:kern w:val="0"/>
          <w:sz w:val="24"/>
          <w:szCs w:val="24"/>
          <w:lang w:val="en-US" w:eastAsia="zh-CN" w:bidi="ar"/>
        </w:rPr>
        <w:t>Multinational Enterprises in the Post-Brexit Era</w:t>
      </w:r>
      <w:r>
        <w:rPr>
          <w:rFonts w:hint="default" w:ascii="Times New Roman" w:hAnsi="Times New Roman" w:eastAsia="宋体" w:cs="Times New Roman"/>
          <w:kern w:val="0"/>
          <w:sz w:val="24"/>
          <w:szCs w:val="24"/>
          <w:lang w:val="en-US" w:eastAsia="zh-CN" w:bidi="ar"/>
        </w:rPr>
        <w:t>. Abingdon: Routledge.</w:t>
      </w:r>
    </w:p>
    <w:p w14:paraId="403AECD7">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4E928F72">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Gibbs, G. (2019) </w:t>
      </w:r>
      <w:r>
        <w:rPr>
          <w:rStyle w:val="9"/>
          <w:rFonts w:hint="default" w:ascii="Times New Roman" w:hAnsi="Times New Roman" w:eastAsia="宋体" w:cs="Times New Roman"/>
          <w:kern w:val="0"/>
          <w:sz w:val="24"/>
          <w:szCs w:val="24"/>
          <w:lang w:val="en-US" w:eastAsia="zh-CN" w:bidi="ar"/>
        </w:rPr>
        <w:t>Learning by Doing: A Modern Guide to Reflective Practice</w:t>
      </w:r>
      <w:r>
        <w:rPr>
          <w:rFonts w:hint="default" w:ascii="Times New Roman" w:hAnsi="Times New Roman" w:eastAsia="宋体" w:cs="Times New Roman"/>
          <w:kern w:val="0"/>
          <w:sz w:val="24"/>
          <w:szCs w:val="24"/>
          <w:lang w:val="en-US" w:eastAsia="zh-CN" w:bidi="ar"/>
        </w:rPr>
        <w:t>. Oxford: Oxford University Press.</w:t>
      </w:r>
    </w:p>
    <w:p w14:paraId="1ACA35CB">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514149F3">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Hall, E.T. &amp; Hall, M.R. (2020) </w:t>
      </w:r>
      <w:r>
        <w:rPr>
          <w:rStyle w:val="9"/>
          <w:rFonts w:hint="default" w:ascii="Times New Roman" w:hAnsi="Times New Roman" w:eastAsia="宋体" w:cs="Times New Roman"/>
          <w:kern w:val="0"/>
          <w:sz w:val="24"/>
          <w:szCs w:val="24"/>
          <w:lang w:val="en-US" w:eastAsia="zh-CN" w:bidi="ar"/>
        </w:rPr>
        <w:t>Hidden Differences: Updated for the Global Digital Era</w:t>
      </w:r>
      <w:r>
        <w:rPr>
          <w:rFonts w:hint="default" w:ascii="Times New Roman" w:hAnsi="Times New Roman" w:eastAsia="宋体" w:cs="Times New Roman"/>
          <w:kern w:val="0"/>
          <w:sz w:val="24"/>
          <w:szCs w:val="24"/>
          <w:lang w:val="en-US" w:eastAsia="zh-CN" w:bidi="ar"/>
        </w:rPr>
        <w:t>. New York: Doubleday.</w:t>
      </w:r>
    </w:p>
    <w:p w14:paraId="296A5335">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1ADAE136">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Hofstede Insights (2020) </w:t>
      </w:r>
      <w:r>
        <w:rPr>
          <w:rStyle w:val="9"/>
          <w:rFonts w:hint="default" w:ascii="Times New Roman" w:hAnsi="Times New Roman" w:eastAsia="宋体" w:cs="Times New Roman"/>
          <w:kern w:val="0"/>
          <w:sz w:val="24"/>
          <w:szCs w:val="24"/>
          <w:lang w:val="en-US" w:eastAsia="zh-CN" w:bidi="ar"/>
        </w:rPr>
        <w:t>Cultural Dimensions Country Comparison: Germany vs UK</w:t>
      </w:r>
      <w:r>
        <w:rPr>
          <w:rFonts w:hint="default" w:ascii="Times New Roman" w:hAnsi="Times New Roman" w:eastAsia="宋体" w:cs="Times New Roman"/>
          <w:kern w:val="0"/>
          <w:sz w:val="24"/>
          <w:szCs w:val="24"/>
          <w:lang w:val="en-US" w:eastAsia="zh-CN" w:bidi="ar"/>
        </w:rPr>
        <w:t xml:space="preserve"> [Online]. Available from: https://www.hofstede-insights.com [Accessed 8 December 2025].</w:t>
      </w:r>
    </w:p>
    <w:p w14:paraId="3C740274">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63C12E48">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House, R.J., Hanges, P.J., Javidan, M. &amp; Dorfman, P.W. (2021) </w:t>
      </w:r>
      <w:r>
        <w:rPr>
          <w:rStyle w:val="9"/>
          <w:rFonts w:hint="default" w:ascii="Times New Roman" w:hAnsi="Times New Roman" w:eastAsia="宋体" w:cs="Times New Roman"/>
          <w:kern w:val="0"/>
          <w:sz w:val="24"/>
          <w:szCs w:val="24"/>
          <w:lang w:val="en-US" w:eastAsia="zh-CN" w:bidi="ar"/>
        </w:rPr>
        <w:t>Culture, Leadership, and Organizations: The GLOBE Study 2021</w:t>
      </w:r>
      <w:r>
        <w:rPr>
          <w:rFonts w:hint="default" w:ascii="Times New Roman" w:hAnsi="Times New Roman" w:eastAsia="宋体" w:cs="Times New Roman"/>
          <w:kern w:val="0"/>
          <w:sz w:val="24"/>
          <w:szCs w:val="24"/>
          <w:lang w:val="en-US" w:eastAsia="zh-CN" w:bidi="ar"/>
        </w:rPr>
        <w:t>. Thousand Oaks: Sage Publications.</w:t>
      </w:r>
    </w:p>
    <w:p w14:paraId="0B3341A0">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17AF2B08">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Kolb, D.A. (2020) </w:t>
      </w:r>
      <w:r>
        <w:rPr>
          <w:rStyle w:val="9"/>
          <w:rFonts w:hint="default" w:ascii="Times New Roman" w:hAnsi="Times New Roman" w:eastAsia="宋体" w:cs="Times New Roman"/>
          <w:kern w:val="0"/>
          <w:sz w:val="24"/>
          <w:szCs w:val="24"/>
          <w:lang w:val="en-US" w:eastAsia="zh-CN" w:bidi="ar"/>
        </w:rPr>
        <w:t>Experiential Learning: Updating the Classic Model</w:t>
      </w:r>
      <w:r>
        <w:rPr>
          <w:rFonts w:hint="default" w:ascii="Times New Roman" w:hAnsi="Times New Roman" w:eastAsia="宋体" w:cs="Times New Roman"/>
          <w:kern w:val="0"/>
          <w:sz w:val="24"/>
          <w:szCs w:val="24"/>
          <w:lang w:val="en-US" w:eastAsia="zh-CN" w:bidi="ar"/>
        </w:rPr>
        <w:t>. Upper Saddle River: Prentice-Hall.</w:t>
      </w:r>
    </w:p>
    <w:p w14:paraId="68FFDAA3">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113CEE69">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Kristensen, P.H. &amp; Whitley, R. (2021) Small and medium enterprises in Germany and the UK. </w:t>
      </w:r>
      <w:r>
        <w:rPr>
          <w:rStyle w:val="9"/>
          <w:rFonts w:hint="default" w:ascii="Times New Roman" w:hAnsi="Times New Roman" w:eastAsia="宋体" w:cs="Times New Roman"/>
          <w:kern w:val="0"/>
          <w:sz w:val="24"/>
          <w:szCs w:val="24"/>
          <w:lang w:val="en-US" w:eastAsia="zh-CN" w:bidi="ar"/>
        </w:rPr>
        <w:t>European Business Review</w:t>
      </w:r>
      <w:r>
        <w:rPr>
          <w:rFonts w:hint="default" w:ascii="Times New Roman" w:hAnsi="Times New Roman" w:eastAsia="宋体" w:cs="Times New Roman"/>
          <w:kern w:val="0"/>
          <w:sz w:val="24"/>
          <w:szCs w:val="24"/>
          <w:lang w:val="en-US" w:eastAsia="zh-CN" w:bidi="ar"/>
        </w:rPr>
        <w:t>, 33(4), pp. 567-585.</w:t>
      </w:r>
    </w:p>
    <w:p w14:paraId="08098D62">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29E71716">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Lewis, R. (2020) </w:t>
      </w:r>
      <w:r>
        <w:rPr>
          <w:rStyle w:val="9"/>
          <w:rFonts w:hint="default" w:ascii="Times New Roman" w:hAnsi="Times New Roman" w:eastAsia="宋体" w:cs="Times New Roman"/>
          <w:kern w:val="0"/>
          <w:sz w:val="24"/>
          <w:szCs w:val="24"/>
          <w:lang w:val="en-US" w:eastAsia="zh-CN" w:bidi="ar"/>
        </w:rPr>
        <w:t>When Cultures Collide: Leading Across Borders in the 21st Century</w:t>
      </w:r>
      <w:r>
        <w:rPr>
          <w:rFonts w:hint="default" w:ascii="Times New Roman" w:hAnsi="Times New Roman" w:eastAsia="宋体" w:cs="Times New Roman"/>
          <w:kern w:val="0"/>
          <w:sz w:val="24"/>
          <w:szCs w:val="24"/>
          <w:lang w:val="en-US" w:eastAsia="zh-CN" w:bidi="ar"/>
        </w:rPr>
        <w:t>. London: Nicholas Brealey Publishing.</w:t>
      </w:r>
    </w:p>
    <w:p w14:paraId="6EE9B803">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5C6D2F19">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Marschan-Piekkari, R., Welch, L. &amp; Welch, D. (2022) Language in international business: New trends and challenges. </w:t>
      </w:r>
      <w:r>
        <w:rPr>
          <w:rStyle w:val="9"/>
          <w:rFonts w:hint="default" w:ascii="Times New Roman" w:hAnsi="Times New Roman" w:eastAsia="宋体" w:cs="Times New Roman"/>
          <w:kern w:val="0"/>
          <w:sz w:val="24"/>
          <w:szCs w:val="24"/>
          <w:lang w:val="en-US" w:eastAsia="zh-CN" w:bidi="ar"/>
        </w:rPr>
        <w:t>Journal of International Business Studies</w:t>
      </w:r>
      <w:r>
        <w:rPr>
          <w:rFonts w:hint="default" w:ascii="Times New Roman" w:hAnsi="Times New Roman" w:eastAsia="宋体" w:cs="Times New Roman"/>
          <w:kern w:val="0"/>
          <w:sz w:val="24"/>
          <w:szCs w:val="24"/>
          <w:lang w:val="en-US" w:eastAsia="zh-CN" w:bidi="ar"/>
        </w:rPr>
        <w:t>, 53(4), pp. 890-908.</w:t>
      </w:r>
    </w:p>
    <w:p w14:paraId="45299D41">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Nickerson, C. &amp; Bargiela-Chiappini, F. (2020) Digital communication in international business. </w:t>
      </w:r>
      <w:r>
        <w:rPr>
          <w:rStyle w:val="9"/>
          <w:rFonts w:hint="default" w:ascii="Times New Roman" w:hAnsi="Times New Roman" w:eastAsia="宋体" w:cs="Times New Roman"/>
          <w:kern w:val="0"/>
          <w:sz w:val="24"/>
          <w:szCs w:val="24"/>
          <w:lang w:val="en-US" w:eastAsia="zh-CN" w:bidi="ar"/>
        </w:rPr>
        <w:t>Business Communication Quarterly</w:t>
      </w:r>
      <w:r>
        <w:rPr>
          <w:rFonts w:hint="default" w:ascii="Times New Roman" w:hAnsi="Times New Roman" w:eastAsia="宋体" w:cs="Times New Roman"/>
          <w:kern w:val="0"/>
          <w:sz w:val="24"/>
          <w:szCs w:val="24"/>
          <w:lang w:val="en-US" w:eastAsia="zh-CN" w:bidi="ar"/>
        </w:rPr>
        <w:t>, 83(3), pp. 289-307.</w:t>
      </w:r>
    </w:p>
    <w:p w14:paraId="758C1DF2">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3D4C990E">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Porter, M.E. &amp; Kramer, M.R. (2021) </w:t>
      </w:r>
      <w:r>
        <w:rPr>
          <w:rStyle w:val="9"/>
          <w:rFonts w:hint="default" w:ascii="Times New Roman" w:hAnsi="Times New Roman" w:eastAsia="宋体" w:cs="Times New Roman"/>
          <w:kern w:val="0"/>
          <w:sz w:val="24"/>
          <w:szCs w:val="24"/>
          <w:lang w:val="en-US" w:eastAsia="zh-CN" w:bidi="ar"/>
        </w:rPr>
        <w:t>The Competitive Advantage of Responsible Business</w:t>
      </w:r>
      <w:r>
        <w:rPr>
          <w:rFonts w:hint="default" w:ascii="Times New Roman" w:hAnsi="Times New Roman" w:eastAsia="宋体" w:cs="Times New Roman"/>
          <w:kern w:val="0"/>
          <w:sz w:val="24"/>
          <w:szCs w:val="24"/>
          <w:lang w:val="en-US" w:eastAsia="zh-CN" w:bidi="ar"/>
        </w:rPr>
        <w:t>. New York: Free Press.</w:t>
      </w:r>
    </w:p>
    <w:p w14:paraId="2CE280F5">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754D5E46">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Shenkar, O. &amp; Luo, Y. (2022) </w:t>
      </w:r>
      <w:r>
        <w:rPr>
          <w:rStyle w:val="9"/>
          <w:rFonts w:hint="default" w:ascii="Times New Roman" w:hAnsi="Times New Roman" w:eastAsia="宋体" w:cs="Times New Roman"/>
          <w:kern w:val="0"/>
          <w:sz w:val="24"/>
          <w:szCs w:val="24"/>
          <w:lang w:val="en-US" w:eastAsia="zh-CN" w:bidi="ar"/>
        </w:rPr>
        <w:t>International Business: Theory and Practice</w:t>
      </w:r>
      <w:r>
        <w:rPr>
          <w:rFonts w:hint="default" w:ascii="Times New Roman" w:hAnsi="Times New Roman" w:eastAsia="宋体" w:cs="Times New Roman"/>
          <w:kern w:val="0"/>
          <w:sz w:val="24"/>
          <w:szCs w:val="24"/>
          <w:lang w:val="en-US" w:eastAsia="zh-CN" w:bidi="ar"/>
        </w:rPr>
        <w:t>. Thousand Oaks: Sage Publications.</w:t>
      </w:r>
    </w:p>
    <w:p w14:paraId="03EB3B32">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09F8DB1F">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Spencer-Oatey, H. &amp; Xing, Y. (2021) Cultural scripts in cross-border business communication. </w:t>
      </w:r>
      <w:r>
        <w:rPr>
          <w:rStyle w:val="9"/>
          <w:rFonts w:hint="default" w:ascii="Times New Roman" w:hAnsi="Times New Roman" w:eastAsia="宋体" w:cs="Times New Roman"/>
          <w:kern w:val="0"/>
          <w:sz w:val="24"/>
          <w:szCs w:val="24"/>
          <w:lang w:val="en-US" w:eastAsia="zh-CN" w:bidi="ar"/>
        </w:rPr>
        <w:t>Journal of Business Communication</w:t>
      </w:r>
      <w:r>
        <w:rPr>
          <w:rFonts w:hint="default" w:ascii="Times New Roman" w:hAnsi="Times New Roman" w:eastAsia="宋体" w:cs="Times New Roman"/>
          <w:kern w:val="0"/>
          <w:sz w:val="24"/>
          <w:szCs w:val="24"/>
          <w:lang w:val="en-US" w:eastAsia="zh-CN" w:bidi="ar"/>
        </w:rPr>
        <w:t>, 58(1), pp. 45-68.</w:t>
      </w:r>
    </w:p>
    <w:p w14:paraId="2F816A1A">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20426DBA">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Trompenaars, F. (2021) </w:t>
      </w:r>
      <w:r>
        <w:rPr>
          <w:rStyle w:val="9"/>
          <w:rFonts w:hint="default" w:ascii="Times New Roman" w:hAnsi="Times New Roman" w:eastAsia="宋体" w:cs="Times New Roman"/>
          <w:kern w:val="0"/>
          <w:sz w:val="24"/>
          <w:szCs w:val="24"/>
          <w:lang w:val="en-US" w:eastAsia="zh-CN" w:bidi="ar"/>
        </w:rPr>
        <w:t>Building Cross-Cultural Competence in the Digital Age</w:t>
      </w:r>
      <w:r>
        <w:rPr>
          <w:rFonts w:hint="default" w:ascii="Times New Roman" w:hAnsi="Times New Roman" w:eastAsia="宋体" w:cs="Times New Roman"/>
          <w:kern w:val="0"/>
          <w:sz w:val="24"/>
          <w:szCs w:val="24"/>
          <w:lang w:val="en-US" w:eastAsia="zh-CN" w:bidi="ar"/>
        </w:rPr>
        <w:t>. Chichester: John Wiley &amp; Sons.</w:t>
      </w:r>
    </w:p>
    <w:p w14:paraId="536A4679">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3D5DEAF6">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Whitley, R. &amp; Kristensen, P.H. (2020) </w:t>
      </w:r>
      <w:r>
        <w:rPr>
          <w:rStyle w:val="9"/>
          <w:rFonts w:hint="default" w:ascii="Times New Roman" w:hAnsi="Times New Roman" w:eastAsia="宋体" w:cs="Times New Roman"/>
          <w:kern w:val="0"/>
          <w:sz w:val="24"/>
          <w:szCs w:val="24"/>
          <w:lang w:val="en-US" w:eastAsia="zh-CN" w:bidi="ar"/>
        </w:rPr>
        <w:t>Divergent Capitalisms in the European Union</w:t>
      </w:r>
      <w:r>
        <w:rPr>
          <w:rFonts w:hint="default" w:ascii="Times New Roman" w:hAnsi="Times New Roman" w:eastAsia="宋体" w:cs="Times New Roman"/>
          <w:kern w:val="0"/>
          <w:sz w:val="24"/>
          <w:szCs w:val="24"/>
          <w:lang w:val="en-US" w:eastAsia="zh-CN" w:bidi="ar"/>
        </w:rPr>
        <w:t>. Oxford: Oxford University Press.</w:t>
      </w:r>
    </w:p>
    <w:p w14:paraId="70F5CF6A">
      <w:pPr>
        <w:keepNext w:val="0"/>
        <w:keepLines w:val="0"/>
        <w:widowControl/>
        <w:numPr>
          <w:ilvl w:val="0"/>
          <w:numId w:val="0"/>
        </w:numPr>
        <w:suppressLineNumbers w:val="0"/>
        <w:ind w:leftChars="0"/>
        <w:jc w:val="left"/>
        <w:rPr>
          <w:rFonts w:hint="default" w:ascii="Times New Roman" w:hAnsi="Times New Roman" w:cs="Times New Roman"/>
          <w:sz w:val="24"/>
          <w:szCs w:val="24"/>
        </w:rPr>
      </w:pPr>
    </w:p>
    <w:p w14:paraId="6FB5BA2B">
      <w:pPr>
        <w:keepNext w:val="0"/>
        <w:keepLines w:val="0"/>
        <w:widowControl/>
        <w:numPr>
          <w:ilvl w:val="0"/>
          <w:numId w:val="1"/>
        </w:numPr>
        <w:suppressLineNumbers w:val="0"/>
        <w:ind w:left="0" w:leftChars="0" w:firstLine="0" w:firstLineChars="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Xing, Y. &amp; Spencer-Oatey, H. (2022) </w:t>
      </w:r>
      <w:r>
        <w:rPr>
          <w:rStyle w:val="9"/>
          <w:rFonts w:hint="default" w:ascii="Times New Roman" w:hAnsi="Times New Roman" w:eastAsia="宋体" w:cs="Times New Roman"/>
          <w:kern w:val="0"/>
          <w:sz w:val="24"/>
          <w:szCs w:val="24"/>
          <w:lang w:val="en-US" w:eastAsia="zh-CN" w:bidi="ar"/>
        </w:rPr>
        <w:t>Intercultural Communication Competence in Global Business</w:t>
      </w:r>
      <w:r>
        <w:rPr>
          <w:rFonts w:hint="default" w:ascii="Times New Roman" w:hAnsi="Times New Roman" w:eastAsia="宋体" w:cs="Times New Roman"/>
          <w:kern w:val="0"/>
          <w:sz w:val="24"/>
          <w:szCs w:val="24"/>
          <w:lang w:val="en-US" w:eastAsia="zh-CN" w:bidi="ar"/>
        </w:rPr>
        <w:t>. Cambridge: Cambridge University Press.</w:t>
      </w:r>
    </w:p>
    <w:p w14:paraId="2E3185E2"/>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A202290"/>
    <w:multiLevelType w:val="singleLevel"/>
    <w:tmpl w:val="CA202290"/>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1A79E5"/>
    <w:rsid w:val="10A80F6F"/>
    <w:rsid w:val="341A79E5"/>
    <w:rsid w:val="69A27E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qFormat/>
    <w:uiPriority w:val="0"/>
    <w:pPr>
      <w:keepNext/>
      <w:jc w:val="both"/>
      <w:outlineLvl w:val="1"/>
    </w:pPr>
    <w:rPr>
      <w:b/>
      <w:sz w:val="24"/>
    </w:rPr>
  </w:style>
  <w:style w:type="paragraph" w:styleId="3">
    <w:name w:val="heading 4"/>
    <w:basedOn w:val="1"/>
    <w:next w:val="1"/>
    <w:qFormat/>
    <w:uiPriority w:val="0"/>
    <w:pPr>
      <w:keepNext/>
      <w:spacing w:before="120" w:after="120"/>
      <w:jc w:val="center"/>
      <w:outlineLvl w:val="3"/>
    </w:pPr>
    <w:rPr>
      <w:sz w:val="40"/>
    </w:rPr>
  </w:style>
  <w:style w:type="character" w:default="1" w:styleId="7">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header"/>
    <w:basedOn w:val="1"/>
    <w:qFormat/>
    <w:uiPriority w:val="0"/>
    <w:pPr>
      <w:tabs>
        <w:tab w:val="center" w:pos="4153"/>
        <w:tab w:val="right" w:pos="8306"/>
      </w:tabs>
    </w:p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2189</Words>
  <Characters>14660</Characters>
  <Lines>0</Lines>
  <Paragraphs>0</Paragraphs>
  <TotalTime>1</TotalTime>
  <ScaleCrop>false</ScaleCrop>
  <LinksUpToDate>false</LinksUpToDate>
  <CharactersWithSpaces>16816</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2025-12-08T12:20:00Z</dcterms:created>
  <dc:creator>沐言小朋友</dc:creator>
  <cp:lastModifiedBy>沐言小朋友</cp:lastModifiedBy>
  <dcterms:modified xsi:type="dcterms:W3CDTF">2025-12-11T21:39:48Z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A058935BE1A04E899173B0ACBDE0153C_11</vt:lpwstr>
  </property>
  <property fmtid="{D5CDD505-2E9C-101B-9397-08002B2CF9AE}" pid="4" name="KSOTemplateDocerSaveRecord">
    <vt:lpwstr>eyJoZGlkIjoiMTVjZDMyZTNiNmRiYWY2MzFiMmFhMzgyYzU1YjcyMzUiLCJ1c2VySWQiOiIxMTU5MzgwNTA2In0=</vt:lpwstr>
  </property>
</Properties>
</file>