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A47C1" w14:textId="620C9949" w:rsidR="00724BBF" w:rsidRDefault="00BE0593">
      <w:pPr>
        <w:rPr>
          <w:rFonts w:ascii="Arial" w:hAnsi="Arial" w:cs="Arial"/>
          <w:b/>
          <w:sz w:val="52"/>
          <w:szCs w:val="52"/>
        </w:rPr>
      </w:pPr>
      <w:r w:rsidRPr="00BE0593">
        <w:rPr>
          <w:rFonts w:ascii="Arial" w:hAnsi="Arial" w:cs="Arial"/>
          <w:b/>
          <w:sz w:val="52"/>
          <w:szCs w:val="52"/>
        </w:rPr>
        <w:t>Master of Business Administration</w:t>
      </w:r>
    </w:p>
    <w:p w14:paraId="6385C306" w14:textId="34079EFE" w:rsidR="00BE0593" w:rsidRDefault="00BE0593">
      <w:pPr>
        <w:rPr>
          <w:rFonts w:ascii="Arial" w:hAnsi="Arial" w:cs="Arial"/>
          <w:b/>
          <w:sz w:val="52"/>
          <w:szCs w:val="52"/>
        </w:rPr>
      </w:pPr>
      <w:r w:rsidRPr="00BE0593">
        <w:rPr>
          <w:rFonts w:ascii="Arial" w:hAnsi="Arial" w:cs="Arial"/>
          <w:b/>
          <w:sz w:val="52"/>
          <w:szCs w:val="52"/>
        </w:rPr>
        <w:t>Marketing Management</w:t>
      </w:r>
    </w:p>
    <w:p w14:paraId="61282C87" w14:textId="2ADD1EA6" w:rsidR="00BE0593" w:rsidRDefault="00BE0593">
      <w:pPr>
        <w:rPr>
          <w:rFonts w:ascii="Arial" w:hAnsi="Arial" w:cs="Arial"/>
          <w:b/>
          <w:sz w:val="52"/>
          <w:szCs w:val="52"/>
        </w:rPr>
      </w:pPr>
      <w:r w:rsidRPr="00BE0593">
        <w:rPr>
          <w:rFonts w:ascii="Arial" w:hAnsi="Arial" w:cs="Arial"/>
          <w:b/>
          <w:sz w:val="52"/>
          <w:szCs w:val="52"/>
        </w:rPr>
        <w:t>LCMB7024</w:t>
      </w:r>
    </w:p>
    <w:p w14:paraId="706DD671" w14:textId="77777777" w:rsidR="00BE0593" w:rsidRDefault="00BE0593">
      <w:pPr>
        <w:rPr>
          <w:rFonts w:ascii="Arial" w:hAnsi="Arial" w:cs="Arial"/>
          <w:b/>
          <w:sz w:val="52"/>
          <w:szCs w:val="52"/>
        </w:rPr>
      </w:pPr>
    </w:p>
    <w:p w14:paraId="6BAE9F53" w14:textId="4FB97169" w:rsidR="00BE0593" w:rsidRDefault="00BE0593">
      <w:pPr>
        <w:rPr>
          <w:rFonts w:ascii="Arial" w:hAnsi="Arial" w:cs="Arial"/>
          <w:b/>
          <w:sz w:val="52"/>
          <w:szCs w:val="52"/>
        </w:rPr>
      </w:pPr>
      <w:r>
        <w:rPr>
          <w:rFonts w:ascii="Arial" w:hAnsi="Arial" w:cs="Arial"/>
          <w:b/>
          <w:sz w:val="52"/>
          <w:szCs w:val="52"/>
        </w:rPr>
        <w:t>Student……. Mumtaz Begum 2236508</w:t>
      </w:r>
    </w:p>
    <w:p w14:paraId="1A45741D" w14:textId="6A96C15E" w:rsidR="00BE0593" w:rsidRDefault="00BE0593" w:rsidP="00BE0593">
      <w:pPr>
        <w:spacing w:before="120" w:after="120"/>
        <w:rPr>
          <w:rFonts w:ascii="Arial" w:hAnsi="Arial" w:cs="Arial"/>
          <w:b/>
          <w:bCs/>
          <w:sz w:val="52"/>
          <w:szCs w:val="52"/>
        </w:rPr>
      </w:pPr>
      <w:r w:rsidRPr="00BE0593">
        <w:rPr>
          <w:rFonts w:ascii="Arial" w:hAnsi="Arial" w:cs="Arial"/>
          <w:b/>
          <w:bCs/>
          <w:sz w:val="52"/>
          <w:szCs w:val="52"/>
        </w:rPr>
        <w:t>Lecturer</w:t>
      </w:r>
      <w:r>
        <w:rPr>
          <w:rFonts w:ascii="Arial" w:hAnsi="Arial" w:cs="Arial"/>
          <w:b/>
          <w:bCs/>
          <w:sz w:val="52"/>
          <w:szCs w:val="52"/>
        </w:rPr>
        <w:t>…….</w:t>
      </w:r>
      <w:r w:rsidRPr="00BE0593">
        <w:rPr>
          <w:rFonts w:ascii="Arial" w:hAnsi="Arial" w:cs="Arial"/>
          <w:b/>
          <w:bCs/>
          <w:sz w:val="52"/>
          <w:szCs w:val="52"/>
        </w:rPr>
        <w:t xml:space="preserve"> Taonga Kaonga </w:t>
      </w:r>
      <w:proofErr w:type="spellStart"/>
      <w:r w:rsidRPr="00BE0593">
        <w:rPr>
          <w:rFonts w:ascii="Arial" w:hAnsi="Arial" w:cs="Arial"/>
          <w:b/>
          <w:bCs/>
          <w:sz w:val="52"/>
          <w:szCs w:val="52"/>
        </w:rPr>
        <w:t>Sobere-Snithers</w:t>
      </w:r>
      <w:proofErr w:type="spellEnd"/>
      <w:r w:rsidRPr="00BE0593">
        <w:rPr>
          <w:rFonts w:ascii="Arial" w:hAnsi="Arial" w:cs="Arial"/>
          <w:b/>
          <w:bCs/>
          <w:sz w:val="52"/>
          <w:szCs w:val="52"/>
        </w:rPr>
        <w:t xml:space="preserve"> </w:t>
      </w:r>
    </w:p>
    <w:p w14:paraId="02B96F39" w14:textId="77777777" w:rsidR="00BE0593" w:rsidRDefault="00BE0593" w:rsidP="00BE0593">
      <w:pPr>
        <w:spacing w:before="120" w:after="120"/>
        <w:rPr>
          <w:rFonts w:ascii="Arial" w:hAnsi="Arial" w:cs="Arial"/>
          <w:b/>
          <w:bCs/>
          <w:sz w:val="52"/>
          <w:szCs w:val="52"/>
        </w:rPr>
      </w:pPr>
    </w:p>
    <w:p w14:paraId="74794A85" w14:textId="77777777" w:rsidR="00BE0593" w:rsidRDefault="00BE0593" w:rsidP="00BE0593">
      <w:pPr>
        <w:spacing w:before="120" w:after="120"/>
        <w:rPr>
          <w:rFonts w:ascii="Arial" w:hAnsi="Arial" w:cs="Arial"/>
          <w:b/>
          <w:bCs/>
          <w:sz w:val="52"/>
          <w:szCs w:val="52"/>
        </w:rPr>
      </w:pPr>
    </w:p>
    <w:p w14:paraId="749D31FA" w14:textId="19329165" w:rsidR="00BE0593" w:rsidRDefault="00BE0593" w:rsidP="00BE0593">
      <w:pPr>
        <w:spacing w:before="120" w:after="120"/>
        <w:rPr>
          <w:rFonts w:ascii="Arial" w:hAnsi="Arial" w:cs="Arial"/>
          <w:b/>
          <w:sz w:val="52"/>
          <w:szCs w:val="52"/>
        </w:rPr>
      </w:pPr>
      <w:r w:rsidRPr="00BE0593">
        <w:rPr>
          <w:rFonts w:ascii="Arial" w:hAnsi="Arial" w:cs="Arial"/>
          <w:b/>
          <w:sz w:val="52"/>
          <w:szCs w:val="52"/>
        </w:rPr>
        <w:t>Marketing Environment Analysis</w:t>
      </w:r>
    </w:p>
    <w:p w14:paraId="4E2A86A4" w14:textId="77777777" w:rsidR="00AF4E1F" w:rsidRDefault="00AF4E1F" w:rsidP="00BE0593">
      <w:pPr>
        <w:spacing w:before="120" w:after="120"/>
        <w:rPr>
          <w:rFonts w:ascii="Arial" w:hAnsi="Arial" w:cs="Arial"/>
          <w:b/>
          <w:sz w:val="52"/>
          <w:szCs w:val="52"/>
        </w:rPr>
      </w:pPr>
    </w:p>
    <w:p w14:paraId="4795E29E" w14:textId="77777777" w:rsidR="00AF4E1F" w:rsidRDefault="00AF4E1F" w:rsidP="00BE0593">
      <w:pPr>
        <w:spacing w:before="120" w:after="120"/>
        <w:rPr>
          <w:rFonts w:ascii="Arial" w:hAnsi="Arial" w:cs="Arial"/>
          <w:b/>
          <w:sz w:val="52"/>
          <w:szCs w:val="52"/>
        </w:rPr>
      </w:pPr>
    </w:p>
    <w:p w14:paraId="5BF0A9B9" w14:textId="77777777" w:rsidR="00AF4E1F" w:rsidRDefault="00AF4E1F" w:rsidP="00BE0593">
      <w:pPr>
        <w:spacing w:before="120" w:after="120"/>
        <w:rPr>
          <w:rFonts w:ascii="Arial" w:hAnsi="Arial" w:cs="Arial"/>
          <w:b/>
          <w:sz w:val="52"/>
          <w:szCs w:val="52"/>
        </w:rPr>
      </w:pPr>
    </w:p>
    <w:p w14:paraId="725A95E6" w14:textId="77777777" w:rsidR="00AF4E1F" w:rsidRDefault="00AF4E1F" w:rsidP="00BE0593">
      <w:pPr>
        <w:spacing w:before="120" w:after="120"/>
        <w:rPr>
          <w:rFonts w:ascii="Arial" w:hAnsi="Arial" w:cs="Arial"/>
          <w:b/>
          <w:sz w:val="52"/>
          <w:szCs w:val="52"/>
        </w:rPr>
      </w:pPr>
    </w:p>
    <w:p w14:paraId="5A82C430" w14:textId="77777777" w:rsidR="00AF4E1F" w:rsidRDefault="00AF4E1F" w:rsidP="00BE0593">
      <w:pPr>
        <w:spacing w:before="120" w:after="120"/>
        <w:rPr>
          <w:rFonts w:ascii="Arial" w:hAnsi="Arial" w:cs="Arial"/>
          <w:b/>
          <w:sz w:val="52"/>
          <w:szCs w:val="52"/>
        </w:rPr>
      </w:pPr>
    </w:p>
    <w:p w14:paraId="41D47ECD" w14:textId="77777777" w:rsidR="00AF4E1F" w:rsidRDefault="00AF4E1F" w:rsidP="00BE0593">
      <w:pPr>
        <w:spacing w:before="120" w:after="120"/>
        <w:rPr>
          <w:rFonts w:ascii="Arial" w:hAnsi="Arial" w:cs="Arial"/>
          <w:b/>
          <w:sz w:val="52"/>
          <w:szCs w:val="52"/>
        </w:rPr>
      </w:pPr>
    </w:p>
    <w:p w14:paraId="05E8960E" w14:textId="77777777" w:rsidR="00AF4E1F" w:rsidRDefault="00AF4E1F" w:rsidP="00BE0593">
      <w:pPr>
        <w:spacing w:before="120" w:after="120"/>
        <w:rPr>
          <w:rFonts w:ascii="Arial" w:hAnsi="Arial" w:cs="Arial"/>
          <w:b/>
          <w:sz w:val="52"/>
          <w:szCs w:val="52"/>
        </w:rPr>
      </w:pPr>
    </w:p>
    <w:sdt>
      <w:sdtPr>
        <w:rPr>
          <w:rFonts w:ascii="Arial" w:eastAsiaTheme="minorEastAsia" w:hAnsi="Arial" w:cs="Arial"/>
          <w:b/>
          <w:bCs/>
          <w:color w:val="auto"/>
          <w:kern w:val="2"/>
          <w:sz w:val="22"/>
          <w:szCs w:val="22"/>
          <w:lang w:val="en-GB" w:eastAsia="zh-CN"/>
          <w14:ligatures w14:val="standardContextual"/>
        </w:rPr>
        <w:id w:val="1253242338"/>
        <w:docPartObj>
          <w:docPartGallery w:val="Table of Contents"/>
          <w:docPartUnique/>
        </w:docPartObj>
      </w:sdtPr>
      <w:sdtEndPr>
        <w:rPr>
          <w:noProof/>
        </w:rPr>
      </w:sdtEndPr>
      <w:sdtContent>
        <w:p w14:paraId="19940D89" w14:textId="01A74856" w:rsidR="007D0C18" w:rsidRDefault="007D0C18">
          <w:pPr>
            <w:pStyle w:val="TOCHeading"/>
            <w:rPr>
              <w:rFonts w:ascii="Arial" w:hAnsi="Arial" w:cs="Arial"/>
              <w:b/>
              <w:bCs/>
              <w:color w:val="auto"/>
            </w:rPr>
          </w:pPr>
          <w:r w:rsidRPr="007D0C18">
            <w:rPr>
              <w:rFonts w:ascii="Arial" w:hAnsi="Arial" w:cs="Arial"/>
              <w:b/>
              <w:bCs/>
              <w:color w:val="auto"/>
            </w:rPr>
            <w:t>Table of Contents</w:t>
          </w:r>
        </w:p>
        <w:p w14:paraId="3339E2F5" w14:textId="77777777" w:rsidR="007D0C18" w:rsidRPr="007D0C18" w:rsidRDefault="007D0C18" w:rsidP="007D0C18">
          <w:pPr>
            <w:rPr>
              <w:lang w:val="en-US" w:eastAsia="en-US"/>
            </w:rPr>
          </w:pPr>
        </w:p>
        <w:p w14:paraId="670B8D19" w14:textId="46E8D543" w:rsidR="007D0C18" w:rsidRPr="007D0C18" w:rsidRDefault="007D0C18">
          <w:pPr>
            <w:pStyle w:val="TOC1"/>
            <w:tabs>
              <w:tab w:val="right" w:leader="dot" w:pos="9016"/>
            </w:tabs>
            <w:rPr>
              <w:rFonts w:ascii="Arial" w:hAnsi="Arial" w:cs="Arial"/>
              <w:b/>
              <w:bCs/>
              <w:noProof/>
              <w:sz w:val="24"/>
              <w:szCs w:val="24"/>
            </w:rPr>
          </w:pPr>
          <w:r w:rsidRPr="007D0C18">
            <w:rPr>
              <w:rFonts w:ascii="Arial" w:hAnsi="Arial" w:cs="Arial"/>
              <w:b/>
              <w:bCs/>
            </w:rPr>
            <w:fldChar w:fldCharType="begin"/>
          </w:r>
          <w:r w:rsidRPr="007D0C18">
            <w:rPr>
              <w:rFonts w:ascii="Arial" w:hAnsi="Arial" w:cs="Arial"/>
              <w:b/>
              <w:bCs/>
            </w:rPr>
            <w:instrText xml:space="preserve"> TOC \o "1-3" \h \z \u </w:instrText>
          </w:r>
          <w:r w:rsidRPr="007D0C18">
            <w:rPr>
              <w:rFonts w:ascii="Arial" w:hAnsi="Arial" w:cs="Arial"/>
              <w:b/>
              <w:bCs/>
            </w:rPr>
            <w:fldChar w:fldCharType="separate"/>
          </w:r>
          <w:hyperlink w:anchor="_Toc231942420" w:history="1">
            <w:r w:rsidRPr="007D0C18">
              <w:rPr>
                <w:rStyle w:val="Hyperlink"/>
                <w:rFonts w:ascii="Arial" w:hAnsi="Arial" w:cs="Arial"/>
                <w:b/>
                <w:bCs/>
                <w:noProof/>
              </w:rPr>
              <w:t>Introduction</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_Toc231942420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3</w:t>
            </w:r>
            <w:r w:rsidRPr="007D0C18">
              <w:rPr>
                <w:rFonts w:ascii="Arial" w:hAnsi="Arial" w:cs="Arial"/>
                <w:b/>
                <w:bCs/>
                <w:noProof/>
                <w:webHidden/>
              </w:rPr>
              <w:fldChar w:fldCharType="end"/>
            </w:r>
          </w:hyperlink>
        </w:p>
        <w:p w14:paraId="4130DF1C" w14:textId="529526AE" w:rsidR="007D0C18" w:rsidRPr="007D0C18" w:rsidRDefault="007D0C18">
          <w:pPr>
            <w:pStyle w:val="TOC1"/>
            <w:tabs>
              <w:tab w:val="right" w:leader="dot" w:pos="9016"/>
            </w:tabs>
            <w:rPr>
              <w:rFonts w:ascii="Arial" w:hAnsi="Arial" w:cs="Arial"/>
              <w:b/>
              <w:bCs/>
              <w:noProof/>
              <w:sz w:val="24"/>
              <w:szCs w:val="24"/>
            </w:rPr>
          </w:pPr>
          <w:hyperlink w:anchor="_Toc231942421" w:history="1">
            <w:r w:rsidRPr="007D0C18">
              <w:rPr>
                <w:rStyle w:val="Hyperlink"/>
                <w:rFonts w:ascii="Arial" w:hAnsi="Arial" w:cs="Arial"/>
                <w:b/>
                <w:bCs/>
                <w:noProof/>
              </w:rPr>
              <w:t>Task 1 Marketing Environment Analysis</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_Toc231942421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4</w:t>
            </w:r>
            <w:r w:rsidRPr="007D0C18">
              <w:rPr>
                <w:rFonts w:ascii="Arial" w:hAnsi="Arial" w:cs="Arial"/>
                <w:b/>
                <w:bCs/>
                <w:noProof/>
                <w:webHidden/>
              </w:rPr>
              <w:fldChar w:fldCharType="end"/>
            </w:r>
          </w:hyperlink>
        </w:p>
        <w:p w14:paraId="0AEC05A6" w14:textId="0D72B46F" w:rsidR="007D0C18" w:rsidRPr="007D0C18" w:rsidRDefault="007D0C18">
          <w:pPr>
            <w:pStyle w:val="TOC1"/>
            <w:tabs>
              <w:tab w:val="right" w:leader="dot" w:pos="9016"/>
            </w:tabs>
            <w:rPr>
              <w:rFonts w:ascii="Arial" w:hAnsi="Arial" w:cs="Arial"/>
              <w:b/>
              <w:bCs/>
              <w:noProof/>
              <w:sz w:val="24"/>
              <w:szCs w:val="24"/>
            </w:rPr>
          </w:pPr>
          <w:hyperlink w:anchor="_Toc231942422" w:history="1">
            <w:r w:rsidRPr="007D0C18">
              <w:rPr>
                <w:rStyle w:val="Hyperlink"/>
                <w:rFonts w:ascii="Arial" w:hAnsi="Arial" w:cs="Arial"/>
                <w:b/>
                <w:bCs/>
                <w:noProof/>
              </w:rPr>
              <w:t>Natural Environment Actor</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_Toc231942422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4</w:t>
            </w:r>
            <w:r w:rsidRPr="007D0C18">
              <w:rPr>
                <w:rFonts w:ascii="Arial" w:hAnsi="Arial" w:cs="Arial"/>
                <w:b/>
                <w:bCs/>
                <w:noProof/>
                <w:webHidden/>
              </w:rPr>
              <w:fldChar w:fldCharType="end"/>
            </w:r>
          </w:hyperlink>
        </w:p>
        <w:p w14:paraId="1BA167EE" w14:textId="5884893B" w:rsidR="007D0C18" w:rsidRPr="007D0C18" w:rsidRDefault="007D0C18">
          <w:pPr>
            <w:pStyle w:val="TOC1"/>
            <w:tabs>
              <w:tab w:val="right" w:leader="dot" w:pos="9016"/>
            </w:tabs>
            <w:rPr>
              <w:rFonts w:ascii="Arial" w:hAnsi="Arial" w:cs="Arial"/>
              <w:b/>
              <w:bCs/>
              <w:noProof/>
              <w:sz w:val="24"/>
              <w:szCs w:val="24"/>
            </w:rPr>
          </w:pPr>
          <w:hyperlink w:anchor="_Toc231942423" w:history="1">
            <w:r w:rsidRPr="007D0C18">
              <w:rPr>
                <w:rStyle w:val="Hyperlink"/>
                <w:rFonts w:ascii="Arial" w:hAnsi="Arial" w:cs="Arial"/>
                <w:b/>
                <w:bCs/>
                <w:noProof/>
              </w:rPr>
              <w:t>Political and Regulatory Environment</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_Toc231942423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5</w:t>
            </w:r>
            <w:r w:rsidRPr="007D0C18">
              <w:rPr>
                <w:rFonts w:ascii="Arial" w:hAnsi="Arial" w:cs="Arial"/>
                <w:b/>
                <w:bCs/>
                <w:noProof/>
                <w:webHidden/>
              </w:rPr>
              <w:fldChar w:fldCharType="end"/>
            </w:r>
          </w:hyperlink>
        </w:p>
        <w:p w14:paraId="1A1CD8E6" w14:textId="3C8F94CA" w:rsidR="007D0C18" w:rsidRPr="007D0C18" w:rsidRDefault="007D0C18">
          <w:pPr>
            <w:pStyle w:val="TOC1"/>
            <w:tabs>
              <w:tab w:val="right" w:leader="dot" w:pos="9016"/>
            </w:tabs>
            <w:rPr>
              <w:rFonts w:ascii="Arial" w:hAnsi="Arial" w:cs="Arial"/>
              <w:b/>
              <w:bCs/>
              <w:noProof/>
              <w:sz w:val="24"/>
              <w:szCs w:val="24"/>
            </w:rPr>
          </w:pPr>
          <w:hyperlink w:anchor="_Toc231942424" w:history="1">
            <w:r w:rsidRPr="007D0C18">
              <w:rPr>
                <w:rStyle w:val="Hyperlink"/>
                <w:rFonts w:ascii="Arial" w:hAnsi="Arial" w:cs="Arial"/>
                <w:b/>
                <w:bCs/>
                <w:noProof/>
              </w:rPr>
              <w:t>Conclusion</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_Toc231942424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6</w:t>
            </w:r>
            <w:r w:rsidRPr="007D0C18">
              <w:rPr>
                <w:rFonts w:ascii="Arial" w:hAnsi="Arial" w:cs="Arial"/>
                <w:b/>
                <w:bCs/>
                <w:noProof/>
                <w:webHidden/>
              </w:rPr>
              <w:fldChar w:fldCharType="end"/>
            </w:r>
          </w:hyperlink>
        </w:p>
        <w:p w14:paraId="5FB9B550" w14:textId="582DE0D4" w:rsidR="007D0C18" w:rsidRPr="007D0C18" w:rsidRDefault="007D0C18">
          <w:pPr>
            <w:pStyle w:val="TOC1"/>
            <w:tabs>
              <w:tab w:val="right" w:leader="dot" w:pos="9016"/>
            </w:tabs>
            <w:rPr>
              <w:rFonts w:ascii="Arial" w:hAnsi="Arial" w:cs="Arial"/>
              <w:b/>
              <w:bCs/>
              <w:noProof/>
              <w:sz w:val="24"/>
              <w:szCs w:val="24"/>
            </w:rPr>
          </w:pPr>
          <w:hyperlink w:anchor="_Toc231942425" w:history="1">
            <w:r w:rsidRPr="007D0C18">
              <w:rPr>
                <w:rStyle w:val="Hyperlink"/>
                <w:rFonts w:ascii="Arial" w:hAnsi="Arial" w:cs="Arial"/>
                <w:b/>
                <w:bCs/>
                <w:noProof/>
              </w:rPr>
              <w:t>Task 2: Strategic Growth and Competitive Positioning – BHP</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_Toc231942425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7</w:t>
            </w:r>
            <w:r w:rsidRPr="007D0C18">
              <w:rPr>
                <w:rFonts w:ascii="Arial" w:hAnsi="Arial" w:cs="Arial"/>
                <w:b/>
                <w:bCs/>
                <w:noProof/>
                <w:webHidden/>
              </w:rPr>
              <w:fldChar w:fldCharType="end"/>
            </w:r>
          </w:hyperlink>
        </w:p>
        <w:p w14:paraId="726D9C05" w14:textId="552D5E5E" w:rsidR="007D0C18" w:rsidRPr="007D0C18" w:rsidRDefault="007D0C18">
          <w:pPr>
            <w:pStyle w:val="TOC1"/>
            <w:tabs>
              <w:tab w:val="right" w:leader="dot" w:pos="9016"/>
            </w:tabs>
            <w:rPr>
              <w:rFonts w:ascii="Arial" w:hAnsi="Arial" w:cs="Arial"/>
              <w:b/>
              <w:bCs/>
              <w:noProof/>
              <w:sz w:val="24"/>
              <w:szCs w:val="24"/>
            </w:rPr>
          </w:pPr>
          <w:hyperlink w:anchor="_Toc231942426" w:history="1">
            <w:r w:rsidRPr="007D0C18">
              <w:rPr>
                <w:rStyle w:val="Hyperlink"/>
                <w:rFonts w:ascii="Arial" w:hAnsi="Arial" w:cs="Arial"/>
                <w:b/>
                <w:bCs/>
                <w:noProof/>
              </w:rPr>
              <w:t>FIG 1 The Ansoff Matrix</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_Toc231942426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8</w:t>
            </w:r>
            <w:r w:rsidRPr="007D0C18">
              <w:rPr>
                <w:rFonts w:ascii="Arial" w:hAnsi="Arial" w:cs="Arial"/>
                <w:b/>
                <w:bCs/>
                <w:noProof/>
                <w:webHidden/>
              </w:rPr>
              <w:fldChar w:fldCharType="end"/>
            </w:r>
          </w:hyperlink>
        </w:p>
        <w:p w14:paraId="72076379" w14:textId="744C5EA6" w:rsidR="007D0C18" w:rsidRPr="007D0C18" w:rsidRDefault="007D0C18">
          <w:pPr>
            <w:pStyle w:val="TOC1"/>
            <w:tabs>
              <w:tab w:val="right" w:leader="dot" w:pos="9016"/>
            </w:tabs>
            <w:rPr>
              <w:rFonts w:ascii="Arial" w:hAnsi="Arial" w:cs="Arial"/>
              <w:b/>
              <w:bCs/>
              <w:noProof/>
              <w:sz w:val="24"/>
              <w:szCs w:val="24"/>
            </w:rPr>
          </w:pPr>
          <w:hyperlink w:anchor="_Toc231942427" w:history="1">
            <w:r w:rsidRPr="007D0C18">
              <w:rPr>
                <w:rStyle w:val="Hyperlink"/>
                <w:rFonts w:ascii="Arial" w:hAnsi="Arial" w:cs="Arial"/>
                <w:b/>
                <w:bCs/>
                <w:noProof/>
              </w:rPr>
              <w:t>Recommended Strategy: Product Development</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_Toc231942427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9</w:t>
            </w:r>
            <w:r w:rsidRPr="007D0C18">
              <w:rPr>
                <w:rFonts w:ascii="Arial" w:hAnsi="Arial" w:cs="Arial"/>
                <w:b/>
                <w:bCs/>
                <w:noProof/>
                <w:webHidden/>
              </w:rPr>
              <w:fldChar w:fldCharType="end"/>
            </w:r>
          </w:hyperlink>
        </w:p>
        <w:p w14:paraId="20801C4F" w14:textId="68CF4E5F" w:rsidR="007D0C18" w:rsidRPr="007D0C18" w:rsidRDefault="007D0C18">
          <w:pPr>
            <w:pStyle w:val="TOC1"/>
            <w:tabs>
              <w:tab w:val="right" w:leader="dot" w:pos="9016"/>
            </w:tabs>
            <w:rPr>
              <w:rFonts w:ascii="Arial" w:hAnsi="Arial" w:cs="Arial"/>
              <w:b/>
              <w:bCs/>
              <w:noProof/>
              <w:sz w:val="24"/>
              <w:szCs w:val="24"/>
            </w:rPr>
          </w:pPr>
          <w:hyperlink w:anchor="_Toc231942428" w:history="1">
            <w:r w:rsidRPr="007D0C18">
              <w:rPr>
                <w:rStyle w:val="Hyperlink"/>
                <w:rFonts w:ascii="Arial" w:hAnsi="Arial" w:cs="Arial"/>
                <w:b/>
                <w:bCs/>
                <w:noProof/>
              </w:rPr>
              <w:t>Competitive Advantage</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_Toc231942428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9</w:t>
            </w:r>
            <w:r w:rsidRPr="007D0C18">
              <w:rPr>
                <w:rFonts w:ascii="Arial" w:hAnsi="Arial" w:cs="Arial"/>
                <w:b/>
                <w:bCs/>
                <w:noProof/>
                <w:webHidden/>
              </w:rPr>
              <w:fldChar w:fldCharType="end"/>
            </w:r>
          </w:hyperlink>
        </w:p>
        <w:p w14:paraId="6DCAC635" w14:textId="0430579E" w:rsidR="007D0C18" w:rsidRPr="007D0C18" w:rsidRDefault="007D0C18">
          <w:pPr>
            <w:pStyle w:val="TOC1"/>
            <w:tabs>
              <w:tab w:val="right" w:leader="dot" w:pos="9016"/>
            </w:tabs>
            <w:rPr>
              <w:rFonts w:ascii="Arial" w:hAnsi="Arial" w:cs="Arial"/>
              <w:b/>
              <w:bCs/>
              <w:noProof/>
              <w:sz w:val="24"/>
              <w:szCs w:val="24"/>
            </w:rPr>
          </w:pPr>
          <w:hyperlink w:anchor="_Toc231942429" w:history="1">
            <w:r w:rsidRPr="007D0C18">
              <w:rPr>
                <w:rStyle w:val="Hyperlink"/>
                <w:rFonts w:ascii="Arial" w:hAnsi="Arial" w:cs="Arial"/>
                <w:b/>
                <w:bCs/>
                <w:noProof/>
              </w:rPr>
              <w:t>Critical Reflection on AI Usage in the Development of the Report</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_Toc231942429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10</w:t>
            </w:r>
            <w:r w:rsidRPr="007D0C18">
              <w:rPr>
                <w:rFonts w:ascii="Arial" w:hAnsi="Arial" w:cs="Arial"/>
                <w:b/>
                <w:bCs/>
                <w:noProof/>
                <w:webHidden/>
              </w:rPr>
              <w:fldChar w:fldCharType="end"/>
            </w:r>
          </w:hyperlink>
        </w:p>
        <w:p w14:paraId="1722D259" w14:textId="4335F6A1" w:rsidR="007D0C18" w:rsidRPr="007D0C18" w:rsidRDefault="007D0C18">
          <w:pPr>
            <w:pStyle w:val="TOC1"/>
            <w:tabs>
              <w:tab w:val="right" w:leader="dot" w:pos="9016"/>
            </w:tabs>
            <w:rPr>
              <w:rFonts w:ascii="Arial" w:hAnsi="Arial" w:cs="Arial"/>
              <w:b/>
              <w:bCs/>
              <w:noProof/>
              <w:sz w:val="24"/>
              <w:szCs w:val="24"/>
            </w:rPr>
          </w:pPr>
          <w:hyperlink w:anchor="_Toc231942430" w:history="1">
            <w:r w:rsidRPr="007D0C18">
              <w:rPr>
                <w:rStyle w:val="Hyperlink"/>
                <w:rFonts w:ascii="Arial" w:hAnsi="Arial" w:cs="Arial"/>
                <w:b/>
                <w:bCs/>
                <w:noProof/>
              </w:rPr>
              <w:t>a. Tool Disclosure</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_Toc231942430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10</w:t>
            </w:r>
            <w:r w:rsidRPr="007D0C18">
              <w:rPr>
                <w:rFonts w:ascii="Arial" w:hAnsi="Arial" w:cs="Arial"/>
                <w:b/>
                <w:bCs/>
                <w:noProof/>
                <w:webHidden/>
              </w:rPr>
              <w:fldChar w:fldCharType="end"/>
            </w:r>
          </w:hyperlink>
        </w:p>
        <w:p w14:paraId="2DEC53CF" w14:textId="1BDC91F7" w:rsidR="007D0C18" w:rsidRPr="007D0C18" w:rsidRDefault="007D0C18">
          <w:pPr>
            <w:pStyle w:val="TOC1"/>
            <w:tabs>
              <w:tab w:val="right" w:leader="dot" w:pos="9016"/>
            </w:tabs>
            <w:rPr>
              <w:rFonts w:ascii="Arial" w:hAnsi="Arial" w:cs="Arial"/>
              <w:b/>
              <w:bCs/>
              <w:noProof/>
              <w:sz w:val="24"/>
              <w:szCs w:val="24"/>
            </w:rPr>
          </w:pPr>
          <w:hyperlink w:anchor="_Toc231942431" w:history="1">
            <w:r w:rsidRPr="007D0C18">
              <w:rPr>
                <w:rStyle w:val="Hyperlink"/>
                <w:rFonts w:ascii="Arial" w:hAnsi="Arial" w:cs="Arial"/>
                <w:b/>
                <w:bCs/>
                <w:noProof/>
              </w:rPr>
              <w:t>b. Critical Evaluation of AI Output</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_Toc231942431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11</w:t>
            </w:r>
            <w:r w:rsidRPr="007D0C18">
              <w:rPr>
                <w:rFonts w:ascii="Arial" w:hAnsi="Arial" w:cs="Arial"/>
                <w:b/>
                <w:bCs/>
                <w:noProof/>
                <w:webHidden/>
              </w:rPr>
              <w:fldChar w:fldCharType="end"/>
            </w:r>
          </w:hyperlink>
        </w:p>
        <w:p w14:paraId="5E57FDDF" w14:textId="44860B8C" w:rsidR="007D0C18" w:rsidRPr="007D0C18" w:rsidRDefault="007D0C18">
          <w:pPr>
            <w:pStyle w:val="TOC1"/>
            <w:tabs>
              <w:tab w:val="right" w:leader="dot" w:pos="9016"/>
            </w:tabs>
            <w:rPr>
              <w:rFonts w:ascii="Arial" w:hAnsi="Arial" w:cs="Arial"/>
              <w:b/>
              <w:bCs/>
              <w:noProof/>
              <w:sz w:val="24"/>
              <w:szCs w:val="24"/>
            </w:rPr>
          </w:pPr>
          <w:hyperlink w:anchor="_Toc231942432" w:history="1">
            <w:r w:rsidRPr="007D0C18">
              <w:rPr>
                <w:rStyle w:val="Hyperlink"/>
                <w:rFonts w:ascii="Arial" w:hAnsi="Arial" w:cs="Arial"/>
                <w:b/>
                <w:bCs/>
                <w:noProof/>
              </w:rPr>
              <w:t>c. Contribution Analysis</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_Toc231942432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11</w:t>
            </w:r>
            <w:r w:rsidRPr="007D0C18">
              <w:rPr>
                <w:rFonts w:ascii="Arial" w:hAnsi="Arial" w:cs="Arial"/>
                <w:b/>
                <w:bCs/>
                <w:noProof/>
                <w:webHidden/>
              </w:rPr>
              <w:fldChar w:fldCharType="end"/>
            </w:r>
          </w:hyperlink>
        </w:p>
        <w:p w14:paraId="70B32D66" w14:textId="71A0EA38" w:rsidR="007D0C18" w:rsidRPr="007D0C18" w:rsidRDefault="007D0C18">
          <w:pPr>
            <w:pStyle w:val="TOC1"/>
            <w:tabs>
              <w:tab w:val="right" w:leader="dot" w:pos="9016"/>
            </w:tabs>
            <w:rPr>
              <w:rFonts w:ascii="Arial" w:hAnsi="Arial" w:cs="Arial"/>
              <w:b/>
              <w:bCs/>
              <w:noProof/>
              <w:sz w:val="24"/>
              <w:szCs w:val="24"/>
            </w:rPr>
          </w:pPr>
          <w:hyperlink w:anchor="_Toc231942433" w:history="1">
            <w:r w:rsidRPr="007D0C18">
              <w:rPr>
                <w:rStyle w:val="Hyperlink"/>
                <w:rFonts w:ascii="Arial" w:hAnsi="Arial" w:cs="Arial"/>
                <w:b/>
                <w:bCs/>
                <w:noProof/>
              </w:rPr>
              <w:t>d. Ethical &amp; Professional Reflection.</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_Toc231942433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11</w:t>
            </w:r>
            <w:r w:rsidRPr="007D0C18">
              <w:rPr>
                <w:rFonts w:ascii="Arial" w:hAnsi="Arial" w:cs="Arial"/>
                <w:b/>
                <w:bCs/>
                <w:noProof/>
                <w:webHidden/>
              </w:rPr>
              <w:fldChar w:fldCharType="end"/>
            </w:r>
          </w:hyperlink>
        </w:p>
        <w:p w14:paraId="24E196A5" w14:textId="350D4652" w:rsidR="007D0C18" w:rsidRPr="007D0C18" w:rsidRDefault="007D0C18">
          <w:pPr>
            <w:pStyle w:val="TOC1"/>
            <w:tabs>
              <w:tab w:val="right" w:leader="dot" w:pos="9016"/>
            </w:tabs>
            <w:rPr>
              <w:rFonts w:ascii="Arial" w:hAnsi="Arial" w:cs="Arial"/>
              <w:b/>
              <w:bCs/>
              <w:noProof/>
              <w:sz w:val="24"/>
              <w:szCs w:val="24"/>
            </w:rPr>
          </w:pPr>
          <w:hyperlink w:anchor="_Toc231942434" w:history="1">
            <w:r w:rsidRPr="007D0C18">
              <w:rPr>
                <w:rStyle w:val="Hyperlink"/>
                <w:rFonts w:ascii="Arial" w:hAnsi="Arial" w:cs="Arial"/>
                <w:b/>
                <w:bCs/>
                <w:noProof/>
              </w:rPr>
              <w:t>REFERENCE LIST</w:t>
            </w:r>
            <w:r w:rsidRPr="007D0C18">
              <w:rPr>
                <w:rFonts w:ascii="Arial" w:hAnsi="Arial" w:cs="Arial"/>
                <w:b/>
                <w:bCs/>
                <w:noProof/>
                <w:webHidden/>
              </w:rPr>
              <w:tab/>
            </w:r>
            <w:r w:rsidRPr="007D0C18">
              <w:rPr>
                <w:rFonts w:ascii="Arial" w:hAnsi="Arial" w:cs="Arial"/>
                <w:b/>
                <w:bCs/>
                <w:noProof/>
                <w:webHidden/>
              </w:rPr>
              <w:fldChar w:fldCharType="begin"/>
            </w:r>
            <w:r w:rsidRPr="007D0C18">
              <w:rPr>
                <w:rFonts w:ascii="Arial" w:hAnsi="Arial" w:cs="Arial"/>
                <w:b/>
                <w:bCs/>
                <w:noProof/>
                <w:webHidden/>
              </w:rPr>
              <w:instrText xml:space="preserve"> PAGEREF _Toc231942434 \h </w:instrText>
            </w:r>
            <w:r w:rsidRPr="007D0C18">
              <w:rPr>
                <w:rFonts w:ascii="Arial" w:hAnsi="Arial" w:cs="Arial"/>
                <w:b/>
                <w:bCs/>
                <w:noProof/>
                <w:webHidden/>
              </w:rPr>
            </w:r>
            <w:r w:rsidRPr="007D0C18">
              <w:rPr>
                <w:rFonts w:ascii="Arial" w:hAnsi="Arial" w:cs="Arial"/>
                <w:b/>
                <w:bCs/>
                <w:noProof/>
                <w:webHidden/>
              </w:rPr>
              <w:fldChar w:fldCharType="separate"/>
            </w:r>
            <w:r w:rsidRPr="007D0C18">
              <w:rPr>
                <w:rFonts w:ascii="Arial" w:hAnsi="Arial" w:cs="Arial"/>
                <w:b/>
                <w:bCs/>
                <w:noProof/>
                <w:webHidden/>
              </w:rPr>
              <w:t>12</w:t>
            </w:r>
            <w:r w:rsidRPr="007D0C18">
              <w:rPr>
                <w:rFonts w:ascii="Arial" w:hAnsi="Arial" w:cs="Arial"/>
                <w:b/>
                <w:bCs/>
                <w:noProof/>
                <w:webHidden/>
              </w:rPr>
              <w:fldChar w:fldCharType="end"/>
            </w:r>
          </w:hyperlink>
        </w:p>
        <w:p w14:paraId="5FD7F777" w14:textId="7D5D03B1" w:rsidR="007D0C18" w:rsidRPr="007D0C18" w:rsidRDefault="007D0C18">
          <w:pPr>
            <w:rPr>
              <w:rFonts w:ascii="Arial" w:hAnsi="Arial" w:cs="Arial"/>
              <w:b/>
              <w:bCs/>
            </w:rPr>
          </w:pPr>
          <w:r w:rsidRPr="007D0C18">
            <w:rPr>
              <w:rFonts w:ascii="Arial" w:hAnsi="Arial" w:cs="Arial"/>
              <w:b/>
              <w:bCs/>
              <w:noProof/>
            </w:rPr>
            <w:fldChar w:fldCharType="end"/>
          </w:r>
        </w:p>
      </w:sdtContent>
    </w:sdt>
    <w:p w14:paraId="0DA9948C" w14:textId="77777777" w:rsidR="007D0C18" w:rsidRPr="007D0C18" w:rsidRDefault="007D0C18" w:rsidP="00BE4167">
      <w:pPr>
        <w:spacing w:before="120" w:after="120" w:line="360" w:lineRule="auto"/>
        <w:rPr>
          <w:rFonts w:ascii="Arial" w:hAnsi="Arial" w:cs="Arial"/>
          <w:b/>
          <w:bCs/>
        </w:rPr>
      </w:pPr>
    </w:p>
    <w:p w14:paraId="5033EC29" w14:textId="77777777" w:rsidR="007D0C18" w:rsidRPr="007D0C18" w:rsidRDefault="007D0C18" w:rsidP="00BE4167">
      <w:pPr>
        <w:spacing w:before="120" w:after="120" w:line="360" w:lineRule="auto"/>
        <w:rPr>
          <w:rFonts w:ascii="Arial" w:hAnsi="Arial" w:cs="Arial"/>
          <w:b/>
          <w:bCs/>
        </w:rPr>
      </w:pPr>
    </w:p>
    <w:p w14:paraId="272214AF" w14:textId="77777777" w:rsidR="007D0C18" w:rsidRDefault="007D0C18" w:rsidP="00BE4167">
      <w:pPr>
        <w:spacing w:before="120" w:after="120" w:line="360" w:lineRule="auto"/>
        <w:rPr>
          <w:rFonts w:ascii="Arial" w:hAnsi="Arial" w:cs="Arial"/>
          <w:b/>
        </w:rPr>
      </w:pPr>
    </w:p>
    <w:p w14:paraId="0FC3BBEE" w14:textId="77777777" w:rsidR="007D0C18" w:rsidRDefault="007D0C18" w:rsidP="00BE4167">
      <w:pPr>
        <w:spacing w:before="120" w:after="120" w:line="360" w:lineRule="auto"/>
        <w:rPr>
          <w:rFonts w:ascii="Arial" w:hAnsi="Arial" w:cs="Arial"/>
          <w:b/>
        </w:rPr>
      </w:pPr>
    </w:p>
    <w:p w14:paraId="11335A84" w14:textId="77777777" w:rsidR="007D0C18" w:rsidRDefault="007D0C18" w:rsidP="00BE4167">
      <w:pPr>
        <w:spacing w:before="120" w:after="120" w:line="360" w:lineRule="auto"/>
        <w:rPr>
          <w:rFonts w:ascii="Arial" w:hAnsi="Arial" w:cs="Arial"/>
          <w:b/>
        </w:rPr>
      </w:pPr>
    </w:p>
    <w:p w14:paraId="5B344C82" w14:textId="77777777" w:rsidR="007D0C18" w:rsidRDefault="007D0C18" w:rsidP="00BE4167">
      <w:pPr>
        <w:spacing w:before="120" w:after="120" w:line="360" w:lineRule="auto"/>
        <w:rPr>
          <w:rFonts w:ascii="Arial" w:hAnsi="Arial" w:cs="Arial"/>
          <w:b/>
        </w:rPr>
      </w:pPr>
    </w:p>
    <w:p w14:paraId="304157B5" w14:textId="77777777" w:rsidR="007D0C18" w:rsidRDefault="007D0C18" w:rsidP="00BE4167">
      <w:pPr>
        <w:spacing w:before="120" w:after="120" w:line="360" w:lineRule="auto"/>
        <w:rPr>
          <w:rFonts w:ascii="Arial" w:hAnsi="Arial" w:cs="Arial"/>
          <w:b/>
        </w:rPr>
      </w:pPr>
    </w:p>
    <w:p w14:paraId="71ABA553" w14:textId="77777777" w:rsidR="007D0C18" w:rsidRDefault="007D0C18" w:rsidP="00BE4167">
      <w:pPr>
        <w:spacing w:before="120" w:after="120" w:line="360" w:lineRule="auto"/>
        <w:rPr>
          <w:rFonts w:ascii="Arial" w:hAnsi="Arial" w:cs="Arial"/>
          <w:b/>
        </w:rPr>
      </w:pPr>
    </w:p>
    <w:p w14:paraId="1E7E48DB" w14:textId="77777777" w:rsidR="007D0C18" w:rsidRDefault="007D0C18" w:rsidP="00BE4167">
      <w:pPr>
        <w:spacing w:before="120" w:after="120" w:line="360" w:lineRule="auto"/>
        <w:rPr>
          <w:rFonts w:ascii="Arial" w:hAnsi="Arial" w:cs="Arial"/>
          <w:b/>
        </w:rPr>
      </w:pPr>
    </w:p>
    <w:p w14:paraId="616916CF" w14:textId="77777777" w:rsidR="007D0C18" w:rsidRDefault="007D0C18" w:rsidP="007D0C18">
      <w:pPr>
        <w:pStyle w:val="Heading1"/>
      </w:pPr>
      <w:bookmarkStart w:id="0" w:name="_Toc231942420"/>
    </w:p>
    <w:p w14:paraId="34DF31D5" w14:textId="77777777" w:rsidR="007D0C18" w:rsidRDefault="007D0C18" w:rsidP="007D0C18"/>
    <w:p w14:paraId="74F0AED4" w14:textId="77777777" w:rsidR="007D0C18" w:rsidRPr="007D0C18" w:rsidRDefault="007D0C18" w:rsidP="007D0C18"/>
    <w:p w14:paraId="50833F0C" w14:textId="0F44E746" w:rsidR="00AF4E1F" w:rsidRPr="007D0C18" w:rsidRDefault="00AF4E1F" w:rsidP="007D0C18">
      <w:pPr>
        <w:pStyle w:val="Heading1"/>
        <w:spacing w:line="360" w:lineRule="auto"/>
        <w:rPr>
          <w:rFonts w:ascii="Arial" w:hAnsi="Arial" w:cs="Arial"/>
          <w:b/>
          <w:bCs/>
          <w:color w:val="auto"/>
          <w:sz w:val="22"/>
          <w:szCs w:val="22"/>
        </w:rPr>
      </w:pPr>
      <w:r w:rsidRPr="007D0C18">
        <w:rPr>
          <w:rFonts w:ascii="Arial" w:hAnsi="Arial" w:cs="Arial"/>
          <w:b/>
          <w:bCs/>
          <w:color w:val="auto"/>
          <w:sz w:val="22"/>
          <w:szCs w:val="22"/>
        </w:rPr>
        <w:lastRenderedPageBreak/>
        <w:t>Introduction</w:t>
      </w:r>
      <w:bookmarkEnd w:id="0"/>
    </w:p>
    <w:p w14:paraId="0BD2C08D" w14:textId="77777777" w:rsidR="00A904D9" w:rsidRDefault="00114E2E" w:rsidP="00114E2E">
      <w:pPr>
        <w:spacing w:before="120" w:after="120" w:line="360" w:lineRule="auto"/>
        <w:rPr>
          <w:rFonts w:ascii="Arial" w:hAnsi="Arial" w:cs="Arial"/>
          <w:bCs/>
        </w:rPr>
      </w:pPr>
      <w:r w:rsidRPr="00114E2E">
        <w:rPr>
          <w:rFonts w:ascii="Arial" w:hAnsi="Arial" w:cs="Arial"/>
          <w:bCs/>
        </w:rPr>
        <w:t xml:space="preserve">The metals and mining industry is among the largest contributors to global greenhouse gas (GHG) emissions, accounting for approximately 25% of the emissions produced by the world’s 12,000 largest companies. As concerns about climate change intensify, mining companies face increasing pressure from governments, investors, customers, and society to reduce their environmental impact. </w:t>
      </w:r>
    </w:p>
    <w:p w14:paraId="23DEADE6" w14:textId="623AFB97" w:rsidR="00E1121E" w:rsidRDefault="00163DCF" w:rsidP="00114E2E">
      <w:pPr>
        <w:spacing w:before="120" w:after="120" w:line="360" w:lineRule="auto"/>
        <w:rPr>
          <w:rFonts w:ascii="Arial" w:hAnsi="Arial" w:cs="Arial"/>
        </w:rPr>
      </w:pPr>
      <w:r>
        <w:rPr>
          <w:rFonts w:ascii="Arial" w:hAnsi="Arial" w:cs="Arial"/>
          <w:bCs/>
        </w:rPr>
        <w:t>Broken Hill Proprietary Company, (</w:t>
      </w:r>
      <w:r w:rsidR="00AF4E1F">
        <w:rPr>
          <w:rFonts w:ascii="Arial" w:hAnsi="Arial" w:cs="Arial"/>
        </w:rPr>
        <w:t>B</w:t>
      </w:r>
      <w:r w:rsidR="00AF4E1F" w:rsidRPr="00AF4E1F">
        <w:rPr>
          <w:rFonts w:ascii="Arial" w:hAnsi="Arial" w:cs="Arial"/>
        </w:rPr>
        <w:t>HP</w:t>
      </w:r>
      <w:r>
        <w:rPr>
          <w:rFonts w:ascii="Arial" w:hAnsi="Arial" w:cs="Arial"/>
        </w:rPr>
        <w:t xml:space="preserve">) </w:t>
      </w:r>
      <w:r w:rsidR="00AF4E1F" w:rsidRPr="00AF4E1F">
        <w:rPr>
          <w:rFonts w:ascii="Arial" w:hAnsi="Arial" w:cs="Arial"/>
        </w:rPr>
        <w:t xml:space="preserve">is one of the world's largest mining companies, producing key commodities including iron ore, copper, metallurgical coal, and nickel. Operating across several continents, the company plays a significant role in supplying resources that support global industrial development and the energy transition. However, mining activities are associated with substantial environmental impacts, particularly greenhouse gas (GHG) emissions and resource consumption. As pressure from </w:t>
      </w:r>
      <w:r w:rsidR="0043581C">
        <w:rPr>
          <w:rFonts w:ascii="Arial" w:hAnsi="Arial" w:cs="Arial"/>
        </w:rPr>
        <w:t xml:space="preserve">external stakeholders </w:t>
      </w:r>
      <w:r w:rsidR="00AF4E1F" w:rsidRPr="00AF4E1F">
        <w:rPr>
          <w:rFonts w:ascii="Arial" w:hAnsi="Arial" w:cs="Arial"/>
        </w:rPr>
        <w:t>increases, BHP has committed to reducing its operational emissions and supporting the transition to a net-zero economy through investments in decarbonisation technologies and renewable energy initiatives (BHP, 2025). Sustainability has become a strategic priority for the company, reflecting the growing importance of environmental responsibility within the global mining sector</w:t>
      </w:r>
      <w:r w:rsidR="00E121BB">
        <w:rPr>
          <w:rFonts w:ascii="Arial" w:hAnsi="Arial" w:cs="Arial"/>
        </w:rPr>
        <w:t xml:space="preserve">. </w:t>
      </w:r>
    </w:p>
    <w:p w14:paraId="51C42356" w14:textId="30C214D1" w:rsidR="009C5227" w:rsidRPr="00114E2E" w:rsidRDefault="009C5227" w:rsidP="00114E2E">
      <w:pPr>
        <w:spacing w:before="120" w:after="120" w:line="360" w:lineRule="auto"/>
        <w:rPr>
          <w:rFonts w:ascii="Arial" w:hAnsi="Arial" w:cs="Arial"/>
          <w:bCs/>
        </w:rPr>
      </w:pPr>
      <w:r w:rsidRPr="009C5227">
        <w:rPr>
          <w:rFonts w:ascii="Arial" w:hAnsi="Arial" w:cs="Arial"/>
        </w:rPr>
        <w:t>According to Kotler et al. (2024), organisations operate within a marketing environment consisting of external actors and forces that influence business decisions and performance</w:t>
      </w:r>
      <w:r>
        <w:rPr>
          <w:rFonts w:ascii="Arial" w:hAnsi="Arial" w:cs="Arial"/>
        </w:rPr>
        <w:t>.</w:t>
      </w:r>
      <w:r w:rsidR="00AF4E1F" w:rsidRPr="00AF4E1F">
        <w:rPr>
          <w:rFonts w:ascii="Arial" w:hAnsi="Arial" w:cs="Arial"/>
        </w:rPr>
        <w:t xml:space="preserve"> Therefore, BHP provides a relevant case for examining how external marketing environment</w:t>
      </w:r>
      <w:r w:rsidR="00BE4167">
        <w:rPr>
          <w:rFonts w:ascii="Arial" w:hAnsi="Arial" w:cs="Arial"/>
        </w:rPr>
        <w:t xml:space="preserve"> </w:t>
      </w:r>
      <w:r w:rsidR="00BE4167" w:rsidRPr="00BE4167">
        <w:rPr>
          <w:rFonts w:ascii="Arial" w:hAnsi="Arial" w:cs="Arial"/>
        </w:rPr>
        <w:t>actors influence organisational strategies and the development of lower-carbon products.</w:t>
      </w:r>
      <w:r w:rsidR="00AF4E1F" w:rsidRPr="00AF4E1F">
        <w:rPr>
          <w:rFonts w:ascii="Arial" w:hAnsi="Arial" w:cs="Arial"/>
        </w:rPr>
        <w:t xml:space="preserve"> </w:t>
      </w:r>
      <w:r w:rsidRPr="009C5227">
        <w:rPr>
          <w:rFonts w:ascii="Arial" w:hAnsi="Arial" w:cs="Arial"/>
        </w:rPr>
        <w:t>This analysis examines two key external marketing environment actors affecting BHP's transition towards lower-carbon products: the Natural Environment and the Political/Regulatory Environment. Emphasis is placed on the Natural Environment as the primary driver of the company's sustainability strategy.</w:t>
      </w:r>
    </w:p>
    <w:p w14:paraId="039545BF" w14:textId="4115A9C5" w:rsidR="006E5962" w:rsidRPr="007D0C18" w:rsidRDefault="0082712A" w:rsidP="007D0C18">
      <w:pPr>
        <w:pStyle w:val="Heading1"/>
        <w:spacing w:line="360" w:lineRule="auto"/>
        <w:rPr>
          <w:rFonts w:ascii="Arial" w:hAnsi="Arial" w:cs="Arial"/>
          <w:b/>
          <w:bCs/>
          <w:color w:val="auto"/>
          <w:sz w:val="22"/>
          <w:szCs w:val="22"/>
        </w:rPr>
      </w:pPr>
      <w:bookmarkStart w:id="1" w:name="_Toc231942421"/>
      <w:r w:rsidRPr="007D0C18">
        <w:rPr>
          <w:rFonts w:ascii="Arial" w:hAnsi="Arial" w:cs="Arial"/>
          <w:b/>
          <w:bCs/>
          <w:color w:val="auto"/>
          <w:sz w:val="22"/>
          <w:szCs w:val="22"/>
        </w:rPr>
        <w:t>Task 1</w:t>
      </w:r>
      <w:r w:rsidR="008D23DE" w:rsidRPr="007D0C18">
        <w:rPr>
          <w:rFonts w:ascii="Arial" w:hAnsi="Arial" w:cs="Arial"/>
          <w:b/>
          <w:bCs/>
          <w:color w:val="auto"/>
          <w:sz w:val="22"/>
          <w:szCs w:val="22"/>
        </w:rPr>
        <w:t xml:space="preserve"> </w:t>
      </w:r>
      <w:r w:rsidR="002C3166" w:rsidRPr="007D0C18">
        <w:rPr>
          <w:rFonts w:ascii="Arial" w:hAnsi="Arial" w:cs="Arial"/>
          <w:b/>
          <w:bCs/>
          <w:color w:val="auto"/>
          <w:sz w:val="22"/>
          <w:szCs w:val="22"/>
        </w:rPr>
        <w:t>Marketing Environment Analysis</w:t>
      </w:r>
      <w:bookmarkEnd w:id="1"/>
      <w:r w:rsidR="002C3166" w:rsidRPr="007D0C18">
        <w:rPr>
          <w:rFonts w:ascii="Arial" w:hAnsi="Arial" w:cs="Arial"/>
          <w:b/>
          <w:bCs/>
          <w:color w:val="auto"/>
          <w:sz w:val="22"/>
          <w:szCs w:val="22"/>
        </w:rPr>
        <w:t xml:space="preserve"> </w:t>
      </w:r>
    </w:p>
    <w:p w14:paraId="0BA1EA42" w14:textId="73C5B5BA" w:rsidR="00BE4167" w:rsidRPr="00BE4167" w:rsidRDefault="00BE4167" w:rsidP="007D0C18">
      <w:pPr>
        <w:pStyle w:val="Heading1"/>
        <w:spacing w:line="360" w:lineRule="auto"/>
      </w:pPr>
      <w:bookmarkStart w:id="2" w:name="_Toc231942422"/>
      <w:r w:rsidRPr="007D0C18">
        <w:rPr>
          <w:rFonts w:ascii="Arial" w:hAnsi="Arial" w:cs="Arial"/>
          <w:b/>
          <w:bCs/>
          <w:color w:val="auto"/>
          <w:sz w:val="22"/>
          <w:szCs w:val="22"/>
        </w:rPr>
        <w:t xml:space="preserve">Natural Environment </w:t>
      </w:r>
      <w:r w:rsidR="00E612A1" w:rsidRPr="007D0C18">
        <w:rPr>
          <w:rFonts w:ascii="Arial" w:hAnsi="Arial" w:cs="Arial"/>
          <w:b/>
          <w:bCs/>
          <w:color w:val="auto"/>
          <w:sz w:val="22"/>
          <w:szCs w:val="22"/>
        </w:rPr>
        <w:t>Actor</w:t>
      </w:r>
      <w:bookmarkEnd w:id="2"/>
    </w:p>
    <w:p w14:paraId="5DA48C87" w14:textId="550811F7" w:rsidR="00BE4167" w:rsidRPr="00BE4167" w:rsidRDefault="00BE4167" w:rsidP="00BE4167">
      <w:pPr>
        <w:spacing w:before="120" w:after="120" w:line="360" w:lineRule="auto"/>
        <w:jc w:val="both"/>
        <w:rPr>
          <w:rFonts w:ascii="Arial" w:hAnsi="Arial" w:cs="Arial"/>
        </w:rPr>
      </w:pPr>
      <w:r w:rsidRPr="00BE4167">
        <w:rPr>
          <w:rFonts w:ascii="Arial" w:hAnsi="Arial" w:cs="Arial"/>
        </w:rPr>
        <w:t xml:space="preserve">The natural environment is the most significant external marketing environment actor influencing BHP's transition towards lower-carbon products. </w:t>
      </w:r>
      <w:r w:rsidR="0040182E" w:rsidRPr="00C91FA5">
        <w:rPr>
          <w:rFonts w:ascii="Arial" w:hAnsi="Arial" w:cs="Arial"/>
        </w:rPr>
        <w:t>Brown,</w:t>
      </w:r>
      <w:r w:rsidR="009B2D66">
        <w:rPr>
          <w:rFonts w:ascii="Arial" w:hAnsi="Arial" w:cs="Arial"/>
        </w:rPr>
        <w:t xml:space="preserve"> (</w:t>
      </w:r>
      <w:r w:rsidR="0040182E" w:rsidRPr="00C91FA5">
        <w:rPr>
          <w:rFonts w:ascii="Arial" w:hAnsi="Arial" w:cs="Arial"/>
        </w:rPr>
        <w:t>2015</w:t>
      </w:r>
      <w:r w:rsidR="009B2D66">
        <w:rPr>
          <w:rFonts w:ascii="Arial" w:hAnsi="Arial" w:cs="Arial"/>
        </w:rPr>
        <w:t>)</w:t>
      </w:r>
      <w:r w:rsidR="00515F2B">
        <w:rPr>
          <w:rFonts w:ascii="Arial" w:hAnsi="Arial" w:cs="Arial"/>
        </w:rPr>
        <w:t xml:space="preserve"> </w:t>
      </w:r>
      <w:r w:rsidRPr="00BE4167">
        <w:rPr>
          <w:rFonts w:ascii="Arial" w:hAnsi="Arial" w:cs="Arial"/>
        </w:rPr>
        <w:t>define</w:t>
      </w:r>
      <w:r w:rsidR="00277BF1">
        <w:rPr>
          <w:rFonts w:ascii="Arial" w:hAnsi="Arial" w:cs="Arial"/>
        </w:rPr>
        <w:t>s</w:t>
      </w:r>
      <w:r w:rsidRPr="00BE4167">
        <w:rPr>
          <w:rFonts w:ascii="Arial" w:hAnsi="Arial" w:cs="Arial"/>
        </w:rPr>
        <w:t xml:space="preserve"> the natural environment as the physical and ecological resources that organisations depend on, including climate, natural resources, biodiversity and environmental sustainability concerns. For mining companies such as BHP, this actor is particularly important because their operations rely </w:t>
      </w:r>
      <w:r w:rsidRPr="00BE4167">
        <w:rPr>
          <w:rFonts w:ascii="Arial" w:hAnsi="Arial" w:cs="Arial"/>
        </w:rPr>
        <w:lastRenderedPageBreak/>
        <w:t>heavily on land, water, energy and mineral resources while simultaneously contributing to environmental degradation and greenhouse gas emissions.</w:t>
      </w:r>
    </w:p>
    <w:p w14:paraId="0CAFFCC8" w14:textId="086EE28E" w:rsidR="00BE4167" w:rsidRPr="00BE4167" w:rsidRDefault="00BE4167" w:rsidP="00BE4167">
      <w:pPr>
        <w:spacing w:before="120" w:after="120" w:line="360" w:lineRule="auto"/>
        <w:jc w:val="both"/>
        <w:rPr>
          <w:rFonts w:ascii="Arial" w:hAnsi="Arial" w:cs="Arial"/>
        </w:rPr>
      </w:pPr>
      <w:r w:rsidRPr="00BE4167">
        <w:rPr>
          <w:rFonts w:ascii="Arial" w:hAnsi="Arial" w:cs="Arial"/>
        </w:rPr>
        <w:t>Climate change represents one of the most significant challenges facing the global mining industry. Rising temperatures, extreme weather events, droughts and flooding can directly disrupt mining operations, damage infrastructure and increase operational costs. BHP has recognised that climate</w:t>
      </w:r>
      <w:r w:rsidR="00F90290">
        <w:rPr>
          <w:rFonts w:ascii="Arial" w:hAnsi="Arial" w:cs="Arial"/>
        </w:rPr>
        <w:t xml:space="preserve"> r</w:t>
      </w:r>
      <w:r w:rsidRPr="00BE4167">
        <w:rPr>
          <w:rFonts w:ascii="Arial" w:hAnsi="Arial" w:cs="Arial"/>
        </w:rPr>
        <w:t>elated physical risks could affect productivity and long-term business performance, particularly in regions vulnerable to water scarcity and extreme weather conditions. As a result, environmental sustainability has become a strategic business issue rather than simply a corporate social responsibility concern.</w:t>
      </w:r>
    </w:p>
    <w:p w14:paraId="56813343" w14:textId="6620C5B2" w:rsidR="00BE4167" w:rsidRPr="00BE4167" w:rsidRDefault="00AE56D0" w:rsidP="00BE4167">
      <w:pPr>
        <w:spacing w:before="120" w:after="120" w:line="360" w:lineRule="auto"/>
        <w:jc w:val="both"/>
        <w:rPr>
          <w:rFonts w:ascii="Arial" w:hAnsi="Arial" w:cs="Arial"/>
        </w:rPr>
      </w:pPr>
      <w:r>
        <w:rPr>
          <w:rFonts w:ascii="Arial" w:hAnsi="Arial" w:cs="Arial"/>
        </w:rPr>
        <w:t xml:space="preserve">According to </w:t>
      </w:r>
      <w:r w:rsidRPr="004A7D09">
        <w:rPr>
          <w:rFonts w:ascii="Arial" w:hAnsi="Arial" w:cs="Arial"/>
        </w:rPr>
        <w:t>Abbott,</w:t>
      </w:r>
      <w:r w:rsidR="00487B9E">
        <w:rPr>
          <w:rFonts w:ascii="Arial" w:hAnsi="Arial" w:cs="Arial"/>
        </w:rPr>
        <w:t xml:space="preserve"> </w:t>
      </w:r>
      <w:r w:rsidR="00515F2B">
        <w:rPr>
          <w:rFonts w:ascii="Arial" w:hAnsi="Arial" w:cs="Arial"/>
        </w:rPr>
        <w:t>(</w:t>
      </w:r>
      <w:r w:rsidRPr="004A7D09">
        <w:rPr>
          <w:rFonts w:ascii="Arial" w:hAnsi="Arial" w:cs="Arial"/>
        </w:rPr>
        <w:t>2025</w:t>
      </w:r>
      <w:r w:rsidR="00AF3366">
        <w:rPr>
          <w:rFonts w:ascii="Arial" w:hAnsi="Arial" w:cs="Arial"/>
        </w:rPr>
        <w:t>)</w:t>
      </w:r>
      <w:r w:rsidR="00AF3366" w:rsidRPr="00BE4167">
        <w:rPr>
          <w:rFonts w:ascii="Arial" w:hAnsi="Arial" w:cs="Arial"/>
        </w:rPr>
        <w:t xml:space="preserve"> The</w:t>
      </w:r>
      <w:r w:rsidR="00BE4167" w:rsidRPr="00BE4167">
        <w:rPr>
          <w:rFonts w:ascii="Arial" w:hAnsi="Arial" w:cs="Arial"/>
        </w:rPr>
        <w:t xml:space="preserve"> growing global focus on reducing carbon emissions has also transformed customer expectations. Many of BHP's customers, particularly steel manufacturers, are under pressure to reduce emissions throughout their supply chains. Since iron ore is a key component in steel production, BHP faces increasing demand for lower-carbon solutions that can support customers' decarbonisation goals. This has encouraged the company to invest in research partnerships and technologies aimed at reducing emissions associated with steelmaking and mining operations. In this way, the natural environment directly influences product development, investment decisions and long-term strategic planning.</w:t>
      </w:r>
    </w:p>
    <w:p w14:paraId="35986A6E" w14:textId="72F0088D" w:rsidR="00BE4167" w:rsidRPr="00BE4167" w:rsidRDefault="00BE4167" w:rsidP="00BE4167">
      <w:pPr>
        <w:spacing w:before="120" w:after="120" w:line="360" w:lineRule="auto"/>
        <w:jc w:val="both"/>
        <w:rPr>
          <w:rFonts w:ascii="Arial" w:hAnsi="Arial" w:cs="Arial"/>
        </w:rPr>
      </w:pPr>
      <w:r w:rsidRPr="00BE4167">
        <w:rPr>
          <w:rFonts w:ascii="Arial" w:hAnsi="Arial" w:cs="Arial"/>
        </w:rPr>
        <w:t>From a marketing perspective, environmental concerns create both opportunities and threats for BHP. One significant opportunity is the ability to strengthen corporate reputation and competitive advantage through sustainability leadership. Investors increasingly favour companies with strong environmental, social and governance (ESG) performance</w:t>
      </w:r>
      <w:r w:rsidR="004855DD">
        <w:rPr>
          <w:rFonts w:ascii="Arial" w:hAnsi="Arial" w:cs="Arial"/>
        </w:rPr>
        <w:t>,</w:t>
      </w:r>
      <w:r w:rsidR="00103CA1">
        <w:rPr>
          <w:rFonts w:ascii="Arial" w:hAnsi="Arial" w:cs="Arial"/>
        </w:rPr>
        <w:t xml:space="preserve"> while</w:t>
      </w:r>
      <w:r w:rsidRPr="00BE4167">
        <w:rPr>
          <w:rFonts w:ascii="Arial" w:hAnsi="Arial" w:cs="Arial"/>
        </w:rPr>
        <w:t xml:space="preserve"> customers seek suppliers that demonstrate credible commitments to sustainability</w:t>
      </w:r>
      <w:r w:rsidR="00FB3739">
        <w:rPr>
          <w:rFonts w:ascii="Arial" w:hAnsi="Arial" w:cs="Arial"/>
        </w:rPr>
        <w:t>,</w:t>
      </w:r>
      <w:r w:rsidR="00103CA1">
        <w:rPr>
          <w:rFonts w:ascii="Arial" w:hAnsi="Arial" w:cs="Arial"/>
        </w:rPr>
        <w:t xml:space="preserve"> </w:t>
      </w:r>
      <w:r w:rsidR="005962A7">
        <w:rPr>
          <w:rFonts w:ascii="Arial" w:hAnsi="Arial" w:cs="Arial"/>
        </w:rPr>
        <w:t>(</w:t>
      </w:r>
      <w:r w:rsidR="00103CA1" w:rsidRPr="001C219A">
        <w:rPr>
          <w:rFonts w:ascii="Arial" w:hAnsi="Arial" w:cs="Arial"/>
        </w:rPr>
        <w:t>Kumar,</w:t>
      </w:r>
      <w:r w:rsidR="00103CA1">
        <w:rPr>
          <w:rFonts w:ascii="Arial" w:hAnsi="Arial" w:cs="Arial"/>
        </w:rPr>
        <w:t xml:space="preserve"> </w:t>
      </w:r>
      <w:r w:rsidR="00103CA1" w:rsidRPr="001C219A">
        <w:rPr>
          <w:rFonts w:ascii="Arial" w:hAnsi="Arial" w:cs="Arial"/>
        </w:rPr>
        <w:t>2025</w:t>
      </w:r>
      <w:r w:rsidR="00103CA1">
        <w:rPr>
          <w:rFonts w:ascii="Arial" w:hAnsi="Arial" w:cs="Arial"/>
        </w:rPr>
        <w:t xml:space="preserve">). </w:t>
      </w:r>
      <w:r w:rsidR="000439B8">
        <w:rPr>
          <w:rFonts w:ascii="Arial" w:hAnsi="Arial" w:cs="Arial"/>
        </w:rPr>
        <w:t xml:space="preserve">By </w:t>
      </w:r>
      <w:r w:rsidR="00534FBE">
        <w:rPr>
          <w:rFonts w:ascii="Arial" w:hAnsi="Arial" w:cs="Arial"/>
        </w:rPr>
        <w:t>i</w:t>
      </w:r>
      <w:r w:rsidRPr="00BE4167">
        <w:rPr>
          <w:rFonts w:ascii="Arial" w:hAnsi="Arial" w:cs="Arial"/>
        </w:rPr>
        <w:t>nvesting in renewable energy, emissions reduction initiatives and cleaner production technologies, BHP can position itself as a responsible and future-focused organisation. This differentiation may strengthen stakeholder trust and support long-term customer relationships.</w:t>
      </w:r>
    </w:p>
    <w:p w14:paraId="3337D6AD" w14:textId="007BF6CE" w:rsidR="00BE4167" w:rsidRPr="00BE4167" w:rsidRDefault="00BE4167" w:rsidP="00BE4167">
      <w:pPr>
        <w:spacing w:before="120" w:after="120" w:line="360" w:lineRule="auto"/>
        <w:jc w:val="both"/>
        <w:rPr>
          <w:rFonts w:ascii="Arial" w:hAnsi="Arial" w:cs="Arial"/>
        </w:rPr>
      </w:pPr>
      <w:r w:rsidRPr="00BE4167">
        <w:rPr>
          <w:rFonts w:ascii="Arial" w:hAnsi="Arial" w:cs="Arial"/>
        </w:rPr>
        <w:t xml:space="preserve">However, the natural environment also creates substantial challenges. Transitioning towards </w:t>
      </w:r>
      <w:r w:rsidRPr="000F018D">
        <w:rPr>
          <w:rFonts w:ascii="Arial" w:hAnsi="Arial" w:cs="Arial"/>
        </w:rPr>
        <w:t>lower-carbon products requires significant financial investment in new technologies,</w:t>
      </w:r>
      <w:r w:rsidRPr="00BE4167">
        <w:rPr>
          <w:rFonts w:ascii="Arial" w:hAnsi="Arial" w:cs="Arial"/>
        </w:rPr>
        <w:t xml:space="preserve"> infrastructure and operational processes. These investments may reduce short-term profitability and involve considerable uncertainty regarding future returns. Furthermore, although BHP can directly reduce emissions generated by its own operations, a large proportion of emissions associated with its products occur downstream during steel production. These so-called Scope 3 emissions are difficult for the company to control because they depend on the activities of customers and supply chain partners</w:t>
      </w:r>
      <w:r w:rsidR="002C2251">
        <w:rPr>
          <w:rFonts w:ascii="Arial" w:hAnsi="Arial" w:cs="Arial"/>
        </w:rPr>
        <w:t xml:space="preserve"> (</w:t>
      </w:r>
      <w:r w:rsidR="00B52DC1" w:rsidRPr="006E3EEA">
        <w:rPr>
          <w:rFonts w:ascii="Arial" w:hAnsi="Arial" w:cs="Arial"/>
        </w:rPr>
        <w:t>Connelly, 2025</w:t>
      </w:r>
      <w:r w:rsidR="002C2251">
        <w:rPr>
          <w:rFonts w:ascii="Arial" w:hAnsi="Arial" w:cs="Arial"/>
        </w:rPr>
        <w:t>).</w:t>
      </w:r>
    </w:p>
    <w:p w14:paraId="00338717" w14:textId="5CC17783" w:rsidR="00BE4167" w:rsidRPr="00BE4167" w:rsidRDefault="00BE4167" w:rsidP="00BE4167">
      <w:pPr>
        <w:spacing w:before="120" w:after="120" w:line="360" w:lineRule="auto"/>
        <w:jc w:val="both"/>
        <w:rPr>
          <w:rFonts w:ascii="Arial" w:hAnsi="Arial" w:cs="Arial"/>
        </w:rPr>
      </w:pPr>
      <w:r w:rsidRPr="00BE4167">
        <w:rPr>
          <w:rFonts w:ascii="Arial" w:hAnsi="Arial" w:cs="Arial"/>
        </w:rPr>
        <w:lastRenderedPageBreak/>
        <w:t xml:space="preserve">A critical evaluation suggests that while BHP has made significant commitments towards decarbonisation, questions remain regarding the pace and scale of change within the mining sector. Some environmental groups argue that mining companies continue to face tensions between economic growth objectives and sustainability goals. The continued demand for mineral extraction may create conflicts between shareholder expectations and environmental responsibilities. Nevertheless, the increasing urgency of climate change means that companies unable to adapt to environmental pressures risk losing legitimacy, investment and market </w:t>
      </w:r>
      <w:r w:rsidR="00D26DAC" w:rsidRPr="00BE4167">
        <w:rPr>
          <w:rFonts w:ascii="Arial" w:hAnsi="Arial" w:cs="Arial"/>
        </w:rPr>
        <w:t>opportunities</w:t>
      </w:r>
      <w:r w:rsidR="00D26DAC">
        <w:rPr>
          <w:rFonts w:ascii="Arial" w:hAnsi="Arial" w:cs="Arial"/>
        </w:rPr>
        <w:t xml:space="preserve"> (</w:t>
      </w:r>
      <w:r w:rsidR="00F436A1" w:rsidRPr="00AD5D10">
        <w:rPr>
          <w:rFonts w:ascii="Arial" w:hAnsi="Arial" w:cs="Arial"/>
        </w:rPr>
        <w:t xml:space="preserve">Archer and </w:t>
      </w:r>
      <w:proofErr w:type="spellStart"/>
      <w:r w:rsidR="00F436A1" w:rsidRPr="00AD5D10">
        <w:rPr>
          <w:rFonts w:ascii="Arial" w:hAnsi="Arial" w:cs="Arial"/>
        </w:rPr>
        <w:t>Calvão</w:t>
      </w:r>
      <w:proofErr w:type="spellEnd"/>
      <w:r w:rsidR="00F436A1" w:rsidRPr="00AD5D10">
        <w:rPr>
          <w:rFonts w:ascii="Arial" w:hAnsi="Arial" w:cs="Arial"/>
        </w:rPr>
        <w:t>, 2025</w:t>
      </w:r>
      <w:r w:rsidR="00F62077">
        <w:rPr>
          <w:rFonts w:ascii="Arial" w:hAnsi="Arial" w:cs="Arial"/>
        </w:rPr>
        <w:t>)</w:t>
      </w:r>
      <w:r w:rsidR="00F436A1" w:rsidRPr="00AD5D10">
        <w:rPr>
          <w:rFonts w:ascii="Arial" w:hAnsi="Arial" w:cs="Arial"/>
        </w:rPr>
        <w:t xml:space="preserve">. </w:t>
      </w:r>
    </w:p>
    <w:p w14:paraId="3F5AE790" w14:textId="0C8CEFE7" w:rsidR="00BE4167" w:rsidRPr="00BE4167" w:rsidRDefault="0002076B" w:rsidP="00BE4167">
      <w:pPr>
        <w:spacing w:before="120" w:after="120" w:line="360" w:lineRule="auto"/>
        <w:jc w:val="both"/>
        <w:rPr>
          <w:rFonts w:ascii="Arial" w:hAnsi="Arial" w:cs="Arial"/>
        </w:rPr>
      </w:pPr>
      <w:r w:rsidRPr="0002076B">
        <w:rPr>
          <w:rFonts w:ascii="Arial" w:hAnsi="Arial" w:cs="Arial"/>
        </w:rPr>
        <w:t>Overall, the natural environment presents both risks and opportunities for BHP. While climate change and resource constraints can negatively affect mining operations, they also encourage the company to innovate and adopt more sustainable practices. By responding to these environmental pressures, BHP can improve its competitiveness and meet growing stakeholder expectations. As a result, the natural environment remains the key external factor driving the company's shift towards lower-carbon products.</w:t>
      </w:r>
    </w:p>
    <w:p w14:paraId="1D7267EA" w14:textId="79311627" w:rsidR="00BE4167" w:rsidRPr="007D0C18" w:rsidRDefault="00BE4167" w:rsidP="007D0C18">
      <w:pPr>
        <w:pStyle w:val="Heading1"/>
        <w:spacing w:line="360" w:lineRule="auto"/>
        <w:rPr>
          <w:rFonts w:ascii="Arial" w:hAnsi="Arial" w:cs="Arial"/>
          <w:b/>
          <w:bCs/>
          <w:color w:val="auto"/>
          <w:sz w:val="22"/>
          <w:szCs w:val="22"/>
        </w:rPr>
      </w:pPr>
      <w:bookmarkStart w:id="3" w:name="_Toc231942423"/>
      <w:r w:rsidRPr="007D0C18">
        <w:rPr>
          <w:rFonts w:ascii="Arial" w:hAnsi="Arial" w:cs="Arial"/>
          <w:b/>
          <w:bCs/>
          <w:color w:val="auto"/>
          <w:sz w:val="22"/>
          <w:szCs w:val="22"/>
        </w:rPr>
        <w:t>Political and Regulatory Environment</w:t>
      </w:r>
      <w:bookmarkEnd w:id="3"/>
      <w:r w:rsidRPr="007D0C18">
        <w:rPr>
          <w:rFonts w:ascii="Arial" w:hAnsi="Arial" w:cs="Arial"/>
          <w:b/>
          <w:bCs/>
          <w:color w:val="auto"/>
          <w:sz w:val="22"/>
          <w:szCs w:val="22"/>
        </w:rPr>
        <w:t xml:space="preserve"> </w:t>
      </w:r>
    </w:p>
    <w:p w14:paraId="4909455D" w14:textId="77777777" w:rsidR="00BE4167" w:rsidRPr="00BE4167" w:rsidRDefault="00BE4167" w:rsidP="00BE4167">
      <w:pPr>
        <w:spacing w:before="120" w:after="120" w:line="360" w:lineRule="auto"/>
        <w:jc w:val="both"/>
        <w:rPr>
          <w:rFonts w:ascii="Arial" w:hAnsi="Arial" w:cs="Arial"/>
        </w:rPr>
      </w:pPr>
      <w:r w:rsidRPr="00BE4167">
        <w:rPr>
          <w:rFonts w:ascii="Arial" w:hAnsi="Arial" w:cs="Arial"/>
        </w:rPr>
        <w:t>The political and regulatory environment is another important external marketing environment actor influencing BHP's sustainability strategy. According to Kotler et al. (2024), political forces include government policies, legislation and regulatory frameworks that affect business activities. In recent years, governments around the world have introduced stricter climate policies to support emissions reduction and achieve international sustainability targets.</w:t>
      </w:r>
    </w:p>
    <w:p w14:paraId="03B6D3F6" w14:textId="02467B81" w:rsidR="00BE4167" w:rsidRPr="00BE4167" w:rsidRDefault="00BE4167" w:rsidP="00BE4167">
      <w:pPr>
        <w:spacing w:before="120" w:after="120" w:line="360" w:lineRule="auto"/>
        <w:jc w:val="both"/>
        <w:rPr>
          <w:rFonts w:ascii="Arial" w:hAnsi="Arial" w:cs="Arial"/>
        </w:rPr>
      </w:pPr>
      <w:r w:rsidRPr="00BE4167">
        <w:rPr>
          <w:rFonts w:ascii="Arial" w:hAnsi="Arial" w:cs="Arial"/>
        </w:rPr>
        <w:t>For BHP, environmental regulations create significant pressure to reduce greenhouse gas emissions and improve sustainability performance. Carbon pricing mechanisms, emissions reporting requirements and environmental protection laws have increased the importance of decarbonisation across the mining sector. Compliance with these regulations is essential because failure to meet environmental standards may result in legal penalties, financial costs and reputational damage</w:t>
      </w:r>
      <w:r w:rsidR="000B6146">
        <w:rPr>
          <w:rFonts w:ascii="Arial" w:hAnsi="Arial" w:cs="Arial"/>
        </w:rPr>
        <w:t xml:space="preserve"> (</w:t>
      </w:r>
      <w:proofErr w:type="spellStart"/>
      <w:r w:rsidR="000B771B" w:rsidRPr="00734DAC">
        <w:rPr>
          <w:rFonts w:ascii="Arial" w:hAnsi="Arial" w:cs="Arial"/>
        </w:rPr>
        <w:t>Baranzini</w:t>
      </w:r>
      <w:proofErr w:type="spellEnd"/>
      <w:r w:rsidR="000B771B" w:rsidRPr="00734DAC">
        <w:rPr>
          <w:rFonts w:ascii="Arial" w:hAnsi="Arial" w:cs="Arial"/>
        </w:rPr>
        <w:t xml:space="preserve">, </w:t>
      </w:r>
      <w:r w:rsidR="000B6146">
        <w:rPr>
          <w:rFonts w:ascii="Arial" w:hAnsi="Arial" w:cs="Arial"/>
        </w:rPr>
        <w:t>et al,</w:t>
      </w:r>
      <w:r w:rsidR="00A20A29">
        <w:rPr>
          <w:rFonts w:ascii="Arial" w:hAnsi="Arial" w:cs="Arial"/>
        </w:rPr>
        <w:t xml:space="preserve"> </w:t>
      </w:r>
      <w:r w:rsidR="000B6146">
        <w:rPr>
          <w:rFonts w:ascii="Arial" w:hAnsi="Arial" w:cs="Arial"/>
        </w:rPr>
        <w:t>2017).</w:t>
      </w:r>
    </w:p>
    <w:p w14:paraId="17EE294F" w14:textId="77777777" w:rsidR="00BE4167" w:rsidRPr="00BE4167" w:rsidRDefault="00BE4167" w:rsidP="00BE4167">
      <w:pPr>
        <w:spacing w:before="120" w:after="120" w:line="360" w:lineRule="auto"/>
        <w:jc w:val="both"/>
        <w:rPr>
          <w:rFonts w:ascii="Arial" w:hAnsi="Arial" w:cs="Arial"/>
        </w:rPr>
      </w:pPr>
      <w:r w:rsidRPr="00BE4167">
        <w:rPr>
          <w:rFonts w:ascii="Arial" w:hAnsi="Arial" w:cs="Arial"/>
        </w:rPr>
        <w:t>The political environment also creates opportunities. Many governments are investing in renewable energy infrastructure, hydrogen technologies and low-carbon industrial development. Such initiatives encourage mining companies to collaborate with technology providers and manufacturing industries to develop cleaner production processes. BHP has responded by supporting projects and partnerships focused on reducing emissions throughout the mining and steelmaking value chain.</w:t>
      </w:r>
    </w:p>
    <w:p w14:paraId="26B3843B" w14:textId="168EA4EE" w:rsidR="00BE4167" w:rsidRPr="00BE4167" w:rsidRDefault="004A36B0" w:rsidP="00BE4167">
      <w:pPr>
        <w:spacing w:before="120" w:after="120" w:line="360" w:lineRule="auto"/>
        <w:jc w:val="both"/>
        <w:rPr>
          <w:rFonts w:ascii="Arial" w:hAnsi="Arial" w:cs="Arial"/>
        </w:rPr>
      </w:pPr>
      <w:proofErr w:type="spellStart"/>
      <w:r>
        <w:rPr>
          <w:rFonts w:ascii="Arial" w:hAnsi="Arial" w:cs="Arial"/>
        </w:rPr>
        <w:t>Acording</w:t>
      </w:r>
      <w:proofErr w:type="spellEnd"/>
      <w:r>
        <w:rPr>
          <w:rFonts w:ascii="Arial" w:hAnsi="Arial" w:cs="Arial"/>
        </w:rPr>
        <w:t xml:space="preserve"> to </w:t>
      </w:r>
      <w:r w:rsidRPr="000D7156">
        <w:rPr>
          <w:rFonts w:ascii="Arial" w:hAnsi="Arial" w:cs="Arial"/>
        </w:rPr>
        <w:t>Kumar,</w:t>
      </w:r>
      <w:r w:rsidR="002C1E05">
        <w:rPr>
          <w:rFonts w:ascii="Arial" w:hAnsi="Arial" w:cs="Arial"/>
        </w:rPr>
        <w:t xml:space="preserve"> </w:t>
      </w:r>
      <w:r w:rsidRPr="000D7156">
        <w:rPr>
          <w:rFonts w:ascii="Arial" w:hAnsi="Arial" w:cs="Arial"/>
        </w:rPr>
        <w:t>Singh</w:t>
      </w:r>
      <w:r w:rsidR="002C1E05">
        <w:rPr>
          <w:rFonts w:ascii="Arial" w:hAnsi="Arial" w:cs="Arial"/>
        </w:rPr>
        <w:t xml:space="preserve"> </w:t>
      </w:r>
      <w:r w:rsidRPr="000D7156">
        <w:rPr>
          <w:rFonts w:ascii="Arial" w:hAnsi="Arial" w:cs="Arial"/>
        </w:rPr>
        <w:t xml:space="preserve">and Singh, </w:t>
      </w:r>
      <w:r w:rsidR="002C1E05">
        <w:rPr>
          <w:rFonts w:ascii="Arial" w:hAnsi="Arial" w:cs="Arial"/>
        </w:rPr>
        <w:t>(</w:t>
      </w:r>
      <w:r w:rsidRPr="000D7156">
        <w:rPr>
          <w:rFonts w:ascii="Arial" w:hAnsi="Arial" w:cs="Arial"/>
        </w:rPr>
        <w:t>2024</w:t>
      </w:r>
      <w:r w:rsidR="002C1E05">
        <w:rPr>
          <w:rFonts w:ascii="Arial" w:hAnsi="Arial" w:cs="Arial"/>
        </w:rPr>
        <w:t>)</w:t>
      </w:r>
      <w:r w:rsidR="00AA4DBF">
        <w:rPr>
          <w:rFonts w:ascii="Arial" w:hAnsi="Arial" w:cs="Arial"/>
        </w:rPr>
        <w:t xml:space="preserve"> </w:t>
      </w:r>
      <w:r w:rsidR="00BE4167" w:rsidRPr="00BE4167">
        <w:rPr>
          <w:rFonts w:ascii="Arial" w:hAnsi="Arial" w:cs="Arial"/>
        </w:rPr>
        <w:t xml:space="preserve">regulatory expectations have increased the need for transparency in sustainability reporting. Investors, customers and regulators increasingly </w:t>
      </w:r>
      <w:r w:rsidR="00BE4167" w:rsidRPr="00BE4167">
        <w:rPr>
          <w:rFonts w:ascii="Arial" w:hAnsi="Arial" w:cs="Arial"/>
        </w:rPr>
        <w:lastRenderedPageBreak/>
        <w:t>demand detailed information regarding emissions performance, climate-related risks and environmental targets. As a result, BHP publishes sustainability and climate disclosures that communicate its progress towards decarbonisation objectives.</w:t>
      </w:r>
    </w:p>
    <w:p w14:paraId="3E56F1DF" w14:textId="77777777" w:rsidR="00AC4772" w:rsidRDefault="00BE4167" w:rsidP="00BE4167">
      <w:pPr>
        <w:spacing w:before="120" w:after="120" w:line="360" w:lineRule="auto"/>
        <w:jc w:val="both"/>
        <w:rPr>
          <w:rFonts w:ascii="Arial" w:hAnsi="Arial" w:cs="Arial"/>
        </w:rPr>
      </w:pPr>
      <w:r w:rsidRPr="00BE4167">
        <w:rPr>
          <w:rFonts w:ascii="Arial" w:hAnsi="Arial" w:cs="Arial"/>
        </w:rPr>
        <w:t>Despite these opportunities, regulatory uncertainty remains a challenge. Climate policies differ across countries, creating complexity for multinational organisations. Changes in carbon taxes, emissions standards or environmental legislation may affect investment decisions and operational planning. Nevertheless, the political and regulatory environment plays a critical role in accelerating BHP's transition towards lower-carbon products by encouraging innovation, accountability and long-term sustainability planning</w:t>
      </w:r>
    </w:p>
    <w:p w14:paraId="4A002AE8" w14:textId="46DA435C" w:rsidR="00BE4167" w:rsidRPr="007D0C18" w:rsidRDefault="00BE4167" w:rsidP="007D0C18">
      <w:pPr>
        <w:pStyle w:val="Heading1"/>
        <w:spacing w:line="360" w:lineRule="auto"/>
        <w:rPr>
          <w:rFonts w:ascii="Arial" w:hAnsi="Arial" w:cs="Arial"/>
          <w:b/>
          <w:bCs/>
          <w:sz w:val="22"/>
          <w:szCs w:val="22"/>
        </w:rPr>
      </w:pPr>
      <w:bookmarkStart w:id="4" w:name="_Toc231942424"/>
      <w:r w:rsidRPr="007D0C18">
        <w:rPr>
          <w:rFonts w:ascii="Arial" w:hAnsi="Arial" w:cs="Arial"/>
          <w:b/>
          <w:bCs/>
          <w:color w:val="auto"/>
          <w:sz w:val="22"/>
          <w:szCs w:val="22"/>
        </w:rPr>
        <w:t>Conclusion</w:t>
      </w:r>
      <w:bookmarkEnd w:id="4"/>
      <w:r w:rsidRPr="007D0C18">
        <w:rPr>
          <w:rFonts w:ascii="Arial" w:hAnsi="Arial" w:cs="Arial"/>
          <w:b/>
          <w:bCs/>
          <w:sz w:val="22"/>
          <w:szCs w:val="22"/>
        </w:rPr>
        <w:t xml:space="preserve"> </w:t>
      </w:r>
    </w:p>
    <w:p w14:paraId="6539941F" w14:textId="0AB7D8AD" w:rsidR="00BE4167" w:rsidRDefault="00BE4167" w:rsidP="00BE4167">
      <w:pPr>
        <w:spacing w:before="120" w:after="120" w:line="360" w:lineRule="auto"/>
        <w:jc w:val="both"/>
        <w:rPr>
          <w:rFonts w:ascii="Arial" w:hAnsi="Arial" w:cs="Arial"/>
        </w:rPr>
      </w:pPr>
      <w:r w:rsidRPr="00BE4167">
        <w:rPr>
          <w:rFonts w:ascii="Arial" w:hAnsi="Arial" w:cs="Arial"/>
        </w:rPr>
        <w:t>BHP's transition towards lower-carbon products is significantly influenced by external marketing environment actors, particularly the Natural Environment and the Political/Regulatory Environment. The Natural Environment is the most important driver because climate change, environmental risks and stakeholder expectations require the company to reduce emissions and adopt more sustainable business practices. At the same time, governments and regulators reinforce these pressures through environmental legislation, carbon reduction policies and sustainability reporting requirements. Together, these actors create both challenges and opportunities for BHP. While decarbonisation requires substantial investment and organisational change, it also supports innovation, strengthens corporate reputation and enhances long-term competitiveness. Therefore, BHP's future success will depend on its ability to respond effectively to these evolving environmental and regulatory pressures.</w:t>
      </w:r>
    </w:p>
    <w:p w14:paraId="3CBDAE50" w14:textId="71A2E2CA" w:rsidR="00AC4772" w:rsidRPr="007D0C18" w:rsidRDefault="00AC4772" w:rsidP="007D0C18">
      <w:pPr>
        <w:pStyle w:val="Heading1"/>
        <w:spacing w:line="360" w:lineRule="auto"/>
        <w:rPr>
          <w:rFonts w:ascii="Arial" w:hAnsi="Arial" w:cs="Arial"/>
          <w:b/>
          <w:bCs/>
          <w:color w:val="auto"/>
          <w:sz w:val="22"/>
          <w:szCs w:val="22"/>
        </w:rPr>
      </w:pPr>
      <w:bookmarkStart w:id="5" w:name="_Toc231942425"/>
      <w:r w:rsidRPr="007D0C18">
        <w:rPr>
          <w:rFonts w:ascii="Arial" w:hAnsi="Arial" w:cs="Arial"/>
          <w:b/>
          <w:bCs/>
          <w:color w:val="auto"/>
          <w:sz w:val="22"/>
          <w:szCs w:val="22"/>
        </w:rPr>
        <w:t>Task 2: Strategic Growth and Competitive Positioning – BHP</w:t>
      </w:r>
      <w:bookmarkEnd w:id="5"/>
    </w:p>
    <w:p w14:paraId="47112EBA" w14:textId="46DF5A19" w:rsidR="00AC4772" w:rsidRPr="00BE4167" w:rsidRDefault="00AC4772" w:rsidP="00BE4167">
      <w:pPr>
        <w:spacing w:before="120" w:after="120" w:line="360" w:lineRule="auto"/>
        <w:jc w:val="both"/>
        <w:rPr>
          <w:rFonts w:ascii="Arial" w:hAnsi="Arial" w:cs="Arial"/>
        </w:rPr>
      </w:pPr>
      <w:r w:rsidRPr="00AC4772">
        <w:rPr>
          <w:rFonts w:ascii="Arial" w:hAnsi="Arial" w:cs="Arial"/>
        </w:rPr>
        <w:t xml:space="preserve">Building on the environmental analysis in Task 1, </w:t>
      </w:r>
      <w:r>
        <w:rPr>
          <w:rFonts w:ascii="Arial" w:hAnsi="Arial" w:cs="Arial"/>
        </w:rPr>
        <w:t xml:space="preserve">it is </w:t>
      </w:r>
      <w:r w:rsidR="001B1494">
        <w:rPr>
          <w:rFonts w:ascii="Arial" w:hAnsi="Arial" w:cs="Arial"/>
        </w:rPr>
        <w:t>evident that</w:t>
      </w:r>
      <w:r>
        <w:rPr>
          <w:rFonts w:ascii="Arial" w:hAnsi="Arial" w:cs="Arial"/>
        </w:rPr>
        <w:t xml:space="preserve"> </w:t>
      </w:r>
      <w:r w:rsidRPr="00AC4772">
        <w:rPr>
          <w:rFonts w:ascii="Arial" w:hAnsi="Arial" w:cs="Arial"/>
        </w:rPr>
        <w:t>BHP is operating in a rapidly changing business environment shaped by climate change, stricter government regulations, and increasing pressure from customers and investors to adopt more sustainable practices. These external forces are driving a global shift towards lower-carbon production, particularly in high-emission industries such as metals and mining. As a result, BHP must adopt a strategic growth approach that allows it to remain competitive while also reducing its environmental impact.</w:t>
      </w:r>
    </w:p>
    <w:p w14:paraId="67E0FCB3" w14:textId="496F7DC1" w:rsidR="00BE4167" w:rsidRDefault="00AC4772" w:rsidP="006E5962">
      <w:pPr>
        <w:spacing w:before="120" w:after="120" w:line="360" w:lineRule="auto"/>
        <w:jc w:val="both"/>
        <w:rPr>
          <w:rFonts w:ascii="Arial" w:hAnsi="Arial" w:cs="Arial"/>
        </w:rPr>
      </w:pPr>
      <w:r w:rsidRPr="00AC4772">
        <w:rPr>
          <w:rFonts w:ascii="Arial" w:hAnsi="Arial" w:cs="Arial"/>
        </w:rPr>
        <w:t xml:space="preserve">This report uses the Ansoff Matrix to evaluate BHP’s strategic growth options and recommends the most suitable approach for supporting its transition towards a lower-carbon business model. The analysis concludes that </w:t>
      </w:r>
      <w:r w:rsidRPr="00AC4772">
        <w:rPr>
          <w:rFonts w:ascii="Arial" w:hAnsi="Arial" w:cs="Arial"/>
          <w:b/>
          <w:bCs/>
        </w:rPr>
        <w:t>product development</w:t>
      </w:r>
      <w:r w:rsidRPr="00AC4772">
        <w:rPr>
          <w:rFonts w:ascii="Arial" w:hAnsi="Arial" w:cs="Arial"/>
        </w:rPr>
        <w:t xml:space="preserve"> is the most appropriate </w:t>
      </w:r>
      <w:r w:rsidRPr="00AC4772">
        <w:rPr>
          <w:rFonts w:ascii="Arial" w:hAnsi="Arial" w:cs="Arial"/>
        </w:rPr>
        <w:lastRenderedPageBreak/>
        <w:t>strategy because it enables BHP to create improved, lower-carbon versions of its existing products for current industrial customers. This approach supports both sustainability goals and long-term competitive advantage.</w:t>
      </w:r>
    </w:p>
    <w:p w14:paraId="285A575F" w14:textId="77777777" w:rsidR="00777FD3" w:rsidRDefault="00777FD3" w:rsidP="00AC4772">
      <w:pPr>
        <w:spacing w:before="120" w:after="120" w:line="360" w:lineRule="auto"/>
        <w:jc w:val="both"/>
        <w:rPr>
          <w:rFonts w:ascii="Arial" w:hAnsi="Arial" w:cs="Arial"/>
        </w:rPr>
      </w:pPr>
    </w:p>
    <w:p w14:paraId="1F755764" w14:textId="44BCB0EA" w:rsidR="00777FD3" w:rsidRDefault="007D0C18" w:rsidP="00AC4772">
      <w:pPr>
        <w:spacing w:before="120" w:after="120" w:line="360" w:lineRule="auto"/>
        <w:jc w:val="both"/>
        <w:rPr>
          <w:rFonts w:ascii="Arial" w:hAnsi="Arial" w:cs="Arial"/>
        </w:rPr>
      </w:pPr>
      <w:r w:rsidRPr="00777FD3">
        <w:rPr>
          <w:rFonts w:ascii="Arial" w:hAnsi="Arial" w:cs="Arial"/>
          <w:noProof/>
        </w:rPr>
        <w:drawing>
          <wp:inline distT="0" distB="0" distL="0" distR="0" wp14:anchorId="4A940E25" wp14:editId="5B361F4C">
            <wp:extent cx="5731510" cy="5448300"/>
            <wp:effectExtent l="0" t="0" r="2540" b="0"/>
            <wp:docPr id="1576906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091260" name=""/>
                    <pic:cNvPicPr/>
                  </pic:nvPicPr>
                  <pic:blipFill>
                    <a:blip r:embed="rId8"/>
                    <a:stretch>
                      <a:fillRect/>
                    </a:stretch>
                  </pic:blipFill>
                  <pic:spPr>
                    <a:xfrm>
                      <a:off x="0" y="0"/>
                      <a:ext cx="5731510" cy="5448300"/>
                    </a:xfrm>
                    <a:prstGeom prst="rect">
                      <a:avLst/>
                    </a:prstGeom>
                  </pic:spPr>
                </pic:pic>
              </a:graphicData>
            </a:graphic>
          </wp:inline>
        </w:drawing>
      </w:r>
    </w:p>
    <w:p w14:paraId="3AF9413F" w14:textId="088D79C1" w:rsidR="00234A51" w:rsidRPr="00457920" w:rsidRDefault="00234A51" w:rsidP="00457920">
      <w:pPr>
        <w:spacing w:line="360" w:lineRule="auto"/>
        <w:rPr>
          <w:rFonts w:ascii="Arial" w:hAnsi="Arial" w:cs="Arial"/>
          <w:b/>
          <w:bCs/>
        </w:rPr>
      </w:pPr>
      <w:r w:rsidRPr="00457920">
        <w:rPr>
          <w:rFonts w:ascii="Arial" w:hAnsi="Arial" w:cs="Arial"/>
          <w:b/>
          <w:bCs/>
        </w:rPr>
        <w:t>Figure 1. Ansoff Matrix for BHP</w:t>
      </w:r>
      <w:r w:rsidRPr="00457920">
        <w:rPr>
          <w:rFonts w:ascii="Arial" w:hAnsi="Arial" w:cs="Arial"/>
          <w:b/>
          <w:bCs/>
        </w:rPr>
        <w:br/>
        <w:t>Adapted from Igor Ansoff (1957) and applied to BHP's strategic growth opportunities.</w:t>
      </w:r>
    </w:p>
    <w:p w14:paraId="32969C43" w14:textId="6249B622" w:rsidR="00AC4772" w:rsidRPr="00AC4772" w:rsidRDefault="00934367" w:rsidP="00AC4772">
      <w:pPr>
        <w:spacing w:before="120" w:after="120" w:line="360" w:lineRule="auto"/>
        <w:jc w:val="both"/>
        <w:rPr>
          <w:rFonts w:ascii="Arial" w:hAnsi="Arial" w:cs="Arial"/>
        </w:rPr>
      </w:pPr>
      <w:r>
        <w:rPr>
          <w:rFonts w:ascii="Arial" w:hAnsi="Arial" w:cs="Arial"/>
        </w:rPr>
        <w:t xml:space="preserve">A </w:t>
      </w:r>
      <w:r w:rsidR="009D5E8E" w:rsidRPr="00AC4772">
        <w:rPr>
          <w:rFonts w:ascii="Arial" w:hAnsi="Arial" w:cs="Arial"/>
        </w:rPr>
        <w:t>tool that shows 4 ways a company can grow</w:t>
      </w:r>
      <w:r w:rsidR="00067815">
        <w:rPr>
          <w:rFonts w:ascii="Arial" w:hAnsi="Arial" w:cs="Arial"/>
        </w:rPr>
        <w:t>, m</w:t>
      </w:r>
      <w:r w:rsidR="00AC4772" w:rsidRPr="00AC4772">
        <w:rPr>
          <w:rFonts w:ascii="Arial" w:hAnsi="Arial" w:cs="Arial"/>
        </w:rPr>
        <w:t>arket penetration focuses on increasing sales of existing products within existing markets, typically through pricing strategies or increased marketing efforts. Market development involves entering new markets with existing products, such as expanding geographically. Product development refers to introducing new or improved products into existing markets. Finally, diversification involves entering new markets with new products, representing the highest level of ris</w:t>
      </w:r>
      <w:r w:rsidR="00067815">
        <w:rPr>
          <w:rFonts w:ascii="Arial" w:hAnsi="Arial" w:cs="Arial"/>
        </w:rPr>
        <w:t>k (</w:t>
      </w:r>
      <w:r w:rsidR="00067815" w:rsidRPr="00067815">
        <w:rPr>
          <w:rFonts w:ascii="Arial" w:hAnsi="Arial" w:cs="Arial"/>
        </w:rPr>
        <w:t>Clarissia, 2020</w:t>
      </w:r>
      <w:r w:rsidR="00067815">
        <w:rPr>
          <w:rFonts w:ascii="Arial" w:hAnsi="Arial" w:cs="Arial"/>
        </w:rPr>
        <w:t>).</w:t>
      </w:r>
    </w:p>
    <w:p w14:paraId="56F59593" w14:textId="77777777" w:rsidR="00AC4772" w:rsidRPr="00AC4772" w:rsidRDefault="00AC4772" w:rsidP="00AC4772">
      <w:pPr>
        <w:spacing w:before="120" w:after="120" w:line="360" w:lineRule="auto"/>
        <w:jc w:val="both"/>
        <w:rPr>
          <w:rFonts w:ascii="Arial" w:hAnsi="Arial" w:cs="Arial"/>
        </w:rPr>
      </w:pPr>
      <w:r w:rsidRPr="00AC4772">
        <w:rPr>
          <w:rFonts w:ascii="Arial" w:hAnsi="Arial" w:cs="Arial"/>
        </w:rPr>
        <w:lastRenderedPageBreak/>
        <w:t>In the context of BHP, while all four strategies offer potential value, product development is the most relevant due to the company’s need to respond to sustainability pressures without abandoning its established industrial customer base.</w:t>
      </w:r>
    </w:p>
    <w:p w14:paraId="703B39E3" w14:textId="77777777" w:rsidR="00067238" w:rsidRPr="007D0C18" w:rsidRDefault="00067238" w:rsidP="007D0C18">
      <w:pPr>
        <w:pStyle w:val="Heading1"/>
        <w:spacing w:line="360" w:lineRule="auto"/>
        <w:rPr>
          <w:rFonts w:ascii="Arial" w:hAnsi="Arial" w:cs="Arial"/>
          <w:b/>
          <w:bCs/>
          <w:color w:val="auto"/>
          <w:sz w:val="22"/>
          <w:szCs w:val="22"/>
        </w:rPr>
      </w:pPr>
      <w:bookmarkStart w:id="6" w:name="_Toc231942427"/>
      <w:r w:rsidRPr="007D0C18">
        <w:rPr>
          <w:rFonts w:ascii="Arial" w:hAnsi="Arial" w:cs="Arial"/>
          <w:b/>
          <w:bCs/>
          <w:color w:val="auto"/>
          <w:sz w:val="22"/>
          <w:szCs w:val="22"/>
        </w:rPr>
        <w:t>Recommended Strategy: Product Development</w:t>
      </w:r>
      <w:bookmarkEnd w:id="6"/>
    </w:p>
    <w:p w14:paraId="506E14A6" w14:textId="2C1AB7E7" w:rsidR="00067238" w:rsidRPr="00067238" w:rsidRDefault="00067238" w:rsidP="00067238">
      <w:pPr>
        <w:spacing w:before="120" w:after="120" w:line="360" w:lineRule="auto"/>
        <w:jc w:val="both"/>
        <w:rPr>
          <w:rFonts w:ascii="Arial" w:hAnsi="Arial" w:cs="Arial"/>
        </w:rPr>
      </w:pPr>
      <w:r w:rsidRPr="00067238">
        <w:rPr>
          <w:rFonts w:ascii="Arial" w:hAnsi="Arial" w:cs="Arial"/>
        </w:rPr>
        <w:t>Product development is the most suitable growth strategy for BHP because</w:t>
      </w:r>
      <w:r w:rsidR="00163DCF">
        <w:rPr>
          <w:rFonts w:ascii="Arial" w:hAnsi="Arial" w:cs="Arial"/>
        </w:rPr>
        <w:t xml:space="preserve"> t</w:t>
      </w:r>
      <w:r w:rsidRPr="00067238">
        <w:rPr>
          <w:rFonts w:ascii="Arial" w:hAnsi="Arial" w:cs="Arial"/>
        </w:rPr>
        <w:t>his strategy involves developing lower-carbon versions of existing commodities such as iron ore, copper, and nicke</w:t>
      </w:r>
      <w:r w:rsidR="00067815">
        <w:rPr>
          <w:rFonts w:ascii="Arial" w:hAnsi="Arial" w:cs="Arial"/>
        </w:rPr>
        <w:t>l (</w:t>
      </w:r>
      <w:r w:rsidR="00067815" w:rsidRPr="00067815">
        <w:rPr>
          <w:rFonts w:ascii="Arial" w:hAnsi="Arial" w:cs="Arial"/>
        </w:rPr>
        <w:t>Loredana, 2016</w:t>
      </w:r>
      <w:r w:rsidR="00067815">
        <w:rPr>
          <w:rFonts w:ascii="Arial" w:hAnsi="Arial" w:cs="Arial"/>
        </w:rPr>
        <w:t>)</w:t>
      </w:r>
      <w:r w:rsidR="00067815" w:rsidRPr="00067815">
        <w:rPr>
          <w:rFonts w:ascii="Arial" w:hAnsi="Arial" w:cs="Arial"/>
        </w:rPr>
        <w:t xml:space="preserve">. </w:t>
      </w:r>
      <w:r w:rsidRPr="00067238">
        <w:rPr>
          <w:rFonts w:ascii="Arial" w:hAnsi="Arial" w:cs="Arial"/>
        </w:rPr>
        <w:t>These materials are essential for global industries, particularly steel production and renewable energy infrastructure. However, these industries are under increasing pressure to reduce their carbon emissions. As a result, customers are demanding suppliers who can provide more sustainable raw materials with lower environmental impact</w:t>
      </w:r>
      <w:r w:rsidR="009E6811">
        <w:rPr>
          <w:rFonts w:ascii="Arial" w:hAnsi="Arial" w:cs="Arial"/>
        </w:rPr>
        <w:t>. (</w:t>
      </w:r>
      <w:r w:rsidR="009E6811" w:rsidRPr="009E6811">
        <w:rPr>
          <w:rFonts w:ascii="Arial" w:hAnsi="Arial" w:cs="Arial"/>
        </w:rPr>
        <w:t>Zhang, Jiao, Zhang</w:t>
      </w:r>
      <w:r w:rsidR="009E6811">
        <w:rPr>
          <w:rFonts w:ascii="Arial" w:hAnsi="Arial" w:cs="Arial"/>
        </w:rPr>
        <w:t xml:space="preserve"> </w:t>
      </w:r>
      <w:r w:rsidR="009E6811" w:rsidRPr="009E6811">
        <w:rPr>
          <w:rFonts w:ascii="Arial" w:hAnsi="Arial" w:cs="Arial"/>
        </w:rPr>
        <w:t>and Guo, 2021</w:t>
      </w:r>
      <w:r w:rsidR="009E6811">
        <w:rPr>
          <w:rFonts w:ascii="Arial" w:hAnsi="Arial" w:cs="Arial"/>
        </w:rPr>
        <w:t>)</w:t>
      </w:r>
      <w:r w:rsidR="009E6811" w:rsidRPr="009E6811">
        <w:rPr>
          <w:rFonts w:ascii="Arial" w:hAnsi="Arial" w:cs="Arial"/>
        </w:rPr>
        <w:t>.</w:t>
      </w:r>
    </w:p>
    <w:p w14:paraId="44CB4A44" w14:textId="77777777" w:rsidR="00067238" w:rsidRPr="00067238" w:rsidRDefault="00067238" w:rsidP="00067238">
      <w:pPr>
        <w:spacing w:before="120" w:after="120" w:line="360" w:lineRule="auto"/>
        <w:jc w:val="both"/>
        <w:rPr>
          <w:rFonts w:ascii="Arial" w:hAnsi="Arial" w:cs="Arial"/>
        </w:rPr>
      </w:pPr>
      <w:r w:rsidRPr="00067238">
        <w:rPr>
          <w:rFonts w:ascii="Arial" w:hAnsi="Arial" w:cs="Arial"/>
        </w:rPr>
        <w:t>BHP can respond by using cleaner ways to produce materials, switching to renewable energy in its mining sites, and using new technology to reduce emissions in its supply chain. For example, it can improve energy efficiency in its operations and work with customers to develop lower-carbon steel.</w:t>
      </w:r>
    </w:p>
    <w:p w14:paraId="45ECF156" w14:textId="77777777" w:rsidR="00067238" w:rsidRPr="00067238" w:rsidRDefault="00067238" w:rsidP="00067238">
      <w:pPr>
        <w:spacing w:before="120" w:after="120" w:line="360" w:lineRule="auto"/>
        <w:jc w:val="both"/>
        <w:rPr>
          <w:rFonts w:ascii="Arial" w:hAnsi="Arial" w:cs="Arial"/>
        </w:rPr>
      </w:pPr>
      <w:r w:rsidRPr="00067238">
        <w:rPr>
          <w:rFonts w:ascii="Arial" w:hAnsi="Arial" w:cs="Arial"/>
        </w:rPr>
        <w:t>BHP can also focus more on “transition minerals” like copper and nickel, which are important for electric cars, batteries, and renewable energy. Demand for these materials is expected to grow as more countries move towards a low-carbon economy.</w:t>
      </w:r>
    </w:p>
    <w:p w14:paraId="2B0A2FE2" w14:textId="77777777" w:rsidR="00067238" w:rsidRDefault="00067238" w:rsidP="00067238">
      <w:pPr>
        <w:spacing w:before="120" w:after="120" w:line="360" w:lineRule="auto"/>
        <w:jc w:val="both"/>
        <w:rPr>
          <w:rFonts w:ascii="Arial" w:hAnsi="Arial" w:cs="Arial"/>
        </w:rPr>
      </w:pPr>
      <w:r w:rsidRPr="00067238">
        <w:rPr>
          <w:rFonts w:ascii="Arial" w:hAnsi="Arial" w:cs="Arial"/>
        </w:rPr>
        <w:t>Overall, product development allows BHP to remain competitive in its traditional markets</w:t>
      </w:r>
    </w:p>
    <w:p w14:paraId="017C6135" w14:textId="77777777" w:rsidR="00067238" w:rsidRPr="007D0C18" w:rsidRDefault="00067238" w:rsidP="007D0C18">
      <w:pPr>
        <w:pStyle w:val="Heading1"/>
        <w:spacing w:line="360" w:lineRule="auto"/>
        <w:rPr>
          <w:rFonts w:ascii="Arial" w:hAnsi="Arial" w:cs="Arial"/>
          <w:b/>
          <w:bCs/>
          <w:color w:val="auto"/>
          <w:sz w:val="22"/>
          <w:szCs w:val="22"/>
        </w:rPr>
      </w:pPr>
      <w:bookmarkStart w:id="7" w:name="_Toc231942428"/>
      <w:r w:rsidRPr="007D0C18">
        <w:rPr>
          <w:rFonts w:ascii="Arial" w:hAnsi="Arial" w:cs="Arial"/>
          <w:b/>
          <w:bCs/>
          <w:color w:val="auto"/>
          <w:sz w:val="22"/>
          <w:szCs w:val="22"/>
        </w:rPr>
        <w:t>Competitive Advantage</w:t>
      </w:r>
      <w:bookmarkEnd w:id="7"/>
      <w:r w:rsidRPr="007D0C18">
        <w:rPr>
          <w:rFonts w:ascii="Arial" w:hAnsi="Arial" w:cs="Arial"/>
          <w:b/>
          <w:bCs/>
          <w:color w:val="auto"/>
          <w:sz w:val="22"/>
          <w:szCs w:val="22"/>
        </w:rPr>
        <w:t xml:space="preserve"> </w:t>
      </w:r>
    </w:p>
    <w:p w14:paraId="7437B61C" w14:textId="0DFA3240" w:rsidR="000A6793" w:rsidRPr="000A6793" w:rsidRDefault="000A6793" w:rsidP="000A6793">
      <w:pPr>
        <w:spacing w:before="120" w:after="120" w:line="360" w:lineRule="auto"/>
        <w:jc w:val="both"/>
        <w:rPr>
          <w:rFonts w:ascii="Arial" w:hAnsi="Arial" w:cs="Arial"/>
        </w:rPr>
      </w:pPr>
      <w:r w:rsidRPr="000A6793">
        <w:rPr>
          <w:rFonts w:ascii="Arial" w:hAnsi="Arial" w:cs="Arial"/>
        </w:rPr>
        <w:t>Product development helps BHP gain and maintain a competitive advantage in several important ways. One of the most significant benefits is product differentiation. By developing lower-carbon iron ore and investing in technologies that reduce emissions across the value chain, BHP can offer products that better meet the changing needs of customers. As governments, investors, and consumers place greater emphasis on sustainability, companies increasingly prefer suppliers that can support their environmental goals. This allows BHP to stand out from competitors that may be slower to adapt to these expectations</w:t>
      </w:r>
      <w:r w:rsidR="002103C9">
        <w:rPr>
          <w:rFonts w:ascii="Arial" w:hAnsi="Arial" w:cs="Arial"/>
        </w:rPr>
        <w:t xml:space="preserve"> (</w:t>
      </w:r>
      <w:proofErr w:type="spellStart"/>
      <w:r w:rsidR="002103C9" w:rsidRPr="002103C9">
        <w:rPr>
          <w:rFonts w:ascii="Arial" w:hAnsi="Arial" w:cs="Arial"/>
        </w:rPr>
        <w:t>Büke</w:t>
      </w:r>
      <w:r w:rsidR="002103C9">
        <w:rPr>
          <w:rFonts w:ascii="Arial" w:hAnsi="Arial" w:cs="Arial"/>
        </w:rPr>
        <w:t>c</w:t>
      </w:r>
      <w:proofErr w:type="spellEnd"/>
      <w:r w:rsidR="002103C9" w:rsidRPr="002103C9">
        <w:rPr>
          <w:rFonts w:ascii="Arial" w:hAnsi="Arial" w:cs="Arial"/>
        </w:rPr>
        <w:t>,</w:t>
      </w:r>
      <w:r w:rsidR="002103C9">
        <w:rPr>
          <w:rFonts w:ascii="Arial" w:hAnsi="Arial" w:cs="Arial"/>
        </w:rPr>
        <w:t xml:space="preserve"> </w:t>
      </w:r>
      <w:r w:rsidR="002103C9" w:rsidRPr="002103C9">
        <w:rPr>
          <w:rFonts w:ascii="Arial" w:hAnsi="Arial" w:cs="Arial"/>
        </w:rPr>
        <w:t>2026</w:t>
      </w:r>
      <w:r w:rsidR="002103C9">
        <w:rPr>
          <w:rFonts w:ascii="Arial" w:hAnsi="Arial" w:cs="Arial"/>
        </w:rPr>
        <w:t>)</w:t>
      </w:r>
      <w:r w:rsidR="002103C9" w:rsidRPr="002103C9">
        <w:rPr>
          <w:rFonts w:ascii="Arial" w:hAnsi="Arial" w:cs="Arial"/>
        </w:rPr>
        <w:t xml:space="preserve">. </w:t>
      </w:r>
    </w:p>
    <w:p w14:paraId="18523DB8" w14:textId="77777777" w:rsidR="000A6793" w:rsidRPr="000A6793" w:rsidRDefault="000A6793" w:rsidP="000A6793">
      <w:pPr>
        <w:spacing w:before="120" w:after="120" w:line="360" w:lineRule="auto"/>
        <w:jc w:val="both"/>
        <w:rPr>
          <w:rFonts w:ascii="Arial" w:hAnsi="Arial" w:cs="Arial"/>
        </w:rPr>
      </w:pPr>
      <w:r w:rsidRPr="000A6793">
        <w:rPr>
          <w:rFonts w:ascii="Arial" w:hAnsi="Arial" w:cs="Arial"/>
        </w:rPr>
        <w:t xml:space="preserve">Product development also strengthens customer relationships. Many of BHP’s key customers, particularly steel manufacturers and automotive companies, are under pressure to decarbonise their operations and reduce their carbon footprint. By collaborating with these customers on innovative low-carbon solutions, BHP can create long-term strategic partnerships based on shared sustainability objectives. Strong customer relationships can </w:t>
      </w:r>
      <w:r w:rsidRPr="000A6793">
        <w:rPr>
          <w:rFonts w:ascii="Arial" w:hAnsi="Arial" w:cs="Arial"/>
        </w:rPr>
        <w:lastRenderedPageBreak/>
        <w:t>improve loyalty, increase repeat business, and provide BHP with a more stable demand for its products.</w:t>
      </w:r>
    </w:p>
    <w:p w14:paraId="261684E7" w14:textId="3EDC8189" w:rsidR="000A6793" w:rsidRPr="000A6793" w:rsidRDefault="000A6793" w:rsidP="000A6793">
      <w:pPr>
        <w:spacing w:before="120" w:after="120" w:line="360" w:lineRule="auto"/>
        <w:jc w:val="both"/>
        <w:rPr>
          <w:rFonts w:ascii="Arial" w:hAnsi="Arial" w:cs="Arial"/>
        </w:rPr>
      </w:pPr>
      <w:r w:rsidRPr="000A6793">
        <w:rPr>
          <w:rFonts w:ascii="Arial" w:hAnsi="Arial" w:cs="Arial"/>
        </w:rPr>
        <w:t>In addition, the development of sustainable products enhances BHP’s corporate reputation and brand image.</w:t>
      </w:r>
      <w:r w:rsidR="00E945FD">
        <w:rPr>
          <w:rFonts w:ascii="Arial" w:hAnsi="Arial" w:cs="Arial"/>
        </w:rPr>
        <w:t xml:space="preserve"> According to</w:t>
      </w:r>
      <w:r w:rsidR="004A6AA0">
        <w:rPr>
          <w:rFonts w:ascii="Arial" w:hAnsi="Arial" w:cs="Arial"/>
        </w:rPr>
        <w:t xml:space="preserve"> </w:t>
      </w:r>
      <w:r w:rsidR="004A6AA0" w:rsidRPr="00E945FD">
        <w:rPr>
          <w:rFonts w:ascii="Arial" w:hAnsi="Arial" w:cs="Arial"/>
        </w:rPr>
        <w:t>Kamal</w:t>
      </w:r>
      <w:r w:rsidR="004A6AA0">
        <w:rPr>
          <w:rFonts w:ascii="Arial" w:hAnsi="Arial" w:cs="Arial"/>
        </w:rPr>
        <w:t xml:space="preserve"> </w:t>
      </w:r>
      <w:r w:rsidR="004A6AA0" w:rsidRPr="00E945FD">
        <w:rPr>
          <w:rFonts w:ascii="Arial" w:hAnsi="Arial" w:cs="Arial"/>
        </w:rPr>
        <w:t>and Khan</w:t>
      </w:r>
      <w:r w:rsidR="004A6AA0">
        <w:rPr>
          <w:rFonts w:ascii="Arial" w:hAnsi="Arial" w:cs="Arial"/>
        </w:rPr>
        <w:t xml:space="preserve"> </w:t>
      </w:r>
      <w:r w:rsidR="000C51E3">
        <w:rPr>
          <w:rFonts w:ascii="Arial" w:hAnsi="Arial" w:cs="Arial"/>
        </w:rPr>
        <w:t>(</w:t>
      </w:r>
      <w:r w:rsidR="004A6AA0" w:rsidRPr="00E945FD">
        <w:rPr>
          <w:rFonts w:ascii="Arial" w:hAnsi="Arial" w:cs="Arial"/>
        </w:rPr>
        <w:t>2026</w:t>
      </w:r>
      <w:r w:rsidR="000C51E3">
        <w:rPr>
          <w:rFonts w:ascii="Arial" w:hAnsi="Arial" w:cs="Arial"/>
        </w:rPr>
        <w:t>)</w:t>
      </w:r>
      <w:r w:rsidR="004A6AA0" w:rsidRPr="00E945FD">
        <w:rPr>
          <w:rFonts w:ascii="Arial" w:hAnsi="Arial" w:cs="Arial"/>
        </w:rPr>
        <w:t>.</w:t>
      </w:r>
      <w:r w:rsidR="000C51E3">
        <w:rPr>
          <w:rFonts w:ascii="Arial" w:hAnsi="Arial" w:cs="Arial"/>
        </w:rPr>
        <w:t xml:space="preserve"> </w:t>
      </w:r>
      <w:r w:rsidRPr="000A6793">
        <w:rPr>
          <w:rFonts w:ascii="Arial" w:hAnsi="Arial" w:cs="Arial"/>
        </w:rPr>
        <w:t>Environmental</w:t>
      </w:r>
      <w:r w:rsidR="00E03B54">
        <w:rPr>
          <w:rFonts w:ascii="Arial" w:hAnsi="Arial" w:cs="Arial"/>
        </w:rPr>
        <w:t xml:space="preserve">, </w:t>
      </w:r>
      <w:r w:rsidRPr="000A6793">
        <w:rPr>
          <w:rFonts w:ascii="Arial" w:hAnsi="Arial" w:cs="Arial"/>
        </w:rPr>
        <w:t xml:space="preserve">Social and Governance (ESG) factors have become increasingly important to investors and other stakeholders. </w:t>
      </w:r>
      <w:r>
        <w:rPr>
          <w:rFonts w:ascii="Arial" w:hAnsi="Arial" w:cs="Arial"/>
        </w:rPr>
        <w:t>Demonstrating</w:t>
      </w:r>
      <w:r w:rsidRPr="000A6793">
        <w:rPr>
          <w:rFonts w:ascii="Arial" w:hAnsi="Arial" w:cs="Arial"/>
        </w:rPr>
        <w:t xml:space="preserve"> a commitment to innovation and sustainability can make BHP more attractive to investors while also reducing reputational risks associated with environmental concerns. A positive reputation can provide a significant competitive advantage in an industry that often faces scrutiny regarding its environmental impact.</w:t>
      </w:r>
    </w:p>
    <w:p w14:paraId="48F54937" w14:textId="54FBC74C" w:rsidR="000A6793" w:rsidRPr="000A6793" w:rsidRDefault="000A6793" w:rsidP="000A6793">
      <w:pPr>
        <w:spacing w:before="120" w:after="120" w:line="360" w:lineRule="auto"/>
        <w:jc w:val="both"/>
        <w:rPr>
          <w:rFonts w:ascii="Arial" w:hAnsi="Arial" w:cs="Arial"/>
        </w:rPr>
      </w:pPr>
      <w:r w:rsidRPr="000A6793">
        <w:rPr>
          <w:rFonts w:ascii="Arial" w:hAnsi="Arial" w:cs="Arial"/>
        </w:rPr>
        <w:t xml:space="preserve">Another advantage is the opportunity to achieve a first-mover advantage. By investing early in low-carbon technologies and sustainable product development, BHP can establish itself as an industry leader before competitors fully adopt similar initiatives. </w:t>
      </w:r>
      <w:r w:rsidR="00A343A9">
        <w:rPr>
          <w:rFonts w:ascii="Arial" w:hAnsi="Arial" w:cs="Arial"/>
        </w:rPr>
        <w:t>A</w:t>
      </w:r>
      <w:r w:rsidR="002C02CA">
        <w:rPr>
          <w:rFonts w:ascii="Arial" w:hAnsi="Arial" w:cs="Arial"/>
        </w:rPr>
        <w:t>ccording to</w:t>
      </w:r>
      <w:r w:rsidR="00C913D2">
        <w:rPr>
          <w:rFonts w:ascii="Arial" w:hAnsi="Arial" w:cs="Arial"/>
        </w:rPr>
        <w:t xml:space="preserve"> </w:t>
      </w:r>
      <w:r w:rsidR="003C26F1" w:rsidRPr="002C02CA">
        <w:rPr>
          <w:rFonts w:ascii="Arial" w:hAnsi="Arial" w:cs="Arial"/>
        </w:rPr>
        <w:t>Mesut,</w:t>
      </w:r>
      <w:r w:rsidR="003C26F1">
        <w:rPr>
          <w:rFonts w:ascii="Arial" w:hAnsi="Arial" w:cs="Arial"/>
        </w:rPr>
        <w:t xml:space="preserve"> </w:t>
      </w:r>
      <w:r w:rsidR="00DF228E">
        <w:rPr>
          <w:rFonts w:ascii="Arial" w:hAnsi="Arial" w:cs="Arial"/>
        </w:rPr>
        <w:t>(</w:t>
      </w:r>
      <w:r w:rsidR="00DF228E" w:rsidRPr="002C02CA">
        <w:rPr>
          <w:rFonts w:ascii="Arial" w:hAnsi="Arial" w:cs="Arial"/>
        </w:rPr>
        <w:t>2026</w:t>
      </w:r>
      <w:r w:rsidR="00C913D2">
        <w:rPr>
          <w:rFonts w:ascii="Arial" w:hAnsi="Arial" w:cs="Arial"/>
        </w:rPr>
        <w:t>)</w:t>
      </w:r>
      <w:r w:rsidR="001D1BF3">
        <w:rPr>
          <w:rFonts w:ascii="Arial" w:hAnsi="Arial" w:cs="Arial"/>
        </w:rPr>
        <w:t>,</w:t>
      </w:r>
      <w:r w:rsidR="00C913D2">
        <w:rPr>
          <w:rFonts w:ascii="Arial" w:hAnsi="Arial" w:cs="Arial"/>
        </w:rPr>
        <w:t xml:space="preserve"> </w:t>
      </w:r>
      <w:r w:rsidRPr="000A6793">
        <w:rPr>
          <w:rFonts w:ascii="Arial" w:hAnsi="Arial" w:cs="Arial"/>
        </w:rPr>
        <w:t>Early investment allows the company to gain valuable experience, develop expertise, and build partnerships that may be difficult for competitors to replicate. This leadership position can help secure market share and strengthen BHP’s long-term competitiveness.</w:t>
      </w:r>
    </w:p>
    <w:p w14:paraId="05069EC6" w14:textId="326F4DEF" w:rsidR="000A6793" w:rsidRPr="000A6793" w:rsidRDefault="002103C9" w:rsidP="000A6793">
      <w:pPr>
        <w:spacing w:before="120" w:after="120" w:line="360" w:lineRule="auto"/>
        <w:jc w:val="both"/>
        <w:rPr>
          <w:rFonts w:ascii="Arial" w:hAnsi="Arial" w:cs="Arial"/>
        </w:rPr>
      </w:pPr>
      <w:r w:rsidRPr="002103C9">
        <w:rPr>
          <w:rFonts w:ascii="Arial" w:hAnsi="Arial" w:cs="Arial"/>
        </w:rPr>
        <w:t>Although new technologies can be expensive at first, they can reduce energy use and waste, which lowers operating costs</w:t>
      </w:r>
      <w:r w:rsidR="000A6793" w:rsidRPr="000A6793">
        <w:rPr>
          <w:rFonts w:ascii="Arial" w:hAnsi="Arial" w:cs="Arial"/>
        </w:rPr>
        <w:t>. As governments introduce stricter environmental policies, companies that have already invested in sustainable solutions may be better positioned to manage compliance costs and avoid potential financial penalties</w:t>
      </w:r>
      <w:r w:rsidR="000A7EAA">
        <w:rPr>
          <w:rFonts w:ascii="Arial" w:hAnsi="Arial" w:cs="Arial"/>
        </w:rPr>
        <w:t xml:space="preserve"> </w:t>
      </w:r>
      <w:r w:rsidR="00DF228E">
        <w:rPr>
          <w:rFonts w:ascii="Arial" w:hAnsi="Arial" w:cs="Arial"/>
        </w:rPr>
        <w:t>(</w:t>
      </w:r>
      <w:r w:rsidR="0035717B" w:rsidRPr="00FF60DD">
        <w:rPr>
          <w:rFonts w:ascii="Arial" w:hAnsi="Arial" w:cs="Arial"/>
        </w:rPr>
        <w:t>Zheng, Huang</w:t>
      </w:r>
      <w:r w:rsidR="000A7EAA" w:rsidRPr="00FF60DD">
        <w:rPr>
          <w:rFonts w:ascii="Arial" w:hAnsi="Arial" w:cs="Arial"/>
        </w:rPr>
        <w:t xml:space="preserve">, </w:t>
      </w:r>
      <w:r w:rsidR="00F10F52">
        <w:rPr>
          <w:rFonts w:ascii="Arial" w:hAnsi="Arial" w:cs="Arial"/>
        </w:rPr>
        <w:t>j</w:t>
      </w:r>
      <w:r w:rsidR="000A7EAA" w:rsidRPr="00FF60DD">
        <w:rPr>
          <w:rFonts w:ascii="Arial" w:hAnsi="Arial" w:cs="Arial"/>
        </w:rPr>
        <w:t>iang and Dong,</w:t>
      </w:r>
      <w:r w:rsidR="00F10F52">
        <w:rPr>
          <w:rFonts w:ascii="Arial" w:hAnsi="Arial" w:cs="Arial"/>
        </w:rPr>
        <w:t xml:space="preserve"> </w:t>
      </w:r>
      <w:r w:rsidR="000A7EAA" w:rsidRPr="00FF60DD">
        <w:rPr>
          <w:rFonts w:ascii="Arial" w:hAnsi="Arial" w:cs="Arial"/>
        </w:rPr>
        <w:t>2026</w:t>
      </w:r>
      <w:r w:rsidR="00B0228A">
        <w:rPr>
          <w:rFonts w:ascii="Arial" w:hAnsi="Arial" w:cs="Arial"/>
        </w:rPr>
        <w:t>).</w:t>
      </w:r>
    </w:p>
    <w:p w14:paraId="1AE434AA" w14:textId="62387CA8" w:rsidR="00067238" w:rsidRPr="00067238" w:rsidRDefault="000A6793" w:rsidP="00067238">
      <w:pPr>
        <w:spacing w:before="120" w:after="120" w:line="360" w:lineRule="auto"/>
        <w:jc w:val="both"/>
        <w:rPr>
          <w:rFonts w:ascii="Arial" w:hAnsi="Arial" w:cs="Arial"/>
        </w:rPr>
      </w:pPr>
      <w:r w:rsidRPr="000A6793">
        <w:rPr>
          <w:rFonts w:ascii="Arial" w:hAnsi="Arial" w:cs="Arial"/>
        </w:rPr>
        <w:t>Overall, product development enables BHP to respond effectively to changing market conditions, strengthen stakeholder relationships, enhance its reputation, and position itself as a leader in the transition to a lower-carbon economy. These benefits help the company remain competitive while supporting long-term business growth and sustainability objective</w:t>
      </w:r>
      <w:r>
        <w:rPr>
          <w:rFonts w:ascii="Arial" w:hAnsi="Arial" w:cs="Arial"/>
        </w:rPr>
        <w:t>s.</w:t>
      </w:r>
    </w:p>
    <w:p w14:paraId="39996933" w14:textId="6C8D1E3A" w:rsidR="00325BEB" w:rsidRPr="007D0C18" w:rsidRDefault="00325BEB" w:rsidP="007D0C18">
      <w:pPr>
        <w:pStyle w:val="Heading1"/>
        <w:spacing w:line="360" w:lineRule="auto"/>
        <w:rPr>
          <w:rFonts w:ascii="Arial" w:hAnsi="Arial" w:cs="Arial"/>
          <w:b/>
          <w:bCs/>
          <w:color w:val="auto"/>
          <w:sz w:val="22"/>
          <w:szCs w:val="22"/>
        </w:rPr>
      </w:pPr>
      <w:bookmarkStart w:id="8" w:name="_Toc231942429"/>
      <w:r w:rsidRPr="007D0C18">
        <w:rPr>
          <w:rFonts w:ascii="Arial" w:hAnsi="Arial" w:cs="Arial"/>
          <w:b/>
          <w:bCs/>
          <w:color w:val="auto"/>
          <w:sz w:val="22"/>
          <w:szCs w:val="22"/>
        </w:rPr>
        <w:t>Critical Reflection on AI Usage in the Development of the Report</w:t>
      </w:r>
      <w:bookmarkEnd w:id="8"/>
      <w:r w:rsidRPr="007D0C18">
        <w:rPr>
          <w:rFonts w:ascii="Arial" w:hAnsi="Arial" w:cs="Arial"/>
          <w:b/>
          <w:bCs/>
          <w:color w:val="auto"/>
          <w:sz w:val="22"/>
          <w:szCs w:val="22"/>
        </w:rPr>
        <w:t xml:space="preserve"> </w:t>
      </w:r>
    </w:p>
    <w:p w14:paraId="4D65AA1C" w14:textId="77777777" w:rsidR="00325BEB" w:rsidRPr="007D0C18" w:rsidRDefault="00325BEB" w:rsidP="007D0C18">
      <w:pPr>
        <w:pStyle w:val="Heading1"/>
        <w:spacing w:line="360" w:lineRule="auto"/>
        <w:rPr>
          <w:rFonts w:ascii="Arial" w:hAnsi="Arial" w:cs="Arial"/>
          <w:b/>
          <w:bCs/>
          <w:color w:val="auto"/>
          <w:sz w:val="22"/>
          <w:szCs w:val="22"/>
        </w:rPr>
      </w:pPr>
      <w:bookmarkStart w:id="9" w:name="_Toc231942430"/>
      <w:r w:rsidRPr="007D0C18">
        <w:rPr>
          <w:rFonts w:ascii="Arial" w:hAnsi="Arial" w:cs="Arial"/>
          <w:b/>
          <w:bCs/>
          <w:color w:val="auto"/>
          <w:sz w:val="22"/>
          <w:szCs w:val="22"/>
        </w:rPr>
        <w:t>a. Tool Disclosure</w:t>
      </w:r>
      <w:bookmarkEnd w:id="9"/>
    </w:p>
    <w:p w14:paraId="503BD32E" w14:textId="01448394" w:rsidR="00325BEB" w:rsidRPr="00325BEB" w:rsidRDefault="00325BEB" w:rsidP="00325BEB">
      <w:pPr>
        <w:spacing w:before="120" w:after="120" w:line="360" w:lineRule="auto"/>
        <w:jc w:val="both"/>
        <w:rPr>
          <w:rFonts w:ascii="Arial" w:hAnsi="Arial" w:cs="Arial"/>
        </w:rPr>
      </w:pPr>
      <w:r w:rsidRPr="00325BEB">
        <w:rPr>
          <w:rFonts w:ascii="Arial" w:hAnsi="Arial" w:cs="Arial"/>
        </w:rPr>
        <w:t xml:space="preserve">Artificial Intelligence (AI) tools were used in a limited and controlled manner throughout the development of this report, in accordance with the assessment guidelines. </w:t>
      </w:r>
      <w:r w:rsidRPr="00E5732B">
        <w:rPr>
          <w:rFonts w:ascii="Arial" w:hAnsi="Arial" w:cs="Arial"/>
        </w:rPr>
        <w:t>Google Schola</w:t>
      </w:r>
      <w:r w:rsidR="00E5732B" w:rsidRPr="00E5732B">
        <w:rPr>
          <w:rFonts w:ascii="Arial" w:hAnsi="Arial" w:cs="Arial"/>
        </w:rPr>
        <w:t>r</w:t>
      </w:r>
      <w:r w:rsidR="00E5732B">
        <w:rPr>
          <w:rFonts w:ascii="Arial" w:hAnsi="Arial" w:cs="Arial"/>
          <w:b/>
          <w:bCs/>
        </w:rPr>
        <w:t xml:space="preserve"> </w:t>
      </w:r>
      <w:r w:rsidR="00E5732B" w:rsidRPr="00E5732B">
        <w:rPr>
          <w:rFonts w:ascii="Arial" w:hAnsi="Arial" w:cs="Arial"/>
        </w:rPr>
        <w:t>(Google, 2026)</w:t>
      </w:r>
      <w:r w:rsidRPr="00325BEB">
        <w:rPr>
          <w:rFonts w:ascii="Arial" w:hAnsi="Arial" w:cs="Arial"/>
        </w:rPr>
        <w:t xml:space="preserve"> was used to identify relevant academic sources and journal articles relating to strategic management and the Ansoff Matrix</w:t>
      </w:r>
      <w:r w:rsidR="00E5732B">
        <w:rPr>
          <w:rFonts w:ascii="Arial" w:hAnsi="Arial" w:cs="Arial"/>
        </w:rPr>
        <w:t xml:space="preserve">. </w:t>
      </w:r>
      <w:r w:rsidR="00E5732B" w:rsidRPr="00E5732B">
        <w:rPr>
          <w:rFonts w:ascii="Arial" w:hAnsi="Arial" w:cs="Arial"/>
        </w:rPr>
        <w:t xml:space="preserve">OpenAI, </w:t>
      </w:r>
      <w:r w:rsidR="00E5732B">
        <w:rPr>
          <w:rFonts w:ascii="Arial" w:hAnsi="Arial" w:cs="Arial"/>
        </w:rPr>
        <w:t>(</w:t>
      </w:r>
      <w:r w:rsidR="00E5732B" w:rsidRPr="00E5732B">
        <w:rPr>
          <w:rFonts w:ascii="Arial" w:hAnsi="Arial" w:cs="Arial"/>
        </w:rPr>
        <w:t>2026</w:t>
      </w:r>
      <w:r w:rsidR="00E5732B">
        <w:rPr>
          <w:rFonts w:ascii="Arial" w:hAnsi="Arial" w:cs="Arial"/>
        </w:rPr>
        <w:t>)</w:t>
      </w:r>
      <w:r w:rsidR="00E5732B" w:rsidRPr="00E5732B">
        <w:rPr>
          <w:rFonts w:ascii="Arial" w:hAnsi="Arial" w:cs="Arial"/>
        </w:rPr>
        <w:t xml:space="preserve"> </w:t>
      </w:r>
      <w:r w:rsidRPr="00E5732B">
        <w:rPr>
          <w:rFonts w:ascii="Arial" w:hAnsi="Arial" w:cs="Arial"/>
        </w:rPr>
        <w:t>ChatGPT</w:t>
      </w:r>
      <w:r w:rsidRPr="00325BEB">
        <w:rPr>
          <w:rFonts w:ascii="Arial" w:hAnsi="Arial" w:cs="Arial"/>
        </w:rPr>
        <w:t xml:space="preserve"> was used as a research support tool to clarify concepts, compare information from different sources, and assist in understanding marketing theories. </w:t>
      </w:r>
      <w:r w:rsidR="00D20B22" w:rsidRPr="00D20B22">
        <w:rPr>
          <w:rFonts w:ascii="Arial" w:hAnsi="Arial" w:cs="Arial"/>
        </w:rPr>
        <w:t>(Grammarly, 2026)</w:t>
      </w:r>
      <w:r w:rsidR="00D20B22">
        <w:rPr>
          <w:rFonts w:ascii="Arial" w:hAnsi="Arial" w:cs="Arial"/>
          <w:b/>
          <w:bCs/>
        </w:rPr>
        <w:t xml:space="preserve"> </w:t>
      </w:r>
      <w:r w:rsidRPr="00325BEB">
        <w:rPr>
          <w:rFonts w:ascii="Arial" w:hAnsi="Arial" w:cs="Arial"/>
        </w:rPr>
        <w:t xml:space="preserve">was used to review grammar, spelling, punctuation, and sentence structure to improve the overall readability of the report. </w:t>
      </w:r>
      <w:r w:rsidRPr="00325BEB">
        <w:rPr>
          <w:rFonts w:ascii="Arial" w:hAnsi="Arial" w:cs="Arial"/>
        </w:rPr>
        <w:lastRenderedPageBreak/>
        <w:t xml:space="preserve">Additionally, </w:t>
      </w:r>
      <w:r w:rsidR="004D4DB1" w:rsidRPr="00325BEB">
        <w:rPr>
          <w:rFonts w:ascii="Arial" w:hAnsi="Arial" w:cs="Arial"/>
          <w:b/>
          <w:bCs/>
        </w:rPr>
        <w:t>Quill Bot</w:t>
      </w:r>
      <w:r w:rsidRPr="00325BEB">
        <w:rPr>
          <w:rFonts w:ascii="Arial" w:hAnsi="Arial" w:cs="Arial"/>
        </w:rPr>
        <w:t xml:space="preserve"> was used selectively to paraphrase sentences and improve clarity while ensuring that the original meaning of the content was maintained. For the visual component of the report, an AI image-generation tool was used to create a simplified version of the Ansoff Matrix diagram for presentation purposes.</w:t>
      </w:r>
    </w:p>
    <w:p w14:paraId="222171D7" w14:textId="67E1FD51" w:rsidR="00325BEB" w:rsidRDefault="00325BEB" w:rsidP="00325BEB">
      <w:pPr>
        <w:spacing w:before="120" w:after="120" w:line="360" w:lineRule="auto"/>
        <w:jc w:val="both"/>
        <w:rPr>
          <w:rFonts w:ascii="Arial" w:hAnsi="Arial" w:cs="Arial"/>
        </w:rPr>
      </w:pPr>
      <w:r w:rsidRPr="00325BEB">
        <w:rPr>
          <w:rFonts w:ascii="Arial" w:hAnsi="Arial" w:cs="Arial"/>
        </w:rPr>
        <w:t>All AI-assisted outputs were reviewed</w:t>
      </w:r>
      <w:r w:rsidR="00163DCF">
        <w:rPr>
          <w:rFonts w:ascii="Arial" w:hAnsi="Arial" w:cs="Arial"/>
        </w:rPr>
        <w:t xml:space="preserve"> and</w:t>
      </w:r>
      <w:r w:rsidRPr="00325BEB">
        <w:rPr>
          <w:rFonts w:ascii="Arial" w:hAnsi="Arial" w:cs="Arial"/>
        </w:rPr>
        <w:t xml:space="preserve"> edited</w:t>
      </w:r>
      <w:r w:rsidR="00163DCF">
        <w:rPr>
          <w:rFonts w:ascii="Arial" w:hAnsi="Arial" w:cs="Arial"/>
        </w:rPr>
        <w:t xml:space="preserve"> </w:t>
      </w:r>
      <w:r w:rsidRPr="00325BEB">
        <w:rPr>
          <w:rFonts w:ascii="Arial" w:hAnsi="Arial" w:cs="Arial"/>
        </w:rPr>
        <w:t>before inclusion in the final submission to ensure they met academic standards and reflected my own understanding of the topic.</w:t>
      </w:r>
    </w:p>
    <w:p w14:paraId="78F39397" w14:textId="77777777" w:rsidR="000D5650" w:rsidRPr="007D0C18" w:rsidRDefault="000D5650" w:rsidP="007D0C18">
      <w:pPr>
        <w:pStyle w:val="Heading1"/>
        <w:spacing w:line="360" w:lineRule="auto"/>
        <w:rPr>
          <w:rFonts w:ascii="Arial" w:hAnsi="Arial" w:cs="Arial"/>
          <w:b/>
          <w:bCs/>
          <w:color w:val="auto"/>
          <w:sz w:val="22"/>
          <w:szCs w:val="22"/>
        </w:rPr>
      </w:pPr>
      <w:bookmarkStart w:id="10" w:name="_Toc231942431"/>
      <w:r w:rsidRPr="007D0C18">
        <w:rPr>
          <w:rFonts w:ascii="Arial" w:hAnsi="Arial" w:cs="Arial"/>
          <w:b/>
          <w:bCs/>
          <w:color w:val="auto"/>
          <w:sz w:val="22"/>
          <w:szCs w:val="22"/>
        </w:rPr>
        <w:t>b. Critical Evaluation of AI Output</w:t>
      </w:r>
      <w:bookmarkEnd w:id="10"/>
    </w:p>
    <w:p w14:paraId="449DE483" w14:textId="77777777" w:rsidR="0019241D" w:rsidRDefault="000D5650" w:rsidP="000D5650">
      <w:pPr>
        <w:spacing w:before="120" w:after="120" w:line="360" w:lineRule="auto"/>
        <w:jc w:val="both"/>
        <w:rPr>
          <w:rFonts w:ascii="Arial" w:hAnsi="Arial" w:cs="Arial"/>
        </w:rPr>
      </w:pPr>
      <w:r w:rsidRPr="000D5650">
        <w:rPr>
          <w:rFonts w:ascii="Arial" w:hAnsi="Arial" w:cs="Arial"/>
        </w:rPr>
        <w:t xml:space="preserve">All information obtained through AI-supported tools was critically evaluated and verified against academic literature, lecture materials, and credible business sources. Sources identified through Google Scholar were assessed for relevance, credibility, and alignment with the report objectives. </w:t>
      </w:r>
    </w:p>
    <w:p w14:paraId="6CC7A9A3" w14:textId="77777777" w:rsidR="00515F2B" w:rsidRDefault="000D5650" w:rsidP="000D5650">
      <w:pPr>
        <w:spacing w:before="120" w:after="120" w:line="360" w:lineRule="auto"/>
        <w:jc w:val="both"/>
        <w:rPr>
          <w:rFonts w:ascii="Arial" w:hAnsi="Arial" w:cs="Arial"/>
        </w:rPr>
      </w:pPr>
      <w:r w:rsidRPr="000D5650">
        <w:rPr>
          <w:rFonts w:ascii="Arial" w:hAnsi="Arial" w:cs="Arial"/>
        </w:rPr>
        <w:t>To identify potential inaccuracies or “hallucinations,” outputs were examined for conceptual correctness, logical consistency, and factual accuracy. For example, AI-generated explanations of the Ansoff Matrix were compared with academic definitions to confirm that each growth strategy was assigned to the correct quadrant. Where AI produced overly general or unsupported statements, the</w:t>
      </w:r>
    </w:p>
    <w:p w14:paraId="39781017" w14:textId="026160B5" w:rsidR="000D5650" w:rsidRDefault="000D5650" w:rsidP="000D5650">
      <w:pPr>
        <w:spacing w:before="120" w:after="120" w:line="360" w:lineRule="auto"/>
        <w:jc w:val="both"/>
        <w:rPr>
          <w:rFonts w:ascii="Arial" w:hAnsi="Arial" w:cs="Arial"/>
        </w:rPr>
      </w:pPr>
      <w:r w:rsidRPr="000D5650">
        <w:rPr>
          <w:rFonts w:ascii="Arial" w:hAnsi="Arial" w:cs="Arial"/>
        </w:rPr>
        <w:t xml:space="preserve">se were either revised or removed. </w:t>
      </w:r>
    </w:p>
    <w:p w14:paraId="1060ED20" w14:textId="77777777" w:rsidR="00447B38" w:rsidRPr="007D0C18" w:rsidRDefault="00447B38" w:rsidP="007D0C18">
      <w:pPr>
        <w:pStyle w:val="Heading1"/>
        <w:spacing w:line="360" w:lineRule="auto"/>
        <w:rPr>
          <w:rFonts w:ascii="Arial" w:hAnsi="Arial" w:cs="Arial"/>
          <w:b/>
          <w:bCs/>
          <w:color w:val="auto"/>
          <w:sz w:val="22"/>
          <w:szCs w:val="22"/>
        </w:rPr>
      </w:pPr>
      <w:bookmarkStart w:id="11" w:name="_Toc231942432"/>
      <w:r w:rsidRPr="007D0C18">
        <w:rPr>
          <w:rFonts w:ascii="Arial" w:hAnsi="Arial" w:cs="Arial"/>
          <w:b/>
          <w:bCs/>
          <w:color w:val="auto"/>
          <w:sz w:val="22"/>
          <w:szCs w:val="22"/>
        </w:rPr>
        <w:t>c. Contribution Analysis</w:t>
      </w:r>
      <w:bookmarkEnd w:id="11"/>
    </w:p>
    <w:p w14:paraId="7175ADC1" w14:textId="7C63CB63" w:rsidR="00447B38" w:rsidRPr="00447B38" w:rsidRDefault="00447B38" w:rsidP="00447B38">
      <w:pPr>
        <w:spacing w:before="120" w:after="120" w:line="360" w:lineRule="auto"/>
        <w:jc w:val="both"/>
        <w:rPr>
          <w:rFonts w:ascii="Arial" w:hAnsi="Arial" w:cs="Arial"/>
        </w:rPr>
      </w:pPr>
      <w:r w:rsidRPr="00447B38">
        <w:rPr>
          <w:rFonts w:ascii="Arial" w:hAnsi="Arial" w:cs="Arial"/>
        </w:rPr>
        <w:t>AI tools contributed primarily to research support, language refinement, proofreading, and visual design assistance. Google Scholar helped locate relevant academic references</w:t>
      </w:r>
      <w:r w:rsidR="002C6517">
        <w:rPr>
          <w:rFonts w:ascii="Arial" w:hAnsi="Arial" w:cs="Arial"/>
        </w:rPr>
        <w:t xml:space="preserve">. </w:t>
      </w:r>
      <w:r w:rsidRPr="00447B38">
        <w:rPr>
          <w:rFonts w:ascii="Arial" w:hAnsi="Arial" w:cs="Arial"/>
        </w:rPr>
        <w:t xml:space="preserve">Grammarly improved the quality of written communication, and </w:t>
      </w:r>
      <w:r w:rsidR="00DF6250" w:rsidRPr="00447B38">
        <w:rPr>
          <w:rFonts w:ascii="Arial" w:hAnsi="Arial" w:cs="Arial"/>
        </w:rPr>
        <w:t>Quill Bot</w:t>
      </w:r>
      <w:r w:rsidRPr="00447B38">
        <w:rPr>
          <w:rFonts w:ascii="Arial" w:hAnsi="Arial" w:cs="Arial"/>
        </w:rPr>
        <w:t xml:space="preserve"> supported the paraphrasing of selected passages. The AI image-generation tool assisted in creating a cleaner and more professional visual representation of the Ansoff Matrix.</w:t>
      </w:r>
    </w:p>
    <w:p w14:paraId="4A97A9BE" w14:textId="5B768ABF" w:rsidR="00447B38" w:rsidRDefault="00447B38" w:rsidP="00447B38">
      <w:pPr>
        <w:spacing w:before="120" w:after="120" w:line="360" w:lineRule="auto"/>
        <w:jc w:val="both"/>
        <w:rPr>
          <w:rFonts w:ascii="Arial" w:hAnsi="Arial" w:cs="Arial"/>
        </w:rPr>
      </w:pPr>
      <w:r w:rsidRPr="00447B38">
        <w:rPr>
          <w:rFonts w:ascii="Arial" w:hAnsi="Arial" w:cs="Arial"/>
        </w:rPr>
        <w:t>The selection of evidence, application of theory to BHP, and final conclusions were based on my own judgement and critical thinking. AI tools supported the process but did not replace independent analysis or decision-making.</w:t>
      </w:r>
    </w:p>
    <w:p w14:paraId="5A34B7ED" w14:textId="58AA7864" w:rsidR="00A87AE9" w:rsidRPr="007D0C18" w:rsidRDefault="00A87AE9" w:rsidP="007D0C18">
      <w:pPr>
        <w:pStyle w:val="Heading1"/>
        <w:spacing w:line="360" w:lineRule="auto"/>
        <w:rPr>
          <w:rFonts w:ascii="Arial" w:hAnsi="Arial" w:cs="Arial"/>
          <w:b/>
          <w:bCs/>
          <w:color w:val="auto"/>
          <w:sz w:val="22"/>
          <w:szCs w:val="22"/>
        </w:rPr>
      </w:pPr>
      <w:bookmarkStart w:id="12" w:name="_Toc231942433"/>
      <w:r w:rsidRPr="007D0C18">
        <w:rPr>
          <w:rFonts w:ascii="Arial" w:hAnsi="Arial" w:cs="Arial"/>
          <w:b/>
          <w:bCs/>
          <w:color w:val="auto"/>
          <w:sz w:val="22"/>
          <w:szCs w:val="22"/>
        </w:rPr>
        <w:t>d. Ethical &amp; Professional Reflection.</w:t>
      </w:r>
      <w:bookmarkEnd w:id="12"/>
    </w:p>
    <w:p w14:paraId="62D692D9" w14:textId="5479AE15" w:rsidR="00CC3C5B" w:rsidRPr="00F61139" w:rsidRDefault="00CC3C5B" w:rsidP="00A87AE9">
      <w:pPr>
        <w:spacing w:before="120" w:after="120" w:line="360" w:lineRule="auto"/>
        <w:jc w:val="both"/>
        <w:rPr>
          <w:rFonts w:ascii="Arial" w:hAnsi="Arial" w:cs="Arial"/>
          <w:caps/>
        </w:rPr>
      </w:pPr>
      <w:r>
        <w:rPr>
          <w:rFonts w:ascii="Arial" w:hAnsi="Arial" w:cs="Arial"/>
        </w:rPr>
        <w:t xml:space="preserve">The </w:t>
      </w:r>
      <w:r w:rsidR="00F72496">
        <w:rPr>
          <w:rFonts w:ascii="Arial" w:hAnsi="Arial" w:cs="Arial"/>
        </w:rPr>
        <w:t>use of AI in marketing analysis presents both opportunities and challenges</w:t>
      </w:r>
      <w:r w:rsidR="00F61139">
        <w:rPr>
          <w:rFonts w:ascii="Arial" w:hAnsi="Arial" w:cs="Arial"/>
        </w:rPr>
        <w:t>. While AI can</w:t>
      </w:r>
      <w:r w:rsidR="00130376">
        <w:rPr>
          <w:rFonts w:ascii="Arial" w:hAnsi="Arial" w:cs="Arial"/>
        </w:rPr>
        <w:t xml:space="preserve"> improve efficiency</w:t>
      </w:r>
      <w:r w:rsidR="008B5CED">
        <w:rPr>
          <w:rFonts w:ascii="Arial" w:hAnsi="Arial" w:cs="Arial"/>
        </w:rPr>
        <w:t xml:space="preserve">, support research and enhance </w:t>
      </w:r>
      <w:r w:rsidR="003F2227">
        <w:rPr>
          <w:rFonts w:ascii="Arial" w:hAnsi="Arial" w:cs="Arial"/>
        </w:rPr>
        <w:t>communication, it also raises concerns regarding accuracy, transparency and academic integrity</w:t>
      </w:r>
      <w:r w:rsidR="002A3FF8">
        <w:rPr>
          <w:rFonts w:ascii="Arial" w:hAnsi="Arial" w:cs="Arial"/>
        </w:rPr>
        <w:t>. Users must remain responsible for</w:t>
      </w:r>
      <w:r w:rsidR="007532D7">
        <w:rPr>
          <w:rFonts w:ascii="Arial" w:hAnsi="Arial" w:cs="Arial"/>
        </w:rPr>
        <w:t xml:space="preserve"> verifying AI generated info</w:t>
      </w:r>
      <w:r w:rsidR="00297A2A">
        <w:rPr>
          <w:rFonts w:ascii="Arial" w:hAnsi="Arial" w:cs="Arial"/>
        </w:rPr>
        <w:t>r</w:t>
      </w:r>
      <w:r w:rsidR="007532D7">
        <w:rPr>
          <w:rFonts w:ascii="Arial" w:hAnsi="Arial" w:cs="Arial"/>
        </w:rPr>
        <w:t xml:space="preserve">mation </w:t>
      </w:r>
      <w:r w:rsidR="00297A2A">
        <w:rPr>
          <w:rFonts w:ascii="Arial" w:hAnsi="Arial" w:cs="Arial"/>
        </w:rPr>
        <w:t xml:space="preserve">and ensuring that it is not presented as original </w:t>
      </w:r>
      <w:r w:rsidR="004F3474">
        <w:rPr>
          <w:rFonts w:ascii="Arial" w:hAnsi="Arial" w:cs="Arial"/>
        </w:rPr>
        <w:t>thought without proper review</w:t>
      </w:r>
      <w:r w:rsidR="00E5732B">
        <w:rPr>
          <w:rFonts w:ascii="Arial" w:hAnsi="Arial" w:cs="Arial"/>
        </w:rPr>
        <w:t xml:space="preserve"> (</w:t>
      </w:r>
      <w:proofErr w:type="spellStart"/>
      <w:r w:rsidR="00E5732B" w:rsidRPr="00E5732B">
        <w:rPr>
          <w:rFonts w:ascii="Arial" w:hAnsi="Arial" w:cs="Arial"/>
        </w:rPr>
        <w:t>Gouseti</w:t>
      </w:r>
      <w:proofErr w:type="spellEnd"/>
      <w:r w:rsidR="00E5732B" w:rsidRPr="00E5732B">
        <w:rPr>
          <w:rFonts w:ascii="Arial" w:hAnsi="Arial" w:cs="Arial"/>
        </w:rPr>
        <w:t>, James,</w:t>
      </w:r>
      <w:r w:rsidR="00E5732B">
        <w:rPr>
          <w:rFonts w:ascii="Arial" w:hAnsi="Arial" w:cs="Arial"/>
        </w:rPr>
        <w:t xml:space="preserve"> </w:t>
      </w:r>
      <w:r w:rsidR="00E5732B" w:rsidRPr="00E5732B">
        <w:rPr>
          <w:rFonts w:ascii="Arial" w:hAnsi="Arial" w:cs="Arial"/>
        </w:rPr>
        <w:t>Fallin</w:t>
      </w:r>
      <w:r w:rsidR="00E5732B">
        <w:rPr>
          <w:rFonts w:ascii="Arial" w:hAnsi="Arial" w:cs="Arial"/>
        </w:rPr>
        <w:t xml:space="preserve"> </w:t>
      </w:r>
      <w:r w:rsidR="00E5732B" w:rsidRPr="00E5732B">
        <w:rPr>
          <w:rFonts w:ascii="Arial" w:hAnsi="Arial" w:cs="Arial"/>
        </w:rPr>
        <w:t>and Burden</w:t>
      </w:r>
      <w:r w:rsidR="00E5732B">
        <w:rPr>
          <w:rFonts w:ascii="Arial" w:hAnsi="Arial" w:cs="Arial"/>
        </w:rPr>
        <w:t xml:space="preserve"> </w:t>
      </w:r>
      <w:r w:rsidR="00E5732B" w:rsidRPr="00E5732B">
        <w:rPr>
          <w:rFonts w:ascii="Arial" w:hAnsi="Arial" w:cs="Arial"/>
        </w:rPr>
        <w:t>2025</w:t>
      </w:r>
      <w:r w:rsidR="00E5732B">
        <w:rPr>
          <w:rFonts w:ascii="Arial" w:hAnsi="Arial" w:cs="Arial"/>
        </w:rPr>
        <w:t>).</w:t>
      </w:r>
    </w:p>
    <w:p w14:paraId="44960683" w14:textId="77387027" w:rsidR="006E5962" w:rsidRDefault="00C525F6" w:rsidP="006E5962">
      <w:pPr>
        <w:spacing w:before="120" w:after="120" w:line="360" w:lineRule="auto"/>
        <w:jc w:val="both"/>
        <w:rPr>
          <w:rFonts w:ascii="Arial" w:hAnsi="Arial" w:cs="Arial"/>
        </w:rPr>
      </w:pPr>
      <w:r w:rsidRPr="00C525F6">
        <w:rPr>
          <w:rFonts w:ascii="Arial" w:hAnsi="Arial" w:cs="Arial"/>
        </w:rPr>
        <w:lastRenderedPageBreak/>
        <w:t>In this report, AI</w:t>
      </w:r>
      <w:r w:rsidR="00046140">
        <w:rPr>
          <w:rFonts w:ascii="Arial" w:hAnsi="Arial" w:cs="Arial"/>
        </w:rPr>
        <w:t xml:space="preserve"> was mainly used </w:t>
      </w:r>
      <w:r w:rsidRPr="00C525F6">
        <w:rPr>
          <w:rFonts w:ascii="Arial" w:hAnsi="Arial" w:cs="Arial"/>
        </w:rPr>
        <w:t>to help with research, improve grammar and writing, rephrase content, and support creative tasks. This experience showed that while AI can save time and improve productivity, it is still important to use critical thinking and personal judgement. In marketing, AI can help generate ideas and analyse information, but important decisions should still be based on reliable evidence and human expertise.</w:t>
      </w:r>
    </w:p>
    <w:p w14:paraId="5BD2703F" w14:textId="77777777" w:rsidR="006E5962" w:rsidRDefault="006E5962" w:rsidP="006E5962">
      <w:pPr>
        <w:spacing w:before="120" w:after="120" w:line="360" w:lineRule="auto"/>
        <w:jc w:val="both"/>
        <w:rPr>
          <w:rFonts w:ascii="Arial" w:hAnsi="Arial" w:cs="Arial"/>
        </w:rPr>
      </w:pPr>
    </w:p>
    <w:p w14:paraId="724D6D5D" w14:textId="77777777" w:rsidR="007D0C18" w:rsidRDefault="007D0C18" w:rsidP="007D0C18">
      <w:pPr>
        <w:pStyle w:val="Heading1"/>
        <w:spacing w:line="360" w:lineRule="auto"/>
        <w:rPr>
          <w:rFonts w:ascii="Arial" w:hAnsi="Arial" w:cs="Arial"/>
          <w:b/>
          <w:bCs/>
          <w:color w:val="auto"/>
          <w:sz w:val="22"/>
          <w:szCs w:val="22"/>
        </w:rPr>
      </w:pPr>
      <w:bookmarkStart w:id="13" w:name="_Toc231942434"/>
    </w:p>
    <w:p w14:paraId="2EFB40C2" w14:textId="77777777" w:rsidR="007D0C18" w:rsidRDefault="007D0C18" w:rsidP="007D0C18">
      <w:pPr>
        <w:pStyle w:val="Heading1"/>
        <w:spacing w:line="360" w:lineRule="auto"/>
        <w:rPr>
          <w:rFonts w:ascii="Arial" w:hAnsi="Arial" w:cs="Arial"/>
          <w:b/>
          <w:bCs/>
          <w:color w:val="auto"/>
          <w:sz w:val="22"/>
          <w:szCs w:val="22"/>
        </w:rPr>
      </w:pPr>
    </w:p>
    <w:p w14:paraId="3A3CD6E7" w14:textId="77777777" w:rsidR="007D0C18" w:rsidRDefault="007D0C18" w:rsidP="007D0C18">
      <w:pPr>
        <w:pStyle w:val="Heading1"/>
        <w:spacing w:line="360" w:lineRule="auto"/>
        <w:rPr>
          <w:rFonts w:ascii="Arial" w:hAnsi="Arial" w:cs="Arial"/>
          <w:color w:val="000000" w:themeColor="text1"/>
          <w:sz w:val="22"/>
          <w:szCs w:val="22"/>
        </w:rPr>
      </w:pPr>
    </w:p>
    <w:p w14:paraId="3F185A2E" w14:textId="77777777" w:rsidR="007D0C18" w:rsidRDefault="007D0C18" w:rsidP="007D0C18">
      <w:pPr>
        <w:pStyle w:val="Heading1"/>
        <w:spacing w:line="360" w:lineRule="auto"/>
        <w:rPr>
          <w:rFonts w:ascii="Arial" w:hAnsi="Arial" w:cs="Arial"/>
          <w:b/>
          <w:bCs/>
          <w:color w:val="auto"/>
          <w:sz w:val="22"/>
          <w:szCs w:val="22"/>
        </w:rPr>
      </w:pPr>
    </w:p>
    <w:p w14:paraId="30B20D55" w14:textId="77777777" w:rsidR="00C42FFA" w:rsidRPr="00EB19F6" w:rsidRDefault="00C42FFA" w:rsidP="00C42FFA">
      <w:pPr>
        <w:rPr>
          <w:rFonts w:ascii="Arial" w:hAnsi="Arial" w:cs="Arial"/>
        </w:rPr>
      </w:pPr>
    </w:p>
    <w:p w14:paraId="0A29AD54" w14:textId="77777777" w:rsidR="007D0C18" w:rsidRDefault="007D0C18" w:rsidP="007D0C18">
      <w:pPr>
        <w:pStyle w:val="Heading1"/>
        <w:spacing w:line="360" w:lineRule="auto"/>
        <w:rPr>
          <w:rFonts w:ascii="Arial" w:hAnsi="Arial" w:cs="Arial"/>
          <w:b/>
          <w:bCs/>
          <w:color w:val="auto"/>
          <w:sz w:val="22"/>
          <w:szCs w:val="22"/>
        </w:rPr>
      </w:pPr>
    </w:p>
    <w:p w14:paraId="03EFBF1F" w14:textId="77777777" w:rsidR="007D0C18" w:rsidRDefault="007D0C18" w:rsidP="007D0C18">
      <w:pPr>
        <w:pStyle w:val="Heading1"/>
        <w:spacing w:line="360" w:lineRule="auto"/>
        <w:rPr>
          <w:rFonts w:ascii="Arial" w:hAnsi="Arial" w:cs="Arial"/>
          <w:b/>
          <w:bCs/>
          <w:color w:val="auto"/>
          <w:sz w:val="22"/>
          <w:szCs w:val="22"/>
        </w:rPr>
      </w:pPr>
    </w:p>
    <w:p w14:paraId="23BFA7DF" w14:textId="27FEE907" w:rsidR="00D20B22" w:rsidRDefault="00D20B22" w:rsidP="007D0C18">
      <w:pPr>
        <w:pStyle w:val="Heading1"/>
        <w:spacing w:line="360" w:lineRule="auto"/>
        <w:rPr>
          <w:rFonts w:ascii="Arial" w:hAnsi="Arial" w:cs="Arial"/>
          <w:b/>
          <w:bCs/>
          <w:color w:val="auto"/>
          <w:sz w:val="22"/>
          <w:szCs w:val="22"/>
        </w:rPr>
      </w:pPr>
    </w:p>
    <w:p w14:paraId="7C0E1299" w14:textId="77777777" w:rsidR="00D20B22" w:rsidRDefault="00D20B22" w:rsidP="007D0C18">
      <w:pPr>
        <w:pStyle w:val="Heading1"/>
        <w:spacing w:line="360" w:lineRule="auto"/>
        <w:rPr>
          <w:rFonts w:ascii="Arial" w:hAnsi="Arial" w:cs="Arial"/>
          <w:b/>
          <w:bCs/>
          <w:color w:val="auto"/>
          <w:sz w:val="22"/>
          <w:szCs w:val="22"/>
        </w:rPr>
      </w:pPr>
    </w:p>
    <w:p w14:paraId="0163924F" w14:textId="77777777" w:rsidR="00D20B22" w:rsidRDefault="00D20B22" w:rsidP="007D0C18">
      <w:pPr>
        <w:pStyle w:val="Heading1"/>
        <w:spacing w:line="360" w:lineRule="auto"/>
        <w:rPr>
          <w:rFonts w:ascii="Arial" w:hAnsi="Arial" w:cs="Arial"/>
          <w:b/>
          <w:bCs/>
          <w:color w:val="auto"/>
          <w:sz w:val="22"/>
          <w:szCs w:val="22"/>
        </w:rPr>
      </w:pPr>
    </w:p>
    <w:p w14:paraId="207CA7FF" w14:textId="77777777" w:rsidR="00D20B22" w:rsidRDefault="00D20B22" w:rsidP="007D0C18">
      <w:pPr>
        <w:pStyle w:val="Heading1"/>
        <w:spacing w:line="360" w:lineRule="auto"/>
        <w:rPr>
          <w:rFonts w:ascii="Arial" w:hAnsi="Arial" w:cs="Arial"/>
          <w:b/>
          <w:bCs/>
          <w:color w:val="auto"/>
          <w:sz w:val="22"/>
          <w:szCs w:val="22"/>
        </w:rPr>
      </w:pPr>
    </w:p>
    <w:p w14:paraId="6AC19675" w14:textId="77777777" w:rsidR="00D20B22" w:rsidRDefault="00D20B22" w:rsidP="007D0C18">
      <w:pPr>
        <w:pStyle w:val="Heading1"/>
        <w:spacing w:line="360" w:lineRule="auto"/>
        <w:rPr>
          <w:rFonts w:ascii="Arial" w:hAnsi="Arial" w:cs="Arial"/>
          <w:b/>
          <w:bCs/>
          <w:color w:val="auto"/>
          <w:sz w:val="22"/>
          <w:szCs w:val="22"/>
        </w:rPr>
      </w:pPr>
    </w:p>
    <w:p w14:paraId="252C1F6D" w14:textId="77777777" w:rsidR="00D20B22" w:rsidRDefault="00D20B22" w:rsidP="007D0C18">
      <w:pPr>
        <w:pStyle w:val="Heading1"/>
        <w:spacing w:line="360" w:lineRule="auto"/>
        <w:rPr>
          <w:rFonts w:ascii="Arial" w:hAnsi="Arial" w:cs="Arial"/>
          <w:b/>
          <w:bCs/>
          <w:color w:val="auto"/>
          <w:sz w:val="22"/>
          <w:szCs w:val="22"/>
        </w:rPr>
      </w:pPr>
    </w:p>
    <w:p w14:paraId="4874E32F" w14:textId="1FB606B5" w:rsidR="004B234E" w:rsidRPr="007D0C18" w:rsidRDefault="00046140" w:rsidP="007D0C18">
      <w:pPr>
        <w:pStyle w:val="Heading1"/>
        <w:spacing w:line="360" w:lineRule="auto"/>
        <w:rPr>
          <w:rFonts w:ascii="Arial" w:hAnsi="Arial" w:cs="Arial"/>
          <w:b/>
          <w:bCs/>
          <w:color w:val="auto"/>
          <w:sz w:val="22"/>
          <w:szCs w:val="22"/>
        </w:rPr>
      </w:pPr>
      <w:r w:rsidRPr="007D0C18">
        <w:rPr>
          <w:rFonts w:ascii="Arial" w:hAnsi="Arial" w:cs="Arial"/>
          <w:b/>
          <w:bCs/>
          <w:color w:val="auto"/>
          <w:sz w:val="22"/>
          <w:szCs w:val="22"/>
        </w:rPr>
        <w:t>REFERENCE LI</w:t>
      </w:r>
      <w:r w:rsidR="004B234E" w:rsidRPr="007D0C18">
        <w:rPr>
          <w:rFonts w:ascii="Arial" w:hAnsi="Arial" w:cs="Arial"/>
          <w:b/>
          <w:bCs/>
          <w:color w:val="auto"/>
          <w:sz w:val="22"/>
          <w:szCs w:val="22"/>
        </w:rPr>
        <w:t>ST</w:t>
      </w:r>
      <w:bookmarkEnd w:id="13"/>
    </w:p>
    <w:p w14:paraId="69C3B3A1" w14:textId="77777777" w:rsidR="004B234E" w:rsidRDefault="004B234E" w:rsidP="00AF4E1F">
      <w:pPr>
        <w:spacing w:before="120" w:after="120" w:line="360" w:lineRule="auto"/>
        <w:jc w:val="both"/>
        <w:rPr>
          <w:rFonts w:ascii="Arial" w:hAnsi="Arial" w:cs="Arial"/>
        </w:rPr>
      </w:pPr>
      <w:r w:rsidRPr="004A7D09">
        <w:rPr>
          <w:rFonts w:ascii="Arial" w:hAnsi="Arial" w:cs="Arial"/>
        </w:rPr>
        <w:t>Abbott, M., 2025. Australian Steel in a Globalised World. </w:t>
      </w:r>
      <w:r w:rsidRPr="004A7D09">
        <w:rPr>
          <w:rFonts w:ascii="Arial" w:hAnsi="Arial" w:cs="Arial"/>
          <w:i/>
          <w:iCs/>
        </w:rPr>
        <w:t>Springer Books</w:t>
      </w:r>
      <w:r w:rsidRPr="004A7D09">
        <w:rPr>
          <w:rFonts w:ascii="Arial" w:hAnsi="Arial" w:cs="Arial"/>
        </w:rPr>
        <w:t>.</w:t>
      </w:r>
    </w:p>
    <w:p w14:paraId="1AFE531F" w14:textId="341428C4" w:rsidR="006A1258" w:rsidRDefault="006A1258" w:rsidP="00AF4E1F">
      <w:pPr>
        <w:spacing w:before="120" w:after="120" w:line="360" w:lineRule="auto"/>
        <w:jc w:val="both"/>
        <w:rPr>
          <w:rFonts w:ascii="Arial" w:hAnsi="Arial" w:cs="Arial"/>
        </w:rPr>
      </w:pPr>
      <w:r w:rsidRPr="006A1258">
        <w:rPr>
          <w:rFonts w:ascii="Arial" w:hAnsi="Arial" w:cs="Arial"/>
        </w:rPr>
        <w:t xml:space="preserve">Ansoff, H.I., 1957. </w:t>
      </w:r>
      <w:r w:rsidRPr="006A1258">
        <w:rPr>
          <w:rFonts w:ascii="Arial" w:hAnsi="Arial" w:cs="Arial"/>
          <w:i/>
          <w:iCs/>
        </w:rPr>
        <w:t>Strategies for diversification</w:t>
      </w:r>
      <w:r w:rsidRPr="006A1258">
        <w:rPr>
          <w:rFonts w:ascii="Arial" w:hAnsi="Arial" w:cs="Arial"/>
        </w:rPr>
        <w:t>. Harvard Business Review, 35(5), pp.113–124.</w:t>
      </w:r>
    </w:p>
    <w:p w14:paraId="13CF2645" w14:textId="77777777" w:rsidR="004B234E" w:rsidRDefault="004B234E" w:rsidP="00AF4E1F">
      <w:pPr>
        <w:spacing w:before="120" w:after="120" w:line="360" w:lineRule="auto"/>
        <w:jc w:val="both"/>
        <w:rPr>
          <w:rFonts w:ascii="Arial" w:hAnsi="Arial" w:cs="Arial"/>
        </w:rPr>
      </w:pPr>
      <w:r w:rsidRPr="00AD5D10">
        <w:rPr>
          <w:rFonts w:ascii="Arial" w:hAnsi="Arial" w:cs="Arial"/>
        </w:rPr>
        <w:lastRenderedPageBreak/>
        <w:t xml:space="preserve">Archer, M. and </w:t>
      </w:r>
      <w:proofErr w:type="spellStart"/>
      <w:r w:rsidRPr="00AD5D10">
        <w:rPr>
          <w:rFonts w:ascii="Arial" w:hAnsi="Arial" w:cs="Arial"/>
        </w:rPr>
        <w:t>Calvão</w:t>
      </w:r>
      <w:proofErr w:type="spellEnd"/>
      <w:r w:rsidRPr="00AD5D10">
        <w:rPr>
          <w:rFonts w:ascii="Arial" w:hAnsi="Arial" w:cs="Arial"/>
        </w:rPr>
        <w:t xml:space="preserve">, F., 2025. Sustaining decarbonisation: Energy storage, green </w:t>
      </w:r>
      <w:proofErr w:type="spellStart"/>
      <w:r w:rsidRPr="00AD5D10">
        <w:rPr>
          <w:rFonts w:ascii="Arial" w:hAnsi="Arial" w:cs="Arial"/>
        </w:rPr>
        <w:t>extractivism</w:t>
      </w:r>
      <w:proofErr w:type="spellEnd"/>
      <w:r w:rsidRPr="00AD5D10">
        <w:rPr>
          <w:rFonts w:ascii="Arial" w:hAnsi="Arial" w:cs="Arial"/>
        </w:rPr>
        <w:t>, and the future of mining. </w:t>
      </w:r>
      <w:r w:rsidRPr="00AD5D10">
        <w:rPr>
          <w:rFonts w:ascii="Arial" w:hAnsi="Arial" w:cs="Arial"/>
          <w:i/>
          <w:iCs/>
        </w:rPr>
        <w:t>Antipode</w:t>
      </w:r>
      <w:r w:rsidRPr="00AD5D10">
        <w:rPr>
          <w:rFonts w:ascii="Arial" w:hAnsi="Arial" w:cs="Arial"/>
        </w:rPr>
        <w:t>, </w:t>
      </w:r>
      <w:r w:rsidRPr="00AD5D10">
        <w:rPr>
          <w:rFonts w:ascii="Arial" w:hAnsi="Arial" w:cs="Arial"/>
          <w:i/>
          <w:iCs/>
        </w:rPr>
        <w:t>57</w:t>
      </w:r>
      <w:r w:rsidRPr="00AD5D10">
        <w:rPr>
          <w:rFonts w:ascii="Arial" w:hAnsi="Arial" w:cs="Arial"/>
        </w:rPr>
        <w:t>(4), pp.1259-1279.</w:t>
      </w:r>
    </w:p>
    <w:p w14:paraId="0CFBE56F" w14:textId="77777777" w:rsidR="004B234E" w:rsidRDefault="004B234E" w:rsidP="00AF4E1F">
      <w:pPr>
        <w:spacing w:before="120" w:after="120" w:line="360" w:lineRule="auto"/>
        <w:jc w:val="both"/>
        <w:rPr>
          <w:rFonts w:ascii="Arial" w:hAnsi="Arial" w:cs="Arial"/>
        </w:rPr>
      </w:pPr>
      <w:proofErr w:type="spellStart"/>
      <w:r w:rsidRPr="00734DAC">
        <w:rPr>
          <w:rFonts w:ascii="Arial" w:hAnsi="Arial" w:cs="Arial"/>
        </w:rPr>
        <w:t>Baranzini</w:t>
      </w:r>
      <w:proofErr w:type="spellEnd"/>
      <w:r w:rsidRPr="00734DAC">
        <w:rPr>
          <w:rFonts w:ascii="Arial" w:hAnsi="Arial" w:cs="Arial"/>
        </w:rPr>
        <w:t>, A., Van den Bergh, J.C., Carattini, S., Howarth, R.B., Padilla, E. and Roca, J., 2017. Carbon pricing in climate policy: seven reasons, complementary instruments, and political economy considerations. </w:t>
      </w:r>
      <w:r w:rsidRPr="00734DAC">
        <w:rPr>
          <w:rFonts w:ascii="Arial" w:hAnsi="Arial" w:cs="Arial"/>
          <w:i/>
          <w:iCs/>
        </w:rPr>
        <w:t>Wiley Interdisciplinary Reviews: Climate Change</w:t>
      </w:r>
      <w:r w:rsidRPr="00734DAC">
        <w:rPr>
          <w:rFonts w:ascii="Arial" w:hAnsi="Arial" w:cs="Arial"/>
        </w:rPr>
        <w:t>, </w:t>
      </w:r>
      <w:r w:rsidRPr="00734DAC">
        <w:rPr>
          <w:rFonts w:ascii="Arial" w:hAnsi="Arial" w:cs="Arial"/>
          <w:i/>
          <w:iCs/>
        </w:rPr>
        <w:t>8</w:t>
      </w:r>
      <w:r w:rsidRPr="00734DAC">
        <w:rPr>
          <w:rFonts w:ascii="Arial" w:hAnsi="Arial" w:cs="Arial"/>
        </w:rPr>
        <w:t>(4), p.e462.</w:t>
      </w:r>
    </w:p>
    <w:p w14:paraId="369D87ED" w14:textId="7639C23A" w:rsidR="004B234E" w:rsidRPr="006E5962" w:rsidRDefault="004B234E" w:rsidP="006E5962">
      <w:pPr>
        <w:spacing w:before="120" w:after="120" w:line="360" w:lineRule="auto"/>
        <w:jc w:val="both"/>
        <w:rPr>
          <w:rFonts w:ascii="Arial" w:hAnsi="Arial" w:cs="Arial"/>
        </w:rPr>
      </w:pPr>
      <w:r w:rsidRPr="006E5962">
        <w:rPr>
          <w:rFonts w:ascii="Arial" w:hAnsi="Arial" w:cs="Arial"/>
        </w:rPr>
        <w:t>BHP</w:t>
      </w:r>
      <w:r w:rsidR="0026737D">
        <w:rPr>
          <w:rFonts w:ascii="Arial" w:hAnsi="Arial" w:cs="Arial"/>
        </w:rPr>
        <w:t xml:space="preserve"> </w:t>
      </w:r>
      <w:r w:rsidRPr="006E5962">
        <w:rPr>
          <w:rFonts w:ascii="Arial" w:hAnsi="Arial" w:cs="Arial"/>
          <w:i/>
          <w:iCs/>
        </w:rPr>
        <w:t>2025 Annual Reporting Suite</w:t>
      </w:r>
      <w:r w:rsidRPr="006E5962">
        <w:rPr>
          <w:rFonts w:ascii="Arial" w:hAnsi="Arial" w:cs="Arial"/>
        </w:rPr>
        <w:t xml:space="preserve">. Available at: </w:t>
      </w:r>
      <w:hyperlink r:id="rId9" w:tgtFrame="_blank" w:history="1">
        <w:r w:rsidRPr="006E5962">
          <w:rPr>
            <w:rStyle w:val="Hyperlink"/>
            <w:rFonts w:ascii="Arial" w:hAnsi="Arial" w:cs="Arial"/>
          </w:rPr>
          <w:t>BHP Annual Reporting Suite 2025</w:t>
        </w:r>
      </w:hyperlink>
      <w:r w:rsidRPr="006E5962">
        <w:rPr>
          <w:rFonts w:ascii="Arial" w:hAnsi="Arial" w:cs="Arial"/>
        </w:rPr>
        <w:t xml:space="preserve"> (Accessed: 3 June 2026). </w:t>
      </w:r>
    </w:p>
    <w:p w14:paraId="54745634" w14:textId="77777777" w:rsidR="004B234E" w:rsidRDefault="004B234E" w:rsidP="006E5962">
      <w:pPr>
        <w:spacing w:before="120" w:after="120" w:line="360" w:lineRule="auto"/>
        <w:jc w:val="both"/>
        <w:rPr>
          <w:rFonts w:ascii="Arial" w:hAnsi="Arial" w:cs="Arial"/>
        </w:rPr>
      </w:pPr>
      <w:r w:rsidRPr="00C91FA5">
        <w:rPr>
          <w:rFonts w:ascii="Arial" w:hAnsi="Arial" w:cs="Arial"/>
        </w:rPr>
        <w:t>Brown, M., 2015. Managing nature–business as usual: Resource extraction companies and their representations of natural landscapes. </w:t>
      </w:r>
      <w:r w:rsidRPr="00C91FA5">
        <w:rPr>
          <w:rFonts w:ascii="Arial" w:hAnsi="Arial" w:cs="Arial"/>
          <w:i/>
          <w:iCs/>
        </w:rPr>
        <w:t>Sustainability</w:t>
      </w:r>
      <w:r w:rsidRPr="00C91FA5">
        <w:rPr>
          <w:rFonts w:ascii="Arial" w:hAnsi="Arial" w:cs="Arial"/>
        </w:rPr>
        <w:t>, </w:t>
      </w:r>
      <w:r w:rsidRPr="00C91FA5">
        <w:rPr>
          <w:rFonts w:ascii="Arial" w:hAnsi="Arial" w:cs="Arial"/>
          <w:i/>
          <w:iCs/>
        </w:rPr>
        <w:t>7</w:t>
      </w:r>
      <w:r w:rsidRPr="00C91FA5">
        <w:rPr>
          <w:rFonts w:ascii="Arial" w:hAnsi="Arial" w:cs="Arial"/>
        </w:rPr>
        <w:t>(12), pp.15900-15922.</w:t>
      </w:r>
    </w:p>
    <w:p w14:paraId="0E1BF132" w14:textId="77777777" w:rsidR="004B234E" w:rsidRDefault="004B234E" w:rsidP="00AF4E1F">
      <w:pPr>
        <w:spacing w:before="120" w:after="120" w:line="360" w:lineRule="auto"/>
        <w:jc w:val="both"/>
        <w:rPr>
          <w:rFonts w:ascii="Arial" w:hAnsi="Arial" w:cs="Arial"/>
        </w:rPr>
      </w:pPr>
      <w:proofErr w:type="spellStart"/>
      <w:r w:rsidRPr="002103C9">
        <w:rPr>
          <w:rFonts w:ascii="Arial" w:hAnsi="Arial" w:cs="Arial"/>
        </w:rPr>
        <w:t>Bükeç</w:t>
      </w:r>
      <w:proofErr w:type="spellEnd"/>
      <w:r w:rsidRPr="002103C9">
        <w:rPr>
          <w:rFonts w:ascii="Arial" w:hAnsi="Arial" w:cs="Arial"/>
        </w:rPr>
        <w:t>, C.M., 2026. Competitive Advantage Through Strategic Market Analysis. In </w:t>
      </w:r>
      <w:r w:rsidRPr="002103C9">
        <w:rPr>
          <w:rFonts w:ascii="Arial" w:hAnsi="Arial" w:cs="Arial"/>
          <w:i/>
          <w:iCs/>
        </w:rPr>
        <w:t>Bridging Traditional Theory and Emerging Corporate Strategies</w:t>
      </w:r>
      <w:r w:rsidRPr="002103C9">
        <w:rPr>
          <w:rFonts w:ascii="Arial" w:hAnsi="Arial" w:cs="Arial"/>
        </w:rPr>
        <w:t> (pp. 111-160). IGI Global Scientific Publishing.</w:t>
      </w:r>
    </w:p>
    <w:p w14:paraId="6100B8A5" w14:textId="77777777" w:rsidR="004B234E" w:rsidRDefault="004B234E" w:rsidP="00AF4E1F">
      <w:pPr>
        <w:spacing w:before="120" w:after="120" w:line="360" w:lineRule="auto"/>
        <w:jc w:val="both"/>
        <w:rPr>
          <w:rFonts w:ascii="Arial" w:hAnsi="Arial" w:cs="Arial"/>
        </w:rPr>
      </w:pPr>
      <w:r w:rsidRPr="00067815">
        <w:rPr>
          <w:rFonts w:ascii="Arial" w:hAnsi="Arial" w:cs="Arial"/>
        </w:rPr>
        <w:t>Clarissia, S.M.S., 2020. A study on Ansoff Matrix Technique: As a growth strategy and an adaptive learning technique adopted in the leading brand of products. </w:t>
      </w:r>
      <w:r w:rsidRPr="00067815">
        <w:rPr>
          <w:rFonts w:ascii="Arial" w:hAnsi="Arial" w:cs="Arial"/>
          <w:i/>
          <w:iCs/>
        </w:rPr>
        <w:t>BIMS Journal of Management</w:t>
      </w:r>
      <w:r w:rsidRPr="00067815">
        <w:rPr>
          <w:rFonts w:ascii="Arial" w:hAnsi="Arial" w:cs="Arial"/>
        </w:rPr>
        <w:t>, </w:t>
      </w:r>
      <w:r w:rsidRPr="00067815">
        <w:rPr>
          <w:rFonts w:ascii="Arial" w:hAnsi="Arial" w:cs="Arial"/>
          <w:i/>
          <w:iCs/>
        </w:rPr>
        <w:t>18</w:t>
      </w:r>
      <w:r w:rsidRPr="00067815">
        <w:rPr>
          <w:rFonts w:ascii="Arial" w:hAnsi="Arial" w:cs="Arial"/>
        </w:rPr>
        <w:t>.</w:t>
      </w:r>
    </w:p>
    <w:p w14:paraId="266A25D0" w14:textId="77777777" w:rsidR="00D20B22" w:rsidRDefault="004B234E" w:rsidP="00D20B22">
      <w:pPr>
        <w:spacing w:before="120" w:after="120" w:line="360" w:lineRule="auto"/>
        <w:jc w:val="both"/>
        <w:rPr>
          <w:rFonts w:ascii="Arial" w:hAnsi="Arial" w:cs="Arial"/>
        </w:rPr>
      </w:pPr>
      <w:r w:rsidRPr="006E3EEA">
        <w:rPr>
          <w:rFonts w:ascii="Arial" w:hAnsi="Arial" w:cs="Arial"/>
        </w:rPr>
        <w:t>Connelly, D., 2025. Progress with carbon reduction in the resource sector in Australia. In </w:t>
      </w:r>
      <w:r w:rsidRPr="006E3EEA">
        <w:rPr>
          <w:rFonts w:ascii="Arial" w:hAnsi="Arial" w:cs="Arial"/>
          <w:i/>
          <w:iCs/>
        </w:rPr>
        <w:t>CSE 2025</w:t>
      </w:r>
      <w:r w:rsidRPr="006E3EEA">
        <w:rPr>
          <w:rFonts w:ascii="Arial" w:hAnsi="Arial" w:cs="Arial"/>
        </w:rPr>
        <w:t> (pp. 1-12). Adelaide: Engineers Australia.</w:t>
      </w:r>
    </w:p>
    <w:p w14:paraId="1D75003F" w14:textId="262C88B5" w:rsidR="00D20B22" w:rsidRPr="00D20B22" w:rsidRDefault="00D20B22" w:rsidP="00D20B22">
      <w:pPr>
        <w:spacing w:before="120" w:after="120" w:line="360" w:lineRule="auto"/>
        <w:jc w:val="both"/>
        <w:rPr>
          <w:rFonts w:ascii="Arial" w:hAnsi="Arial" w:cs="Arial"/>
        </w:rPr>
      </w:pPr>
      <w:r w:rsidRPr="00D20B22">
        <w:rPr>
          <w:rFonts w:ascii="Arial" w:eastAsiaTheme="majorEastAsia" w:hAnsi="Arial" w:cs="Arial"/>
          <w:color w:val="000000" w:themeColor="text1"/>
        </w:rPr>
        <w:t xml:space="preserve">Grammarly (2026) </w:t>
      </w:r>
      <w:r w:rsidRPr="00D20B22">
        <w:rPr>
          <w:rFonts w:ascii="Arial" w:eastAsiaTheme="majorEastAsia" w:hAnsi="Arial" w:cs="Arial"/>
          <w:i/>
          <w:iCs/>
          <w:color w:val="000000" w:themeColor="text1"/>
        </w:rPr>
        <w:t>Grammarly AI writing assistant</w:t>
      </w:r>
      <w:r w:rsidRPr="00D20B22">
        <w:rPr>
          <w:rFonts w:ascii="Arial" w:eastAsiaTheme="majorEastAsia" w:hAnsi="Arial" w:cs="Arial"/>
          <w:color w:val="000000" w:themeColor="text1"/>
        </w:rPr>
        <w:t xml:space="preserve">. Available at: </w:t>
      </w:r>
      <w:hyperlink r:id="rId10" w:tgtFrame="_new" w:history="1">
        <w:r w:rsidRPr="00D20B22">
          <w:rPr>
            <w:rStyle w:val="Hyperlink"/>
            <w:rFonts w:ascii="Arial" w:hAnsi="Arial" w:cs="Arial"/>
            <w:color w:val="000000" w:themeColor="text1"/>
          </w:rPr>
          <w:t>https://www.grammarly.com</w:t>
        </w:r>
      </w:hyperlink>
      <w:r w:rsidRPr="00D20B22">
        <w:rPr>
          <w:rFonts w:ascii="Arial" w:eastAsiaTheme="majorEastAsia" w:hAnsi="Arial" w:cs="Arial"/>
          <w:color w:val="000000" w:themeColor="text1"/>
        </w:rPr>
        <w:t xml:space="preserve"> (Accessed: </w:t>
      </w:r>
      <w:r>
        <w:rPr>
          <w:rFonts w:ascii="Arial" w:eastAsiaTheme="majorEastAsia" w:hAnsi="Arial" w:cs="Arial"/>
          <w:color w:val="000000" w:themeColor="text1"/>
        </w:rPr>
        <w:t xml:space="preserve">02 </w:t>
      </w:r>
      <w:r w:rsidRPr="00D20B22">
        <w:rPr>
          <w:rFonts w:ascii="Arial" w:eastAsiaTheme="majorEastAsia" w:hAnsi="Arial" w:cs="Arial"/>
          <w:color w:val="000000" w:themeColor="text1"/>
        </w:rPr>
        <w:t xml:space="preserve">June 2026). </w:t>
      </w:r>
    </w:p>
    <w:p w14:paraId="14748173" w14:textId="08F22A7A" w:rsidR="00E5732B" w:rsidRDefault="00E5732B" w:rsidP="006E5962">
      <w:pPr>
        <w:spacing w:before="120" w:after="120" w:line="360" w:lineRule="auto"/>
        <w:jc w:val="both"/>
        <w:rPr>
          <w:rFonts w:ascii="Arial" w:hAnsi="Arial" w:cs="Arial"/>
        </w:rPr>
      </w:pPr>
      <w:proofErr w:type="spellStart"/>
      <w:r w:rsidRPr="00E5732B">
        <w:rPr>
          <w:rFonts w:ascii="Arial" w:hAnsi="Arial" w:cs="Arial"/>
        </w:rPr>
        <w:t>Gouseti</w:t>
      </w:r>
      <w:proofErr w:type="spellEnd"/>
      <w:r w:rsidRPr="00E5732B">
        <w:rPr>
          <w:rFonts w:ascii="Arial" w:hAnsi="Arial" w:cs="Arial"/>
        </w:rPr>
        <w:t>, A., James, F., Fallin, L. and Burden, K., 2025. The ethics of using AI in K-12 education: A systematic literature review. </w:t>
      </w:r>
      <w:r w:rsidRPr="00E5732B">
        <w:rPr>
          <w:rFonts w:ascii="Arial" w:hAnsi="Arial" w:cs="Arial"/>
          <w:i/>
          <w:iCs/>
        </w:rPr>
        <w:t>Technology, Pedagogy and Education</w:t>
      </w:r>
      <w:r w:rsidRPr="00E5732B">
        <w:rPr>
          <w:rFonts w:ascii="Arial" w:hAnsi="Arial" w:cs="Arial"/>
        </w:rPr>
        <w:t>, </w:t>
      </w:r>
      <w:r w:rsidRPr="00E5732B">
        <w:rPr>
          <w:rFonts w:ascii="Arial" w:hAnsi="Arial" w:cs="Arial"/>
          <w:i/>
          <w:iCs/>
        </w:rPr>
        <w:t>34</w:t>
      </w:r>
      <w:r w:rsidRPr="00E5732B">
        <w:rPr>
          <w:rFonts w:ascii="Arial" w:hAnsi="Arial" w:cs="Arial"/>
        </w:rPr>
        <w:t>(2), pp.161-182.</w:t>
      </w:r>
    </w:p>
    <w:p w14:paraId="06843864" w14:textId="77777777" w:rsidR="004B234E" w:rsidRDefault="004B234E" w:rsidP="00AF4E1F">
      <w:pPr>
        <w:spacing w:before="120" w:after="120" w:line="360" w:lineRule="auto"/>
        <w:jc w:val="both"/>
        <w:rPr>
          <w:rFonts w:ascii="Arial" w:hAnsi="Arial" w:cs="Arial"/>
        </w:rPr>
      </w:pPr>
      <w:r w:rsidRPr="00E945FD">
        <w:rPr>
          <w:rFonts w:ascii="Arial" w:hAnsi="Arial" w:cs="Arial"/>
        </w:rPr>
        <w:t>Kamal, A. and Khan, I., 2026. SUSTAINABLE LEADERSHIP: A STUDY ON ENVIRONMENTAL, SOCIAL, AND GOVERNANCE (ESG) GOALS. </w:t>
      </w:r>
      <w:r w:rsidRPr="00E945FD">
        <w:rPr>
          <w:rFonts w:ascii="Arial" w:hAnsi="Arial" w:cs="Arial"/>
          <w:i/>
          <w:iCs/>
        </w:rPr>
        <w:t>Pakistan Journal of Social Science Review</w:t>
      </w:r>
      <w:r w:rsidRPr="00E945FD">
        <w:rPr>
          <w:rFonts w:ascii="Arial" w:hAnsi="Arial" w:cs="Arial"/>
        </w:rPr>
        <w:t>, </w:t>
      </w:r>
      <w:r w:rsidRPr="00E945FD">
        <w:rPr>
          <w:rFonts w:ascii="Arial" w:hAnsi="Arial" w:cs="Arial"/>
          <w:i/>
          <w:iCs/>
        </w:rPr>
        <w:t>5</w:t>
      </w:r>
      <w:r w:rsidRPr="00E945FD">
        <w:rPr>
          <w:rFonts w:ascii="Arial" w:hAnsi="Arial" w:cs="Arial"/>
        </w:rPr>
        <w:t>(3), pp.182-198.</w:t>
      </w:r>
    </w:p>
    <w:p w14:paraId="197404A9" w14:textId="77777777" w:rsidR="004B234E" w:rsidRPr="006E5962" w:rsidRDefault="004B234E" w:rsidP="006E5962">
      <w:pPr>
        <w:spacing w:before="120" w:after="120" w:line="360" w:lineRule="auto"/>
        <w:jc w:val="both"/>
        <w:rPr>
          <w:rFonts w:ascii="Arial" w:hAnsi="Arial" w:cs="Arial"/>
        </w:rPr>
      </w:pPr>
      <w:r w:rsidRPr="006E5962">
        <w:rPr>
          <w:rFonts w:ascii="Arial" w:hAnsi="Arial" w:cs="Arial"/>
        </w:rPr>
        <w:t xml:space="preserve">Kotler, P., Armstrong, G., Harris, L.C. and He, H. (2024) </w:t>
      </w:r>
      <w:r w:rsidRPr="006E5962">
        <w:rPr>
          <w:rFonts w:ascii="Arial" w:hAnsi="Arial" w:cs="Arial"/>
          <w:i/>
          <w:iCs/>
        </w:rPr>
        <w:t>Principles of Marketing</w:t>
      </w:r>
      <w:r w:rsidRPr="006E5962">
        <w:rPr>
          <w:rFonts w:ascii="Arial" w:hAnsi="Arial" w:cs="Arial"/>
        </w:rPr>
        <w:t xml:space="preserve">. 10th European </w:t>
      </w:r>
      <w:proofErr w:type="spellStart"/>
      <w:r w:rsidRPr="006E5962">
        <w:rPr>
          <w:rFonts w:ascii="Arial" w:hAnsi="Arial" w:cs="Arial"/>
        </w:rPr>
        <w:t>edn</w:t>
      </w:r>
      <w:proofErr w:type="spellEnd"/>
      <w:r w:rsidRPr="006E5962">
        <w:rPr>
          <w:rFonts w:ascii="Arial" w:hAnsi="Arial" w:cs="Arial"/>
        </w:rPr>
        <w:t>. Harlow: Pearson.</w:t>
      </w:r>
    </w:p>
    <w:p w14:paraId="12E380F1" w14:textId="77777777" w:rsidR="004B234E" w:rsidRDefault="004B234E" w:rsidP="006E5962">
      <w:pPr>
        <w:spacing w:before="120" w:after="120" w:line="360" w:lineRule="auto"/>
        <w:jc w:val="both"/>
        <w:rPr>
          <w:rFonts w:ascii="Arial" w:hAnsi="Arial" w:cs="Arial"/>
        </w:rPr>
      </w:pPr>
      <w:r w:rsidRPr="001C219A">
        <w:rPr>
          <w:rFonts w:ascii="Arial" w:hAnsi="Arial" w:cs="Arial"/>
        </w:rPr>
        <w:t>Kumar, B.R., 2025. Sustainable Finance in Mining and Metal Industry. In </w:t>
      </w:r>
      <w:r w:rsidRPr="001C219A">
        <w:rPr>
          <w:rFonts w:ascii="Arial" w:hAnsi="Arial" w:cs="Arial"/>
          <w:i/>
          <w:iCs/>
        </w:rPr>
        <w:t>Green Finance: Navigating the Sustainable Investment Landscape</w:t>
      </w:r>
      <w:r w:rsidRPr="001C219A">
        <w:rPr>
          <w:rFonts w:ascii="Arial" w:hAnsi="Arial" w:cs="Arial"/>
        </w:rPr>
        <w:t> (pp. 425-442). Cham: Springer Nature Switzerland.</w:t>
      </w:r>
    </w:p>
    <w:p w14:paraId="3CD66435" w14:textId="77777777" w:rsidR="004B234E" w:rsidRDefault="004B234E" w:rsidP="006E5962">
      <w:pPr>
        <w:spacing w:before="120" w:after="120" w:line="360" w:lineRule="auto"/>
        <w:jc w:val="both"/>
        <w:rPr>
          <w:rFonts w:ascii="Arial" w:hAnsi="Arial" w:cs="Arial"/>
        </w:rPr>
      </w:pPr>
      <w:r w:rsidRPr="000D7156">
        <w:rPr>
          <w:rFonts w:ascii="Arial" w:hAnsi="Arial" w:cs="Arial"/>
        </w:rPr>
        <w:t>Kumar, P., Singh, J. and Singh, G., 2024. Renewable hydrogen opportunities and challenges. </w:t>
      </w:r>
      <w:r w:rsidRPr="000D7156">
        <w:rPr>
          <w:rFonts w:ascii="Arial" w:hAnsi="Arial" w:cs="Arial"/>
          <w:i/>
          <w:iCs/>
        </w:rPr>
        <w:t>Renewable Hydrogen</w:t>
      </w:r>
      <w:r w:rsidRPr="000D7156">
        <w:rPr>
          <w:rFonts w:ascii="Arial" w:hAnsi="Arial" w:cs="Arial"/>
        </w:rPr>
        <w:t>, pp.193-220.</w:t>
      </w:r>
    </w:p>
    <w:p w14:paraId="07CF2A1C" w14:textId="77777777" w:rsidR="004B234E" w:rsidRDefault="004B234E" w:rsidP="00AF4E1F">
      <w:pPr>
        <w:spacing w:before="120" w:after="120" w:line="360" w:lineRule="auto"/>
        <w:jc w:val="both"/>
        <w:rPr>
          <w:rFonts w:ascii="Arial" w:hAnsi="Arial" w:cs="Arial"/>
        </w:rPr>
      </w:pPr>
      <w:r w:rsidRPr="00067815">
        <w:rPr>
          <w:rFonts w:ascii="Arial" w:hAnsi="Arial" w:cs="Arial"/>
        </w:rPr>
        <w:t>Loredana, E.M., 2016. The use of Ansoff matrix in the field of business. In </w:t>
      </w:r>
      <w:r w:rsidRPr="00067815">
        <w:rPr>
          <w:rFonts w:ascii="Arial" w:hAnsi="Arial" w:cs="Arial"/>
          <w:i/>
          <w:iCs/>
        </w:rPr>
        <w:t>MATEC Web of Conferences</w:t>
      </w:r>
      <w:r w:rsidRPr="00067815">
        <w:rPr>
          <w:rFonts w:ascii="Arial" w:hAnsi="Arial" w:cs="Arial"/>
        </w:rPr>
        <w:t> (Vol. 44, p. 01006). Les Ulis, France: EDP Sciences.</w:t>
      </w:r>
    </w:p>
    <w:p w14:paraId="318F3A62" w14:textId="77777777" w:rsidR="004B234E" w:rsidRDefault="004B234E" w:rsidP="00AF4E1F">
      <w:pPr>
        <w:spacing w:before="120" w:after="120" w:line="360" w:lineRule="auto"/>
        <w:jc w:val="both"/>
        <w:rPr>
          <w:rFonts w:ascii="Arial" w:hAnsi="Arial" w:cs="Arial"/>
        </w:rPr>
      </w:pPr>
      <w:r w:rsidRPr="002C02CA">
        <w:rPr>
          <w:rFonts w:ascii="Arial" w:hAnsi="Arial" w:cs="Arial"/>
        </w:rPr>
        <w:lastRenderedPageBreak/>
        <w:t>Mesut, C., 2026. Competitive Advantage Through Strategic. </w:t>
      </w:r>
      <w:r w:rsidRPr="002C02CA">
        <w:rPr>
          <w:rFonts w:ascii="Arial" w:hAnsi="Arial" w:cs="Arial"/>
          <w:i/>
          <w:iCs/>
        </w:rPr>
        <w:t>Bridging Traditional Theory and Emerging Corporate Strategies</w:t>
      </w:r>
      <w:r w:rsidRPr="002C02CA">
        <w:rPr>
          <w:rFonts w:ascii="Arial" w:hAnsi="Arial" w:cs="Arial"/>
        </w:rPr>
        <w:t>, </w:t>
      </w:r>
      <w:r w:rsidRPr="002C02CA">
        <w:rPr>
          <w:rFonts w:ascii="Arial" w:hAnsi="Arial" w:cs="Arial"/>
          <w:i/>
          <w:iCs/>
        </w:rPr>
        <w:t>111</w:t>
      </w:r>
      <w:r w:rsidRPr="002C02CA">
        <w:rPr>
          <w:rFonts w:ascii="Arial" w:hAnsi="Arial" w:cs="Arial"/>
        </w:rPr>
        <w:t>.</w:t>
      </w:r>
    </w:p>
    <w:p w14:paraId="5BD6308A" w14:textId="32C2E510" w:rsidR="00D20B22" w:rsidRDefault="00D20B22" w:rsidP="00D20B22">
      <w:pPr>
        <w:pStyle w:val="Heading1"/>
        <w:spacing w:line="360" w:lineRule="auto"/>
        <w:rPr>
          <w:rFonts w:ascii="Arial" w:hAnsi="Arial" w:cs="Arial"/>
          <w:color w:val="000000" w:themeColor="text1"/>
          <w:sz w:val="22"/>
          <w:szCs w:val="22"/>
        </w:rPr>
      </w:pPr>
      <w:r w:rsidRPr="00D20B22">
        <w:rPr>
          <w:rFonts w:ascii="Arial" w:hAnsi="Arial" w:cs="Arial"/>
          <w:color w:val="000000" w:themeColor="text1"/>
          <w:sz w:val="22"/>
          <w:szCs w:val="22"/>
        </w:rPr>
        <w:t xml:space="preserve">OpenAI (2026) </w:t>
      </w:r>
      <w:r w:rsidRPr="00D20B22">
        <w:rPr>
          <w:rFonts w:ascii="Arial" w:hAnsi="Arial" w:cs="Arial"/>
          <w:i/>
          <w:iCs/>
          <w:color w:val="000000" w:themeColor="text1"/>
          <w:sz w:val="22"/>
          <w:szCs w:val="22"/>
        </w:rPr>
        <w:t>ChatGPT</w:t>
      </w:r>
      <w:r w:rsidRPr="00D20B22">
        <w:rPr>
          <w:rFonts w:ascii="Arial" w:hAnsi="Arial" w:cs="Arial"/>
          <w:color w:val="000000" w:themeColor="text1"/>
          <w:sz w:val="22"/>
          <w:szCs w:val="22"/>
        </w:rPr>
        <w:t xml:space="preserve"> [Large language model]. Available at: </w:t>
      </w:r>
      <w:hyperlink r:id="rId11" w:tgtFrame="_new" w:history="1">
        <w:r w:rsidRPr="00D20B22">
          <w:rPr>
            <w:rStyle w:val="Hyperlink"/>
            <w:rFonts w:ascii="Arial" w:hAnsi="Arial" w:cs="Arial"/>
            <w:color w:val="000000" w:themeColor="text1"/>
            <w:sz w:val="22"/>
            <w:szCs w:val="22"/>
          </w:rPr>
          <w:t>https://chatgpt.com</w:t>
        </w:r>
      </w:hyperlink>
      <w:r w:rsidRPr="00D20B22">
        <w:rPr>
          <w:rFonts w:ascii="Arial" w:hAnsi="Arial" w:cs="Arial"/>
          <w:color w:val="000000" w:themeColor="text1"/>
          <w:sz w:val="22"/>
          <w:szCs w:val="22"/>
        </w:rPr>
        <w:t xml:space="preserve"> (Accessed: </w:t>
      </w:r>
      <w:r>
        <w:rPr>
          <w:rFonts w:ascii="Arial" w:hAnsi="Arial" w:cs="Arial"/>
          <w:color w:val="000000" w:themeColor="text1"/>
          <w:sz w:val="22"/>
          <w:szCs w:val="22"/>
        </w:rPr>
        <w:t xml:space="preserve">03 </w:t>
      </w:r>
      <w:r w:rsidRPr="00D20B22">
        <w:rPr>
          <w:rFonts w:ascii="Arial" w:hAnsi="Arial" w:cs="Arial"/>
          <w:color w:val="000000" w:themeColor="text1"/>
          <w:sz w:val="22"/>
          <w:szCs w:val="22"/>
        </w:rPr>
        <w:t xml:space="preserve">June 2026). </w:t>
      </w:r>
    </w:p>
    <w:p w14:paraId="5CE38381" w14:textId="2990652E" w:rsidR="00D20B22" w:rsidRPr="00D20B22" w:rsidRDefault="00D20B22" w:rsidP="00D20B22">
      <w:pPr>
        <w:pStyle w:val="Heading1"/>
        <w:spacing w:line="360" w:lineRule="auto"/>
        <w:rPr>
          <w:rFonts w:ascii="Arial" w:hAnsi="Arial" w:cs="Arial"/>
          <w:color w:val="000000" w:themeColor="text1"/>
          <w:sz w:val="22"/>
          <w:szCs w:val="22"/>
        </w:rPr>
      </w:pPr>
      <w:proofErr w:type="spellStart"/>
      <w:r w:rsidRPr="00D20B22">
        <w:rPr>
          <w:rFonts w:ascii="Arial" w:hAnsi="Arial" w:cs="Arial"/>
          <w:color w:val="000000" w:themeColor="text1"/>
          <w:sz w:val="22"/>
          <w:szCs w:val="22"/>
        </w:rPr>
        <w:t>QuillBot</w:t>
      </w:r>
      <w:proofErr w:type="spellEnd"/>
      <w:r w:rsidRPr="00D20B22">
        <w:rPr>
          <w:rFonts w:ascii="Arial" w:hAnsi="Arial" w:cs="Arial"/>
          <w:color w:val="000000" w:themeColor="text1"/>
          <w:sz w:val="22"/>
          <w:szCs w:val="22"/>
        </w:rPr>
        <w:t xml:space="preserve"> (2026) </w:t>
      </w:r>
      <w:proofErr w:type="spellStart"/>
      <w:r w:rsidRPr="00D20B22">
        <w:rPr>
          <w:rFonts w:ascii="Arial" w:hAnsi="Arial" w:cs="Arial"/>
          <w:i/>
          <w:iCs/>
          <w:color w:val="000000" w:themeColor="text1"/>
          <w:sz w:val="22"/>
          <w:szCs w:val="22"/>
        </w:rPr>
        <w:t>QuillBot</w:t>
      </w:r>
      <w:proofErr w:type="spellEnd"/>
      <w:r w:rsidRPr="00D20B22">
        <w:rPr>
          <w:rFonts w:ascii="Arial" w:hAnsi="Arial" w:cs="Arial"/>
          <w:color w:val="000000" w:themeColor="text1"/>
          <w:sz w:val="22"/>
          <w:szCs w:val="22"/>
        </w:rPr>
        <w:t xml:space="preserve"> [AI paraphrasing tool]. Available at: </w:t>
      </w:r>
      <w:hyperlink r:id="rId12" w:tgtFrame="_new" w:history="1">
        <w:r w:rsidRPr="00D20B22">
          <w:rPr>
            <w:rStyle w:val="Hyperlink"/>
            <w:rFonts w:ascii="Arial" w:hAnsi="Arial" w:cs="Arial"/>
            <w:color w:val="000000" w:themeColor="text1"/>
            <w:sz w:val="22"/>
            <w:szCs w:val="22"/>
          </w:rPr>
          <w:t>https://quillbot.com</w:t>
        </w:r>
      </w:hyperlink>
      <w:r w:rsidRPr="00D20B22">
        <w:rPr>
          <w:rFonts w:ascii="Arial" w:hAnsi="Arial" w:cs="Arial"/>
          <w:color w:val="000000" w:themeColor="text1"/>
          <w:sz w:val="22"/>
          <w:szCs w:val="22"/>
        </w:rPr>
        <w:t xml:space="preserve"> (Accessed: </w:t>
      </w:r>
      <w:r>
        <w:rPr>
          <w:rFonts w:ascii="Arial" w:hAnsi="Arial" w:cs="Arial"/>
          <w:color w:val="000000" w:themeColor="text1"/>
          <w:sz w:val="22"/>
          <w:szCs w:val="22"/>
        </w:rPr>
        <w:t xml:space="preserve">05 </w:t>
      </w:r>
      <w:r w:rsidRPr="00D20B22">
        <w:rPr>
          <w:rFonts w:ascii="Arial" w:hAnsi="Arial" w:cs="Arial"/>
          <w:color w:val="000000" w:themeColor="text1"/>
          <w:sz w:val="22"/>
          <w:szCs w:val="22"/>
        </w:rPr>
        <w:t>June 2026</w:t>
      </w:r>
      <w:r>
        <w:rPr>
          <w:rFonts w:ascii="Arial" w:hAnsi="Arial" w:cs="Arial"/>
          <w:color w:val="000000" w:themeColor="text1"/>
          <w:sz w:val="22"/>
          <w:szCs w:val="22"/>
        </w:rPr>
        <w:t>)</w:t>
      </w:r>
    </w:p>
    <w:p w14:paraId="5EBF7CA5" w14:textId="77777777" w:rsidR="004B234E" w:rsidRDefault="004B234E" w:rsidP="00AF4E1F">
      <w:pPr>
        <w:spacing w:before="120" w:after="120" w:line="360" w:lineRule="auto"/>
        <w:jc w:val="both"/>
        <w:rPr>
          <w:rFonts w:ascii="Arial" w:hAnsi="Arial" w:cs="Arial"/>
        </w:rPr>
      </w:pPr>
      <w:r w:rsidRPr="009E6811">
        <w:rPr>
          <w:rFonts w:ascii="Arial" w:hAnsi="Arial" w:cs="Arial"/>
        </w:rPr>
        <w:t>Zhang, X., Jiao, K., Zhang, J. and Guo, Z., 2021. A review on low carbon emissions projects of steel industry in the World. </w:t>
      </w:r>
      <w:r w:rsidRPr="009E6811">
        <w:rPr>
          <w:rFonts w:ascii="Arial" w:hAnsi="Arial" w:cs="Arial"/>
          <w:i/>
          <w:iCs/>
        </w:rPr>
        <w:t>Journal of cleaner production</w:t>
      </w:r>
      <w:r w:rsidRPr="009E6811">
        <w:rPr>
          <w:rFonts w:ascii="Arial" w:hAnsi="Arial" w:cs="Arial"/>
        </w:rPr>
        <w:t>, </w:t>
      </w:r>
      <w:r w:rsidRPr="009E6811">
        <w:rPr>
          <w:rFonts w:ascii="Arial" w:hAnsi="Arial" w:cs="Arial"/>
          <w:i/>
          <w:iCs/>
        </w:rPr>
        <w:t>306</w:t>
      </w:r>
      <w:r w:rsidRPr="009E6811">
        <w:rPr>
          <w:rFonts w:ascii="Arial" w:hAnsi="Arial" w:cs="Arial"/>
        </w:rPr>
        <w:t>, p.127259.</w:t>
      </w:r>
    </w:p>
    <w:p w14:paraId="731DA4DF" w14:textId="77777777" w:rsidR="004B234E" w:rsidRPr="00AF4E1F" w:rsidRDefault="004B234E" w:rsidP="00AF4E1F">
      <w:pPr>
        <w:spacing w:before="120" w:after="120" w:line="360" w:lineRule="auto"/>
        <w:jc w:val="both"/>
        <w:rPr>
          <w:rFonts w:ascii="Arial" w:hAnsi="Arial" w:cs="Arial"/>
        </w:rPr>
      </w:pPr>
      <w:r w:rsidRPr="00FF60DD">
        <w:rPr>
          <w:rFonts w:ascii="Arial" w:hAnsi="Arial" w:cs="Arial"/>
        </w:rPr>
        <w:t>Zheng, X., Huang, Z., Jiang, K. and Dong, Y., 2026. Sustainable growth: Unveiling the impact of government attention on corporate environmental performance. </w:t>
      </w:r>
      <w:r w:rsidRPr="00FF60DD">
        <w:rPr>
          <w:rFonts w:ascii="Arial" w:hAnsi="Arial" w:cs="Arial"/>
          <w:i/>
          <w:iCs/>
        </w:rPr>
        <w:t>Business Ethics, the Environment &amp; Responsibility</w:t>
      </w:r>
      <w:r w:rsidRPr="00FF60DD">
        <w:rPr>
          <w:rFonts w:ascii="Arial" w:hAnsi="Arial" w:cs="Arial"/>
        </w:rPr>
        <w:t>, </w:t>
      </w:r>
      <w:r w:rsidRPr="00FF60DD">
        <w:rPr>
          <w:rFonts w:ascii="Arial" w:hAnsi="Arial" w:cs="Arial"/>
          <w:i/>
          <w:iCs/>
        </w:rPr>
        <w:t>35</w:t>
      </w:r>
      <w:r w:rsidRPr="00FF60DD">
        <w:rPr>
          <w:rFonts w:ascii="Arial" w:hAnsi="Arial" w:cs="Arial"/>
        </w:rPr>
        <w:t>(1), pp.501-524.</w:t>
      </w:r>
    </w:p>
    <w:sectPr w:rsidR="004B234E" w:rsidRPr="00AF4E1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FAD671" w14:textId="77777777" w:rsidR="00A86FF4" w:rsidRDefault="00A86FF4" w:rsidP="00BE4167">
      <w:pPr>
        <w:spacing w:after="0" w:line="240" w:lineRule="auto"/>
      </w:pPr>
      <w:r>
        <w:separator/>
      </w:r>
    </w:p>
  </w:endnote>
  <w:endnote w:type="continuationSeparator" w:id="0">
    <w:p w14:paraId="09C891AC" w14:textId="77777777" w:rsidR="00A86FF4" w:rsidRDefault="00A86FF4" w:rsidP="00BE4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3518126"/>
      <w:docPartObj>
        <w:docPartGallery w:val="Page Numbers (Bottom of Page)"/>
        <w:docPartUnique/>
      </w:docPartObj>
    </w:sdtPr>
    <w:sdtEndPr>
      <w:rPr>
        <w:noProof/>
      </w:rPr>
    </w:sdtEndPr>
    <w:sdtContent>
      <w:p w14:paraId="57AAC508" w14:textId="6AA54222" w:rsidR="00BE4167" w:rsidRDefault="00BE41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F031EC" w14:textId="77777777" w:rsidR="00BE4167" w:rsidRDefault="00BE4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B0755" w14:textId="77777777" w:rsidR="00A86FF4" w:rsidRDefault="00A86FF4" w:rsidP="00BE4167">
      <w:pPr>
        <w:spacing w:after="0" w:line="240" w:lineRule="auto"/>
      </w:pPr>
      <w:r>
        <w:separator/>
      </w:r>
    </w:p>
  </w:footnote>
  <w:footnote w:type="continuationSeparator" w:id="0">
    <w:p w14:paraId="46CE15E0" w14:textId="77777777" w:rsidR="00A86FF4" w:rsidRDefault="00A86FF4" w:rsidP="00BE41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C18EC"/>
    <w:multiLevelType w:val="multilevel"/>
    <w:tmpl w:val="86585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7539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593"/>
    <w:rsid w:val="0002076B"/>
    <w:rsid w:val="000439B8"/>
    <w:rsid w:val="00046140"/>
    <w:rsid w:val="00067238"/>
    <w:rsid w:val="00067815"/>
    <w:rsid w:val="000A6793"/>
    <w:rsid w:val="000A7EAA"/>
    <w:rsid w:val="000B3F14"/>
    <w:rsid w:val="000B6146"/>
    <w:rsid w:val="000B771B"/>
    <w:rsid w:val="000C51E3"/>
    <w:rsid w:val="000D5650"/>
    <w:rsid w:val="000D7156"/>
    <w:rsid w:val="000E274B"/>
    <w:rsid w:val="000F018D"/>
    <w:rsid w:val="00103CA1"/>
    <w:rsid w:val="00114E2E"/>
    <w:rsid w:val="00130376"/>
    <w:rsid w:val="00163DCF"/>
    <w:rsid w:val="0019241D"/>
    <w:rsid w:val="001B1494"/>
    <w:rsid w:val="001C219A"/>
    <w:rsid w:val="001D1BF3"/>
    <w:rsid w:val="00206633"/>
    <w:rsid w:val="002103C9"/>
    <w:rsid w:val="00234A51"/>
    <w:rsid w:val="0026737D"/>
    <w:rsid w:val="00277BF1"/>
    <w:rsid w:val="00297A2A"/>
    <w:rsid w:val="002A3FF8"/>
    <w:rsid w:val="002A7765"/>
    <w:rsid w:val="002C02CA"/>
    <w:rsid w:val="002C1E05"/>
    <w:rsid w:val="002C2251"/>
    <w:rsid w:val="002C3166"/>
    <w:rsid w:val="002C6517"/>
    <w:rsid w:val="002F1028"/>
    <w:rsid w:val="00325BEB"/>
    <w:rsid w:val="0035717B"/>
    <w:rsid w:val="003C26F1"/>
    <w:rsid w:val="003D3943"/>
    <w:rsid w:val="003F2227"/>
    <w:rsid w:val="003F5364"/>
    <w:rsid w:val="0040182E"/>
    <w:rsid w:val="0043581C"/>
    <w:rsid w:val="0044211E"/>
    <w:rsid w:val="00447B38"/>
    <w:rsid w:val="00457920"/>
    <w:rsid w:val="004855DD"/>
    <w:rsid w:val="00487B9E"/>
    <w:rsid w:val="004A36B0"/>
    <w:rsid w:val="004A6AA0"/>
    <w:rsid w:val="004A7D09"/>
    <w:rsid w:val="004B234E"/>
    <w:rsid w:val="004C78DC"/>
    <w:rsid w:val="004D4DB1"/>
    <w:rsid w:val="004F3474"/>
    <w:rsid w:val="00515F2B"/>
    <w:rsid w:val="00523867"/>
    <w:rsid w:val="00534FBE"/>
    <w:rsid w:val="005962A7"/>
    <w:rsid w:val="005D2832"/>
    <w:rsid w:val="005E6603"/>
    <w:rsid w:val="00625D48"/>
    <w:rsid w:val="0062759A"/>
    <w:rsid w:val="006A1258"/>
    <w:rsid w:val="006C07B5"/>
    <w:rsid w:val="006E3EEA"/>
    <w:rsid w:val="006E5962"/>
    <w:rsid w:val="007113E3"/>
    <w:rsid w:val="00724BBF"/>
    <w:rsid w:val="00734DAC"/>
    <w:rsid w:val="007532D7"/>
    <w:rsid w:val="00777FD3"/>
    <w:rsid w:val="007D0C18"/>
    <w:rsid w:val="0082712A"/>
    <w:rsid w:val="008501D9"/>
    <w:rsid w:val="008B5CED"/>
    <w:rsid w:val="008D23DE"/>
    <w:rsid w:val="008F56DA"/>
    <w:rsid w:val="00934367"/>
    <w:rsid w:val="00981A73"/>
    <w:rsid w:val="009B2D66"/>
    <w:rsid w:val="009C12DC"/>
    <w:rsid w:val="009C5227"/>
    <w:rsid w:val="009D5E8E"/>
    <w:rsid w:val="009E6811"/>
    <w:rsid w:val="00A20A29"/>
    <w:rsid w:val="00A343A9"/>
    <w:rsid w:val="00A51A19"/>
    <w:rsid w:val="00A648E4"/>
    <w:rsid w:val="00A8397B"/>
    <w:rsid w:val="00A86FF4"/>
    <w:rsid w:val="00A87AE9"/>
    <w:rsid w:val="00A904D9"/>
    <w:rsid w:val="00AA4DBF"/>
    <w:rsid w:val="00AB5F54"/>
    <w:rsid w:val="00AC3B1A"/>
    <w:rsid w:val="00AC4772"/>
    <w:rsid w:val="00AD5D10"/>
    <w:rsid w:val="00AE315D"/>
    <w:rsid w:val="00AE56D0"/>
    <w:rsid w:val="00AF3366"/>
    <w:rsid w:val="00AF4E1F"/>
    <w:rsid w:val="00B0228A"/>
    <w:rsid w:val="00B46614"/>
    <w:rsid w:val="00B52DC1"/>
    <w:rsid w:val="00B91F85"/>
    <w:rsid w:val="00BC4B10"/>
    <w:rsid w:val="00BE0593"/>
    <w:rsid w:val="00BE4167"/>
    <w:rsid w:val="00C05C1B"/>
    <w:rsid w:val="00C42FFA"/>
    <w:rsid w:val="00C457E5"/>
    <w:rsid w:val="00C525F6"/>
    <w:rsid w:val="00C913D2"/>
    <w:rsid w:val="00C91FA5"/>
    <w:rsid w:val="00CC3C5B"/>
    <w:rsid w:val="00D01125"/>
    <w:rsid w:val="00D20B22"/>
    <w:rsid w:val="00D26DAC"/>
    <w:rsid w:val="00DA2943"/>
    <w:rsid w:val="00DB11D9"/>
    <w:rsid w:val="00DF228E"/>
    <w:rsid w:val="00DF3E16"/>
    <w:rsid w:val="00DF6250"/>
    <w:rsid w:val="00E03B54"/>
    <w:rsid w:val="00E060D6"/>
    <w:rsid w:val="00E1121E"/>
    <w:rsid w:val="00E121BB"/>
    <w:rsid w:val="00E15804"/>
    <w:rsid w:val="00E5732B"/>
    <w:rsid w:val="00E612A1"/>
    <w:rsid w:val="00E945FD"/>
    <w:rsid w:val="00EA6C45"/>
    <w:rsid w:val="00EB19F6"/>
    <w:rsid w:val="00F10F52"/>
    <w:rsid w:val="00F436A1"/>
    <w:rsid w:val="00F56C0E"/>
    <w:rsid w:val="00F61139"/>
    <w:rsid w:val="00F62077"/>
    <w:rsid w:val="00F72496"/>
    <w:rsid w:val="00F90290"/>
    <w:rsid w:val="00FB3739"/>
    <w:rsid w:val="00FB4744"/>
    <w:rsid w:val="00FF60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24C4BB"/>
  <w15:chartTrackingRefBased/>
  <w15:docId w15:val="{F5F0C2E6-2578-46B9-B20E-EA2DC7D29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59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E05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E059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059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059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05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5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5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5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59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E059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E059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E059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E059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E05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5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5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593"/>
    <w:rPr>
      <w:rFonts w:eastAsiaTheme="majorEastAsia" w:cstheme="majorBidi"/>
      <w:color w:val="272727" w:themeColor="text1" w:themeTint="D8"/>
    </w:rPr>
  </w:style>
  <w:style w:type="paragraph" w:styleId="Title">
    <w:name w:val="Title"/>
    <w:basedOn w:val="Normal"/>
    <w:next w:val="Normal"/>
    <w:link w:val="TitleChar"/>
    <w:uiPriority w:val="10"/>
    <w:qFormat/>
    <w:rsid w:val="00BE05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5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5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5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593"/>
    <w:pPr>
      <w:spacing w:before="160"/>
      <w:jc w:val="center"/>
    </w:pPr>
    <w:rPr>
      <w:i/>
      <w:iCs/>
      <w:color w:val="404040" w:themeColor="text1" w:themeTint="BF"/>
    </w:rPr>
  </w:style>
  <w:style w:type="character" w:customStyle="1" w:styleId="QuoteChar">
    <w:name w:val="Quote Char"/>
    <w:basedOn w:val="DefaultParagraphFont"/>
    <w:link w:val="Quote"/>
    <w:uiPriority w:val="29"/>
    <w:rsid w:val="00BE0593"/>
    <w:rPr>
      <w:i/>
      <w:iCs/>
      <w:color w:val="404040" w:themeColor="text1" w:themeTint="BF"/>
    </w:rPr>
  </w:style>
  <w:style w:type="paragraph" w:styleId="ListParagraph">
    <w:name w:val="List Paragraph"/>
    <w:basedOn w:val="Normal"/>
    <w:uiPriority w:val="34"/>
    <w:qFormat/>
    <w:rsid w:val="00BE0593"/>
    <w:pPr>
      <w:ind w:left="720"/>
      <w:contextualSpacing/>
    </w:pPr>
  </w:style>
  <w:style w:type="character" w:styleId="IntenseEmphasis">
    <w:name w:val="Intense Emphasis"/>
    <w:basedOn w:val="DefaultParagraphFont"/>
    <w:uiPriority w:val="21"/>
    <w:qFormat/>
    <w:rsid w:val="00BE0593"/>
    <w:rPr>
      <w:i/>
      <w:iCs/>
      <w:color w:val="2F5496" w:themeColor="accent1" w:themeShade="BF"/>
    </w:rPr>
  </w:style>
  <w:style w:type="paragraph" w:styleId="IntenseQuote">
    <w:name w:val="Intense Quote"/>
    <w:basedOn w:val="Normal"/>
    <w:next w:val="Normal"/>
    <w:link w:val="IntenseQuoteChar"/>
    <w:uiPriority w:val="30"/>
    <w:qFormat/>
    <w:rsid w:val="00BE05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0593"/>
    <w:rPr>
      <w:i/>
      <w:iCs/>
      <w:color w:val="2F5496" w:themeColor="accent1" w:themeShade="BF"/>
    </w:rPr>
  </w:style>
  <w:style w:type="character" w:styleId="IntenseReference">
    <w:name w:val="Intense Reference"/>
    <w:basedOn w:val="DefaultParagraphFont"/>
    <w:uiPriority w:val="32"/>
    <w:qFormat/>
    <w:rsid w:val="00BE0593"/>
    <w:rPr>
      <w:b/>
      <w:bCs/>
      <w:smallCaps/>
      <w:color w:val="2F5496" w:themeColor="accent1" w:themeShade="BF"/>
      <w:spacing w:val="5"/>
    </w:rPr>
  </w:style>
  <w:style w:type="paragraph" w:styleId="NormalWeb">
    <w:name w:val="Normal (Web)"/>
    <w:basedOn w:val="Normal"/>
    <w:uiPriority w:val="99"/>
    <w:semiHidden/>
    <w:unhideWhenUsed/>
    <w:rsid w:val="006E5962"/>
    <w:rPr>
      <w:rFonts w:ascii="Times New Roman" w:hAnsi="Times New Roman" w:cs="Times New Roman"/>
      <w:sz w:val="24"/>
      <w:szCs w:val="24"/>
    </w:rPr>
  </w:style>
  <w:style w:type="character" w:styleId="Hyperlink">
    <w:name w:val="Hyperlink"/>
    <w:basedOn w:val="DefaultParagraphFont"/>
    <w:uiPriority w:val="99"/>
    <w:unhideWhenUsed/>
    <w:rsid w:val="006E5962"/>
    <w:rPr>
      <w:color w:val="0563C1" w:themeColor="hyperlink"/>
      <w:u w:val="single"/>
    </w:rPr>
  </w:style>
  <w:style w:type="character" w:styleId="UnresolvedMention">
    <w:name w:val="Unresolved Mention"/>
    <w:basedOn w:val="DefaultParagraphFont"/>
    <w:uiPriority w:val="99"/>
    <w:semiHidden/>
    <w:unhideWhenUsed/>
    <w:rsid w:val="006E5962"/>
    <w:rPr>
      <w:color w:val="605E5C"/>
      <w:shd w:val="clear" w:color="auto" w:fill="E1DFDD"/>
    </w:rPr>
  </w:style>
  <w:style w:type="paragraph" w:styleId="Header">
    <w:name w:val="header"/>
    <w:basedOn w:val="Normal"/>
    <w:link w:val="HeaderChar"/>
    <w:uiPriority w:val="99"/>
    <w:unhideWhenUsed/>
    <w:rsid w:val="00BE41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167"/>
  </w:style>
  <w:style w:type="paragraph" w:styleId="Footer">
    <w:name w:val="footer"/>
    <w:basedOn w:val="Normal"/>
    <w:link w:val="FooterChar"/>
    <w:uiPriority w:val="99"/>
    <w:unhideWhenUsed/>
    <w:rsid w:val="00BE4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167"/>
  </w:style>
  <w:style w:type="paragraph" w:styleId="TOCHeading">
    <w:name w:val="TOC Heading"/>
    <w:basedOn w:val="Heading1"/>
    <w:next w:val="Normal"/>
    <w:uiPriority w:val="39"/>
    <w:unhideWhenUsed/>
    <w:qFormat/>
    <w:rsid w:val="007D0C18"/>
    <w:pPr>
      <w:spacing w:before="240" w:after="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D0C1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quillbo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rammarly.com" TargetMode="External"/><Relationship Id="rId4" Type="http://schemas.openxmlformats.org/officeDocument/2006/relationships/settings" Target="settings.xml"/><Relationship Id="rId9" Type="http://schemas.openxmlformats.org/officeDocument/2006/relationships/hyperlink" Target="https://www.bhp.com/news/media-centre/reports-presentations/2025/08/2025-annual-reporting-suite?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F969B7-CEEA-4200-95E6-2A749A53D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3734</Words>
  <Characters>21288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Begum (2236508)</dc:creator>
  <cp:keywords/>
  <dc:description/>
  <cp:lastModifiedBy>Mumtaz Begum (2236508)</cp:lastModifiedBy>
  <cp:revision>2</cp:revision>
  <dcterms:created xsi:type="dcterms:W3CDTF">2026-06-17T13:12:00Z</dcterms:created>
  <dcterms:modified xsi:type="dcterms:W3CDTF">2026-06-17T13:12:00Z</dcterms:modified>
</cp:coreProperties>
</file>