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BB925" w14:textId="77777777" w:rsidR="004636EC" w:rsidRDefault="00D65958">
      <w:pPr>
        <w:spacing w:line="276" w:lineRule="auto"/>
        <w:jc w:val="left"/>
        <w:rPr>
          <w:rFonts w:eastAsia="Times New Roman"/>
          <w:b/>
          <w:bCs/>
          <w:kern w:val="36"/>
        </w:rPr>
      </w:pPr>
      <w:r w:rsidRPr="00D65958">
        <w:rPr>
          <w:rFonts w:eastAsia="Times New Roman"/>
          <w:b/>
          <w:bCs/>
          <w:noProof/>
          <w:kern w:val="36"/>
          <w:lang w:val="en-IN" w:eastAsia="en-IN"/>
        </w:rPr>
        <w:drawing>
          <wp:inline distT="0" distB="0" distL="0" distR="0" wp14:anchorId="351870CC" wp14:editId="05AC10DD">
            <wp:extent cx="1809750" cy="600075"/>
            <wp:effectExtent l="0" t="0" r="0" b="0"/>
            <wp:docPr id="4"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88A90B0" w14:textId="77777777" w:rsidR="004636EC" w:rsidRDefault="004636EC">
      <w:pPr>
        <w:spacing w:line="276" w:lineRule="auto"/>
        <w:jc w:val="left"/>
        <w:rPr>
          <w:rFonts w:eastAsia="Times New Roman"/>
          <w:b/>
          <w:bCs/>
          <w:kern w:val="3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70"/>
        <w:gridCol w:w="3069"/>
        <w:gridCol w:w="1864"/>
        <w:gridCol w:w="2347"/>
      </w:tblGrid>
      <w:tr w:rsidR="004636EC" w14:paraId="5CA024DE" w14:textId="77777777" w:rsidTr="00D65958">
        <w:trPr>
          <w:trHeight w:val="492"/>
        </w:trPr>
        <w:tc>
          <w:tcPr>
            <w:tcW w:w="1107" w:type="pct"/>
            <w:shd w:val="clear" w:color="auto" w:fill="D9D9D9"/>
          </w:tcPr>
          <w:p w14:paraId="76DD9E61" w14:textId="77777777" w:rsidR="004636EC" w:rsidRDefault="004636EC" w:rsidP="0095004E">
            <w:pPr>
              <w:pStyle w:val="TableParagraph"/>
              <w:spacing w:before="120" w:after="240" w:line="480" w:lineRule="auto"/>
              <w:rPr>
                <w:b/>
              </w:rPr>
            </w:pPr>
            <w:proofErr w:type="spellStart"/>
            <w:r>
              <w:rPr>
                <w:b/>
              </w:rPr>
              <w:t>Programme</w:t>
            </w:r>
            <w:proofErr w:type="spellEnd"/>
            <w:r>
              <w:rPr>
                <w:b/>
              </w:rPr>
              <w:t>:</w:t>
            </w:r>
          </w:p>
        </w:tc>
        <w:tc>
          <w:tcPr>
            <w:tcW w:w="3893" w:type="pct"/>
            <w:gridSpan w:val="3"/>
          </w:tcPr>
          <w:p w14:paraId="2F11E58D" w14:textId="77777777" w:rsidR="004636EC" w:rsidRDefault="004636EC" w:rsidP="0095004E">
            <w:pPr>
              <w:pStyle w:val="TableParagraph"/>
              <w:spacing w:before="120" w:after="240" w:line="480" w:lineRule="auto"/>
              <w:ind w:left="105"/>
              <w:rPr>
                <w:b/>
              </w:rPr>
            </w:pPr>
            <w:r>
              <w:rPr>
                <w:b/>
              </w:rPr>
              <w:t>BA Business Management</w:t>
            </w:r>
          </w:p>
        </w:tc>
      </w:tr>
      <w:tr w:rsidR="004636EC" w14:paraId="1C4C8473" w14:textId="77777777" w:rsidTr="00D65958">
        <w:trPr>
          <w:trHeight w:val="493"/>
        </w:trPr>
        <w:tc>
          <w:tcPr>
            <w:tcW w:w="1107" w:type="pct"/>
            <w:shd w:val="clear" w:color="auto" w:fill="D9D9D9"/>
          </w:tcPr>
          <w:p w14:paraId="06B33FE7" w14:textId="77777777" w:rsidR="004636EC" w:rsidRDefault="004636EC" w:rsidP="0095004E">
            <w:pPr>
              <w:pStyle w:val="TableParagraph"/>
              <w:spacing w:before="122" w:after="240" w:line="480" w:lineRule="auto"/>
              <w:rPr>
                <w:b/>
              </w:rPr>
            </w:pPr>
            <w:r>
              <w:rPr>
                <w:b/>
              </w:rPr>
              <w:t>Module:</w:t>
            </w:r>
          </w:p>
        </w:tc>
        <w:tc>
          <w:tcPr>
            <w:tcW w:w="3893" w:type="pct"/>
            <w:gridSpan w:val="3"/>
          </w:tcPr>
          <w:p w14:paraId="25A73FEF" w14:textId="77777777" w:rsidR="004636EC" w:rsidRDefault="004636EC" w:rsidP="0095004E">
            <w:pPr>
              <w:pStyle w:val="TableParagraph"/>
              <w:spacing w:before="122" w:after="240" w:line="480" w:lineRule="auto"/>
              <w:ind w:left="105"/>
              <w:rPr>
                <w:b/>
              </w:rPr>
            </w:pPr>
            <w:r>
              <w:rPr>
                <w:b/>
              </w:rPr>
              <w:t>Managing People</w:t>
            </w:r>
          </w:p>
        </w:tc>
      </w:tr>
      <w:tr w:rsidR="004636EC" w14:paraId="10C0AADA" w14:textId="77777777" w:rsidTr="00EA5AD3">
        <w:trPr>
          <w:trHeight w:val="757"/>
        </w:trPr>
        <w:tc>
          <w:tcPr>
            <w:tcW w:w="1107" w:type="pct"/>
            <w:shd w:val="clear" w:color="auto" w:fill="D9D9D9"/>
          </w:tcPr>
          <w:p w14:paraId="3E81F456" w14:textId="77777777" w:rsidR="004636EC" w:rsidRDefault="004636EC" w:rsidP="0095004E">
            <w:pPr>
              <w:pStyle w:val="TableParagraph"/>
              <w:spacing w:before="120" w:after="240" w:line="480" w:lineRule="auto"/>
              <w:rPr>
                <w:b/>
              </w:rPr>
            </w:pPr>
            <w:r>
              <w:rPr>
                <w:b/>
              </w:rPr>
              <w:t>Module code:</w:t>
            </w:r>
          </w:p>
        </w:tc>
        <w:tc>
          <w:tcPr>
            <w:tcW w:w="1641" w:type="pct"/>
          </w:tcPr>
          <w:p w14:paraId="1A8768CD" w14:textId="77777777" w:rsidR="004636EC" w:rsidRDefault="004636EC" w:rsidP="0095004E">
            <w:pPr>
              <w:pStyle w:val="TableParagraph"/>
              <w:spacing w:before="120" w:after="240" w:line="480" w:lineRule="auto"/>
              <w:ind w:left="105"/>
              <w:rPr>
                <w:b/>
              </w:rPr>
            </w:pPr>
            <w:r>
              <w:rPr>
                <w:b/>
              </w:rPr>
              <w:t>LCBB5004</w:t>
            </w:r>
          </w:p>
        </w:tc>
        <w:tc>
          <w:tcPr>
            <w:tcW w:w="997" w:type="pct"/>
            <w:shd w:val="clear" w:color="auto" w:fill="D9D9D9"/>
          </w:tcPr>
          <w:p w14:paraId="57CC46FB" w14:textId="77777777" w:rsidR="004636EC" w:rsidRDefault="004636EC" w:rsidP="0095004E">
            <w:pPr>
              <w:pStyle w:val="TableParagraph"/>
              <w:spacing w:after="240" w:line="480" w:lineRule="auto"/>
              <w:rPr>
                <w:b/>
              </w:rPr>
            </w:pPr>
            <w:r>
              <w:rPr>
                <w:b/>
              </w:rPr>
              <w:t>Contribution to</w:t>
            </w:r>
          </w:p>
          <w:p w14:paraId="52CBE219" w14:textId="77777777" w:rsidR="004636EC" w:rsidRDefault="004636EC" w:rsidP="0095004E">
            <w:pPr>
              <w:pStyle w:val="TableParagraph"/>
              <w:spacing w:before="6" w:after="240" w:line="480" w:lineRule="auto"/>
              <w:ind w:right="104"/>
              <w:rPr>
                <w:b/>
              </w:rPr>
            </w:pPr>
            <w:r>
              <w:rPr>
                <w:b/>
              </w:rPr>
              <w:t>Overall Module Assessment (%):</w:t>
            </w:r>
          </w:p>
        </w:tc>
        <w:tc>
          <w:tcPr>
            <w:tcW w:w="1255" w:type="pct"/>
          </w:tcPr>
          <w:p w14:paraId="72ADCDE4" w14:textId="77777777" w:rsidR="004636EC" w:rsidRDefault="004636EC" w:rsidP="0095004E">
            <w:pPr>
              <w:pStyle w:val="TableParagraph"/>
              <w:spacing w:before="120" w:after="240" w:line="480" w:lineRule="auto"/>
              <w:rPr>
                <w:b/>
              </w:rPr>
            </w:pPr>
            <w:r>
              <w:rPr>
                <w:b/>
              </w:rPr>
              <w:t>50%</w:t>
            </w:r>
          </w:p>
        </w:tc>
      </w:tr>
      <w:tr w:rsidR="004636EC" w14:paraId="27380782" w14:textId="77777777" w:rsidTr="00EA5AD3">
        <w:trPr>
          <w:trHeight w:val="489"/>
        </w:trPr>
        <w:tc>
          <w:tcPr>
            <w:tcW w:w="1107" w:type="pct"/>
            <w:shd w:val="clear" w:color="auto" w:fill="D9D9D9"/>
          </w:tcPr>
          <w:p w14:paraId="4A672CF5" w14:textId="77777777" w:rsidR="004636EC" w:rsidRDefault="004636EC" w:rsidP="0095004E">
            <w:pPr>
              <w:pStyle w:val="TableParagraph"/>
              <w:spacing w:before="115" w:after="240" w:line="480" w:lineRule="auto"/>
              <w:rPr>
                <w:b/>
              </w:rPr>
            </w:pPr>
            <w:r>
              <w:rPr>
                <w:b/>
              </w:rPr>
              <w:t>Lecturer:</w:t>
            </w:r>
          </w:p>
        </w:tc>
        <w:tc>
          <w:tcPr>
            <w:tcW w:w="1641" w:type="pct"/>
          </w:tcPr>
          <w:p w14:paraId="7334A2F2" w14:textId="77777777" w:rsidR="004636EC" w:rsidRDefault="004636EC" w:rsidP="0095004E">
            <w:pPr>
              <w:pStyle w:val="TableParagraph"/>
              <w:spacing w:before="115" w:after="240" w:line="480" w:lineRule="auto"/>
              <w:ind w:left="105"/>
              <w:rPr>
                <w:b/>
              </w:rPr>
            </w:pPr>
            <w:r>
              <w:rPr>
                <w:b/>
              </w:rPr>
              <w:t xml:space="preserve">Dr </w:t>
            </w:r>
            <w:proofErr w:type="spellStart"/>
            <w:r>
              <w:rPr>
                <w:b/>
              </w:rPr>
              <w:t>Olusoyi</w:t>
            </w:r>
            <w:proofErr w:type="spellEnd"/>
            <w:r>
              <w:rPr>
                <w:b/>
              </w:rPr>
              <w:t xml:space="preserve"> Richard </w:t>
            </w:r>
            <w:proofErr w:type="spellStart"/>
            <w:r>
              <w:rPr>
                <w:b/>
              </w:rPr>
              <w:t>Ashaye</w:t>
            </w:r>
            <w:proofErr w:type="spellEnd"/>
          </w:p>
        </w:tc>
        <w:tc>
          <w:tcPr>
            <w:tcW w:w="997" w:type="pct"/>
            <w:shd w:val="clear" w:color="auto" w:fill="D9D9D9"/>
          </w:tcPr>
          <w:p w14:paraId="455C05FD" w14:textId="77777777" w:rsidR="004636EC" w:rsidRDefault="004636EC" w:rsidP="0095004E">
            <w:pPr>
              <w:pStyle w:val="TableParagraph"/>
              <w:spacing w:before="115" w:after="240" w:line="480" w:lineRule="auto"/>
              <w:rPr>
                <w:b/>
              </w:rPr>
            </w:pPr>
            <w:r>
              <w:rPr>
                <w:b/>
              </w:rPr>
              <w:t>Internal Verifier:</w:t>
            </w:r>
          </w:p>
        </w:tc>
        <w:tc>
          <w:tcPr>
            <w:tcW w:w="1255" w:type="pct"/>
          </w:tcPr>
          <w:p w14:paraId="765EA049" w14:textId="77777777" w:rsidR="004636EC" w:rsidRDefault="004636EC" w:rsidP="0095004E">
            <w:pPr>
              <w:pStyle w:val="TableParagraph"/>
              <w:spacing w:before="115" w:after="240" w:line="480" w:lineRule="auto"/>
              <w:rPr>
                <w:b/>
              </w:rPr>
            </w:pPr>
            <w:r>
              <w:rPr>
                <w:b/>
              </w:rPr>
              <w:t>Dr Anupam Mazumdar</w:t>
            </w:r>
          </w:p>
        </w:tc>
      </w:tr>
      <w:tr w:rsidR="004636EC" w14:paraId="662726C8" w14:textId="77777777" w:rsidTr="00EA5AD3">
        <w:trPr>
          <w:trHeight w:val="745"/>
        </w:trPr>
        <w:tc>
          <w:tcPr>
            <w:tcW w:w="1107" w:type="pct"/>
            <w:shd w:val="clear" w:color="auto" w:fill="D9D9D9"/>
          </w:tcPr>
          <w:p w14:paraId="2B84CACA" w14:textId="77777777" w:rsidR="004636EC" w:rsidRDefault="004636EC" w:rsidP="0095004E">
            <w:pPr>
              <w:pStyle w:val="TableParagraph"/>
              <w:spacing w:before="120" w:after="240" w:line="480" w:lineRule="auto"/>
              <w:rPr>
                <w:b/>
              </w:rPr>
            </w:pPr>
            <w:r>
              <w:rPr>
                <w:b/>
              </w:rPr>
              <w:t>Assignment Title:</w:t>
            </w:r>
          </w:p>
        </w:tc>
        <w:tc>
          <w:tcPr>
            <w:tcW w:w="1641" w:type="pct"/>
          </w:tcPr>
          <w:p w14:paraId="20646294" w14:textId="77777777" w:rsidR="004636EC" w:rsidRDefault="004636EC" w:rsidP="0095004E">
            <w:pPr>
              <w:pStyle w:val="TableParagraph"/>
              <w:spacing w:before="120" w:after="240" w:line="480" w:lineRule="auto"/>
              <w:ind w:left="105"/>
              <w:rPr>
                <w:b/>
              </w:rPr>
            </w:pPr>
            <w:r>
              <w:rPr>
                <w:b/>
              </w:rPr>
              <w:t>Assessment 2</w:t>
            </w:r>
          </w:p>
        </w:tc>
        <w:tc>
          <w:tcPr>
            <w:tcW w:w="997" w:type="pct"/>
            <w:shd w:val="clear" w:color="auto" w:fill="D9D9D9"/>
          </w:tcPr>
          <w:p w14:paraId="46268E46" w14:textId="77777777" w:rsidR="004636EC" w:rsidRDefault="004636EC" w:rsidP="0095004E">
            <w:pPr>
              <w:pStyle w:val="TableParagraph"/>
              <w:spacing w:before="120" w:after="240" w:line="480" w:lineRule="auto"/>
              <w:ind w:right="300"/>
              <w:rPr>
                <w:b/>
              </w:rPr>
            </w:pPr>
            <w:r>
              <w:rPr>
                <w:b/>
              </w:rPr>
              <w:t>Word count (or equivalent):</w:t>
            </w:r>
          </w:p>
        </w:tc>
        <w:tc>
          <w:tcPr>
            <w:tcW w:w="1255" w:type="pct"/>
          </w:tcPr>
          <w:p w14:paraId="502CEA59" w14:textId="77777777" w:rsidR="004636EC" w:rsidRDefault="004636EC" w:rsidP="0095004E">
            <w:pPr>
              <w:pStyle w:val="TableParagraph"/>
              <w:spacing w:before="120" w:after="240" w:line="480" w:lineRule="auto"/>
              <w:rPr>
                <w:b/>
              </w:rPr>
            </w:pPr>
            <w:r>
              <w:rPr>
                <w:b/>
              </w:rPr>
              <w:t>2000 Words</w:t>
            </w:r>
          </w:p>
        </w:tc>
      </w:tr>
      <w:tr w:rsidR="0095004E" w14:paraId="01ADFDF7" w14:textId="77777777" w:rsidTr="00EA5AD3">
        <w:trPr>
          <w:trHeight w:val="745"/>
        </w:trPr>
        <w:tc>
          <w:tcPr>
            <w:tcW w:w="1107" w:type="pct"/>
            <w:shd w:val="clear" w:color="auto" w:fill="D9D9D9"/>
          </w:tcPr>
          <w:p w14:paraId="0707A751" w14:textId="77777777" w:rsidR="0095004E" w:rsidRDefault="0095004E" w:rsidP="0095004E">
            <w:pPr>
              <w:pStyle w:val="TableParagraph"/>
              <w:spacing w:before="120" w:after="240" w:line="480" w:lineRule="auto"/>
              <w:rPr>
                <w:b/>
              </w:rPr>
            </w:pPr>
            <w:r>
              <w:rPr>
                <w:b/>
              </w:rPr>
              <w:t>Submission Date</w:t>
            </w:r>
          </w:p>
        </w:tc>
        <w:tc>
          <w:tcPr>
            <w:tcW w:w="1641" w:type="pct"/>
          </w:tcPr>
          <w:p w14:paraId="4BAA8E0A" w14:textId="7A9551C8" w:rsidR="0095004E" w:rsidRDefault="000801CB" w:rsidP="0095004E">
            <w:pPr>
              <w:pStyle w:val="TableParagraph"/>
              <w:spacing w:before="120" w:after="240" w:line="480" w:lineRule="auto"/>
              <w:ind w:left="105"/>
              <w:rPr>
                <w:b/>
              </w:rPr>
            </w:pPr>
            <w:r>
              <w:rPr>
                <w:b/>
              </w:rPr>
              <w:t>5</w:t>
            </w:r>
            <w:r w:rsidRPr="000801CB">
              <w:rPr>
                <w:b/>
                <w:vertAlign w:val="superscript"/>
              </w:rPr>
              <w:t>th</w:t>
            </w:r>
            <w:r>
              <w:rPr>
                <w:b/>
              </w:rPr>
              <w:t xml:space="preserve"> Jan 2022</w:t>
            </w:r>
          </w:p>
        </w:tc>
        <w:tc>
          <w:tcPr>
            <w:tcW w:w="997" w:type="pct"/>
            <w:shd w:val="clear" w:color="auto" w:fill="D9D9D9"/>
          </w:tcPr>
          <w:p w14:paraId="6917F7A3" w14:textId="77777777" w:rsidR="0095004E" w:rsidRDefault="0095004E" w:rsidP="0095004E">
            <w:pPr>
              <w:pStyle w:val="TableParagraph"/>
              <w:spacing w:before="120" w:after="240" w:line="480" w:lineRule="auto"/>
              <w:ind w:right="300"/>
              <w:rPr>
                <w:b/>
              </w:rPr>
            </w:pPr>
            <w:r>
              <w:rPr>
                <w:b/>
              </w:rPr>
              <w:t>Student name and number</w:t>
            </w:r>
          </w:p>
        </w:tc>
        <w:tc>
          <w:tcPr>
            <w:tcW w:w="1255" w:type="pct"/>
          </w:tcPr>
          <w:p w14:paraId="346ED11E" w14:textId="77777777" w:rsidR="0095004E" w:rsidRDefault="000801CB" w:rsidP="0095004E">
            <w:pPr>
              <w:pStyle w:val="TableParagraph"/>
              <w:spacing w:before="120" w:after="240" w:line="480" w:lineRule="auto"/>
              <w:rPr>
                <w:b/>
              </w:rPr>
            </w:pPr>
            <w:r>
              <w:rPr>
                <w:b/>
              </w:rPr>
              <w:t>Mariana Zaharia</w:t>
            </w:r>
          </w:p>
          <w:p w14:paraId="57841888" w14:textId="0693F274" w:rsidR="000801CB" w:rsidRDefault="000801CB" w:rsidP="0095004E">
            <w:pPr>
              <w:pStyle w:val="TableParagraph"/>
              <w:spacing w:before="120" w:after="240" w:line="480" w:lineRule="auto"/>
              <w:rPr>
                <w:b/>
              </w:rPr>
            </w:pPr>
            <w:r>
              <w:rPr>
                <w:b/>
              </w:rPr>
              <w:t>Student ID:1917431</w:t>
            </w:r>
          </w:p>
        </w:tc>
      </w:tr>
    </w:tbl>
    <w:p w14:paraId="0AF49712" w14:textId="77777777" w:rsidR="00C507DB" w:rsidRDefault="00C507DB" w:rsidP="00EA5AD3">
      <w:pPr>
        <w:spacing w:after="240" w:line="276" w:lineRule="auto"/>
        <w:jc w:val="left"/>
        <w:rPr>
          <w:rFonts w:eastAsia="Times New Roman"/>
          <w:b/>
          <w:bCs/>
          <w:kern w:val="36"/>
        </w:rPr>
      </w:pPr>
      <w:r>
        <w:rPr>
          <w:rFonts w:eastAsia="Times New Roman"/>
          <w:b/>
          <w:bCs/>
          <w:kern w:val="36"/>
        </w:rPr>
        <w:br w:type="page"/>
      </w:r>
    </w:p>
    <w:p w14:paraId="645432B4" w14:textId="77777777" w:rsidR="00E42E3D" w:rsidRPr="001031AC" w:rsidRDefault="00E42E3D" w:rsidP="00E42E3D">
      <w:pPr>
        <w:spacing w:after="0"/>
        <w:rPr>
          <w:rFonts w:eastAsia="Times New Roman"/>
          <w:b/>
          <w:color w:val="auto"/>
        </w:rPr>
      </w:pPr>
      <w:r w:rsidRPr="001031AC">
        <w:rPr>
          <w:rFonts w:eastAsia="Times New Roman"/>
          <w:b/>
        </w:rPr>
        <w:lastRenderedPageBreak/>
        <w:t xml:space="preserve">Executive </w:t>
      </w:r>
      <w:r w:rsidR="00B82C23">
        <w:rPr>
          <w:rFonts w:eastAsia="Times New Roman"/>
          <w:b/>
        </w:rPr>
        <w:t>S</w:t>
      </w:r>
      <w:r w:rsidRPr="001031AC">
        <w:rPr>
          <w:rFonts w:eastAsia="Times New Roman"/>
          <w:b/>
        </w:rPr>
        <w:t>ummary </w:t>
      </w:r>
    </w:p>
    <w:p w14:paraId="0D2A17D3" w14:textId="77777777" w:rsidR="0061098B" w:rsidRDefault="00E42E3D" w:rsidP="00E42E3D">
      <w:pPr>
        <w:spacing w:after="0"/>
        <w:rPr>
          <w:rFonts w:eastAsia="Times New Roman"/>
        </w:rPr>
      </w:pPr>
      <w:r w:rsidRPr="001031AC">
        <w:rPr>
          <w:rFonts w:eastAsia="Times New Roman"/>
        </w:rPr>
        <w:t xml:space="preserve">This report is based on employee engagement and the importance of evaluating the employee engagement rate. John Lewis partnership adopted different strategies for ensuring employee satisfaction and motivation during the pandemic outbreak. There are different types of employee engagement such as cognitive or emotional </w:t>
      </w:r>
      <w:r w:rsidR="00A80E67" w:rsidRPr="001031AC">
        <w:rPr>
          <w:rFonts w:eastAsia="Times New Roman"/>
        </w:rPr>
        <w:t>that is</w:t>
      </w:r>
      <w:r w:rsidRPr="001031AC">
        <w:rPr>
          <w:rFonts w:eastAsia="Times New Roman"/>
        </w:rPr>
        <w:t xml:space="preserve"> required to be improved. Different driving factors are identified in </w:t>
      </w:r>
      <w:r w:rsidR="00A80E67" w:rsidRPr="001031AC">
        <w:rPr>
          <w:rFonts w:eastAsia="Times New Roman"/>
        </w:rPr>
        <w:t>the</w:t>
      </w:r>
      <w:r w:rsidRPr="001031AC">
        <w:rPr>
          <w:rFonts w:eastAsia="Times New Roman"/>
        </w:rPr>
        <w:t xml:space="preserve"> report that is required to be improved by John Lewis to ensure high employee engagement. Different tools are required for measuring employee engagement within the organisation. Developed value proposition strategies can be adopted by John Lewis to ensure high employee engagement within the organisation.    </w:t>
      </w:r>
    </w:p>
    <w:p w14:paraId="22E0A82F" w14:textId="77777777" w:rsidR="0061098B" w:rsidRDefault="0061098B">
      <w:pPr>
        <w:spacing w:line="276" w:lineRule="auto"/>
        <w:jc w:val="left"/>
        <w:rPr>
          <w:rFonts w:eastAsia="Times New Roman"/>
        </w:rPr>
      </w:pPr>
      <w:r>
        <w:rPr>
          <w:rFonts w:eastAsia="Times New Roman"/>
        </w:rPr>
        <w:br w:type="page"/>
      </w:r>
    </w:p>
    <w:sdt>
      <w:sdtPr>
        <w:rPr>
          <w:rFonts w:ascii="Arial" w:eastAsiaTheme="minorHAnsi" w:hAnsi="Arial" w:cs="Arial"/>
          <w:b w:val="0"/>
          <w:bCs w:val="0"/>
          <w:color w:val="000000"/>
          <w:sz w:val="20"/>
          <w:szCs w:val="20"/>
          <w:lang w:val="en-GB"/>
        </w:rPr>
        <w:id w:val="857860908"/>
        <w:docPartObj>
          <w:docPartGallery w:val="Table of Contents"/>
          <w:docPartUnique/>
        </w:docPartObj>
      </w:sdtPr>
      <w:sdtEndPr>
        <w:rPr>
          <w:sz w:val="22"/>
          <w:szCs w:val="22"/>
        </w:rPr>
      </w:sdtEndPr>
      <w:sdtContent>
        <w:p w14:paraId="1FA0E533" w14:textId="77777777" w:rsidR="0061098B" w:rsidRPr="00517994" w:rsidRDefault="0061098B" w:rsidP="00590A03">
          <w:pPr>
            <w:pStyle w:val="TOCHeading"/>
            <w:jc w:val="center"/>
            <w:rPr>
              <w:sz w:val="24"/>
              <w:szCs w:val="24"/>
            </w:rPr>
          </w:pPr>
          <w:r w:rsidRPr="00517994">
            <w:rPr>
              <w:rFonts w:ascii="Arial" w:hAnsi="Arial" w:cs="Arial"/>
              <w:color w:val="auto"/>
              <w:sz w:val="22"/>
              <w:szCs w:val="24"/>
            </w:rPr>
            <w:t>Table of Contents</w:t>
          </w:r>
        </w:p>
        <w:p w14:paraId="7A858BFF" w14:textId="77777777" w:rsidR="00590A03" w:rsidRDefault="00936967">
          <w:pPr>
            <w:pStyle w:val="TOC1"/>
            <w:tabs>
              <w:tab w:val="right" w:leader="dot" w:pos="9350"/>
            </w:tabs>
            <w:rPr>
              <w:rFonts w:asciiTheme="minorHAnsi" w:eastAsiaTheme="minorEastAsia" w:hAnsiTheme="minorHAnsi" w:cstheme="minorBidi"/>
              <w:noProof/>
              <w:color w:val="auto"/>
              <w:lang w:val="en-US"/>
            </w:rPr>
          </w:pPr>
          <w:r>
            <w:fldChar w:fldCharType="begin"/>
          </w:r>
          <w:r w:rsidR="0061098B">
            <w:instrText xml:space="preserve"> TOC \o "1-3" \h \z \u </w:instrText>
          </w:r>
          <w:r>
            <w:fldChar w:fldCharType="separate"/>
          </w:r>
          <w:hyperlink w:anchor="_Toc89513482" w:history="1">
            <w:r w:rsidR="00590A03" w:rsidRPr="006B1617">
              <w:rPr>
                <w:rStyle w:val="Hyperlink"/>
                <w:noProof/>
                <w:kern w:val="36"/>
              </w:rPr>
              <w:t>Introduction</w:t>
            </w:r>
            <w:r w:rsidR="00590A03">
              <w:rPr>
                <w:noProof/>
                <w:webHidden/>
              </w:rPr>
              <w:tab/>
            </w:r>
            <w:r>
              <w:rPr>
                <w:noProof/>
                <w:webHidden/>
              </w:rPr>
              <w:fldChar w:fldCharType="begin"/>
            </w:r>
            <w:r w:rsidR="00590A03">
              <w:rPr>
                <w:noProof/>
                <w:webHidden/>
              </w:rPr>
              <w:instrText xml:space="preserve"> PAGEREF _Toc89513482 \h </w:instrText>
            </w:r>
            <w:r>
              <w:rPr>
                <w:noProof/>
                <w:webHidden/>
              </w:rPr>
            </w:r>
            <w:r>
              <w:rPr>
                <w:noProof/>
                <w:webHidden/>
              </w:rPr>
              <w:fldChar w:fldCharType="separate"/>
            </w:r>
            <w:r w:rsidR="00590A03">
              <w:rPr>
                <w:noProof/>
                <w:webHidden/>
              </w:rPr>
              <w:t>4</w:t>
            </w:r>
            <w:r>
              <w:rPr>
                <w:noProof/>
                <w:webHidden/>
              </w:rPr>
              <w:fldChar w:fldCharType="end"/>
            </w:r>
          </w:hyperlink>
        </w:p>
        <w:p w14:paraId="7058B7DC" w14:textId="77777777" w:rsidR="00590A03" w:rsidRDefault="005B1CF2">
          <w:pPr>
            <w:pStyle w:val="TOC1"/>
            <w:tabs>
              <w:tab w:val="right" w:leader="dot" w:pos="9350"/>
            </w:tabs>
            <w:rPr>
              <w:rFonts w:asciiTheme="minorHAnsi" w:eastAsiaTheme="minorEastAsia" w:hAnsiTheme="minorHAnsi" w:cstheme="minorBidi"/>
              <w:noProof/>
              <w:color w:val="auto"/>
              <w:lang w:val="en-US"/>
            </w:rPr>
          </w:pPr>
          <w:hyperlink w:anchor="_Toc89513483" w:history="1">
            <w:r w:rsidR="00590A03" w:rsidRPr="006B1617">
              <w:rPr>
                <w:rStyle w:val="Hyperlink"/>
                <w:noProof/>
                <w:kern w:val="36"/>
              </w:rPr>
              <w:t>Reviews the concept and drivers of employee engagement</w:t>
            </w:r>
            <w:r w:rsidR="00590A03">
              <w:rPr>
                <w:noProof/>
                <w:webHidden/>
              </w:rPr>
              <w:tab/>
            </w:r>
            <w:r w:rsidR="00936967">
              <w:rPr>
                <w:noProof/>
                <w:webHidden/>
              </w:rPr>
              <w:fldChar w:fldCharType="begin"/>
            </w:r>
            <w:r w:rsidR="00590A03">
              <w:rPr>
                <w:noProof/>
                <w:webHidden/>
              </w:rPr>
              <w:instrText xml:space="preserve"> PAGEREF _Toc89513483 \h </w:instrText>
            </w:r>
            <w:r w:rsidR="00936967">
              <w:rPr>
                <w:noProof/>
                <w:webHidden/>
              </w:rPr>
            </w:r>
            <w:r w:rsidR="00936967">
              <w:rPr>
                <w:noProof/>
                <w:webHidden/>
              </w:rPr>
              <w:fldChar w:fldCharType="separate"/>
            </w:r>
            <w:r w:rsidR="00590A03">
              <w:rPr>
                <w:noProof/>
                <w:webHidden/>
              </w:rPr>
              <w:t>4</w:t>
            </w:r>
            <w:r w:rsidR="00936967">
              <w:rPr>
                <w:noProof/>
                <w:webHidden/>
              </w:rPr>
              <w:fldChar w:fldCharType="end"/>
            </w:r>
          </w:hyperlink>
        </w:p>
        <w:p w14:paraId="16926770" w14:textId="77777777" w:rsidR="00590A03" w:rsidRDefault="005B1CF2">
          <w:pPr>
            <w:pStyle w:val="TOC1"/>
            <w:tabs>
              <w:tab w:val="right" w:leader="dot" w:pos="9350"/>
            </w:tabs>
            <w:rPr>
              <w:rFonts w:asciiTheme="minorHAnsi" w:eastAsiaTheme="minorEastAsia" w:hAnsiTheme="minorHAnsi" w:cstheme="minorBidi"/>
              <w:noProof/>
              <w:color w:val="auto"/>
              <w:lang w:val="en-US"/>
            </w:rPr>
          </w:pPr>
          <w:hyperlink w:anchor="_Toc89513484" w:history="1">
            <w:r w:rsidR="00590A03" w:rsidRPr="006B1617">
              <w:rPr>
                <w:rStyle w:val="Hyperlink"/>
                <w:noProof/>
                <w:kern w:val="36"/>
              </w:rPr>
              <w:t>Evaluate diagnostic tools to measure the engagement</w:t>
            </w:r>
            <w:r w:rsidR="00590A03">
              <w:rPr>
                <w:noProof/>
                <w:webHidden/>
              </w:rPr>
              <w:tab/>
            </w:r>
            <w:r w:rsidR="00936967">
              <w:rPr>
                <w:noProof/>
                <w:webHidden/>
              </w:rPr>
              <w:fldChar w:fldCharType="begin"/>
            </w:r>
            <w:r w:rsidR="00590A03">
              <w:rPr>
                <w:noProof/>
                <w:webHidden/>
              </w:rPr>
              <w:instrText xml:space="preserve"> PAGEREF _Toc89513484 \h </w:instrText>
            </w:r>
            <w:r w:rsidR="00936967">
              <w:rPr>
                <w:noProof/>
                <w:webHidden/>
              </w:rPr>
            </w:r>
            <w:r w:rsidR="00936967">
              <w:rPr>
                <w:noProof/>
                <w:webHidden/>
              </w:rPr>
              <w:fldChar w:fldCharType="separate"/>
            </w:r>
            <w:r w:rsidR="00590A03">
              <w:rPr>
                <w:noProof/>
                <w:webHidden/>
              </w:rPr>
              <w:t>8</w:t>
            </w:r>
            <w:r w:rsidR="00936967">
              <w:rPr>
                <w:noProof/>
                <w:webHidden/>
              </w:rPr>
              <w:fldChar w:fldCharType="end"/>
            </w:r>
          </w:hyperlink>
        </w:p>
        <w:p w14:paraId="0996F88D" w14:textId="77777777" w:rsidR="00590A03" w:rsidRDefault="005B1CF2">
          <w:pPr>
            <w:pStyle w:val="TOC1"/>
            <w:tabs>
              <w:tab w:val="right" w:leader="dot" w:pos="9350"/>
            </w:tabs>
            <w:rPr>
              <w:rFonts w:asciiTheme="minorHAnsi" w:eastAsiaTheme="minorEastAsia" w:hAnsiTheme="minorHAnsi" w:cstheme="minorBidi"/>
              <w:noProof/>
              <w:color w:val="auto"/>
              <w:lang w:val="en-US"/>
            </w:rPr>
          </w:pPr>
          <w:hyperlink w:anchor="_Toc89513485" w:history="1">
            <w:r w:rsidR="00590A03" w:rsidRPr="006B1617">
              <w:rPr>
                <w:rStyle w:val="Hyperlink"/>
                <w:noProof/>
                <w:kern w:val="36"/>
              </w:rPr>
              <w:t>Constructs an employee value proposition from the ideas and analysis previously covered, including strategies to raise levels of engagement</w:t>
            </w:r>
            <w:r w:rsidR="00590A03">
              <w:rPr>
                <w:noProof/>
                <w:webHidden/>
              </w:rPr>
              <w:tab/>
            </w:r>
            <w:r w:rsidR="00936967">
              <w:rPr>
                <w:noProof/>
                <w:webHidden/>
              </w:rPr>
              <w:fldChar w:fldCharType="begin"/>
            </w:r>
            <w:r w:rsidR="00590A03">
              <w:rPr>
                <w:noProof/>
                <w:webHidden/>
              </w:rPr>
              <w:instrText xml:space="preserve"> PAGEREF _Toc89513485 \h </w:instrText>
            </w:r>
            <w:r w:rsidR="00936967">
              <w:rPr>
                <w:noProof/>
                <w:webHidden/>
              </w:rPr>
            </w:r>
            <w:r w:rsidR="00936967">
              <w:rPr>
                <w:noProof/>
                <w:webHidden/>
              </w:rPr>
              <w:fldChar w:fldCharType="separate"/>
            </w:r>
            <w:r w:rsidR="00590A03">
              <w:rPr>
                <w:noProof/>
                <w:webHidden/>
              </w:rPr>
              <w:t>10</w:t>
            </w:r>
            <w:r w:rsidR="00936967">
              <w:rPr>
                <w:noProof/>
                <w:webHidden/>
              </w:rPr>
              <w:fldChar w:fldCharType="end"/>
            </w:r>
          </w:hyperlink>
        </w:p>
        <w:p w14:paraId="7FC9E9EC" w14:textId="77777777" w:rsidR="00590A03" w:rsidRDefault="005B1CF2">
          <w:pPr>
            <w:pStyle w:val="TOC1"/>
            <w:tabs>
              <w:tab w:val="right" w:leader="dot" w:pos="9350"/>
            </w:tabs>
            <w:rPr>
              <w:rFonts w:asciiTheme="minorHAnsi" w:eastAsiaTheme="minorEastAsia" w:hAnsiTheme="minorHAnsi" w:cstheme="minorBidi"/>
              <w:noProof/>
              <w:color w:val="auto"/>
              <w:lang w:val="en-US"/>
            </w:rPr>
          </w:pPr>
          <w:hyperlink w:anchor="_Toc89513486" w:history="1">
            <w:r w:rsidR="00590A03" w:rsidRPr="006B1617">
              <w:rPr>
                <w:rStyle w:val="Hyperlink"/>
                <w:noProof/>
                <w:kern w:val="36"/>
              </w:rPr>
              <w:t>Conclusion</w:t>
            </w:r>
            <w:r w:rsidR="00590A03">
              <w:rPr>
                <w:noProof/>
                <w:webHidden/>
              </w:rPr>
              <w:tab/>
            </w:r>
            <w:r w:rsidR="00936967">
              <w:rPr>
                <w:noProof/>
                <w:webHidden/>
              </w:rPr>
              <w:fldChar w:fldCharType="begin"/>
            </w:r>
            <w:r w:rsidR="00590A03">
              <w:rPr>
                <w:noProof/>
                <w:webHidden/>
              </w:rPr>
              <w:instrText xml:space="preserve"> PAGEREF _Toc89513486 \h </w:instrText>
            </w:r>
            <w:r w:rsidR="00936967">
              <w:rPr>
                <w:noProof/>
                <w:webHidden/>
              </w:rPr>
            </w:r>
            <w:r w:rsidR="00936967">
              <w:rPr>
                <w:noProof/>
                <w:webHidden/>
              </w:rPr>
              <w:fldChar w:fldCharType="separate"/>
            </w:r>
            <w:r w:rsidR="00590A03">
              <w:rPr>
                <w:noProof/>
                <w:webHidden/>
              </w:rPr>
              <w:t>12</w:t>
            </w:r>
            <w:r w:rsidR="00936967">
              <w:rPr>
                <w:noProof/>
                <w:webHidden/>
              </w:rPr>
              <w:fldChar w:fldCharType="end"/>
            </w:r>
          </w:hyperlink>
        </w:p>
        <w:p w14:paraId="0020057D" w14:textId="77777777" w:rsidR="00590A03" w:rsidRDefault="005B1CF2">
          <w:pPr>
            <w:pStyle w:val="TOC1"/>
            <w:tabs>
              <w:tab w:val="right" w:leader="dot" w:pos="9350"/>
            </w:tabs>
            <w:rPr>
              <w:rFonts w:asciiTheme="minorHAnsi" w:eastAsiaTheme="minorEastAsia" w:hAnsiTheme="minorHAnsi" w:cstheme="minorBidi"/>
              <w:noProof/>
              <w:color w:val="auto"/>
              <w:lang w:val="en-US"/>
            </w:rPr>
          </w:pPr>
          <w:hyperlink w:anchor="_Toc89513487" w:history="1">
            <w:r w:rsidR="00590A03" w:rsidRPr="006B1617">
              <w:rPr>
                <w:rStyle w:val="Hyperlink"/>
                <w:noProof/>
              </w:rPr>
              <w:t>Reference list</w:t>
            </w:r>
            <w:r w:rsidR="00590A03">
              <w:rPr>
                <w:noProof/>
                <w:webHidden/>
              </w:rPr>
              <w:tab/>
            </w:r>
            <w:r w:rsidR="00936967">
              <w:rPr>
                <w:noProof/>
                <w:webHidden/>
              </w:rPr>
              <w:fldChar w:fldCharType="begin"/>
            </w:r>
            <w:r w:rsidR="00590A03">
              <w:rPr>
                <w:noProof/>
                <w:webHidden/>
              </w:rPr>
              <w:instrText xml:space="preserve"> PAGEREF _Toc89513487 \h </w:instrText>
            </w:r>
            <w:r w:rsidR="00936967">
              <w:rPr>
                <w:noProof/>
                <w:webHidden/>
              </w:rPr>
            </w:r>
            <w:r w:rsidR="00936967">
              <w:rPr>
                <w:noProof/>
                <w:webHidden/>
              </w:rPr>
              <w:fldChar w:fldCharType="separate"/>
            </w:r>
            <w:r w:rsidR="00590A03">
              <w:rPr>
                <w:noProof/>
                <w:webHidden/>
              </w:rPr>
              <w:t>13</w:t>
            </w:r>
            <w:r w:rsidR="00936967">
              <w:rPr>
                <w:noProof/>
                <w:webHidden/>
              </w:rPr>
              <w:fldChar w:fldCharType="end"/>
            </w:r>
          </w:hyperlink>
        </w:p>
        <w:p w14:paraId="677F3E89" w14:textId="77777777" w:rsidR="0061098B" w:rsidRDefault="00936967">
          <w:r>
            <w:fldChar w:fldCharType="end"/>
          </w:r>
        </w:p>
      </w:sdtContent>
    </w:sdt>
    <w:p w14:paraId="178EFB78" w14:textId="77777777" w:rsidR="00E42E3D" w:rsidRPr="001031AC" w:rsidRDefault="00E42E3D" w:rsidP="00E42E3D">
      <w:pPr>
        <w:spacing w:after="0"/>
        <w:rPr>
          <w:rFonts w:eastAsia="Times New Roman"/>
          <w:color w:val="auto"/>
        </w:rPr>
      </w:pPr>
    </w:p>
    <w:p w14:paraId="6351E975" w14:textId="77777777" w:rsidR="00C507DB" w:rsidRDefault="00C507DB">
      <w:pPr>
        <w:spacing w:line="276" w:lineRule="auto"/>
        <w:jc w:val="left"/>
        <w:rPr>
          <w:rFonts w:eastAsia="Times New Roman"/>
          <w:b/>
          <w:bCs/>
          <w:kern w:val="36"/>
        </w:rPr>
      </w:pPr>
      <w:r>
        <w:rPr>
          <w:rFonts w:eastAsia="Times New Roman"/>
          <w:b/>
          <w:bCs/>
          <w:kern w:val="36"/>
        </w:rPr>
        <w:br w:type="page"/>
      </w:r>
    </w:p>
    <w:p w14:paraId="5876168D" w14:textId="77777777" w:rsidR="001031AC" w:rsidRPr="001031AC" w:rsidRDefault="001031AC" w:rsidP="0061098B">
      <w:pPr>
        <w:pStyle w:val="Heading1"/>
        <w:rPr>
          <w:color w:val="auto"/>
          <w:kern w:val="36"/>
        </w:rPr>
      </w:pPr>
      <w:bookmarkStart w:id="0" w:name="_Toc89513482"/>
      <w:r w:rsidRPr="001031AC">
        <w:rPr>
          <w:kern w:val="36"/>
        </w:rPr>
        <w:lastRenderedPageBreak/>
        <w:t>Introduction</w:t>
      </w:r>
      <w:bookmarkEnd w:id="0"/>
      <w:r w:rsidRPr="001031AC">
        <w:rPr>
          <w:kern w:val="36"/>
        </w:rPr>
        <w:t> </w:t>
      </w:r>
    </w:p>
    <w:p w14:paraId="454C1263" w14:textId="77777777" w:rsidR="001031AC" w:rsidRPr="001031AC" w:rsidRDefault="001031AC" w:rsidP="001031AC">
      <w:pPr>
        <w:spacing w:before="240" w:after="240"/>
        <w:rPr>
          <w:rFonts w:eastAsia="Times New Roman"/>
          <w:color w:val="auto"/>
        </w:rPr>
      </w:pPr>
      <w:r w:rsidRPr="001031AC">
        <w:rPr>
          <w:rFonts w:eastAsia="Times New Roman"/>
        </w:rPr>
        <w:t xml:space="preserve">People management can be defined as the process that covers the organisation, </w:t>
      </w:r>
      <w:proofErr w:type="gramStart"/>
      <w:r w:rsidRPr="001031AC">
        <w:rPr>
          <w:rFonts w:eastAsia="Times New Roman"/>
        </w:rPr>
        <w:t>development</w:t>
      </w:r>
      <w:proofErr w:type="gramEnd"/>
      <w:r w:rsidRPr="001031AC">
        <w:rPr>
          <w:rFonts w:eastAsia="Times New Roman"/>
        </w:rPr>
        <w:t xml:space="preserve"> and problem-solving ability of the employees towards achieving the common organisational goals. The purpose of managing people is to improve the productivity and efficiency of the organisation. John Lewis Partnership is selected for this report. Drivers and concepts of employee engagement will be discussed in this report. This will be followed by a discussion on diagnostic tool evaluation for determining employee engagement. The employee value proposition will be discussed in this report. </w:t>
      </w:r>
      <w:r w:rsidRPr="00284CD8">
        <w:rPr>
          <w:rFonts w:eastAsia="Times New Roman"/>
          <w:b/>
          <w:bCs/>
          <w:i/>
          <w:iCs/>
        </w:rPr>
        <w:t>John Lewis Partnershi</w:t>
      </w:r>
      <w:r w:rsidRPr="001031AC">
        <w:rPr>
          <w:rFonts w:eastAsia="Times New Roman"/>
        </w:rPr>
        <w:t xml:space="preserve">p is selected for this report. It is a renowned retail brand that was founded by John </w:t>
      </w:r>
      <w:proofErr w:type="spellStart"/>
      <w:r w:rsidRPr="001031AC">
        <w:rPr>
          <w:rFonts w:eastAsia="Times New Roman"/>
        </w:rPr>
        <w:t>Spedan</w:t>
      </w:r>
      <w:proofErr w:type="spellEnd"/>
      <w:r w:rsidRPr="001031AC">
        <w:rPr>
          <w:rFonts w:eastAsia="Times New Roman"/>
        </w:rPr>
        <w:t xml:space="preserve"> Lewis in 1929 (John Lewis Partnership, 2021). </w:t>
      </w:r>
    </w:p>
    <w:p w14:paraId="126A40C6" w14:textId="77777777" w:rsidR="001031AC" w:rsidRPr="001031AC" w:rsidRDefault="001031AC" w:rsidP="0061098B">
      <w:pPr>
        <w:pStyle w:val="Heading1"/>
        <w:rPr>
          <w:color w:val="auto"/>
          <w:kern w:val="36"/>
        </w:rPr>
      </w:pPr>
      <w:bookmarkStart w:id="1" w:name="_Toc89513483"/>
      <w:r w:rsidRPr="001031AC">
        <w:rPr>
          <w:kern w:val="36"/>
        </w:rPr>
        <w:t>Reviews the concept and drivers of employee engagement</w:t>
      </w:r>
      <w:bookmarkEnd w:id="1"/>
    </w:p>
    <w:p w14:paraId="1143B97C" w14:textId="77777777" w:rsidR="001031AC" w:rsidRPr="001031AC" w:rsidRDefault="001031AC" w:rsidP="001031AC">
      <w:pPr>
        <w:spacing w:after="0"/>
        <w:rPr>
          <w:rFonts w:eastAsia="Times New Roman"/>
          <w:color w:val="auto"/>
        </w:rPr>
      </w:pPr>
      <w:r w:rsidRPr="001031AC">
        <w:rPr>
          <w:rFonts w:eastAsia="Times New Roman"/>
        </w:rPr>
        <w:t xml:space="preserve">Employee engagement is a concept of human resource management that indicates the dedication and enthusiasm of employees towards the work. High engagement of employees represents the care about the work and efficiency towards achieving organisational goals. Kahn introduced the universal definition of employee engagement. As per the definition of Kahn, employee engagement is the organisational members’ harnessing towards the work role with the emotional, cognitive, and physical roles (AKOB </w:t>
      </w:r>
      <w:r w:rsidRPr="001031AC">
        <w:rPr>
          <w:rFonts w:eastAsia="Times New Roman"/>
          <w:i/>
          <w:iCs/>
        </w:rPr>
        <w:t xml:space="preserve">et al., </w:t>
      </w:r>
      <w:r w:rsidRPr="001031AC">
        <w:rPr>
          <w:rFonts w:eastAsia="Times New Roman"/>
        </w:rPr>
        <w:t xml:space="preserve">2020, p. 249). Cognitive engagement of employees can be described as the engagement that is concerned with the employees’ feelings and concerns about the company. Emotional engagement of employees can be described as the feeling of employees including negative and positive attitudes towards the leaders and the organisation. Physical engagement of the employees can be described as the physical energy and fitness that helps an employee to give their best efforts to the organisation. </w:t>
      </w:r>
      <w:proofErr w:type="gramStart"/>
      <w:r w:rsidRPr="001031AC">
        <w:rPr>
          <w:rFonts w:eastAsia="Times New Roman"/>
        </w:rPr>
        <w:t>Therefore</w:t>
      </w:r>
      <w:proofErr w:type="gramEnd"/>
      <w:r w:rsidRPr="001031AC">
        <w:rPr>
          <w:rFonts w:eastAsia="Times New Roman"/>
        </w:rPr>
        <w:t xml:space="preserve"> Kahn’s theory of employee engagement indicates the physical and psychological attachment of the employees towards their work role. </w:t>
      </w:r>
    </w:p>
    <w:p w14:paraId="6E2F7D72" w14:textId="77777777" w:rsidR="00C51815" w:rsidRDefault="00C51815" w:rsidP="001031AC">
      <w:pPr>
        <w:spacing w:before="240" w:after="240"/>
        <w:jc w:val="center"/>
        <w:rPr>
          <w:rFonts w:eastAsia="Times New Roman"/>
          <w:b/>
          <w:bCs/>
        </w:rPr>
      </w:pPr>
      <w:r>
        <w:rPr>
          <w:rFonts w:eastAsia="Times New Roman"/>
          <w:b/>
          <w:bCs/>
          <w:noProof/>
          <w:lang w:val="en-IN" w:eastAsia="en-IN"/>
        </w:rPr>
        <w:lastRenderedPageBreak/>
        <w:drawing>
          <wp:inline distT="0" distB="0" distL="0" distR="0" wp14:anchorId="350F9E17" wp14:editId="3330ADDA">
            <wp:extent cx="5486400" cy="3200400"/>
            <wp:effectExtent l="0" t="19050" r="1905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EEC6F7B" w14:textId="77777777" w:rsidR="001031AC" w:rsidRPr="001031AC" w:rsidRDefault="001031AC" w:rsidP="001031AC">
      <w:pPr>
        <w:spacing w:before="240" w:after="240"/>
        <w:jc w:val="center"/>
        <w:rPr>
          <w:rFonts w:eastAsia="Times New Roman"/>
          <w:color w:val="auto"/>
        </w:rPr>
      </w:pPr>
      <w:r w:rsidRPr="001031AC">
        <w:rPr>
          <w:rFonts w:eastAsia="Times New Roman"/>
          <w:b/>
          <w:bCs/>
        </w:rPr>
        <w:t>Figure 1: Types of employee engagement</w:t>
      </w:r>
    </w:p>
    <w:p w14:paraId="3F7D9F45" w14:textId="55F21B87" w:rsidR="001031AC" w:rsidRPr="001031AC" w:rsidRDefault="001031AC" w:rsidP="001031AC">
      <w:pPr>
        <w:spacing w:before="240" w:after="240"/>
        <w:jc w:val="center"/>
        <w:rPr>
          <w:rFonts w:eastAsia="Times New Roman"/>
          <w:color w:val="auto"/>
        </w:rPr>
      </w:pPr>
      <w:r w:rsidRPr="001031AC">
        <w:rPr>
          <w:rFonts w:eastAsia="Times New Roman"/>
        </w:rPr>
        <w:t xml:space="preserve">(Source: Created by the </w:t>
      </w:r>
      <w:r w:rsidR="00E44540">
        <w:rPr>
          <w:rFonts w:eastAsia="Times New Roman"/>
        </w:rPr>
        <w:t>student M Zaharia</w:t>
      </w:r>
      <w:r w:rsidRPr="001031AC">
        <w:rPr>
          <w:rFonts w:eastAsia="Times New Roman"/>
        </w:rPr>
        <w:t>)  </w:t>
      </w:r>
    </w:p>
    <w:p w14:paraId="5153EEE2" w14:textId="77777777" w:rsidR="001031AC" w:rsidRPr="001031AC" w:rsidRDefault="00C507DB" w:rsidP="001031AC">
      <w:pPr>
        <w:spacing w:before="240" w:after="240"/>
        <w:rPr>
          <w:rFonts w:eastAsia="Times New Roman"/>
          <w:color w:val="auto"/>
        </w:rPr>
      </w:pPr>
      <w:r w:rsidRPr="001031AC">
        <w:rPr>
          <w:rFonts w:eastAsia="Times New Roman"/>
        </w:rPr>
        <w:t>Several factors</w:t>
      </w:r>
      <w:r w:rsidR="001031AC" w:rsidRPr="001031AC">
        <w:rPr>
          <w:rFonts w:eastAsia="Times New Roman"/>
        </w:rPr>
        <w:t xml:space="preserve"> determine employee engagement within an organisation. Some drivers of employee engagement are as follow:</w:t>
      </w:r>
    </w:p>
    <w:p w14:paraId="1C00459F" w14:textId="77777777" w:rsidR="00C507DB" w:rsidRDefault="001031AC" w:rsidP="001031AC">
      <w:pPr>
        <w:spacing w:before="240" w:after="240"/>
        <w:rPr>
          <w:rFonts w:eastAsia="Times New Roman"/>
        </w:rPr>
      </w:pPr>
      <w:r w:rsidRPr="001031AC">
        <w:rPr>
          <w:rFonts w:eastAsia="Times New Roman"/>
          <w:b/>
          <w:bCs/>
          <w:i/>
          <w:iCs/>
        </w:rPr>
        <w:t>Autonomy:</w:t>
      </w:r>
      <w:r w:rsidRPr="001031AC">
        <w:rPr>
          <w:rFonts w:eastAsia="Times New Roman"/>
        </w:rPr>
        <w:t xml:space="preserve"> </w:t>
      </w:r>
    </w:p>
    <w:p w14:paraId="517B9F5B" w14:textId="77777777" w:rsidR="001031AC" w:rsidRPr="001031AC" w:rsidRDefault="001031AC" w:rsidP="001031AC">
      <w:pPr>
        <w:spacing w:before="240" w:after="240"/>
        <w:rPr>
          <w:rFonts w:eastAsia="Times New Roman"/>
          <w:color w:val="auto"/>
        </w:rPr>
      </w:pPr>
      <w:r w:rsidRPr="001031AC">
        <w:rPr>
          <w:rFonts w:eastAsia="Times New Roman"/>
        </w:rPr>
        <w:t>It is an important regulating fac</w:t>
      </w:r>
      <w:r w:rsidR="002C6A9D">
        <w:rPr>
          <w:rFonts w:eastAsia="Times New Roman"/>
        </w:rPr>
        <w:t xml:space="preserve">tor of employee engagement. It </w:t>
      </w:r>
      <w:r w:rsidRPr="001031AC">
        <w:rPr>
          <w:rFonts w:eastAsia="Times New Roman"/>
        </w:rPr>
        <w:t>helps to inspire employees to give their best efforts towards achieving organisational goals. Autonomy of employees indicates the organisational trust to its employees (</w:t>
      </w:r>
      <w:r w:rsidRPr="001031AC">
        <w:rPr>
          <w:rFonts w:eastAsia="Times New Roman"/>
          <w:shd w:val="clear" w:color="auto" w:fill="FFFFFF"/>
        </w:rPr>
        <w:t>Lemon and Palenchar, 2018, p. 142</w:t>
      </w:r>
      <w:r w:rsidRPr="001031AC">
        <w:rPr>
          <w:rFonts w:eastAsia="Times New Roman"/>
        </w:rPr>
        <w:t>). This factor allows employees to make appropriate decisions for the sake of the organisation. </w:t>
      </w:r>
    </w:p>
    <w:p w14:paraId="0E9D418D" w14:textId="77777777" w:rsidR="001031AC" w:rsidRPr="001031AC" w:rsidRDefault="001031AC" w:rsidP="001031AC">
      <w:pPr>
        <w:spacing w:before="240" w:after="240"/>
        <w:rPr>
          <w:rFonts w:eastAsia="Times New Roman"/>
          <w:color w:val="auto"/>
        </w:rPr>
      </w:pPr>
      <w:r w:rsidRPr="001031AC">
        <w:rPr>
          <w:rFonts w:eastAsia="Times New Roman"/>
          <w:b/>
          <w:bCs/>
          <w:i/>
          <w:iCs/>
        </w:rPr>
        <w:t>Capacity:</w:t>
      </w:r>
      <w:r w:rsidRPr="001031AC">
        <w:rPr>
          <w:rFonts w:eastAsia="Times New Roman"/>
        </w:rPr>
        <w:t xml:space="preserve"> It is important for an organisation to understand the capacity of employees to reduce the intellectual, </w:t>
      </w:r>
      <w:proofErr w:type="gramStart"/>
      <w:r w:rsidRPr="001031AC">
        <w:rPr>
          <w:rFonts w:eastAsia="Times New Roman"/>
        </w:rPr>
        <w:t>emotional</w:t>
      </w:r>
      <w:proofErr w:type="gramEnd"/>
      <w:r w:rsidRPr="001031AC">
        <w:rPr>
          <w:rFonts w:eastAsia="Times New Roman"/>
        </w:rPr>
        <w:t xml:space="preserve"> and physical stress among the employees (AKOB </w:t>
      </w:r>
      <w:r w:rsidRPr="001031AC">
        <w:rPr>
          <w:rFonts w:eastAsia="Times New Roman"/>
          <w:i/>
          <w:iCs/>
        </w:rPr>
        <w:t xml:space="preserve">et al., </w:t>
      </w:r>
      <w:r w:rsidRPr="001031AC">
        <w:rPr>
          <w:rFonts w:eastAsia="Times New Roman"/>
        </w:rPr>
        <w:t>2020, p. 249). This factor is effective for ensuring the employee satisfaction rate towards which further leads to higher employee engagement.</w:t>
      </w:r>
    </w:p>
    <w:p w14:paraId="41E86962" w14:textId="77777777" w:rsidR="001031AC" w:rsidRPr="001031AC" w:rsidRDefault="001031AC" w:rsidP="001031AC">
      <w:pPr>
        <w:spacing w:before="240" w:after="240"/>
        <w:rPr>
          <w:rFonts w:eastAsia="Times New Roman"/>
          <w:color w:val="auto"/>
        </w:rPr>
      </w:pPr>
      <w:r w:rsidRPr="001031AC">
        <w:rPr>
          <w:rFonts w:eastAsia="Times New Roman"/>
          <w:b/>
          <w:bCs/>
          <w:i/>
          <w:iCs/>
        </w:rPr>
        <w:t>Feedback:</w:t>
      </w:r>
      <w:r w:rsidRPr="001031AC">
        <w:rPr>
          <w:rFonts w:eastAsia="Times New Roman"/>
        </w:rPr>
        <w:t xml:space="preserve"> Feedback is playing an important role in increasing the employee engagement rate within an organisation. Positive feedback is important for motivating and inspiring employees towards achieving common organisational goals (AKOB </w:t>
      </w:r>
      <w:r w:rsidRPr="001031AC">
        <w:rPr>
          <w:rFonts w:eastAsia="Times New Roman"/>
          <w:i/>
          <w:iCs/>
        </w:rPr>
        <w:t xml:space="preserve">et al., </w:t>
      </w:r>
      <w:r w:rsidRPr="001031AC">
        <w:rPr>
          <w:rFonts w:eastAsia="Times New Roman"/>
        </w:rPr>
        <w:t xml:space="preserve">2020, p. 249). Negative feedback </w:t>
      </w:r>
      <w:r w:rsidRPr="001031AC">
        <w:rPr>
          <w:rFonts w:eastAsia="Times New Roman"/>
        </w:rPr>
        <w:lastRenderedPageBreak/>
        <w:t>is also important for identifying required areas of improvement within an organisation. This driver is effective for keeping the track of employee performance towards achieving common organisational goals. </w:t>
      </w:r>
    </w:p>
    <w:p w14:paraId="0C1FA00F" w14:textId="77777777" w:rsidR="001031AC" w:rsidRPr="001031AC" w:rsidRDefault="001031AC" w:rsidP="001031AC">
      <w:pPr>
        <w:spacing w:before="240" w:after="240"/>
        <w:rPr>
          <w:rFonts w:eastAsia="Times New Roman"/>
          <w:color w:val="auto"/>
        </w:rPr>
      </w:pPr>
      <w:r w:rsidRPr="001031AC">
        <w:rPr>
          <w:rFonts w:eastAsia="Times New Roman"/>
          <w:b/>
          <w:bCs/>
          <w:i/>
          <w:iCs/>
        </w:rPr>
        <w:t xml:space="preserve">Leadership: </w:t>
      </w:r>
      <w:r w:rsidR="00B72D5E">
        <w:rPr>
          <w:rFonts w:eastAsia="Times New Roman"/>
        </w:rPr>
        <w:t>L</w:t>
      </w:r>
      <w:r w:rsidRPr="001031AC">
        <w:rPr>
          <w:rFonts w:eastAsia="Times New Roman"/>
        </w:rPr>
        <w:t xml:space="preserve">eadership management is the most effective driver that determines the rate of employee engagement. This driver indicates the accessibility, </w:t>
      </w:r>
      <w:proofErr w:type="gramStart"/>
      <w:r w:rsidRPr="001031AC">
        <w:rPr>
          <w:rFonts w:eastAsia="Times New Roman"/>
        </w:rPr>
        <w:t>visibility</w:t>
      </w:r>
      <w:proofErr w:type="gramEnd"/>
      <w:r w:rsidRPr="001031AC">
        <w:rPr>
          <w:rFonts w:eastAsia="Times New Roman"/>
        </w:rPr>
        <w:t xml:space="preserve"> and readiness of leaders within an organisation. Effective leadership is important for guiding employees to give their best probable efforts within the business process. It is required for an organisation to provide benefits and promotional opportunities to its employees for ensuring higher employee engagement. </w:t>
      </w:r>
    </w:p>
    <w:p w14:paraId="344C0F8E" w14:textId="77777777" w:rsidR="001031AC" w:rsidRPr="001031AC" w:rsidRDefault="001031AC" w:rsidP="001031AC">
      <w:pPr>
        <w:spacing w:before="240" w:after="240"/>
        <w:rPr>
          <w:rFonts w:eastAsia="Times New Roman"/>
          <w:color w:val="auto"/>
        </w:rPr>
      </w:pPr>
      <w:r w:rsidRPr="001031AC">
        <w:rPr>
          <w:rFonts w:eastAsia="Times New Roman"/>
          <w:b/>
          <w:bCs/>
          <w:i/>
          <w:iCs/>
        </w:rPr>
        <w:t xml:space="preserve">Safety: </w:t>
      </w:r>
      <w:r w:rsidRPr="001031AC">
        <w:rPr>
          <w:rFonts w:eastAsia="Times New Roman"/>
        </w:rPr>
        <w:t>Psychological safety is an important driver that is directly related to employee engagement. It is required to develop trust among the employees about the working environment within an organization (</w:t>
      </w:r>
      <w:r w:rsidRPr="001031AC">
        <w:rPr>
          <w:rFonts w:eastAsia="Times New Roman"/>
          <w:shd w:val="clear" w:color="auto" w:fill="FFFFFF"/>
        </w:rPr>
        <w:t>Lemon and Palenchar, 2018, p. 142</w:t>
      </w:r>
      <w:r w:rsidRPr="001031AC">
        <w:rPr>
          <w:rFonts w:eastAsia="Times New Roman"/>
        </w:rPr>
        <w:t xml:space="preserve">). Employee engagement can be ensured by reducing the fear and scope of negative consequences. Every organisation </w:t>
      </w:r>
      <w:proofErr w:type="gramStart"/>
      <w:r w:rsidRPr="001031AC">
        <w:rPr>
          <w:rFonts w:eastAsia="Times New Roman"/>
        </w:rPr>
        <w:t>has to</w:t>
      </w:r>
      <w:proofErr w:type="gramEnd"/>
      <w:r w:rsidRPr="001031AC">
        <w:rPr>
          <w:rFonts w:eastAsia="Times New Roman"/>
        </w:rPr>
        <w:t xml:space="preserve"> provide a safe and secure working environment to ensure higher employee engagement.  </w:t>
      </w:r>
    </w:p>
    <w:p w14:paraId="64FD8596" w14:textId="77777777" w:rsidR="001031AC" w:rsidRPr="001031AC" w:rsidRDefault="001031AC" w:rsidP="001031AC">
      <w:pPr>
        <w:spacing w:before="240" w:after="240"/>
        <w:rPr>
          <w:rFonts w:eastAsia="Times New Roman"/>
          <w:color w:val="auto"/>
        </w:rPr>
      </w:pPr>
      <w:r w:rsidRPr="001031AC">
        <w:rPr>
          <w:rFonts w:eastAsia="Times New Roman"/>
          <w:b/>
          <w:bCs/>
          <w:i/>
          <w:iCs/>
        </w:rPr>
        <w:t xml:space="preserve">Shared values: </w:t>
      </w:r>
      <w:r w:rsidRPr="001031AC">
        <w:rPr>
          <w:rFonts w:eastAsia="Times New Roman"/>
        </w:rPr>
        <w:t xml:space="preserve">The shared value indicates that employees </w:t>
      </w:r>
      <w:proofErr w:type="gramStart"/>
      <w:r w:rsidRPr="001031AC">
        <w:rPr>
          <w:rFonts w:eastAsia="Times New Roman"/>
        </w:rPr>
        <w:t>have the ability to</w:t>
      </w:r>
      <w:proofErr w:type="gramEnd"/>
      <w:r w:rsidRPr="001031AC">
        <w:rPr>
          <w:rFonts w:eastAsia="Times New Roman"/>
        </w:rPr>
        <w:t xml:space="preserve"> share common work principles and attitudes with their </w:t>
      </w:r>
      <w:r w:rsidR="00517994" w:rsidRPr="001031AC">
        <w:rPr>
          <w:rFonts w:eastAsia="Times New Roman"/>
        </w:rPr>
        <w:t>co</w:t>
      </w:r>
      <w:r w:rsidR="00517994">
        <w:rPr>
          <w:rFonts w:eastAsia="Times New Roman"/>
        </w:rPr>
        <w:t>-workers</w:t>
      </w:r>
      <w:r w:rsidRPr="001031AC">
        <w:rPr>
          <w:rFonts w:eastAsia="Times New Roman"/>
        </w:rPr>
        <w:t>. This driving force is important for developing a feeling of mutual interest and camaraderie in success (</w:t>
      </w:r>
      <w:r w:rsidRPr="001031AC">
        <w:rPr>
          <w:rFonts w:eastAsia="Times New Roman"/>
          <w:shd w:val="clear" w:color="auto" w:fill="FFFFFF"/>
        </w:rPr>
        <w:t>Lemon and Palenchar, 2018, p. 142</w:t>
      </w:r>
      <w:r w:rsidRPr="001031AC">
        <w:rPr>
          <w:rFonts w:eastAsia="Times New Roman"/>
        </w:rPr>
        <w:t xml:space="preserve">).  This driver is also important for understanding the success of alignment of </w:t>
      </w:r>
      <w:r w:rsidR="00380EB6" w:rsidRPr="001031AC">
        <w:rPr>
          <w:rFonts w:eastAsia="Times New Roman"/>
        </w:rPr>
        <w:t>employees’</w:t>
      </w:r>
      <w:r w:rsidRPr="001031AC">
        <w:rPr>
          <w:rFonts w:eastAsia="Times New Roman"/>
        </w:rPr>
        <w:t xml:space="preserve"> values with organisational values. </w:t>
      </w:r>
    </w:p>
    <w:p w14:paraId="6CFAC4E0" w14:textId="77777777" w:rsidR="001031AC" w:rsidRPr="001031AC" w:rsidRDefault="001031AC" w:rsidP="001031AC">
      <w:pPr>
        <w:spacing w:before="240" w:after="240"/>
        <w:rPr>
          <w:rFonts w:eastAsia="Times New Roman"/>
          <w:color w:val="auto"/>
        </w:rPr>
      </w:pPr>
      <w:r w:rsidRPr="001031AC">
        <w:rPr>
          <w:rFonts w:eastAsia="Times New Roman"/>
          <w:b/>
          <w:bCs/>
          <w:i/>
          <w:iCs/>
        </w:rPr>
        <w:t xml:space="preserve">Professional development: </w:t>
      </w:r>
      <w:r w:rsidRPr="001031AC">
        <w:rPr>
          <w:rFonts w:eastAsia="Times New Roman"/>
        </w:rPr>
        <w:t>It is important to provide the scope of growth and development to the employees within an organisation. Proper resources need to be provided for ensuring the professional development of an organisation. For ensuring the employees’ safety, this organisation develops holistic strategies for strengthening the self-ownership process.  </w:t>
      </w:r>
    </w:p>
    <w:p w14:paraId="6B5FA91A" w14:textId="77777777" w:rsidR="0044073F" w:rsidRDefault="0044073F" w:rsidP="001031AC">
      <w:pPr>
        <w:spacing w:before="240" w:after="240"/>
        <w:jc w:val="center"/>
        <w:rPr>
          <w:rFonts w:eastAsia="Times New Roman"/>
          <w:b/>
          <w:bCs/>
        </w:rPr>
      </w:pPr>
      <w:r>
        <w:rPr>
          <w:rFonts w:eastAsia="Times New Roman"/>
          <w:b/>
          <w:bCs/>
          <w:noProof/>
          <w:lang w:val="en-IN" w:eastAsia="en-IN"/>
        </w:rPr>
        <w:lastRenderedPageBreak/>
        <w:drawing>
          <wp:inline distT="0" distB="0" distL="0" distR="0" wp14:anchorId="6D8A4156" wp14:editId="6BF96279">
            <wp:extent cx="5486400" cy="3200400"/>
            <wp:effectExtent l="0" t="57150" r="19050" b="114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FE741A8" w14:textId="77777777" w:rsidR="001031AC" w:rsidRPr="001031AC" w:rsidRDefault="001031AC" w:rsidP="001031AC">
      <w:pPr>
        <w:spacing w:before="240" w:after="240"/>
        <w:jc w:val="center"/>
        <w:rPr>
          <w:rFonts w:eastAsia="Times New Roman"/>
          <w:color w:val="auto"/>
        </w:rPr>
      </w:pPr>
      <w:r w:rsidRPr="001031AC">
        <w:rPr>
          <w:rFonts w:eastAsia="Times New Roman"/>
          <w:b/>
          <w:bCs/>
        </w:rPr>
        <w:t>Figure 2: Drivers of employee engagement</w:t>
      </w:r>
    </w:p>
    <w:p w14:paraId="75CEA391" w14:textId="2C477BAB" w:rsidR="001031AC" w:rsidRPr="001031AC" w:rsidRDefault="001031AC" w:rsidP="001031AC">
      <w:pPr>
        <w:spacing w:before="240" w:after="240"/>
        <w:jc w:val="center"/>
        <w:rPr>
          <w:rFonts w:eastAsia="Times New Roman"/>
          <w:color w:val="auto"/>
        </w:rPr>
      </w:pPr>
      <w:r w:rsidRPr="001031AC">
        <w:rPr>
          <w:rFonts w:eastAsia="Times New Roman"/>
        </w:rPr>
        <w:t xml:space="preserve">(Source: Created by the </w:t>
      </w:r>
      <w:r w:rsidR="00E44540">
        <w:rPr>
          <w:rFonts w:eastAsia="Times New Roman"/>
        </w:rPr>
        <w:t>student M Zaharia</w:t>
      </w:r>
      <w:r w:rsidRPr="001031AC">
        <w:rPr>
          <w:rFonts w:eastAsia="Times New Roman"/>
        </w:rPr>
        <w:t>)  </w:t>
      </w:r>
    </w:p>
    <w:p w14:paraId="1365F434" w14:textId="77777777" w:rsidR="001031AC" w:rsidRPr="001031AC" w:rsidRDefault="001031AC" w:rsidP="001031AC">
      <w:pPr>
        <w:spacing w:before="240" w:after="240"/>
        <w:rPr>
          <w:rFonts w:eastAsia="Times New Roman"/>
          <w:color w:val="auto"/>
        </w:rPr>
      </w:pPr>
      <w:r w:rsidRPr="001031AC">
        <w:rPr>
          <w:rFonts w:eastAsia="Times New Roman"/>
        </w:rPr>
        <w:t xml:space="preserve">John Lewis Partnership focuses on the health and well-being of its employees during the COVID 19 pandemic scenario. This organisation completed the risk assessment process for ensuring safety and security within the workplace (LinkedIn, 2021). This organisation develops a COVID safe working place that further helps to motivate employees to keep engaged with the organisation. For ensuring high employee engagement within the organisation, this organisation </w:t>
      </w:r>
      <w:proofErr w:type="gramStart"/>
      <w:r w:rsidRPr="001031AC">
        <w:rPr>
          <w:rFonts w:eastAsia="Times New Roman"/>
        </w:rPr>
        <w:t>has to</w:t>
      </w:r>
      <w:proofErr w:type="gramEnd"/>
      <w:r w:rsidRPr="001031AC">
        <w:rPr>
          <w:rFonts w:eastAsia="Times New Roman"/>
        </w:rPr>
        <w:t xml:space="preserve"> focus on the drivers that are discussed in the above section. It is important for allowing employees to take part in the decision-making process. This driver will help to develop a sense of importance among the </w:t>
      </w:r>
      <w:r w:rsidR="0070706D" w:rsidRPr="001031AC">
        <w:rPr>
          <w:rFonts w:eastAsia="Times New Roman"/>
        </w:rPr>
        <w:t>employees, which</w:t>
      </w:r>
      <w:r w:rsidRPr="001031AC">
        <w:rPr>
          <w:rFonts w:eastAsia="Times New Roman"/>
        </w:rPr>
        <w:t xml:space="preserve"> further leads to better employee engagement to the company. Providing both positive and negative feedback is important for identifying strengths, </w:t>
      </w:r>
      <w:proofErr w:type="gramStart"/>
      <w:r w:rsidRPr="001031AC">
        <w:rPr>
          <w:rFonts w:eastAsia="Times New Roman"/>
        </w:rPr>
        <w:t>weaknesses</w:t>
      </w:r>
      <w:proofErr w:type="gramEnd"/>
      <w:r w:rsidRPr="001031AC">
        <w:rPr>
          <w:rFonts w:eastAsia="Times New Roman"/>
        </w:rPr>
        <w:t xml:space="preserve"> and areas of improvement. This will further help in improving the efficiency and productivity of the employees. </w:t>
      </w:r>
    </w:p>
    <w:p w14:paraId="4956328D" w14:textId="77777777" w:rsidR="001031AC" w:rsidRPr="001031AC" w:rsidRDefault="001031AC" w:rsidP="001031AC">
      <w:pPr>
        <w:spacing w:before="240" w:after="240"/>
        <w:rPr>
          <w:rFonts w:eastAsia="Times New Roman"/>
          <w:color w:val="auto"/>
        </w:rPr>
      </w:pPr>
      <w:r w:rsidRPr="001031AC">
        <w:rPr>
          <w:rFonts w:eastAsia="Times New Roman"/>
        </w:rPr>
        <w:t xml:space="preserve">According to </w:t>
      </w:r>
      <w:r w:rsidRPr="001031AC">
        <w:rPr>
          <w:rFonts w:eastAsia="Times New Roman"/>
          <w:shd w:val="clear" w:color="auto" w:fill="FFFFFF"/>
        </w:rPr>
        <w:t xml:space="preserve">Milliman </w:t>
      </w:r>
      <w:r w:rsidRPr="001031AC">
        <w:rPr>
          <w:rFonts w:eastAsia="Times New Roman"/>
          <w:i/>
          <w:iCs/>
          <w:shd w:val="clear" w:color="auto" w:fill="FFFFFF"/>
        </w:rPr>
        <w:t xml:space="preserve">et al. </w:t>
      </w:r>
      <w:r w:rsidRPr="001031AC">
        <w:rPr>
          <w:rFonts w:eastAsia="Times New Roman"/>
        </w:rPr>
        <w:t xml:space="preserve">(2018, p. 56), higher employee efficiency motivates them to keep engaged and put best available efforts to gain success for the organisation. Lewis partnership has to share </w:t>
      </w:r>
      <w:proofErr w:type="gramStart"/>
      <w:r w:rsidRPr="001031AC">
        <w:rPr>
          <w:rFonts w:eastAsia="Times New Roman"/>
        </w:rPr>
        <w:t>benefits .of</w:t>
      </w:r>
      <w:proofErr w:type="gramEnd"/>
      <w:r w:rsidRPr="001031AC">
        <w:rPr>
          <w:rFonts w:eastAsia="Times New Roman"/>
        </w:rPr>
        <w:t xml:space="preserve"> success to its </w:t>
      </w:r>
      <w:proofErr w:type="spellStart"/>
      <w:r w:rsidR="00980FDB">
        <w:rPr>
          <w:rFonts w:eastAsia="Times New Roman"/>
        </w:rPr>
        <w:t>S</w:t>
      </w:r>
      <w:r w:rsidR="00980FDB" w:rsidRPr="001031AC">
        <w:rPr>
          <w:rFonts w:eastAsia="Times New Roman"/>
        </w:rPr>
        <w:t>employees</w:t>
      </w:r>
      <w:proofErr w:type="spellEnd"/>
      <w:r w:rsidR="00980FDB" w:rsidRPr="001031AC">
        <w:rPr>
          <w:rFonts w:eastAsia="Times New Roman"/>
        </w:rPr>
        <w:t>, which</w:t>
      </w:r>
      <w:r w:rsidRPr="001031AC">
        <w:rPr>
          <w:rFonts w:eastAsia="Times New Roman"/>
        </w:rPr>
        <w:t xml:space="preserve"> is highly required for inspiring employees to give more effort in next time. This organisation </w:t>
      </w:r>
      <w:proofErr w:type="gramStart"/>
      <w:r w:rsidRPr="001031AC">
        <w:rPr>
          <w:rFonts w:eastAsia="Times New Roman"/>
        </w:rPr>
        <w:t>has to</w:t>
      </w:r>
      <w:proofErr w:type="gramEnd"/>
      <w:r w:rsidRPr="001031AC">
        <w:rPr>
          <w:rFonts w:eastAsia="Times New Roman"/>
        </w:rPr>
        <w:t xml:space="preserve"> improve leadership </w:t>
      </w:r>
      <w:r w:rsidRPr="001031AC">
        <w:rPr>
          <w:rFonts w:eastAsia="Times New Roman"/>
        </w:rPr>
        <w:lastRenderedPageBreak/>
        <w:t>approaches for motivating employees. Providing training to the employees is an effective way to ensure the scope of professional development. Higher growth opportunity provides a sense of financial security within an organisation that is beneficial for higher employee engagement. Maintaining a healthy and safe working environment is important for reducing the mental and physical stress of employees. Hence, employees feel secure within the workplace, which further leads to the best effort within the business growth and developmental process.             </w:t>
      </w:r>
    </w:p>
    <w:p w14:paraId="0ADE25E4" w14:textId="77777777" w:rsidR="001031AC" w:rsidRPr="001031AC" w:rsidRDefault="001031AC" w:rsidP="0061098B">
      <w:pPr>
        <w:pStyle w:val="Heading1"/>
        <w:rPr>
          <w:color w:val="auto"/>
          <w:kern w:val="36"/>
        </w:rPr>
      </w:pPr>
      <w:bookmarkStart w:id="2" w:name="_Toc89513484"/>
      <w:r w:rsidRPr="001031AC">
        <w:rPr>
          <w:kern w:val="36"/>
        </w:rPr>
        <w:t>Evaluate diagnostic tools to measure the engagement</w:t>
      </w:r>
      <w:bookmarkEnd w:id="2"/>
      <w:r w:rsidRPr="001031AC">
        <w:rPr>
          <w:kern w:val="36"/>
        </w:rPr>
        <w:t> </w:t>
      </w:r>
    </w:p>
    <w:p w14:paraId="07604711" w14:textId="77777777" w:rsidR="001031AC" w:rsidRPr="001031AC" w:rsidRDefault="001031AC" w:rsidP="001031AC">
      <w:pPr>
        <w:spacing w:after="0"/>
        <w:rPr>
          <w:rFonts w:eastAsia="Times New Roman"/>
          <w:color w:val="auto"/>
        </w:rPr>
      </w:pPr>
      <w:r w:rsidRPr="001031AC">
        <w:rPr>
          <w:rFonts w:eastAsia="Times New Roman"/>
        </w:rPr>
        <w:t>Measurement of employee engagement is an important factor for analysing the overall performance of an organisation. This process is highly required for determining the strengths, weaknesses and required areas of improvement (</w:t>
      </w:r>
      <w:proofErr w:type="spellStart"/>
      <w:r w:rsidRPr="001031AC">
        <w:rPr>
          <w:rFonts w:eastAsia="Times New Roman"/>
          <w:shd w:val="clear" w:color="auto" w:fill="FFFFFF"/>
        </w:rPr>
        <w:t>Shrotryia</w:t>
      </w:r>
      <w:proofErr w:type="spellEnd"/>
      <w:r w:rsidRPr="001031AC">
        <w:rPr>
          <w:rFonts w:eastAsia="Times New Roman"/>
          <w:shd w:val="clear" w:color="auto" w:fill="FFFFFF"/>
        </w:rPr>
        <w:t xml:space="preserve"> and Dhanda, 2019, p. 2</w:t>
      </w:r>
      <w:r w:rsidRPr="001031AC">
        <w:rPr>
          <w:rFonts w:eastAsia="Times New Roman"/>
        </w:rPr>
        <w:t>). There are different tools available that can be used for understanding the employee engagement rate within an organisation.</w:t>
      </w:r>
    </w:p>
    <w:p w14:paraId="1393033D" w14:textId="77777777" w:rsidR="0061098B" w:rsidRDefault="0061098B" w:rsidP="001031AC">
      <w:pPr>
        <w:spacing w:before="240" w:after="240"/>
        <w:jc w:val="center"/>
        <w:rPr>
          <w:rFonts w:eastAsia="Times New Roman"/>
          <w:b/>
          <w:bCs/>
        </w:rPr>
      </w:pPr>
      <w:r>
        <w:rPr>
          <w:rFonts w:eastAsia="Times New Roman"/>
          <w:b/>
          <w:bCs/>
          <w:noProof/>
          <w:lang w:val="en-IN" w:eastAsia="en-IN"/>
        </w:rPr>
        <w:drawing>
          <wp:inline distT="0" distB="0" distL="0" distR="0" wp14:anchorId="59439AE4" wp14:editId="1199FC11">
            <wp:extent cx="5486400" cy="3200400"/>
            <wp:effectExtent l="57150" t="0" r="571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9EFE726" w14:textId="77777777" w:rsidR="001031AC" w:rsidRPr="001031AC" w:rsidRDefault="001031AC" w:rsidP="001031AC">
      <w:pPr>
        <w:spacing w:before="240" w:after="240"/>
        <w:jc w:val="center"/>
        <w:rPr>
          <w:rFonts w:eastAsia="Times New Roman"/>
          <w:color w:val="auto"/>
        </w:rPr>
      </w:pPr>
      <w:r w:rsidRPr="001031AC">
        <w:rPr>
          <w:rFonts w:eastAsia="Times New Roman"/>
          <w:b/>
          <w:bCs/>
        </w:rPr>
        <w:t>Figure 3: Different employee engagement evaluation tools </w:t>
      </w:r>
    </w:p>
    <w:p w14:paraId="538341D2" w14:textId="3DEF942B" w:rsidR="001031AC" w:rsidRPr="001031AC" w:rsidRDefault="001031AC" w:rsidP="001031AC">
      <w:pPr>
        <w:spacing w:before="240" w:after="240"/>
        <w:jc w:val="center"/>
        <w:rPr>
          <w:rFonts w:eastAsia="Times New Roman"/>
          <w:color w:val="auto"/>
        </w:rPr>
      </w:pPr>
      <w:r w:rsidRPr="001031AC">
        <w:rPr>
          <w:rFonts w:eastAsia="Times New Roman"/>
        </w:rPr>
        <w:t xml:space="preserve">(Source: Created by the </w:t>
      </w:r>
      <w:r w:rsidR="00E44540">
        <w:rPr>
          <w:rFonts w:eastAsia="Times New Roman"/>
        </w:rPr>
        <w:t>student M Zaharia</w:t>
      </w:r>
      <w:r w:rsidRPr="001031AC">
        <w:rPr>
          <w:rFonts w:eastAsia="Times New Roman"/>
        </w:rPr>
        <w:t>)  </w:t>
      </w:r>
    </w:p>
    <w:p w14:paraId="6D80E4C9" w14:textId="77777777" w:rsidR="001031AC" w:rsidRPr="001031AC" w:rsidRDefault="001031AC" w:rsidP="001031AC">
      <w:pPr>
        <w:spacing w:after="0"/>
        <w:rPr>
          <w:rFonts w:eastAsia="Times New Roman"/>
          <w:color w:val="auto"/>
        </w:rPr>
      </w:pPr>
      <w:r w:rsidRPr="001031AC">
        <w:rPr>
          <w:rFonts w:eastAsia="Times New Roman"/>
          <w:b/>
          <w:bCs/>
          <w:i/>
          <w:iCs/>
        </w:rPr>
        <w:t xml:space="preserve">Employee recognition or reward programs </w:t>
      </w:r>
      <w:r w:rsidRPr="001031AC">
        <w:rPr>
          <w:rFonts w:eastAsia="Times New Roman"/>
        </w:rPr>
        <w:t xml:space="preserve">can be an effective tool for evaluating employee engagement. Reward or recognition has a direct impact on controlling employee engagement. If an organisation failed to give recognition to its employees, it will lose employee engagement. HRs </w:t>
      </w:r>
      <w:r w:rsidRPr="001031AC">
        <w:rPr>
          <w:rFonts w:eastAsia="Times New Roman"/>
        </w:rPr>
        <w:lastRenderedPageBreak/>
        <w:t>and managers can easily measure employee engagement with the help of this tool. During the COVID 19 pandemic situation, recognition can be an effective way to motivate employees fo</w:t>
      </w:r>
      <w:r w:rsidR="00AB0CA6">
        <w:rPr>
          <w:rFonts w:eastAsia="Times New Roman"/>
        </w:rPr>
        <w:t xml:space="preserve">r working with the organisation, </w:t>
      </w:r>
      <w:r w:rsidRPr="001031AC">
        <w:rPr>
          <w:rFonts w:eastAsia="Times New Roman"/>
        </w:rPr>
        <w:t>which further leads to the development of high employee engagement (</w:t>
      </w:r>
      <w:proofErr w:type="spellStart"/>
      <w:r w:rsidRPr="001031AC">
        <w:rPr>
          <w:rFonts w:eastAsia="Times New Roman"/>
          <w:shd w:val="clear" w:color="auto" w:fill="FFFFFF"/>
        </w:rPr>
        <w:t>Shrotryia</w:t>
      </w:r>
      <w:proofErr w:type="spellEnd"/>
      <w:r w:rsidRPr="001031AC">
        <w:rPr>
          <w:rFonts w:eastAsia="Times New Roman"/>
          <w:shd w:val="clear" w:color="auto" w:fill="FFFFFF"/>
        </w:rPr>
        <w:t xml:space="preserve"> and Dhanda, 2019, p. 2</w:t>
      </w:r>
      <w:r w:rsidRPr="001031AC">
        <w:rPr>
          <w:rFonts w:eastAsia="Times New Roman"/>
        </w:rPr>
        <w:t>). John Lewis Partnership can use this tool for understanding the satisfaction rate during the pandemic situation (John Lewis Partnership, 2021). This organisation ensures the safety and security of the employees during the pandemic outbreak. Hence, a reward and recognition program will be effective for this company to understand the employee satisfaction rate.      </w:t>
      </w:r>
    </w:p>
    <w:p w14:paraId="04D5E883" w14:textId="77777777" w:rsidR="001031AC" w:rsidRPr="001031AC" w:rsidRDefault="001031AC" w:rsidP="001031AC">
      <w:pPr>
        <w:spacing w:after="0"/>
        <w:rPr>
          <w:rFonts w:eastAsia="Times New Roman"/>
          <w:color w:val="auto"/>
        </w:rPr>
      </w:pPr>
      <w:r w:rsidRPr="001031AC">
        <w:rPr>
          <w:rFonts w:eastAsia="Times New Roman"/>
        </w:rPr>
        <w:t xml:space="preserve">The </w:t>
      </w:r>
      <w:r w:rsidRPr="001031AC">
        <w:rPr>
          <w:rFonts w:eastAsia="Times New Roman"/>
          <w:b/>
          <w:bCs/>
          <w:i/>
          <w:iCs/>
        </w:rPr>
        <w:t>employee survey</w:t>
      </w:r>
      <w:r w:rsidRPr="001031AC">
        <w:rPr>
          <w:rFonts w:eastAsia="Times New Roman"/>
        </w:rPr>
        <w:t xml:space="preserve"> is another effective tool that can be used for analysing employee engagement. Conducting a survey is a quick and easy way to determine employee engagement within an organisation (</w:t>
      </w:r>
      <w:r w:rsidRPr="001031AC">
        <w:rPr>
          <w:rFonts w:eastAsia="Times New Roman"/>
          <w:shd w:val="clear" w:color="auto" w:fill="FFFFFF"/>
        </w:rPr>
        <w:t xml:space="preserve">Shuck </w:t>
      </w:r>
      <w:r w:rsidRPr="001031AC">
        <w:rPr>
          <w:rFonts w:eastAsia="Times New Roman"/>
          <w:i/>
          <w:iCs/>
          <w:shd w:val="clear" w:color="auto" w:fill="FFFFFF"/>
        </w:rPr>
        <w:t xml:space="preserve">et al., </w:t>
      </w:r>
      <w:r w:rsidRPr="001031AC">
        <w:rPr>
          <w:rFonts w:eastAsia="Times New Roman"/>
          <w:shd w:val="clear" w:color="auto" w:fill="FFFFFF"/>
        </w:rPr>
        <w:t>2017, p. 263</w:t>
      </w:r>
      <w:r w:rsidRPr="001031AC">
        <w:rPr>
          <w:rFonts w:eastAsia="Times New Roman"/>
        </w:rPr>
        <w:t xml:space="preserve">). This tool is not only effective for evaluating employee engagement, but this tool is also effective for motivating employees and keeping them engaged to share innovative ideas. This tool can be described as two-way </w:t>
      </w:r>
      <w:r w:rsidR="006B27D2" w:rsidRPr="001031AC">
        <w:rPr>
          <w:rFonts w:eastAsia="Times New Roman"/>
        </w:rPr>
        <w:t>communication, which</w:t>
      </w:r>
      <w:r w:rsidRPr="001031AC">
        <w:rPr>
          <w:rFonts w:eastAsia="Times New Roman"/>
        </w:rPr>
        <w:t xml:space="preserve"> helps in engaging and encouraging the workforce. </w:t>
      </w:r>
      <w:r w:rsidR="009D43C0" w:rsidRPr="001031AC">
        <w:rPr>
          <w:rFonts w:eastAsia="Times New Roman"/>
        </w:rPr>
        <w:t>The managers can apply this tool</w:t>
      </w:r>
      <w:r w:rsidRPr="001031AC">
        <w:rPr>
          <w:rFonts w:eastAsia="Times New Roman"/>
        </w:rPr>
        <w:t xml:space="preserve"> by sending an actionable but simple survey to employees for understanding their experience about the work. A survey tool can be utilised for understanding the temperament of an organisation. Alignment, future </w:t>
      </w:r>
      <w:proofErr w:type="gramStart"/>
      <w:r w:rsidRPr="001031AC">
        <w:rPr>
          <w:rFonts w:eastAsia="Times New Roman"/>
        </w:rPr>
        <w:t>orientation</w:t>
      </w:r>
      <w:proofErr w:type="gramEnd"/>
      <w:r w:rsidRPr="001031AC">
        <w:rPr>
          <w:rFonts w:eastAsia="Times New Roman"/>
        </w:rPr>
        <w:t xml:space="preserve"> and satisfactions are three important metrics that can be considered during the development of the questionnaire. John Lewis can use this tool for motivating employees during a pandemic situation. Democratic leadership approach is </w:t>
      </w:r>
      <w:r w:rsidR="004F0960">
        <w:rPr>
          <w:rFonts w:eastAsia="Times New Roman"/>
        </w:rPr>
        <w:t xml:space="preserve">considered in this organisation, </w:t>
      </w:r>
      <w:r w:rsidRPr="001031AC">
        <w:rPr>
          <w:rFonts w:eastAsia="Times New Roman"/>
        </w:rPr>
        <w:t>which will allow the employees to share their opinion and thoughts about the working progress and condition within an organisation (LinkedIn, (2021). Hence, this process can be effective to understand the effectiveness of COVID safe working environment development and offering flexible working time.    </w:t>
      </w:r>
    </w:p>
    <w:p w14:paraId="1D4595E0" w14:textId="77777777" w:rsidR="001031AC" w:rsidRPr="001031AC" w:rsidRDefault="001031AC" w:rsidP="001031AC">
      <w:pPr>
        <w:spacing w:after="0"/>
        <w:rPr>
          <w:rFonts w:eastAsia="Times New Roman"/>
          <w:color w:val="auto"/>
        </w:rPr>
      </w:pPr>
      <w:r w:rsidRPr="001031AC">
        <w:rPr>
          <w:rFonts w:eastAsia="Times New Roman"/>
          <w:b/>
          <w:bCs/>
          <w:i/>
          <w:iCs/>
        </w:rPr>
        <w:t>One-to-one meetings</w:t>
      </w:r>
      <w:r w:rsidRPr="001031AC">
        <w:rPr>
          <w:rFonts w:eastAsia="Times New Roman"/>
        </w:rPr>
        <w:t xml:space="preserve"> can be used as another tool for understanding the employees’ point of view about the work. HR managers can organise one-to-one meetings for understanding employee engagement by sharing knowledge and information with them (</w:t>
      </w:r>
      <w:r w:rsidRPr="001031AC">
        <w:rPr>
          <w:rFonts w:eastAsia="Times New Roman"/>
          <w:shd w:val="clear" w:color="auto" w:fill="FFFFFF"/>
        </w:rPr>
        <w:t>Motyka, 2018, p. 227</w:t>
      </w:r>
      <w:r w:rsidRPr="001031AC">
        <w:rPr>
          <w:rFonts w:eastAsia="Times New Roman"/>
        </w:rPr>
        <w:t>). This will provide an opportunity for an organisation to understand</w:t>
      </w:r>
      <w:r w:rsidR="009341C3">
        <w:rPr>
          <w:rFonts w:eastAsia="Times New Roman"/>
        </w:rPr>
        <w:t xml:space="preserve"> the employee satisfaction rate, </w:t>
      </w:r>
      <w:r w:rsidRPr="001031AC">
        <w:rPr>
          <w:rFonts w:eastAsia="Times New Roman"/>
        </w:rPr>
        <w:t xml:space="preserve">which is further effective for understanding the scope of employee engagements. </w:t>
      </w:r>
      <w:r w:rsidRPr="001031AC">
        <w:rPr>
          <w:rFonts w:eastAsia="Times New Roman"/>
          <w:b/>
          <w:bCs/>
          <w:i/>
          <w:iCs/>
        </w:rPr>
        <w:t>Measuring productivity and retention rates</w:t>
      </w:r>
      <w:r w:rsidRPr="001031AC">
        <w:rPr>
          <w:rFonts w:eastAsia="Times New Roman"/>
        </w:rPr>
        <w:t xml:space="preserve"> can be used as another tool for evaluating the customer engagement rate. For example, John Lewis partnership has around 80% employee retention rate that indicates the higher employee engagement. In 2020, this organisation has 80,800 </w:t>
      </w:r>
      <w:r w:rsidR="00573151" w:rsidRPr="001031AC">
        <w:rPr>
          <w:rFonts w:eastAsia="Times New Roman"/>
        </w:rPr>
        <w:t>employees, which</w:t>
      </w:r>
      <w:r w:rsidRPr="001031AC">
        <w:rPr>
          <w:rFonts w:eastAsia="Times New Roman"/>
        </w:rPr>
        <w:t xml:space="preserve"> have increased by 80,900 in 2021 (Statista, 2021). This evidence indicates the high employee engagement during the COVID 19 pandemic outbreak. Hence, organisational policies such as COVID safe working place development, a flexible hour of working and </w:t>
      </w:r>
      <w:r w:rsidRPr="001031AC">
        <w:rPr>
          <w:rFonts w:eastAsia="Times New Roman"/>
        </w:rPr>
        <w:lastRenderedPageBreak/>
        <w:t>restructuring the roles and job designs are successfully implemented to keep the employees satisfied.         </w:t>
      </w:r>
    </w:p>
    <w:p w14:paraId="11937344" w14:textId="77777777" w:rsidR="001031AC" w:rsidRPr="001031AC" w:rsidRDefault="001031AC" w:rsidP="001031AC">
      <w:pPr>
        <w:spacing w:before="240" w:after="240"/>
        <w:jc w:val="center"/>
        <w:rPr>
          <w:rFonts w:eastAsia="Times New Roman"/>
          <w:color w:val="auto"/>
        </w:rPr>
      </w:pPr>
      <w:r w:rsidRPr="003F2171">
        <w:rPr>
          <w:rFonts w:eastAsia="Times New Roman"/>
          <w:b/>
          <w:bCs/>
          <w:noProof/>
          <w:bdr w:val="none" w:sz="0" w:space="0" w:color="auto" w:frame="1"/>
          <w:lang w:val="en-IN" w:eastAsia="en-IN"/>
        </w:rPr>
        <w:drawing>
          <wp:inline distT="0" distB="0" distL="0" distR="0" wp14:anchorId="5B67C67B" wp14:editId="37364044">
            <wp:extent cx="5303520" cy="3368040"/>
            <wp:effectExtent l="38100" t="57150" r="106680" b="99060"/>
            <wp:docPr id="1" name="Picture 1" descr="https://lh4.googleusercontent.com/Uvr5wThglHOItcZ0UvIfOjEcSJJ3CVFVvWvcz3krTEVpC9BOHX6MItR70ZN3R8Lc_WKSZQ9s6WqCV79cOAnnf2DVYOC1nTWm0zvMpaZnH41Sn-k7T8Zjc8WO-W7NzrQds7T_x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vr5wThglHOItcZ0UvIfOjEcSJJ3CVFVvWvcz3krTEVpC9BOHX6MItR70ZN3R8Lc_WKSZQ9s6WqCV79cOAnnf2DVYOC1nTWm0zvMpaZnH41Sn-k7T8Zjc8WO-W7NzrQds7T_xSEa"/>
                    <pic:cNvPicPr>
                      <a:picLocks noChangeAspect="1" noChangeArrowheads="1"/>
                    </pic:cNvPicPr>
                  </pic:nvPicPr>
                  <pic:blipFill>
                    <a:blip r:embed="rId23" cstate="print"/>
                    <a:srcRect/>
                    <a:stretch>
                      <a:fillRect/>
                    </a:stretch>
                  </pic:blipFill>
                  <pic:spPr bwMode="auto">
                    <a:xfrm>
                      <a:off x="0" y="0"/>
                      <a:ext cx="5303520" cy="3368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B9B6B7" w14:textId="77777777" w:rsidR="001031AC" w:rsidRPr="001031AC" w:rsidRDefault="001031AC" w:rsidP="001031AC">
      <w:pPr>
        <w:spacing w:before="240" w:after="240"/>
        <w:jc w:val="center"/>
        <w:rPr>
          <w:rFonts w:eastAsia="Times New Roman"/>
          <w:color w:val="auto"/>
        </w:rPr>
      </w:pPr>
      <w:r w:rsidRPr="001031AC">
        <w:rPr>
          <w:rFonts w:eastAsia="Times New Roman"/>
          <w:b/>
          <w:bCs/>
        </w:rPr>
        <w:t>Figure 4: Numbers of employees in John Lewis partnership from 2009 to 2021 </w:t>
      </w:r>
    </w:p>
    <w:p w14:paraId="4FA38177" w14:textId="77777777" w:rsidR="001031AC" w:rsidRPr="001031AC" w:rsidRDefault="001031AC" w:rsidP="001031AC">
      <w:pPr>
        <w:spacing w:after="0"/>
        <w:jc w:val="center"/>
        <w:rPr>
          <w:rFonts w:eastAsia="Times New Roman"/>
          <w:color w:val="auto"/>
        </w:rPr>
      </w:pPr>
      <w:r w:rsidRPr="001031AC">
        <w:rPr>
          <w:rFonts w:eastAsia="Times New Roman"/>
        </w:rPr>
        <w:t>(Source: Statista, 2021)         </w:t>
      </w:r>
    </w:p>
    <w:p w14:paraId="4EAA9D27" w14:textId="77777777" w:rsidR="001031AC" w:rsidRPr="001031AC" w:rsidRDefault="001031AC" w:rsidP="009F27BB">
      <w:pPr>
        <w:pStyle w:val="Heading1"/>
        <w:rPr>
          <w:color w:val="auto"/>
          <w:kern w:val="36"/>
        </w:rPr>
      </w:pPr>
      <w:bookmarkStart w:id="3" w:name="_Toc89513485"/>
      <w:r w:rsidRPr="001031AC">
        <w:rPr>
          <w:kern w:val="36"/>
        </w:rPr>
        <w:t>Constructs an employee value proposition from the ideas and analysis previously covered, including strategies to raise levels of engagement</w:t>
      </w:r>
      <w:bookmarkEnd w:id="3"/>
      <w:r w:rsidRPr="001031AC">
        <w:rPr>
          <w:kern w:val="36"/>
        </w:rPr>
        <w:t> </w:t>
      </w:r>
    </w:p>
    <w:p w14:paraId="025BC2BB" w14:textId="77777777" w:rsidR="001031AC" w:rsidRPr="001031AC" w:rsidRDefault="001031AC" w:rsidP="001031AC">
      <w:pPr>
        <w:spacing w:after="0"/>
        <w:rPr>
          <w:rFonts w:eastAsia="Times New Roman"/>
          <w:color w:val="auto"/>
        </w:rPr>
      </w:pPr>
      <w:r w:rsidRPr="001031AC">
        <w:rPr>
          <w:rFonts w:eastAsia="Times New Roman"/>
        </w:rPr>
        <w:t xml:space="preserve">Employee value proposition (EVP) can be defined as the unique benefit sets that can provide an opportunity to the employees for receiving capabilities, </w:t>
      </w:r>
      <w:proofErr w:type="gramStart"/>
      <w:r w:rsidRPr="001031AC">
        <w:rPr>
          <w:rFonts w:eastAsia="Times New Roman"/>
        </w:rPr>
        <w:t>experience</w:t>
      </w:r>
      <w:proofErr w:type="gramEnd"/>
      <w:r w:rsidRPr="001031AC">
        <w:rPr>
          <w:rFonts w:eastAsia="Times New Roman"/>
        </w:rPr>
        <w:t xml:space="preserve"> and skills for the organisation (</w:t>
      </w:r>
      <w:proofErr w:type="spellStart"/>
      <w:r w:rsidRPr="001031AC">
        <w:rPr>
          <w:rFonts w:eastAsia="Times New Roman"/>
          <w:shd w:val="clear" w:color="auto" w:fill="FFFFFF"/>
        </w:rPr>
        <w:t>Ariyanto</w:t>
      </w:r>
      <w:proofErr w:type="spellEnd"/>
      <w:r w:rsidRPr="001031AC">
        <w:rPr>
          <w:rFonts w:eastAsia="Times New Roman"/>
          <w:shd w:val="clear" w:color="auto" w:fill="FFFFFF"/>
        </w:rPr>
        <w:t xml:space="preserve"> and </w:t>
      </w:r>
      <w:proofErr w:type="spellStart"/>
      <w:r w:rsidRPr="001031AC">
        <w:rPr>
          <w:rFonts w:eastAsia="Times New Roman"/>
          <w:shd w:val="clear" w:color="auto" w:fill="FFFFFF"/>
        </w:rPr>
        <w:t>Kustini</w:t>
      </w:r>
      <w:proofErr w:type="spellEnd"/>
      <w:r w:rsidRPr="001031AC">
        <w:rPr>
          <w:rFonts w:eastAsia="Times New Roman"/>
          <w:shd w:val="clear" w:color="auto" w:fill="FFFFFF"/>
        </w:rPr>
        <w:t>, 2021, p. 113</w:t>
      </w:r>
      <w:r w:rsidRPr="001031AC">
        <w:rPr>
          <w:rFonts w:eastAsia="Times New Roman"/>
        </w:rPr>
        <w:t xml:space="preserve">). This tool can be used by John Lewis partnership for understanding the organisational essence and uniqueness for motivating employees. This tool is effective for increasing </w:t>
      </w:r>
      <w:proofErr w:type="gramStart"/>
      <w:r w:rsidRPr="001031AC">
        <w:rPr>
          <w:rFonts w:eastAsia="Times New Roman"/>
        </w:rPr>
        <w:t>employees</w:t>
      </w:r>
      <w:proofErr w:type="gramEnd"/>
      <w:r w:rsidRPr="001031AC">
        <w:rPr>
          <w:rFonts w:eastAsia="Times New Roman"/>
        </w:rPr>
        <w:t xml:space="preserve"> retention and engagement rate within an organisation. Compensation, benefits, </w:t>
      </w:r>
      <w:proofErr w:type="gramStart"/>
      <w:r w:rsidRPr="001031AC">
        <w:rPr>
          <w:rFonts w:eastAsia="Times New Roman"/>
        </w:rPr>
        <w:t>career</w:t>
      </w:r>
      <w:proofErr w:type="gramEnd"/>
      <w:r w:rsidRPr="001031AC">
        <w:rPr>
          <w:rFonts w:eastAsia="Times New Roman"/>
        </w:rPr>
        <w:t xml:space="preserve"> and culture are different factors that are required to be considered for developing a value proposition of employees. </w:t>
      </w:r>
    </w:p>
    <w:p w14:paraId="154A2015" w14:textId="77777777" w:rsidR="001031AC" w:rsidRPr="001031AC" w:rsidRDefault="001031AC" w:rsidP="001031AC">
      <w:pPr>
        <w:spacing w:after="0"/>
        <w:jc w:val="left"/>
        <w:rPr>
          <w:rFonts w:eastAsia="Times New Roman"/>
          <w:color w:val="auto"/>
        </w:rPr>
      </w:pPr>
    </w:p>
    <w:tbl>
      <w:tblPr>
        <w:tblStyle w:val="LightGrid-Accent4"/>
        <w:tblW w:w="0" w:type="auto"/>
        <w:tblLook w:val="04A0" w:firstRow="1" w:lastRow="0" w:firstColumn="1" w:lastColumn="0" w:noHBand="0" w:noVBand="1"/>
      </w:tblPr>
      <w:tblGrid>
        <w:gridCol w:w="1744"/>
        <w:gridCol w:w="1593"/>
        <w:gridCol w:w="6003"/>
      </w:tblGrid>
      <w:tr w:rsidR="001031AC" w:rsidRPr="001031AC" w14:paraId="34DEE8A3" w14:textId="77777777" w:rsidTr="00573151">
        <w:trPr>
          <w:cnfStyle w:val="100000000000" w:firstRow="1" w:lastRow="0" w:firstColumn="0" w:lastColumn="0" w:oddVBand="0" w:evenVBand="0" w:oddHBand="0"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hideMark/>
          </w:tcPr>
          <w:p w14:paraId="57BD762F" w14:textId="77777777" w:rsidR="001031AC" w:rsidRPr="001031AC" w:rsidRDefault="001031AC" w:rsidP="001031AC">
            <w:pPr>
              <w:spacing w:before="240" w:after="240"/>
              <w:jc w:val="center"/>
              <w:rPr>
                <w:rFonts w:eastAsia="Times New Roman"/>
                <w:color w:val="auto"/>
              </w:rPr>
            </w:pPr>
            <w:r w:rsidRPr="001031AC">
              <w:rPr>
                <w:rFonts w:eastAsia="Times New Roman"/>
              </w:rPr>
              <w:t>Components</w:t>
            </w:r>
          </w:p>
        </w:tc>
        <w:tc>
          <w:tcPr>
            <w:tcW w:w="0" w:type="auto"/>
            <w:gridSpan w:val="2"/>
            <w:hideMark/>
          </w:tcPr>
          <w:p w14:paraId="1A6BCE88" w14:textId="77777777" w:rsidR="001031AC" w:rsidRPr="001031AC" w:rsidRDefault="001031AC" w:rsidP="001031AC">
            <w:pPr>
              <w:spacing w:before="240" w:after="24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1031AC">
              <w:rPr>
                <w:rFonts w:eastAsia="Times New Roman"/>
              </w:rPr>
              <w:t xml:space="preserve"> Strategies  </w:t>
            </w:r>
          </w:p>
        </w:tc>
      </w:tr>
      <w:tr w:rsidR="001031AC" w:rsidRPr="001031AC" w14:paraId="3139C223" w14:textId="77777777" w:rsidTr="00573151">
        <w:trPr>
          <w:cnfStyle w:val="000000100000" w:firstRow="0" w:lastRow="0" w:firstColumn="0" w:lastColumn="0" w:oddVBand="0" w:evenVBand="0" w:oddHBand="1"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668F75A7" w14:textId="77777777" w:rsidR="001031AC" w:rsidRPr="001031AC" w:rsidRDefault="001031AC" w:rsidP="001031AC">
            <w:pPr>
              <w:spacing w:before="240" w:after="240"/>
              <w:jc w:val="center"/>
              <w:rPr>
                <w:rFonts w:eastAsia="Times New Roman"/>
                <w:color w:val="auto"/>
              </w:rPr>
            </w:pPr>
            <w:r w:rsidRPr="001031AC">
              <w:rPr>
                <w:rFonts w:eastAsia="Times New Roman"/>
              </w:rPr>
              <w:lastRenderedPageBreak/>
              <w:t>Compensation</w:t>
            </w:r>
          </w:p>
        </w:tc>
        <w:tc>
          <w:tcPr>
            <w:tcW w:w="0" w:type="auto"/>
            <w:hideMark/>
          </w:tcPr>
          <w:p w14:paraId="28A1699A" w14:textId="77777777" w:rsidR="001031AC" w:rsidRPr="001031AC" w:rsidRDefault="001031AC" w:rsidP="001031AC">
            <w:pPr>
              <w:spacing w:before="240"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Salary</w:t>
            </w:r>
          </w:p>
        </w:tc>
        <w:tc>
          <w:tcPr>
            <w:tcW w:w="0" w:type="auto"/>
            <w:hideMark/>
          </w:tcPr>
          <w:p w14:paraId="535CFBEE" w14:textId="77777777" w:rsidR="001031AC" w:rsidRPr="001031AC" w:rsidRDefault="001031AC" w:rsidP="001031AC">
            <w:pPr>
              <w:spacing w:before="240" w:after="240"/>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Salary structure is important for keeping the employees engaged with the organisational process.  </w:t>
            </w:r>
          </w:p>
        </w:tc>
      </w:tr>
      <w:tr w:rsidR="001031AC" w:rsidRPr="001031AC" w14:paraId="701A3E9F" w14:textId="77777777" w:rsidTr="00573151">
        <w:trPr>
          <w:cnfStyle w:val="000000010000" w:firstRow="0" w:lastRow="0" w:firstColumn="0" w:lastColumn="0" w:oddVBand="0" w:evenVBand="0" w:oddHBand="0" w:evenHBand="1"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hideMark/>
          </w:tcPr>
          <w:p w14:paraId="0FD9890B" w14:textId="77777777" w:rsidR="001031AC" w:rsidRPr="001031AC" w:rsidRDefault="001031AC" w:rsidP="001031AC">
            <w:pPr>
              <w:jc w:val="left"/>
              <w:rPr>
                <w:rFonts w:eastAsia="Times New Roman"/>
                <w:color w:val="auto"/>
              </w:rPr>
            </w:pPr>
          </w:p>
        </w:tc>
        <w:tc>
          <w:tcPr>
            <w:tcW w:w="0" w:type="auto"/>
            <w:hideMark/>
          </w:tcPr>
          <w:p w14:paraId="276B13AF" w14:textId="77777777" w:rsidR="001031AC" w:rsidRPr="001031AC" w:rsidRDefault="001031AC" w:rsidP="001031AC">
            <w:pPr>
              <w:spacing w:before="240" w:after="240"/>
              <w:jc w:val="center"/>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Pay raise</w:t>
            </w:r>
          </w:p>
        </w:tc>
        <w:tc>
          <w:tcPr>
            <w:tcW w:w="0" w:type="auto"/>
            <w:hideMark/>
          </w:tcPr>
          <w:p w14:paraId="51DEEC40" w14:textId="77777777" w:rsidR="001031AC" w:rsidRPr="001031AC" w:rsidRDefault="001031AC" w:rsidP="001031AC">
            <w:pPr>
              <w:spacing w:before="240" w:after="240"/>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Pay hikes can be effective for motivating employees to keep engaged with the organisation (</w:t>
            </w:r>
            <w:r w:rsidRPr="00573151">
              <w:t>Pawar, 2018, p. 93).</w:t>
            </w:r>
            <w:r w:rsidRPr="001031AC">
              <w:rPr>
                <w:rFonts w:eastAsia="Times New Roman"/>
              </w:rPr>
              <w:t> </w:t>
            </w:r>
          </w:p>
        </w:tc>
      </w:tr>
      <w:tr w:rsidR="001031AC" w:rsidRPr="001031AC" w14:paraId="133C3BD3" w14:textId="77777777" w:rsidTr="00573151">
        <w:trPr>
          <w:cnfStyle w:val="000000100000" w:firstRow="0" w:lastRow="0" w:firstColumn="0" w:lastColumn="0" w:oddVBand="0" w:evenVBand="0" w:oddHBand="1"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39E13EC4" w14:textId="77777777" w:rsidR="001031AC" w:rsidRPr="001031AC" w:rsidRDefault="001031AC" w:rsidP="001031AC">
            <w:pPr>
              <w:spacing w:before="240" w:after="240"/>
              <w:jc w:val="center"/>
              <w:rPr>
                <w:rFonts w:eastAsia="Times New Roman"/>
                <w:color w:val="auto"/>
              </w:rPr>
            </w:pPr>
            <w:r w:rsidRPr="001031AC">
              <w:rPr>
                <w:rFonts w:eastAsia="Times New Roman"/>
              </w:rPr>
              <w:t>Benefits</w:t>
            </w:r>
          </w:p>
        </w:tc>
        <w:tc>
          <w:tcPr>
            <w:tcW w:w="0" w:type="auto"/>
            <w:hideMark/>
          </w:tcPr>
          <w:p w14:paraId="1131B95A" w14:textId="77777777" w:rsidR="001031AC" w:rsidRPr="001031AC" w:rsidRDefault="001031AC" w:rsidP="001031AC">
            <w:pPr>
              <w:spacing w:before="240"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Health care</w:t>
            </w:r>
          </w:p>
        </w:tc>
        <w:tc>
          <w:tcPr>
            <w:tcW w:w="0" w:type="auto"/>
            <w:hideMark/>
          </w:tcPr>
          <w:p w14:paraId="3BA0647F" w14:textId="77777777" w:rsidR="001031AC" w:rsidRPr="001031AC" w:rsidRDefault="001031AC" w:rsidP="001031AC">
            <w:pPr>
              <w:spacing w:before="240" w:after="240"/>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Health benefits are an important factor to ensure high employee engagement within the organisation. Health insurance and vaccine facilities can be effective for an organisation to support the employees to keep safe and secure (</w:t>
            </w:r>
            <w:r w:rsidRPr="00573151">
              <w:t>Pawar, 2018, p. 93).</w:t>
            </w:r>
            <w:r w:rsidRPr="001031AC">
              <w:rPr>
                <w:rFonts w:eastAsia="Times New Roman"/>
              </w:rPr>
              <w:t> </w:t>
            </w:r>
          </w:p>
        </w:tc>
      </w:tr>
      <w:tr w:rsidR="001031AC" w:rsidRPr="001031AC" w14:paraId="3F759495" w14:textId="77777777" w:rsidTr="00573151">
        <w:trPr>
          <w:cnfStyle w:val="000000010000" w:firstRow="0" w:lastRow="0" w:firstColumn="0" w:lastColumn="0" w:oddVBand="0" w:evenVBand="0" w:oddHBand="0" w:evenHBand="1"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hideMark/>
          </w:tcPr>
          <w:p w14:paraId="08CFBF69" w14:textId="77777777" w:rsidR="001031AC" w:rsidRPr="001031AC" w:rsidRDefault="001031AC" w:rsidP="001031AC">
            <w:pPr>
              <w:jc w:val="left"/>
              <w:rPr>
                <w:rFonts w:eastAsia="Times New Roman"/>
                <w:color w:val="auto"/>
              </w:rPr>
            </w:pPr>
          </w:p>
        </w:tc>
        <w:tc>
          <w:tcPr>
            <w:tcW w:w="0" w:type="auto"/>
            <w:hideMark/>
          </w:tcPr>
          <w:p w14:paraId="24EEC3A3" w14:textId="77777777" w:rsidR="001031AC" w:rsidRPr="001031AC" w:rsidRDefault="001031AC" w:rsidP="001031AC">
            <w:pPr>
              <w:spacing w:before="240" w:after="240"/>
              <w:jc w:val="center"/>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Remote work</w:t>
            </w:r>
          </w:p>
        </w:tc>
        <w:tc>
          <w:tcPr>
            <w:tcW w:w="0" w:type="auto"/>
            <w:hideMark/>
          </w:tcPr>
          <w:p w14:paraId="76D4094C" w14:textId="77777777" w:rsidR="001031AC" w:rsidRPr="001031AC" w:rsidRDefault="001031AC" w:rsidP="001031AC">
            <w:pPr>
              <w:spacing w:before="240" w:after="240"/>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During the COVID-19 pandemic situation, it is important to provide remote work opportunities to the employees.</w:t>
            </w:r>
          </w:p>
        </w:tc>
      </w:tr>
      <w:tr w:rsidR="001031AC" w:rsidRPr="001031AC" w14:paraId="4DF7FB15" w14:textId="77777777" w:rsidTr="00573151">
        <w:trPr>
          <w:cnfStyle w:val="000000100000" w:firstRow="0" w:lastRow="0" w:firstColumn="0" w:lastColumn="0" w:oddVBand="0" w:evenVBand="0" w:oddHBand="1"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CD1E83B" w14:textId="77777777" w:rsidR="001031AC" w:rsidRPr="001031AC" w:rsidRDefault="001031AC" w:rsidP="001031AC">
            <w:pPr>
              <w:spacing w:before="240" w:after="240"/>
              <w:jc w:val="center"/>
              <w:rPr>
                <w:rFonts w:eastAsia="Times New Roman"/>
                <w:color w:val="auto"/>
              </w:rPr>
            </w:pPr>
            <w:r w:rsidRPr="001031AC">
              <w:rPr>
                <w:rFonts w:eastAsia="Times New Roman"/>
              </w:rPr>
              <w:t>Career</w:t>
            </w:r>
          </w:p>
        </w:tc>
        <w:tc>
          <w:tcPr>
            <w:tcW w:w="0" w:type="auto"/>
            <w:hideMark/>
          </w:tcPr>
          <w:p w14:paraId="3BC6D994" w14:textId="77777777" w:rsidR="001031AC" w:rsidRPr="001031AC" w:rsidRDefault="001031AC" w:rsidP="001031AC">
            <w:pPr>
              <w:spacing w:before="240"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Promotion</w:t>
            </w:r>
          </w:p>
        </w:tc>
        <w:tc>
          <w:tcPr>
            <w:tcW w:w="0" w:type="auto"/>
            <w:hideMark/>
          </w:tcPr>
          <w:p w14:paraId="5695DACE" w14:textId="77777777" w:rsidR="001031AC" w:rsidRPr="001031AC" w:rsidRDefault="001031AC" w:rsidP="001031AC">
            <w:pPr>
              <w:spacing w:before="240" w:after="240"/>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Promotional opportunity is an effective tool for an organisation to keep the employees motivated and engaged to give better performance towards achieving common organisational goals (</w:t>
            </w:r>
            <w:r w:rsidRPr="00573151">
              <w:t>Pawar, 2018, p. 93</w:t>
            </w:r>
            <w:r w:rsidRPr="001031AC">
              <w:rPr>
                <w:rFonts w:eastAsia="Times New Roman"/>
              </w:rPr>
              <w:t>).  </w:t>
            </w:r>
          </w:p>
        </w:tc>
      </w:tr>
      <w:tr w:rsidR="001031AC" w:rsidRPr="001031AC" w14:paraId="16DEBEC0" w14:textId="77777777" w:rsidTr="00573151">
        <w:trPr>
          <w:cnfStyle w:val="000000010000" w:firstRow="0" w:lastRow="0" w:firstColumn="0" w:lastColumn="0" w:oddVBand="0" w:evenVBand="0" w:oddHBand="0" w:evenHBand="1"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hideMark/>
          </w:tcPr>
          <w:p w14:paraId="3D684433" w14:textId="77777777" w:rsidR="001031AC" w:rsidRPr="001031AC" w:rsidRDefault="001031AC" w:rsidP="001031AC">
            <w:pPr>
              <w:jc w:val="left"/>
              <w:rPr>
                <w:rFonts w:eastAsia="Times New Roman"/>
                <w:color w:val="auto"/>
              </w:rPr>
            </w:pPr>
          </w:p>
        </w:tc>
        <w:tc>
          <w:tcPr>
            <w:tcW w:w="0" w:type="auto"/>
            <w:hideMark/>
          </w:tcPr>
          <w:p w14:paraId="640D1DC2" w14:textId="77777777" w:rsidR="001031AC" w:rsidRPr="001031AC" w:rsidRDefault="001031AC" w:rsidP="001031AC">
            <w:pPr>
              <w:spacing w:before="240" w:after="240"/>
              <w:jc w:val="center"/>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Training</w:t>
            </w:r>
          </w:p>
        </w:tc>
        <w:tc>
          <w:tcPr>
            <w:tcW w:w="0" w:type="auto"/>
            <w:hideMark/>
          </w:tcPr>
          <w:p w14:paraId="663B9562" w14:textId="77777777" w:rsidR="001031AC" w:rsidRPr="001031AC" w:rsidRDefault="001031AC" w:rsidP="001031AC">
            <w:pPr>
              <w:spacing w:before="240" w:after="240"/>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Training to the employees is an effective tool for providing opportunities to increase knowledge and skills. It is further effective for increasing employee engagement within an organisation. </w:t>
            </w:r>
          </w:p>
        </w:tc>
      </w:tr>
      <w:tr w:rsidR="001031AC" w:rsidRPr="001031AC" w14:paraId="0594E8F4" w14:textId="77777777" w:rsidTr="00573151">
        <w:trPr>
          <w:cnfStyle w:val="000000100000" w:firstRow="0" w:lastRow="0" w:firstColumn="0" w:lastColumn="0" w:oddVBand="0" w:evenVBand="0" w:oddHBand="1"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A487FAC" w14:textId="77777777" w:rsidR="001031AC" w:rsidRPr="001031AC" w:rsidRDefault="001031AC" w:rsidP="001031AC">
            <w:pPr>
              <w:spacing w:before="240" w:after="240"/>
              <w:jc w:val="center"/>
              <w:rPr>
                <w:rFonts w:eastAsia="Times New Roman"/>
                <w:color w:val="auto"/>
              </w:rPr>
            </w:pPr>
            <w:r w:rsidRPr="001031AC">
              <w:rPr>
                <w:rFonts w:eastAsia="Times New Roman"/>
              </w:rPr>
              <w:t>Culture</w:t>
            </w:r>
          </w:p>
        </w:tc>
        <w:tc>
          <w:tcPr>
            <w:tcW w:w="0" w:type="auto"/>
            <w:hideMark/>
          </w:tcPr>
          <w:p w14:paraId="4A56E4F7" w14:textId="77777777" w:rsidR="001031AC" w:rsidRPr="001031AC" w:rsidRDefault="001031AC" w:rsidP="001031AC">
            <w:pPr>
              <w:spacing w:before="240"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Mission and values</w:t>
            </w:r>
          </w:p>
        </w:tc>
        <w:tc>
          <w:tcPr>
            <w:tcW w:w="0" w:type="auto"/>
            <w:hideMark/>
          </w:tcPr>
          <w:p w14:paraId="029ABEC3" w14:textId="77777777" w:rsidR="001031AC" w:rsidRPr="001031AC" w:rsidRDefault="001031AC" w:rsidP="001031AC">
            <w:pPr>
              <w:spacing w:before="240" w:after="240"/>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Organisational values and missions need to be transparently shared with the employees.   </w:t>
            </w:r>
          </w:p>
        </w:tc>
      </w:tr>
      <w:tr w:rsidR="001031AC" w:rsidRPr="001031AC" w14:paraId="1B2AABF3" w14:textId="77777777" w:rsidTr="00573151">
        <w:trPr>
          <w:cnfStyle w:val="000000010000" w:firstRow="0" w:lastRow="0" w:firstColumn="0" w:lastColumn="0" w:oddVBand="0" w:evenVBand="0" w:oddHBand="0" w:evenHBand="1"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hideMark/>
          </w:tcPr>
          <w:p w14:paraId="3CB98F44" w14:textId="77777777" w:rsidR="001031AC" w:rsidRPr="001031AC" w:rsidRDefault="001031AC" w:rsidP="001031AC">
            <w:pPr>
              <w:jc w:val="left"/>
              <w:rPr>
                <w:rFonts w:eastAsia="Times New Roman"/>
                <w:color w:val="auto"/>
              </w:rPr>
            </w:pPr>
          </w:p>
        </w:tc>
        <w:tc>
          <w:tcPr>
            <w:tcW w:w="0" w:type="auto"/>
            <w:hideMark/>
          </w:tcPr>
          <w:p w14:paraId="35B9FE22" w14:textId="77777777" w:rsidR="001031AC" w:rsidRPr="001031AC" w:rsidRDefault="001031AC" w:rsidP="001031AC">
            <w:pPr>
              <w:spacing w:before="240" w:after="240"/>
              <w:jc w:val="center"/>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Working environment</w:t>
            </w:r>
          </w:p>
        </w:tc>
        <w:tc>
          <w:tcPr>
            <w:tcW w:w="0" w:type="auto"/>
            <w:hideMark/>
          </w:tcPr>
          <w:p w14:paraId="3B57321F" w14:textId="77777777" w:rsidR="001031AC" w:rsidRPr="001031AC" w:rsidRDefault="001031AC" w:rsidP="001031AC">
            <w:pPr>
              <w:spacing w:before="240" w:after="240"/>
              <w:cnfStyle w:val="000000010000" w:firstRow="0" w:lastRow="0" w:firstColumn="0" w:lastColumn="0" w:oddVBand="0" w:evenVBand="0" w:oddHBand="0" w:evenHBand="1" w:firstRowFirstColumn="0" w:firstRowLastColumn="0" w:lastRowFirstColumn="0" w:lastRowLastColumn="0"/>
              <w:rPr>
                <w:rFonts w:eastAsia="Times New Roman"/>
                <w:color w:val="auto"/>
              </w:rPr>
            </w:pPr>
            <w:r w:rsidRPr="001031AC">
              <w:rPr>
                <w:rFonts w:eastAsia="Times New Roman"/>
              </w:rPr>
              <w:t>During a pandemic situation, a safe, hygienic working environment with flexible working hours is effective for keeping employees motivated and engaged.   </w:t>
            </w:r>
          </w:p>
        </w:tc>
      </w:tr>
      <w:tr w:rsidR="001031AC" w:rsidRPr="001031AC" w14:paraId="1451CAF3" w14:textId="77777777" w:rsidTr="00573151">
        <w:trPr>
          <w:cnfStyle w:val="000000100000" w:firstRow="0" w:lastRow="0" w:firstColumn="0" w:lastColumn="0" w:oddVBand="0" w:evenVBand="0" w:oddHBand="1"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0" w:type="auto"/>
            <w:vMerge/>
            <w:hideMark/>
          </w:tcPr>
          <w:p w14:paraId="4F135734" w14:textId="77777777" w:rsidR="001031AC" w:rsidRPr="001031AC" w:rsidRDefault="001031AC" w:rsidP="001031AC">
            <w:pPr>
              <w:jc w:val="left"/>
              <w:rPr>
                <w:rFonts w:eastAsia="Times New Roman"/>
                <w:color w:val="auto"/>
              </w:rPr>
            </w:pPr>
          </w:p>
        </w:tc>
        <w:tc>
          <w:tcPr>
            <w:tcW w:w="0" w:type="auto"/>
            <w:hideMark/>
          </w:tcPr>
          <w:p w14:paraId="34053C22" w14:textId="77777777" w:rsidR="001031AC" w:rsidRPr="001031AC" w:rsidRDefault="001031AC" w:rsidP="001031AC">
            <w:pPr>
              <w:spacing w:before="240" w:after="240"/>
              <w:jc w:val="center"/>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Teamwork</w:t>
            </w:r>
          </w:p>
        </w:tc>
        <w:tc>
          <w:tcPr>
            <w:tcW w:w="0" w:type="auto"/>
            <w:hideMark/>
          </w:tcPr>
          <w:p w14:paraId="47E0C0D0" w14:textId="77777777" w:rsidR="001031AC" w:rsidRPr="001031AC" w:rsidRDefault="001031AC" w:rsidP="001031AC">
            <w:pPr>
              <w:spacing w:before="240" w:after="240"/>
              <w:cnfStyle w:val="000000100000" w:firstRow="0" w:lastRow="0" w:firstColumn="0" w:lastColumn="0" w:oddVBand="0" w:evenVBand="0" w:oddHBand="1" w:evenHBand="0" w:firstRowFirstColumn="0" w:firstRowLastColumn="0" w:lastRowFirstColumn="0" w:lastRowLastColumn="0"/>
              <w:rPr>
                <w:rFonts w:eastAsia="Times New Roman"/>
                <w:color w:val="auto"/>
              </w:rPr>
            </w:pPr>
            <w:r w:rsidRPr="001031AC">
              <w:rPr>
                <w:rFonts w:eastAsia="Times New Roman"/>
              </w:rPr>
              <w:t>Collaboration and cooperation within the team need to be maintained to increase productivity and efficiency.  </w:t>
            </w:r>
          </w:p>
        </w:tc>
      </w:tr>
    </w:tbl>
    <w:p w14:paraId="20E38886" w14:textId="77777777" w:rsidR="001031AC" w:rsidRPr="001031AC" w:rsidRDefault="001031AC" w:rsidP="000C14C7">
      <w:pPr>
        <w:spacing w:before="240" w:after="240"/>
        <w:jc w:val="center"/>
        <w:rPr>
          <w:rFonts w:eastAsia="Times New Roman"/>
          <w:color w:val="auto"/>
        </w:rPr>
      </w:pPr>
      <w:r w:rsidRPr="001031AC">
        <w:rPr>
          <w:rFonts w:eastAsia="Times New Roman"/>
          <w:b/>
          <w:bCs/>
        </w:rPr>
        <w:t>Table 1: Employee value proposition for John Lewis partnership</w:t>
      </w:r>
    </w:p>
    <w:p w14:paraId="53F931A7" w14:textId="4AA80B18" w:rsidR="001031AC" w:rsidRPr="001031AC" w:rsidRDefault="001031AC" w:rsidP="001031AC">
      <w:pPr>
        <w:spacing w:before="240" w:after="240"/>
        <w:jc w:val="center"/>
        <w:rPr>
          <w:rFonts w:eastAsia="Times New Roman"/>
          <w:color w:val="auto"/>
        </w:rPr>
      </w:pPr>
      <w:r w:rsidRPr="001031AC">
        <w:rPr>
          <w:rFonts w:eastAsia="Times New Roman"/>
        </w:rPr>
        <w:t xml:space="preserve">(Source: Created by the </w:t>
      </w:r>
      <w:r w:rsidR="00E44540">
        <w:rPr>
          <w:rFonts w:eastAsia="Times New Roman"/>
        </w:rPr>
        <w:t>student M Zaharia</w:t>
      </w:r>
      <w:r w:rsidRPr="001031AC">
        <w:rPr>
          <w:rFonts w:eastAsia="Times New Roman"/>
        </w:rPr>
        <w:t>)  </w:t>
      </w:r>
    </w:p>
    <w:p w14:paraId="19F2BD9F" w14:textId="77777777" w:rsidR="001031AC" w:rsidRPr="001031AC" w:rsidRDefault="001031AC" w:rsidP="00590A03">
      <w:pPr>
        <w:pStyle w:val="Heading1"/>
        <w:rPr>
          <w:color w:val="auto"/>
          <w:kern w:val="36"/>
        </w:rPr>
      </w:pPr>
      <w:bookmarkStart w:id="4" w:name="_Toc89513486"/>
      <w:r w:rsidRPr="001031AC">
        <w:rPr>
          <w:kern w:val="36"/>
        </w:rPr>
        <w:t>Conclusion</w:t>
      </w:r>
      <w:bookmarkEnd w:id="4"/>
    </w:p>
    <w:p w14:paraId="10612A19" w14:textId="77777777" w:rsidR="001031AC" w:rsidRPr="001031AC" w:rsidRDefault="001031AC" w:rsidP="001031AC">
      <w:pPr>
        <w:spacing w:after="0"/>
        <w:rPr>
          <w:rFonts w:eastAsia="Times New Roman"/>
          <w:color w:val="auto"/>
        </w:rPr>
      </w:pPr>
      <w:r w:rsidRPr="001031AC">
        <w:rPr>
          <w:rFonts w:eastAsia="Times New Roman"/>
        </w:rPr>
        <w:t xml:space="preserve">From the above study, it can be concluded that employee engagement is an important factor that determines the success of an organisation. Employee engagement </w:t>
      </w:r>
      <w:r w:rsidR="007E1661" w:rsidRPr="001031AC">
        <w:rPr>
          <w:rFonts w:eastAsia="Times New Roman"/>
        </w:rPr>
        <w:t>indicates</w:t>
      </w:r>
      <w:r w:rsidRPr="001031AC">
        <w:rPr>
          <w:rFonts w:eastAsia="Times New Roman"/>
        </w:rPr>
        <w:t xml:space="preserve"> the success of organisational policies to keep the employees engaged. Feedback, capacity, leadership style, safety, professional </w:t>
      </w:r>
      <w:proofErr w:type="gramStart"/>
      <w:r w:rsidRPr="001031AC">
        <w:rPr>
          <w:rFonts w:eastAsia="Times New Roman"/>
        </w:rPr>
        <w:t>development</w:t>
      </w:r>
      <w:proofErr w:type="gramEnd"/>
      <w:r w:rsidRPr="001031AC">
        <w:rPr>
          <w:rFonts w:eastAsia="Times New Roman"/>
        </w:rPr>
        <w:t xml:space="preserve"> and shared values are driving factors that determine the level of employee engagement within an organisation. During the pandemic outbreak, John Lewis provides a flexible and safe working environment is important for motivating employees and keeping them engaged.  </w:t>
      </w:r>
    </w:p>
    <w:p w14:paraId="7A98B06F" w14:textId="77777777" w:rsidR="001031AC" w:rsidRPr="001031AC" w:rsidRDefault="001031AC" w:rsidP="001031AC">
      <w:pPr>
        <w:spacing w:after="240"/>
        <w:jc w:val="left"/>
        <w:rPr>
          <w:rFonts w:eastAsia="Times New Roman"/>
          <w:color w:val="auto"/>
        </w:rPr>
      </w:pPr>
    </w:p>
    <w:p w14:paraId="4EB58ABC" w14:textId="77777777" w:rsidR="001031AC" w:rsidRPr="003F2171" w:rsidRDefault="001031AC" w:rsidP="001031AC">
      <w:pPr>
        <w:jc w:val="left"/>
      </w:pPr>
      <w:r w:rsidRPr="003F2171">
        <w:br w:type="page"/>
      </w:r>
    </w:p>
    <w:p w14:paraId="2598243E" w14:textId="77777777" w:rsidR="00FC3B40" w:rsidRPr="003F2171" w:rsidRDefault="00FC3B40" w:rsidP="001031AC">
      <w:pPr>
        <w:pStyle w:val="Heading1"/>
      </w:pPr>
      <w:bookmarkStart w:id="5" w:name="_Toc89513487"/>
      <w:r w:rsidRPr="003F2171">
        <w:lastRenderedPageBreak/>
        <w:t>Reference list</w:t>
      </w:r>
      <w:bookmarkEnd w:id="5"/>
    </w:p>
    <w:p w14:paraId="58B31F1C" w14:textId="77777777" w:rsidR="007543F9" w:rsidRPr="003F2171" w:rsidRDefault="007543F9" w:rsidP="002F52A0">
      <w:pPr>
        <w:rPr>
          <w:shd w:val="clear" w:color="auto" w:fill="FFFFFF"/>
        </w:rPr>
      </w:pPr>
      <w:r w:rsidRPr="003F2171">
        <w:rPr>
          <w:shd w:val="clear" w:color="auto" w:fill="FFFFFF"/>
        </w:rPr>
        <w:t>AKOB, M., ARIANTY, R. and Putra, A.H.P.K., (2020). ‘The Mediating Role of Distribution Kahn's Engagement: An Empirical Evidence of Salesforce in Indonesia.’ </w:t>
      </w:r>
      <w:r w:rsidRPr="003F2171">
        <w:rPr>
          <w:i/>
          <w:iCs/>
          <w:shd w:val="clear" w:color="auto" w:fill="FFFFFF"/>
        </w:rPr>
        <w:t>The Journal of Asian Finance, Economics, and Business</w:t>
      </w:r>
      <w:r w:rsidRPr="003F2171">
        <w:rPr>
          <w:shd w:val="clear" w:color="auto" w:fill="FFFFFF"/>
        </w:rPr>
        <w:t>, </w:t>
      </w:r>
      <w:r w:rsidRPr="003F2171">
        <w:rPr>
          <w:i/>
          <w:iCs/>
          <w:shd w:val="clear" w:color="auto" w:fill="FFFFFF"/>
        </w:rPr>
        <w:t>7</w:t>
      </w:r>
      <w:r w:rsidRPr="003F2171">
        <w:rPr>
          <w:shd w:val="clear" w:color="auto" w:fill="FFFFFF"/>
        </w:rPr>
        <w:t>(2), pp.249-260.</w:t>
      </w:r>
    </w:p>
    <w:p w14:paraId="6ABD650A" w14:textId="77777777" w:rsidR="007543F9" w:rsidRPr="003F2171" w:rsidRDefault="007543F9" w:rsidP="000B43E4">
      <w:pPr>
        <w:rPr>
          <w:shd w:val="clear" w:color="auto" w:fill="FFFFFF"/>
        </w:rPr>
      </w:pPr>
      <w:proofErr w:type="spellStart"/>
      <w:r w:rsidRPr="003F2171">
        <w:rPr>
          <w:shd w:val="clear" w:color="auto" w:fill="FFFFFF"/>
        </w:rPr>
        <w:t>Ariyanto</w:t>
      </w:r>
      <w:proofErr w:type="spellEnd"/>
      <w:r w:rsidRPr="003F2171">
        <w:rPr>
          <w:shd w:val="clear" w:color="auto" w:fill="FFFFFF"/>
        </w:rPr>
        <w:t xml:space="preserve">, R. and </w:t>
      </w:r>
      <w:proofErr w:type="spellStart"/>
      <w:r w:rsidRPr="003F2171">
        <w:rPr>
          <w:shd w:val="clear" w:color="auto" w:fill="FFFFFF"/>
        </w:rPr>
        <w:t>Kustini</w:t>
      </w:r>
      <w:proofErr w:type="spellEnd"/>
      <w:r w:rsidRPr="003F2171">
        <w:rPr>
          <w:shd w:val="clear" w:color="auto" w:fill="FFFFFF"/>
        </w:rPr>
        <w:t xml:space="preserve">, K., </w:t>
      </w:r>
      <w:r w:rsidR="00BE5D7C">
        <w:t>(</w:t>
      </w:r>
      <w:r w:rsidR="00BE5D7C" w:rsidRPr="003F2171">
        <w:t>2021</w:t>
      </w:r>
      <w:r w:rsidR="00BE5D7C">
        <w:t>)</w:t>
      </w:r>
      <w:r w:rsidRPr="003F2171">
        <w:rPr>
          <w:shd w:val="clear" w:color="auto" w:fill="FFFFFF"/>
        </w:rPr>
        <w:t xml:space="preserve"> </w:t>
      </w:r>
      <w:r w:rsidR="00BE5D7C">
        <w:rPr>
          <w:shd w:val="clear" w:color="auto" w:fill="FFFFFF"/>
        </w:rPr>
        <w:t>‘</w:t>
      </w:r>
      <w:r w:rsidRPr="003F2171">
        <w:rPr>
          <w:shd w:val="clear" w:color="auto" w:fill="FFFFFF"/>
        </w:rPr>
        <w:t xml:space="preserve">Employer branding and employee value proposition: The key success of </w:t>
      </w:r>
      <w:proofErr w:type="spellStart"/>
      <w:r w:rsidRPr="003F2171">
        <w:rPr>
          <w:shd w:val="clear" w:color="auto" w:fill="FFFFFF"/>
        </w:rPr>
        <w:t>startup</w:t>
      </w:r>
      <w:proofErr w:type="spellEnd"/>
      <w:r w:rsidRPr="003F2171">
        <w:rPr>
          <w:shd w:val="clear" w:color="auto" w:fill="FFFFFF"/>
        </w:rPr>
        <w:t xml:space="preserve"> companies in attracting potential employee candidates.</w:t>
      </w:r>
      <w:r w:rsidR="00BE5D7C">
        <w:rPr>
          <w:shd w:val="clear" w:color="auto" w:fill="FFFFFF"/>
        </w:rPr>
        <w:t>’</w:t>
      </w:r>
      <w:r w:rsidRPr="003F2171">
        <w:rPr>
          <w:shd w:val="clear" w:color="auto" w:fill="FFFFFF"/>
        </w:rPr>
        <w:t> </w:t>
      </w:r>
      <w:r w:rsidRPr="003F2171">
        <w:rPr>
          <w:i/>
          <w:iCs/>
          <w:shd w:val="clear" w:color="auto" w:fill="FFFFFF"/>
        </w:rPr>
        <w:t>Annals of Human Resource Management Research</w:t>
      </w:r>
      <w:r w:rsidRPr="003F2171">
        <w:rPr>
          <w:shd w:val="clear" w:color="auto" w:fill="FFFFFF"/>
        </w:rPr>
        <w:t>, </w:t>
      </w:r>
      <w:r w:rsidRPr="003F2171">
        <w:rPr>
          <w:i/>
          <w:iCs/>
          <w:shd w:val="clear" w:color="auto" w:fill="FFFFFF"/>
        </w:rPr>
        <w:t>1</w:t>
      </w:r>
      <w:r w:rsidRPr="003F2171">
        <w:rPr>
          <w:shd w:val="clear" w:color="auto" w:fill="FFFFFF"/>
        </w:rPr>
        <w:t>(2), pp.113-125.</w:t>
      </w:r>
    </w:p>
    <w:p w14:paraId="7EDA11BD" w14:textId="77777777" w:rsidR="007543F9" w:rsidRPr="003F2171" w:rsidRDefault="007543F9" w:rsidP="002F52A0">
      <w:r w:rsidRPr="003F2171">
        <w:t xml:space="preserve">John Lewis Partnership, </w:t>
      </w:r>
      <w:r w:rsidR="00BE5D7C">
        <w:t>(</w:t>
      </w:r>
      <w:r w:rsidRPr="003F2171">
        <w:t>2021</w:t>
      </w:r>
      <w:r w:rsidR="00BE5D7C">
        <w:t>)</w:t>
      </w:r>
      <w:r w:rsidRPr="003F2171">
        <w:t xml:space="preserve">. </w:t>
      </w:r>
      <w:r w:rsidRPr="003F2171">
        <w:rPr>
          <w:i/>
        </w:rPr>
        <w:t xml:space="preserve">Home </w:t>
      </w:r>
      <w:r w:rsidRPr="003F2171">
        <w:t>Available at: https://www.johnlewispartnership.co.uk/ (Accessed: 4 December 2021)</w:t>
      </w:r>
    </w:p>
    <w:p w14:paraId="0EE76916" w14:textId="77777777" w:rsidR="007543F9" w:rsidRPr="003F2171" w:rsidRDefault="007543F9" w:rsidP="002F52A0">
      <w:r w:rsidRPr="003F2171">
        <w:rPr>
          <w:shd w:val="clear" w:color="auto" w:fill="FFFFFF"/>
        </w:rPr>
        <w:t xml:space="preserve">Lemon, L.L. and Palenchar, M.J., (2018). </w:t>
      </w:r>
      <w:r w:rsidR="00FA4F17">
        <w:rPr>
          <w:shd w:val="clear" w:color="auto" w:fill="FFFFFF"/>
        </w:rPr>
        <w:t>‘</w:t>
      </w:r>
      <w:r w:rsidRPr="003F2171">
        <w:rPr>
          <w:shd w:val="clear" w:color="auto" w:fill="FFFFFF"/>
        </w:rPr>
        <w:t>Public relations and zones of engagement: Employees’ lived experiences and the fundamental nature of employee engagement</w:t>
      </w:r>
      <w:r w:rsidR="00FA4F17">
        <w:rPr>
          <w:shd w:val="clear" w:color="auto" w:fill="FFFFFF"/>
        </w:rPr>
        <w:t>’</w:t>
      </w:r>
      <w:r w:rsidRPr="003F2171">
        <w:rPr>
          <w:shd w:val="clear" w:color="auto" w:fill="FFFFFF"/>
        </w:rPr>
        <w:t>. </w:t>
      </w:r>
      <w:r w:rsidRPr="003F2171">
        <w:rPr>
          <w:i/>
          <w:iCs/>
          <w:shd w:val="clear" w:color="auto" w:fill="FFFFFF"/>
        </w:rPr>
        <w:t>Public Relations Review</w:t>
      </w:r>
      <w:r w:rsidRPr="003F2171">
        <w:rPr>
          <w:shd w:val="clear" w:color="auto" w:fill="FFFFFF"/>
        </w:rPr>
        <w:t>, </w:t>
      </w:r>
      <w:r w:rsidRPr="003F2171">
        <w:rPr>
          <w:i/>
          <w:iCs/>
          <w:shd w:val="clear" w:color="auto" w:fill="FFFFFF"/>
        </w:rPr>
        <w:t>44</w:t>
      </w:r>
      <w:r w:rsidRPr="003F2171">
        <w:rPr>
          <w:shd w:val="clear" w:color="auto" w:fill="FFFFFF"/>
        </w:rPr>
        <w:t>(1), pp.142-155.</w:t>
      </w:r>
    </w:p>
    <w:p w14:paraId="5EB73A58" w14:textId="77777777" w:rsidR="007543F9" w:rsidRPr="003F2171" w:rsidRDefault="007543F9" w:rsidP="002F52A0">
      <w:r w:rsidRPr="003F2171">
        <w:t xml:space="preserve">LinkedIn, (2021). </w:t>
      </w:r>
      <w:r w:rsidRPr="003F2171">
        <w:rPr>
          <w:i/>
        </w:rPr>
        <w:t>John Lewis Partnership</w:t>
      </w:r>
      <w:r w:rsidRPr="003F2171">
        <w:t xml:space="preserve"> Available at: https://uk.linkedin.com/in/benedrop (Accessed: 4 December 2021)</w:t>
      </w:r>
    </w:p>
    <w:p w14:paraId="36463B81" w14:textId="77777777" w:rsidR="007543F9" w:rsidRPr="003F2171" w:rsidRDefault="007543F9" w:rsidP="002F52A0">
      <w:pPr>
        <w:rPr>
          <w:shd w:val="clear" w:color="auto" w:fill="FFFFFF"/>
        </w:rPr>
      </w:pPr>
      <w:r w:rsidRPr="003F2171">
        <w:rPr>
          <w:shd w:val="clear" w:color="auto" w:fill="FFFFFF"/>
        </w:rPr>
        <w:t xml:space="preserve">Milliman, J., Gatling, </w:t>
      </w:r>
      <w:proofErr w:type="gramStart"/>
      <w:r w:rsidRPr="003F2171">
        <w:rPr>
          <w:shd w:val="clear" w:color="auto" w:fill="FFFFFF"/>
        </w:rPr>
        <w:t>A.</w:t>
      </w:r>
      <w:proofErr w:type="gramEnd"/>
      <w:r w:rsidRPr="003F2171">
        <w:rPr>
          <w:shd w:val="clear" w:color="auto" w:fill="FFFFFF"/>
        </w:rPr>
        <w:t xml:space="preserve"> and Kim, J.S., (2018). ‘The effect of workplace spirituality on hospitality employee engagement, intention to stay, and service delivery.’ </w:t>
      </w:r>
      <w:r w:rsidRPr="003F2171">
        <w:rPr>
          <w:i/>
          <w:iCs/>
          <w:shd w:val="clear" w:color="auto" w:fill="FFFFFF"/>
        </w:rPr>
        <w:t>Journal of Hospitality and Tourism Management</w:t>
      </w:r>
      <w:r w:rsidRPr="003F2171">
        <w:rPr>
          <w:shd w:val="clear" w:color="auto" w:fill="FFFFFF"/>
        </w:rPr>
        <w:t>, </w:t>
      </w:r>
      <w:r w:rsidRPr="003F2171">
        <w:rPr>
          <w:i/>
          <w:iCs/>
          <w:shd w:val="clear" w:color="auto" w:fill="FFFFFF"/>
        </w:rPr>
        <w:t>35</w:t>
      </w:r>
      <w:r w:rsidRPr="003F2171">
        <w:rPr>
          <w:shd w:val="clear" w:color="auto" w:fill="FFFFFF"/>
        </w:rPr>
        <w:t>, pp.56-65.</w:t>
      </w:r>
    </w:p>
    <w:p w14:paraId="3F658F2B" w14:textId="77777777" w:rsidR="007543F9" w:rsidRPr="003F2171" w:rsidRDefault="007543F9" w:rsidP="002F52A0">
      <w:r w:rsidRPr="003F2171">
        <w:rPr>
          <w:shd w:val="clear" w:color="auto" w:fill="FFFFFF"/>
        </w:rPr>
        <w:t xml:space="preserve">Motyka, B., </w:t>
      </w:r>
      <w:r w:rsidR="00BE5D7C">
        <w:rPr>
          <w:shd w:val="clear" w:color="auto" w:fill="FFFFFF"/>
        </w:rPr>
        <w:t>(</w:t>
      </w:r>
      <w:r w:rsidRPr="003F2171">
        <w:rPr>
          <w:shd w:val="clear" w:color="auto" w:fill="FFFFFF"/>
        </w:rPr>
        <w:t>2018</w:t>
      </w:r>
      <w:r w:rsidR="00BE5D7C">
        <w:rPr>
          <w:shd w:val="clear" w:color="auto" w:fill="FFFFFF"/>
        </w:rPr>
        <w:t>)</w:t>
      </w:r>
      <w:r w:rsidRPr="003F2171">
        <w:rPr>
          <w:shd w:val="clear" w:color="auto" w:fill="FFFFFF"/>
        </w:rPr>
        <w:t xml:space="preserve">. </w:t>
      </w:r>
      <w:r w:rsidR="003149DF">
        <w:rPr>
          <w:shd w:val="clear" w:color="auto" w:fill="FFFFFF"/>
        </w:rPr>
        <w:t>‘</w:t>
      </w:r>
      <w:r w:rsidRPr="003F2171">
        <w:rPr>
          <w:shd w:val="clear" w:color="auto" w:fill="FFFFFF"/>
        </w:rPr>
        <w:t>Employee engagement and performance: a systematic literature review</w:t>
      </w:r>
      <w:r w:rsidR="003149DF">
        <w:rPr>
          <w:shd w:val="clear" w:color="auto" w:fill="FFFFFF"/>
        </w:rPr>
        <w:t>’</w:t>
      </w:r>
      <w:r w:rsidRPr="003F2171">
        <w:rPr>
          <w:shd w:val="clear" w:color="auto" w:fill="FFFFFF"/>
        </w:rPr>
        <w:t>. </w:t>
      </w:r>
      <w:r w:rsidRPr="003F2171">
        <w:rPr>
          <w:i/>
          <w:iCs/>
          <w:shd w:val="clear" w:color="auto" w:fill="FFFFFF"/>
        </w:rPr>
        <w:t>International Journal of Management and Economics</w:t>
      </w:r>
      <w:r w:rsidRPr="003F2171">
        <w:rPr>
          <w:shd w:val="clear" w:color="auto" w:fill="FFFFFF"/>
        </w:rPr>
        <w:t>, </w:t>
      </w:r>
      <w:r w:rsidRPr="003F2171">
        <w:rPr>
          <w:i/>
          <w:iCs/>
          <w:shd w:val="clear" w:color="auto" w:fill="FFFFFF"/>
        </w:rPr>
        <w:t>54</w:t>
      </w:r>
      <w:r w:rsidRPr="003F2171">
        <w:rPr>
          <w:shd w:val="clear" w:color="auto" w:fill="FFFFFF"/>
        </w:rPr>
        <w:t>(3), pp.227-244.</w:t>
      </w:r>
    </w:p>
    <w:p w14:paraId="36322D27" w14:textId="77777777" w:rsidR="007543F9" w:rsidRPr="003F2171" w:rsidRDefault="007543F9" w:rsidP="002F52A0">
      <w:r w:rsidRPr="003F2171">
        <w:rPr>
          <w:shd w:val="clear" w:color="auto" w:fill="FFFFFF"/>
        </w:rPr>
        <w:t xml:space="preserve">Pawar, A., </w:t>
      </w:r>
      <w:r w:rsidR="00AD1474">
        <w:rPr>
          <w:shd w:val="clear" w:color="auto" w:fill="FFFFFF"/>
        </w:rPr>
        <w:t>(</w:t>
      </w:r>
      <w:r w:rsidRPr="003F2171">
        <w:rPr>
          <w:shd w:val="clear" w:color="auto" w:fill="FFFFFF"/>
        </w:rPr>
        <w:t>2018</w:t>
      </w:r>
      <w:r w:rsidR="00AD1474">
        <w:rPr>
          <w:shd w:val="clear" w:color="auto" w:fill="FFFFFF"/>
        </w:rPr>
        <w:t>)</w:t>
      </w:r>
      <w:r w:rsidRPr="003F2171">
        <w:rPr>
          <w:shd w:val="clear" w:color="auto" w:fill="FFFFFF"/>
        </w:rPr>
        <w:t xml:space="preserve">. </w:t>
      </w:r>
      <w:r w:rsidR="003149DF">
        <w:rPr>
          <w:shd w:val="clear" w:color="auto" w:fill="FFFFFF"/>
        </w:rPr>
        <w:t>‘</w:t>
      </w:r>
      <w:proofErr w:type="spellStart"/>
      <w:r w:rsidRPr="003F2171">
        <w:rPr>
          <w:shd w:val="clear" w:color="auto" w:fill="FFFFFF"/>
        </w:rPr>
        <w:t>Analyzing</w:t>
      </w:r>
      <w:proofErr w:type="spellEnd"/>
      <w:r w:rsidRPr="003F2171">
        <w:rPr>
          <w:shd w:val="clear" w:color="auto" w:fill="FFFFFF"/>
        </w:rPr>
        <w:t xml:space="preserve"> organizational elements of employee value proposition: the </w:t>
      </w:r>
      <w:proofErr w:type="gramStart"/>
      <w:r w:rsidRPr="003F2171">
        <w:rPr>
          <w:shd w:val="clear" w:color="auto" w:fill="FFFFFF"/>
        </w:rPr>
        <w:t>employees</w:t>
      </w:r>
      <w:proofErr w:type="gramEnd"/>
      <w:r w:rsidRPr="003F2171">
        <w:rPr>
          <w:shd w:val="clear" w:color="auto" w:fill="FFFFFF"/>
        </w:rPr>
        <w:t xml:space="preserve"> perspective</w:t>
      </w:r>
      <w:r w:rsidR="003149DF">
        <w:rPr>
          <w:shd w:val="clear" w:color="auto" w:fill="FFFFFF"/>
        </w:rPr>
        <w:t>’</w:t>
      </w:r>
      <w:r w:rsidRPr="003F2171">
        <w:rPr>
          <w:shd w:val="clear" w:color="auto" w:fill="FFFFFF"/>
        </w:rPr>
        <w:t>. In </w:t>
      </w:r>
      <w:r w:rsidRPr="003F2171">
        <w:rPr>
          <w:i/>
          <w:iCs/>
          <w:shd w:val="clear" w:color="auto" w:fill="FFFFFF"/>
        </w:rPr>
        <w:t>Proceedings of Asia Conference on Business and Economic Studies (ACBES) by University of Economics Ho Chi Minh City on 8th–9th Sep</w:t>
      </w:r>
      <w:r w:rsidRPr="003F2171">
        <w:rPr>
          <w:shd w:val="clear" w:color="auto" w:fill="FFFFFF"/>
        </w:rPr>
        <w:t> (pp. 94-103).</w:t>
      </w:r>
    </w:p>
    <w:p w14:paraId="3DFB046A" w14:textId="77777777" w:rsidR="007543F9" w:rsidRPr="003F2171" w:rsidRDefault="007543F9" w:rsidP="002F52A0">
      <w:pPr>
        <w:rPr>
          <w:shd w:val="clear" w:color="auto" w:fill="FFFFFF"/>
        </w:rPr>
      </w:pPr>
      <w:proofErr w:type="spellStart"/>
      <w:r w:rsidRPr="003F2171">
        <w:rPr>
          <w:shd w:val="clear" w:color="auto" w:fill="FFFFFF"/>
        </w:rPr>
        <w:t>Shrotryia</w:t>
      </w:r>
      <w:proofErr w:type="spellEnd"/>
      <w:r w:rsidRPr="003F2171">
        <w:rPr>
          <w:shd w:val="clear" w:color="auto" w:fill="FFFFFF"/>
        </w:rPr>
        <w:t>, V.K. and Dhanda, U., (2019). Content validity of assessment instrument for employee engagement. </w:t>
      </w:r>
      <w:r w:rsidRPr="003F2171">
        <w:rPr>
          <w:i/>
          <w:iCs/>
          <w:shd w:val="clear" w:color="auto" w:fill="FFFFFF"/>
        </w:rPr>
        <w:t>Sage Open</w:t>
      </w:r>
      <w:r w:rsidRPr="003F2171">
        <w:rPr>
          <w:shd w:val="clear" w:color="auto" w:fill="FFFFFF"/>
        </w:rPr>
        <w:t>, </w:t>
      </w:r>
      <w:r w:rsidRPr="003F2171">
        <w:rPr>
          <w:i/>
          <w:iCs/>
          <w:shd w:val="clear" w:color="auto" w:fill="FFFFFF"/>
        </w:rPr>
        <w:t>9</w:t>
      </w:r>
      <w:r w:rsidRPr="003F2171">
        <w:rPr>
          <w:shd w:val="clear" w:color="auto" w:fill="FFFFFF"/>
        </w:rPr>
        <w:t>(1), p.2158244018821751.</w:t>
      </w:r>
    </w:p>
    <w:p w14:paraId="61E528C7" w14:textId="77777777" w:rsidR="007543F9" w:rsidRPr="003F2171" w:rsidRDefault="007543F9" w:rsidP="002F52A0">
      <w:pPr>
        <w:rPr>
          <w:shd w:val="clear" w:color="auto" w:fill="FFFFFF"/>
        </w:rPr>
      </w:pPr>
      <w:r w:rsidRPr="003F2171">
        <w:rPr>
          <w:shd w:val="clear" w:color="auto" w:fill="FFFFFF"/>
        </w:rPr>
        <w:t xml:space="preserve">Shuck, B., </w:t>
      </w:r>
      <w:proofErr w:type="spellStart"/>
      <w:r w:rsidRPr="003F2171">
        <w:rPr>
          <w:shd w:val="clear" w:color="auto" w:fill="FFFFFF"/>
        </w:rPr>
        <w:t>Osam</w:t>
      </w:r>
      <w:proofErr w:type="spellEnd"/>
      <w:r w:rsidRPr="003F2171">
        <w:rPr>
          <w:shd w:val="clear" w:color="auto" w:fill="FFFFFF"/>
        </w:rPr>
        <w:t xml:space="preserve">, K., </w:t>
      </w:r>
      <w:proofErr w:type="spellStart"/>
      <w:r w:rsidRPr="003F2171">
        <w:rPr>
          <w:shd w:val="clear" w:color="auto" w:fill="FFFFFF"/>
        </w:rPr>
        <w:t>Zigarmi</w:t>
      </w:r>
      <w:proofErr w:type="spellEnd"/>
      <w:r w:rsidRPr="003F2171">
        <w:rPr>
          <w:shd w:val="clear" w:color="auto" w:fill="FFFFFF"/>
        </w:rPr>
        <w:t xml:space="preserve">, D. and Nimon, K., </w:t>
      </w:r>
      <w:r w:rsidR="00AD1474">
        <w:rPr>
          <w:shd w:val="clear" w:color="auto" w:fill="FFFFFF"/>
        </w:rPr>
        <w:t>(</w:t>
      </w:r>
      <w:r w:rsidRPr="003F2171">
        <w:rPr>
          <w:shd w:val="clear" w:color="auto" w:fill="FFFFFF"/>
        </w:rPr>
        <w:t>2017</w:t>
      </w:r>
      <w:r w:rsidR="00AD1474">
        <w:rPr>
          <w:shd w:val="clear" w:color="auto" w:fill="FFFFFF"/>
        </w:rPr>
        <w:t>)</w:t>
      </w:r>
      <w:r w:rsidRPr="003F2171">
        <w:rPr>
          <w:shd w:val="clear" w:color="auto" w:fill="FFFFFF"/>
        </w:rPr>
        <w:t>. Definitional and conceptual muddling: Identifying the positionality of employee engagement and defining the construct. </w:t>
      </w:r>
      <w:r w:rsidRPr="003F2171">
        <w:rPr>
          <w:i/>
          <w:iCs/>
          <w:shd w:val="clear" w:color="auto" w:fill="FFFFFF"/>
        </w:rPr>
        <w:t>Human Resource Development Review</w:t>
      </w:r>
      <w:r w:rsidRPr="003F2171">
        <w:rPr>
          <w:shd w:val="clear" w:color="auto" w:fill="FFFFFF"/>
        </w:rPr>
        <w:t>, </w:t>
      </w:r>
      <w:r w:rsidRPr="003F2171">
        <w:rPr>
          <w:i/>
          <w:iCs/>
          <w:shd w:val="clear" w:color="auto" w:fill="FFFFFF"/>
        </w:rPr>
        <w:t>16</w:t>
      </w:r>
      <w:r w:rsidRPr="003F2171">
        <w:rPr>
          <w:shd w:val="clear" w:color="auto" w:fill="FFFFFF"/>
        </w:rPr>
        <w:t>(3), pp.263-293.</w:t>
      </w:r>
    </w:p>
    <w:p w14:paraId="2F5A4511" w14:textId="77777777" w:rsidR="007543F9" w:rsidRPr="003F2171" w:rsidRDefault="007543F9" w:rsidP="002F52A0">
      <w:r w:rsidRPr="003F2171">
        <w:lastRenderedPageBreak/>
        <w:t xml:space="preserve">Statista, </w:t>
      </w:r>
      <w:r w:rsidR="00AD1474">
        <w:t>(</w:t>
      </w:r>
      <w:r w:rsidRPr="003F2171">
        <w:t>2021</w:t>
      </w:r>
      <w:r w:rsidR="00AD1474">
        <w:t>)</w:t>
      </w:r>
      <w:r w:rsidRPr="003F2171">
        <w:t xml:space="preserve">. </w:t>
      </w:r>
      <w:r w:rsidRPr="003F2171">
        <w:rPr>
          <w:i/>
        </w:rPr>
        <w:t>Number of employees at John Lewis Partnership plc in the United Kingdom (UK) from 2009 to 2021</w:t>
      </w:r>
      <w:r w:rsidRPr="003F2171">
        <w:t>Available at: https://www.statista.com/statistics/420213/john-lewis-partnership-employees-united-kingdom-uk/ (Accessed: 4 December 2021)</w:t>
      </w:r>
    </w:p>
    <w:sectPr w:rsidR="007543F9" w:rsidRPr="003F2171" w:rsidSect="005B1A1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6FFCB" w14:textId="77777777" w:rsidR="005B1CF2" w:rsidRPr="00DB5D85" w:rsidRDefault="005B1CF2" w:rsidP="00DB5D85">
      <w:pPr>
        <w:pStyle w:val="NormalWeb"/>
        <w:spacing w:before="0" w:after="0"/>
        <w:rPr>
          <w:rFonts w:ascii="Arial" w:eastAsiaTheme="minorHAnsi" w:hAnsi="Arial" w:cs="Arial"/>
          <w:sz w:val="22"/>
          <w:szCs w:val="22"/>
          <w:lang w:val="en-GB"/>
        </w:rPr>
      </w:pPr>
      <w:r>
        <w:separator/>
      </w:r>
    </w:p>
  </w:endnote>
  <w:endnote w:type="continuationSeparator" w:id="0">
    <w:p w14:paraId="55C56781" w14:textId="77777777" w:rsidR="005B1CF2" w:rsidRPr="00DB5D85" w:rsidRDefault="005B1CF2" w:rsidP="00DB5D85">
      <w:pPr>
        <w:pStyle w:val="NormalWeb"/>
        <w:spacing w:before="0" w:after="0"/>
        <w:rPr>
          <w:rFonts w:ascii="Arial" w:eastAsiaTheme="minorHAnsi" w:hAnsi="Arial" w:cs="Arial"/>
          <w:sz w:val="22"/>
          <w:szCs w:val="22"/>
          <w:lang w:val="en-GB"/>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860907"/>
      <w:docPartObj>
        <w:docPartGallery w:val="Page Numbers (Bottom of Page)"/>
        <w:docPartUnique/>
      </w:docPartObj>
    </w:sdtPr>
    <w:sdtEndPr/>
    <w:sdtContent>
      <w:p w14:paraId="15460D1E" w14:textId="77777777" w:rsidR="00DB5D85" w:rsidRDefault="00214B5C">
        <w:pPr>
          <w:pStyle w:val="Footer"/>
          <w:jc w:val="right"/>
        </w:pPr>
        <w:r>
          <w:fldChar w:fldCharType="begin"/>
        </w:r>
        <w:r>
          <w:instrText xml:space="preserve"> PAGE   \* MERGEFORMAT </w:instrText>
        </w:r>
        <w:r>
          <w:fldChar w:fldCharType="separate"/>
        </w:r>
        <w:r w:rsidR="00284CD8">
          <w:rPr>
            <w:noProof/>
          </w:rPr>
          <w:t>4</w:t>
        </w:r>
        <w:r>
          <w:rPr>
            <w:noProof/>
          </w:rPr>
          <w:fldChar w:fldCharType="end"/>
        </w:r>
      </w:p>
    </w:sdtContent>
  </w:sdt>
  <w:p w14:paraId="3B71F5CA" w14:textId="77777777" w:rsidR="00DB5D85" w:rsidRDefault="00DB5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91DFA" w14:textId="77777777" w:rsidR="005B1CF2" w:rsidRPr="00DB5D85" w:rsidRDefault="005B1CF2" w:rsidP="00DB5D85">
      <w:pPr>
        <w:pStyle w:val="NormalWeb"/>
        <w:spacing w:before="0" w:after="0"/>
        <w:rPr>
          <w:rFonts w:ascii="Arial" w:eastAsiaTheme="minorHAnsi" w:hAnsi="Arial" w:cs="Arial"/>
          <w:sz w:val="22"/>
          <w:szCs w:val="22"/>
          <w:lang w:val="en-GB"/>
        </w:rPr>
      </w:pPr>
      <w:r>
        <w:separator/>
      </w:r>
    </w:p>
  </w:footnote>
  <w:footnote w:type="continuationSeparator" w:id="0">
    <w:p w14:paraId="43EB3B4E" w14:textId="77777777" w:rsidR="005B1CF2" w:rsidRPr="00DB5D85" w:rsidRDefault="005B1CF2" w:rsidP="00DB5D85">
      <w:pPr>
        <w:pStyle w:val="NormalWeb"/>
        <w:spacing w:before="0" w:after="0"/>
        <w:rPr>
          <w:rFonts w:ascii="Arial" w:eastAsiaTheme="minorHAnsi" w:hAnsi="Arial" w:cs="Arial"/>
          <w:sz w:val="22"/>
          <w:szCs w:val="22"/>
          <w:lang w:val="en-GB"/>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zMzOwMDQyMzcyMDZW0lEKTi0uzszPAykwrgUAv1Fz9iwAAAA="/>
  </w:docVars>
  <w:rsids>
    <w:rsidRoot w:val="006E0177"/>
    <w:rsid w:val="000801CB"/>
    <w:rsid w:val="00096BC7"/>
    <w:rsid w:val="000A70AC"/>
    <w:rsid w:val="000B43E4"/>
    <w:rsid w:val="000C14C7"/>
    <w:rsid w:val="001031AC"/>
    <w:rsid w:val="0018772F"/>
    <w:rsid w:val="001E4F09"/>
    <w:rsid w:val="002000F8"/>
    <w:rsid w:val="00214B5C"/>
    <w:rsid w:val="00223E40"/>
    <w:rsid w:val="00284150"/>
    <w:rsid w:val="00284CD8"/>
    <w:rsid w:val="002C6A9D"/>
    <w:rsid w:val="002F52A0"/>
    <w:rsid w:val="003149DF"/>
    <w:rsid w:val="00380EB6"/>
    <w:rsid w:val="00386C22"/>
    <w:rsid w:val="003B1BEB"/>
    <w:rsid w:val="003E075C"/>
    <w:rsid w:val="003F2171"/>
    <w:rsid w:val="0044073F"/>
    <w:rsid w:val="004636EC"/>
    <w:rsid w:val="004A335C"/>
    <w:rsid w:val="004B03EF"/>
    <w:rsid w:val="004C263D"/>
    <w:rsid w:val="004F0960"/>
    <w:rsid w:val="00517994"/>
    <w:rsid w:val="00560859"/>
    <w:rsid w:val="00573151"/>
    <w:rsid w:val="00590A03"/>
    <w:rsid w:val="005B1A13"/>
    <w:rsid w:val="005B1CF2"/>
    <w:rsid w:val="005F2FDF"/>
    <w:rsid w:val="0061098B"/>
    <w:rsid w:val="00630291"/>
    <w:rsid w:val="00640B65"/>
    <w:rsid w:val="006A5D41"/>
    <w:rsid w:val="006B27D2"/>
    <w:rsid w:val="006E0177"/>
    <w:rsid w:val="006E0206"/>
    <w:rsid w:val="006F2A1C"/>
    <w:rsid w:val="00704232"/>
    <w:rsid w:val="0070706D"/>
    <w:rsid w:val="007543F9"/>
    <w:rsid w:val="007E1661"/>
    <w:rsid w:val="007E3A92"/>
    <w:rsid w:val="008C719C"/>
    <w:rsid w:val="009148D4"/>
    <w:rsid w:val="009341C3"/>
    <w:rsid w:val="00936967"/>
    <w:rsid w:val="0095004E"/>
    <w:rsid w:val="009539D7"/>
    <w:rsid w:val="00957ED2"/>
    <w:rsid w:val="00980FDB"/>
    <w:rsid w:val="009A32D5"/>
    <w:rsid w:val="009A4793"/>
    <w:rsid w:val="009B3120"/>
    <w:rsid w:val="009D43C0"/>
    <w:rsid w:val="009F27BB"/>
    <w:rsid w:val="00A14530"/>
    <w:rsid w:val="00A432AD"/>
    <w:rsid w:val="00A80E67"/>
    <w:rsid w:val="00AB0CA6"/>
    <w:rsid w:val="00AD1474"/>
    <w:rsid w:val="00B30632"/>
    <w:rsid w:val="00B72D5E"/>
    <w:rsid w:val="00B82C23"/>
    <w:rsid w:val="00B93F3E"/>
    <w:rsid w:val="00BE38E6"/>
    <w:rsid w:val="00BE5D7C"/>
    <w:rsid w:val="00BE7557"/>
    <w:rsid w:val="00BF48BA"/>
    <w:rsid w:val="00C076CF"/>
    <w:rsid w:val="00C21C23"/>
    <w:rsid w:val="00C507DB"/>
    <w:rsid w:val="00C51815"/>
    <w:rsid w:val="00D063F9"/>
    <w:rsid w:val="00D33964"/>
    <w:rsid w:val="00D65958"/>
    <w:rsid w:val="00D91A3E"/>
    <w:rsid w:val="00DB5D85"/>
    <w:rsid w:val="00E155F6"/>
    <w:rsid w:val="00E42E3D"/>
    <w:rsid w:val="00E44540"/>
    <w:rsid w:val="00EA5AD3"/>
    <w:rsid w:val="00EB0A97"/>
    <w:rsid w:val="00EB7EE4"/>
    <w:rsid w:val="00EC0E14"/>
    <w:rsid w:val="00EE3333"/>
    <w:rsid w:val="00F22750"/>
    <w:rsid w:val="00F876E4"/>
    <w:rsid w:val="00FA4F17"/>
    <w:rsid w:val="00FC3B40"/>
    <w:rsid w:val="00FD665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D8C6"/>
  <w15:docId w15:val="{46236224-76EB-491D-BF16-95A7FD83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2A0"/>
    <w:pPr>
      <w:spacing w:line="360" w:lineRule="auto"/>
      <w:jc w:val="both"/>
    </w:pPr>
    <w:rPr>
      <w:rFonts w:ascii="Arial" w:hAnsi="Arial" w:cs="Arial"/>
      <w:color w:val="000000"/>
      <w:lang w:val="en-GB"/>
    </w:rPr>
  </w:style>
  <w:style w:type="paragraph" w:styleId="Heading1">
    <w:name w:val="heading 1"/>
    <w:basedOn w:val="Normal"/>
    <w:link w:val="Heading1Char"/>
    <w:uiPriority w:val="9"/>
    <w:qFormat/>
    <w:rsid w:val="001031AC"/>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38E6"/>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9A32D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1031AC"/>
    <w:rPr>
      <w:rFonts w:ascii="Arial" w:hAnsi="Arial" w:cs="Arial"/>
      <w:b/>
      <w:color w:val="000000"/>
      <w:lang w:val="en-GB"/>
    </w:rPr>
  </w:style>
  <w:style w:type="paragraph" w:styleId="BalloonText">
    <w:name w:val="Balloon Text"/>
    <w:basedOn w:val="Normal"/>
    <w:link w:val="BalloonTextChar"/>
    <w:uiPriority w:val="99"/>
    <w:semiHidden/>
    <w:unhideWhenUsed/>
    <w:rsid w:val="001031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1AC"/>
    <w:rPr>
      <w:rFonts w:ascii="Tahoma" w:hAnsi="Tahoma" w:cs="Tahoma"/>
      <w:color w:val="000000"/>
      <w:sz w:val="16"/>
      <w:szCs w:val="16"/>
      <w:lang w:val="en-GB"/>
    </w:rPr>
  </w:style>
  <w:style w:type="paragraph" w:styleId="Header">
    <w:name w:val="header"/>
    <w:basedOn w:val="Normal"/>
    <w:link w:val="HeaderChar"/>
    <w:uiPriority w:val="99"/>
    <w:semiHidden/>
    <w:unhideWhenUsed/>
    <w:rsid w:val="00DB5D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B5D85"/>
    <w:rPr>
      <w:rFonts w:ascii="Arial" w:hAnsi="Arial" w:cs="Arial"/>
      <w:color w:val="000000"/>
      <w:lang w:val="en-GB"/>
    </w:rPr>
  </w:style>
  <w:style w:type="paragraph" w:styleId="Footer">
    <w:name w:val="footer"/>
    <w:basedOn w:val="Normal"/>
    <w:link w:val="FooterChar"/>
    <w:uiPriority w:val="99"/>
    <w:unhideWhenUsed/>
    <w:rsid w:val="00DB5D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D85"/>
    <w:rPr>
      <w:rFonts w:ascii="Arial" w:hAnsi="Arial" w:cs="Arial"/>
      <w:color w:val="000000"/>
      <w:lang w:val="en-GB"/>
    </w:rPr>
  </w:style>
  <w:style w:type="paragraph" w:customStyle="1" w:styleId="TableParagraph">
    <w:name w:val="Table Paragraph"/>
    <w:basedOn w:val="Normal"/>
    <w:uiPriority w:val="1"/>
    <w:qFormat/>
    <w:rsid w:val="004636EC"/>
    <w:pPr>
      <w:widowControl w:val="0"/>
      <w:autoSpaceDE w:val="0"/>
      <w:autoSpaceDN w:val="0"/>
      <w:spacing w:after="0" w:line="240" w:lineRule="auto"/>
      <w:ind w:left="107"/>
      <w:jc w:val="left"/>
    </w:pPr>
    <w:rPr>
      <w:rFonts w:eastAsia="Arial"/>
      <w:color w:val="auto"/>
      <w:lang w:val="en-US"/>
    </w:rPr>
  </w:style>
  <w:style w:type="paragraph" w:styleId="TOCHeading">
    <w:name w:val="TOC Heading"/>
    <w:basedOn w:val="Heading1"/>
    <w:next w:val="Normal"/>
    <w:uiPriority w:val="39"/>
    <w:semiHidden/>
    <w:unhideWhenUsed/>
    <w:qFormat/>
    <w:rsid w:val="0061098B"/>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1098B"/>
    <w:pPr>
      <w:spacing w:after="100"/>
    </w:pPr>
  </w:style>
  <w:style w:type="character" w:styleId="Hyperlink">
    <w:name w:val="Hyperlink"/>
    <w:basedOn w:val="DefaultParagraphFont"/>
    <w:uiPriority w:val="99"/>
    <w:unhideWhenUsed/>
    <w:rsid w:val="0061098B"/>
    <w:rPr>
      <w:color w:val="0000FF" w:themeColor="hyperlink"/>
      <w:u w:val="single"/>
    </w:rPr>
  </w:style>
  <w:style w:type="table" w:styleId="MediumGrid3-Accent4">
    <w:name w:val="Medium Grid 3 Accent 4"/>
    <w:basedOn w:val="TableNormal"/>
    <w:uiPriority w:val="69"/>
    <w:rsid w:val="009F27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Grid-Accent4">
    <w:name w:val="Light Grid Accent 4"/>
    <w:basedOn w:val="TableNormal"/>
    <w:uiPriority w:val="62"/>
    <w:rsid w:val="0057315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360982">
      <w:bodyDiv w:val="1"/>
      <w:marLeft w:val="0"/>
      <w:marRight w:val="0"/>
      <w:marTop w:val="0"/>
      <w:marBottom w:val="0"/>
      <w:divBdr>
        <w:top w:val="none" w:sz="0" w:space="0" w:color="auto"/>
        <w:left w:val="none" w:sz="0" w:space="0" w:color="auto"/>
        <w:bottom w:val="none" w:sz="0" w:space="0" w:color="auto"/>
        <w:right w:val="none" w:sz="0" w:space="0" w:color="auto"/>
      </w:divBdr>
    </w:div>
    <w:div w:id="1699888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Colors" Target="diagrams/colors3.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image" Target="media/image2.png"/><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1C0A32-5C9B-4D35-AC54-FCF0E013C158}" type="doc">
      <dgm:prSet loTypeId="urn:microsoft.com/office/officeart/2005/8/layout/gear1" loCatId="relationship" qsTypeId="urn:microsoft.com/office/officeart/2005/8/quickstyle/3d2#1" qsCatId="3D" csTypeId="urn:microsoft.com/office/officeart/2005/8/colors/colorful4" csCatId="colorful" phldr="1"/>
      <dgm:spPr/>
    </dgm:pt>
    <dgm:pt modelId="{E447E598-20FE-45DE-B3B5-233BB6069344}">
      <dgm:prSet phldrT="[Text]"/>
      <dgm:spPr/>
      <dgm:t>
        <a:bodyPr/>
        <a:lstStyle/>
        <a:p>
          <a:r>
            <a:rPr lang="en-GB" b="1">
              <a:latin typeface="Arial" pitchFamily="34" charset="0"/>
              <a:cs typeface="Arial" pitchFamily="34" charset="0"/>
            </a:rPr>
            <a:t>Emotional</a:t>
          </a:r>
          <a:endParaRPr lang="en-US" b="1">
            <a:latin typeface="Arial" pitchFamily="34" charset="0"/>
            <a:cs typeface="Arial" pitchFamily="34" charset="0"/>
          </a:endParaRPr>
        </a:p>
      </dgm:t>
    </dgm:pt>
    <dgm:pt modelId="{69A8328F-95F4-4D55-9070-44BCCE539321}" type="parTrans" cxnId="{1B7C5531-31ED-4B3C-BC12-C1D25B7572DC}">
      <dgm:prSet/>
      <dgm:spPr/>
      <dgm:t>
        <a:bodyPr/>
        <a:lstStyle/>
        <a:p>
          <a:endParaRPr lang="en-US"/>
        </a:p>
      </dgm:t>
    </dgm:pt>
    <dgm:pt modelId="{3082A7E7-D40A-4A18-8A3A-8B563AE9B94F}" type="sibTrans" cxnId="{1B7C5531-31ED-4B3C-BC12-C1D25B7572DC}">
      <dgm:prSet/>
      <dgm:spPr/>
      <dgm:t>
        <a:bodyPr/>
        <a:lstStyle/>
        <a:p>
          <a:endParaRPr lang="en-US"/>
        </a:p>
      </dgm:t>
    </dgm:pt>
    <dgm:pt modelId="{57C3441C-CE55-4FAD-9989-427B9BA1FE44}">
      <dgm:prSet phldrT="[Text]"/>
      <dgm:spPr/>
      <dgm:t>
        <a:bodyPr/>
        <a:lstStyle/>
        <a:p>
          <a:r>
            <a:rPr lang="en-GB" b="1">
              <a:latin typeface="Arial" pitchFamily="34" charset="0"/>
              <a:cs typeface="Arial" pitchFamily="34" charset="0"/>
            </a:rPr>
            <a:t>Cognitive</a:t>
          </a:r>
          <a:endParaRPr lang="en-US" b="1">
            <a:latin typeface="Arial" pitchFamily="34" charset="0"/>
            <a:cs typeface="Arial" pitchFamily="34" charset="0"/>
          </a:endParaRPr>
        </a:p>
      </dgm:t>
    </dgm:pt>
    <dgm:pt modelId="{3BEC973C-08B3-4873-9FC0-B0DA0C8C0F24}" type="parTrans" cxnId="{70367E9E-001C-4DD0-9A59-6177F2F4B342}">
      <dgm:prSet/>
      <dgm:spPr/>
      <dgm:t>
        <a:bodyPr/>
        <a:lstStyle/>
        <a:p>
          <a:endParaRPr lang="en-US"/>
        </a:p>
      </dgm:t>
    </dgm:pt>
    <dgm:pt modelId="{F8D4E00F-BE01-4162-8011-F734BB723752}" type="sibTrans" cxnId="{70367E9E-001C-4DD0-9A59-6177F2F4B342}">
      <dgm:prSet/>
      <dgm:spPr/>
      <dgm:t>
        <a:bodyPr/>
        <a:lstStyle/>
        <a:p>
          <a:endParaRPr lang="en-US"/>
        </a:p>
      </dgm:t>
    </dgm:pt>
    <dgm:pt modelId="{A514CA44-1861-476F-B30E-F64861F0088E}">
      <dgm:prSet phldrT="[Text]"/>
      <dgm:spPr/>
      <dgm:t>
        <a:bodyPr/>
        <a:lstStyle/>
        <a:p>
          <a:r>
            <a:rPr lang="en-GB" b="1">
              <a:latin typeface="Arial" pitchFamily="34" charset="0"/>
              <a:cs typeface="Arial" pitchFamily="34" charset="0"/>
            </a:rPr>
            <a:t>Physical roles </a:t>
          </a:r>
          <a:endParaRPr lang="en-US" b="1">
            <a:latin typeface="Arial" pitchFamily="34" charset="0"/>
            <a:cs typeface="Arial" pitchFamily="34" charset="0"/>
          </a:endParaRPr>
        </a:p>
      </dgm:t>
    </dgm:pt>
    <dgm:pt modelId="{582697CC-23DE-4E66-8BEE-1E147B1406BB}" type="parTrans" cxnId="{0C109654-652B-4C45-87CF-0742704BC9EA}">
      <dgm:prSet/>
      <dgm:spPr/>
      <dgm:t>
        <a:bodyPr/>
        <a:lstStyle/>
        <a:p>
          <a:endParaRPr lang="en-US"/>
        </a:p>
      </dgm:t>
    </dgm:pt>
    <dgm:pt modelId="{44FA7E23-2813-458B-9FDA-AEBD247B4BDE}" type="sibTrans" cxnId="{0C109654-652B-4C45-87CF-0742704BC9EA}">
      <dgm:prSet/>
      <dgm:spPr/>
      <dgm:t>
        <a:bodyPr/>
        <a:lstStyle/>
        <a:p>
          <a:endParaRPr lang="en-US"/>
        </a:p>
      </dgm:t>
    </dgm:pt>
    <dgm:pt modelId="{B74716C0-EDC9-44C2-B956-976F9D430E6E}" type="pres">
      <dgm:prSet presAssocID="{D01C0A32-5C9B-4D35-AC54-FCF0E013C158}" presName="composite" presStyleCnt="0">
        <dgm:presLayoutVars>
          <dgm:chMax val="3"/>
          <dgm:animLvl val="lvl"/>
          <dgm:resizeHandles val="exact"/>
        </dgm:presLayoutVars>
      </dgm:prSet>
      <dgm:spPr/>
    </dgm:pt>
    <dgm:pt modelId="{3E6D5CB8-3F5B-482C-8A58-46F449702ED2}" type="pres">
      <dgm:prSet presAssocID="{E447E598-20FE-45DE-B3B5-233BB6069344}" presName="gear1" presStyleLbl="node1" presStyleIdx="0" presStyleCnt="3">
        <dgm:presLayoutVars>
          <dgm:chMax val="1"/>
          <dgm:bulletEnabled val="1"/>
        </dgm:presLayoutVars>
      </dgm:prSet>
      <dgm:spPr/>
    </dgm:pt>
    <dgm:pt modelId="{1E949C61-6EB0-4834-A323-D1ECF43DB696}" type="pres">
      <dgm:prSet presAssocID="{E447E598-20FE-45DE-B3B5-233BB6069344}" presName="gear1srcNode" presStyleLbl="node1" presStyleIdx="0" presStyleCnt="3"/>
      <dgm:spPr/>
    </dgm:pt>
    <dgm:pt modelId="{5D30B9F3-2687-41AD-A8D6-A4509AAAD9AE}" type="pres">
      <dgm:prSet presAssocID="{E447E598-20FE-45DE-B3B5-233BB6069344}" presName="gear1dstNode" presStyleLbl="node1" presStyleIdx="0" presStyleCnt="3"/>
      <dgm:spPr/>
    </dgm:pt>
    <dgm:pt modelId="{D22C4176-32B3-4E4A-ABD4-365D73E8FB10}" type="pres">
      <dgm:prSet presAssocID="{57C3441C-CE55-4FAD-9989-427B9BA1FE44}" presName="gear2" presStyleLbl="node1" presStyleIdx="1" presStyleCnt="3">
        <dgm:presLayoutVars>
          <dgm:chMax val="1"/>
          <dgm:bulletEnabled val="1"/>
        </dgm:presLayoutVars>
      </dgm:prSet>
      <dgm:spPr/>
    </dgm:pt>
    <dgm:pt modelId="{1B927FEE-97DD-442B-B192-D135B02CCCC8}" type="pres">
      <dgm:prSet presAssocID="{57C3441C-CE55-4FAD-9989-427B9BA1FE44}" presName="gear2srcNode" presStyleLbl="node1" presStyleIdx="1" presStyleCnt="3"/>
      <dgm:spPr/>
    </dgm:pt>
    <dgm:pt modelId="{6194EAAF-122E-4F81-9DDF-E4AABB72F5EB}" type="pres">
      <dgm:prSet presAssocID="{57C3441C-CE55-4FAD-9989-427B9BA1FE44}" presName="gear2dstNode" presStyleLbl="node1" presStyleIdx="1" presStyleCnt="3"/>
      <dgm:spPr/>
    </dgm:pt>
    <dgm:pt modelId="{26229AAA-85F0-499C-9D93-AC45DD2047ED}" type="pres">
      <dgm:prSet presAssocID="{A514CA44-1861-476F-B30E-F64861F0088E}" presName="gear3" presStyleLbl="node1" presStyleIdx="2" presStyleCnt="3"/>
      <dgm:spPr/>
    </dgm:pt>
    <dgm:pt modelId="{B1074BA3-BF92-45AC-B81A-1275E094E068}" type="pres">
      <dgm:prSet presAssocID="{A514CA44-1861-476F-B30E-F64861F0088E}" presName="gear3tx" presStyleLbl="node1" presStyleIdx="2" presStyleCnt="3">
        <dgm:presLayoutVars>
          <dgm:chMax val="1"/>
          <dgm:bulletEnabled val="1"/>
        </dgm:presLayoutVars>
      </dgm:prSet>
      <dgm:spPr/>
    </dgm:pt>
    <dgm:pt modelId="{5B738012-077C-4362-91E0-C00D533EBD83}" type="pres">
      <dgm:prSet presAssocID="{A514CA44-1861-476F-B30E-F64861F0088E}" presName="gear3srcNode" presStyleLbl="node1" presStyleIdx="2" presStyleCnt="3"/>
      <dgm:spPr/>
    </dgm:pt>
    <dgm:pt modelId="{70DE78BB-F2F5-4061-B964-E634F514C0CD}" type="pres">
      <dgm:prSet presAssocID="{A514CA44-1861-476F-B30E-F64861F0088E}" presName="gear3dstNode" presStyleLbl="node1" presStyleIdx="2" presStyleCnt="3"/>
      <dgm:spPr/>
    </dgm:pt>
    <dgm:pt modelId="{C2687DA8-BAAB-4F2E-A2B8-C7FD11C40B10}" type="pres">
      <dgm:prSet presAssocID="{3082A7E7-D40A-4A18-8A3A-8B563AE9B94F}" presName="connector1" presStyleLbl="sibTrans2D1" presStyleIdx="0" presStyleCnt="3"/>
      <dgm:spPr/>
    </dgm:pt>
    <dgm:pt modelId="{9F407E1E-54D9-4E61-8725-9C64DB301D2A}" type="pres">
      <dgm:prSet presAssocID="{F8D4E00F-BE01-4162-8011-F734BB723752}" presName="connector2" presStyleLbl="sibTrans2D1" presStyleIdx="1" presStyleCnt="3"/>
      <dgm:spPr/>
    </dgm:pt>
    <dgm:pt modelId="{16CA69DD-AB0A-4CF2-B6B6-9F6E8347ECFB}" type="pres">
      <dgm:prSet presAssocID="{44FA7E23-2813-458B-9FDA-AEBD247B4BDE}" presName="connector3" presStyleLbl="sibTrans2D1" presStyleIdx="2" presStyleCnt="3"/>
      <dgm:spPr/>
    </dgm:pt>
  </dgm:ptLst>
  <dgm:cxnLst>
    <dgm:cxn modelId="{31C35829-D534-43E3-A4CA-8DB50E26A22B}" type="presOf" srcId="{E447E598-20FE-45DE-B3B5-233BB6069344}" destId="{5D30B9F3-2687-41AD-A8D6-A4509AAAD9AE}" srcOrd="2" destOrd="0" presId="urn:microsoft.com/office/officeart/2005/8/layout/gear1"/>
    <dgm:cxn modelId="{035AC829-19A9-4F23-B94D-B9B70FF65FB5}" type="presOf" srcId="{A514CA44-1861-476F-B30E-F64861F0088E}" destId="{26229AAA-85F0-499C-9D93-AC45DD2047ED}" srcOrd="0" destOrd="0" presId="urn:microsoft.com/office/officeart/2005/8/layout/gear1"/>
    <dgm:cxn modelId="{1B7C5531-31ED-4B3C-BC12-C1D25B7572DC}" srcId="{D01C0A32-5C9B-4D35-AC54-FCF0E013C158}" destId="{E447E598-20FE-45DE-B3B5-233BB6069344}" srcOrd="0" destOrd="0" parTransId="{69A8328F-95F4-4D55-9070-44BCCE539321}" sibTransId="{3082A7E7-D40A-4A18-8A3A-8B563AE9B94F}"/>
    <dgm:cxn modelId="{B1402B5C-34C4-45F0-9B01-E206CF4978C3}" type="presOf" srcId="{F8D4E00F-BE01-4162-8011-F734BB723752}" destId="{9F407E1E-54D9-4E61-8725-9C64DB301D2A}" srcOrd="0" destOrd="0" presId="urn:microsoft.com/office/officeart/2005/8/layout/gear1"/>
    <dgm:cxn modelId="{3D543261-BC98-4F1B-92E8-8B9D2AD8A0E9}" type="presOf" srcId="{57C3441C-CE55-4FAD-9989-427B9BA1FE44}" destId="{D22C4176-32B3-4E4A-ABD4-365D73E8FB10}" srcOrd="0" destOrd="0" presId="urn:microsoft.com/office/officeart/2005/8/layout/gear1"/>
    <dgm:cxn modelId="{4F47B142-E5E1-4907-B1BE-3A08B6925C8B}" type="presOf" srcId="{A514CA44-1861-476F-B30E-F64861F0088E}" destId="{B1074BA3-BF92-45AC-B81A-1275E094E068}" srcOrd="1" destOrd="0" presId="urn:microsoft.com/office/officeart/2005/8/layout/gear1"/>
    <dgm:cxn modelId="{35FC374B-9465-46E8-8FAA-CF51ABC1E025}" type="presOf" srcId="{D01C0A32-5C9B-4D35-AC54-FCF0E013C158}" destId="{B74716C0-EDC9-44C2-B956-976F9D430E6E}" srcOrd="0" destOrd="0" presId="urn:microsoft.com/office/officeart/2005/8/layout/gear1"/>
    <dgm:cxn modelId="{0C109654-652B-4C45-87CF-0742704BC9EA}" srcId="{D01C0A32-5C9B-4D35-AC54-FCF0E013C158}" destId="{A514CA44-1861-476F-B30E-F64861F0088E}" srcOrd="2" destOrd="0" parTransId="{582697CC-23DE-4E66-8BEE-1E147B1406BB}" sibTransId="{44FA7E23-2813-458B-9FDA-AEBD247B4BDE}"/>
    <dgm:cxn modelId="{2B27AE83-E5CF-4CC7-81E5-EBF3244DFF0F}" type="presOf" srcId="{E447E598-20FE-45DE-B3B5-233BB6069344}" destId="{1E949C61-6EB0-4834-A323-D1ECF43DB696}" srcOrd="1" destOrd="0" presId="urn:microsoft.com/office/officeart/2005/8/layout/gear1"/>
    <dgm:cxn modelId="{B1DFFA83-4961-48D2-A0C6-7B662297FD43}" type="presOf" srcId="{3082A7E7-D40A-4A18-8A3A-8B563AE9B94F}" destId="{C2687DA8-BAAB-4F2E-A2B8-C7FD11C40B10}" srcOrd="0" destOrd="0" presId="urn:microsoft.com/office/officeart/2005/8/layout/gear1"/>
    <dgm:cxn modelId="{47E93B9E-5537-4EA7-9D32-D5BE4AD0CF46}" type="presOf" srcId="{57C3441C-CE55-4FAD-9989-427B9BA1FE44}" destId="{6194EAAF-122E-4F81-9DDF-E4AABB72F5EB}" srcOrd="2" destOrd="0" presId="urn:microsoft.com/office/officeart/2005/8/layout/gear1"/>
    <dgm:cxn modelId="{70367E9E-001C-4DD0-9A59-6177F2F4B342}" srcId="{D01C0A32-5C9B-4D35-AC54-FCF0E013C158}" destId="{57C3441C-CE55-4FAD-9989-427B9BA1FE44}" srcOrd="1" destOrd="0" parTransId="{3BEC973C-08B3-4873-9FC0-B0DA0C8C0F24}" sibTransId="{F8D4E00F-BE01-4162-8011-F734BB723752}"/>
    <dgm:cxn modelId="{E685339F-F297-4F92-B0DE-FCAC16FF1EC5}" type="presOf" srcId="{A514CA44-1861-476F-B30E-F64861F0088E}" destId="{70DE78BB-F2F5-4061-B964-E634F514C0CD}" srcOrd="3" destOrd="0" presId="urn:microsoft.com/office/officeart/2005/8/layout/gear1"/>
    <dgm:cxn modelId="{3AD459A3-10A6-4D29-A79A-D34F08B072D8}" type="presOf" srcId="{57C3441C-CE55-4FAD-9989-427B9BA1FE44}" destId="{1B927FEE-97DD-442B-B192-D135B02CCCC8}" srcOrd="1" destOrd="0" presId="urn:microsoft.com/office/officeart/2005/8/layout/gear1"/>
    <dgm:cxn modelId="{8064A8CD-B49E-4799-9A5F-C70D8F866C19}" type="presOf" srcId="{44FA7E23-2813-458B-9FDA-AEBD247B4BDE}" destId="{16CA69DD-AB0A-4CF2-B6B6-9F6E8347ECFB}" srcOrd="0" destOrd="0" presId="urn:microsoft.com/office/officeart/2005/8/layout/gear1"/>
    <dgm:cxn modelId="{4F30EEF8-3A4B-4E9D-AF6B-9B43B74E00CA}" type="presOf" srcId="{A514CA44-1861-476F-B30E-F64861F0088E}" destId="{5B738012-077C-4362-91E0-C00D533EBD83}" srcOrd="2" destOrd="0" presId="urn:microsoft.com/office/officeart/2005/8/layout/gear1"/>
    <dgm:cxn modelId="{B3BE58FB-1EFB-46D2-8D26-C25EF5FD7BA8}" type="presOf" srcId="{E447E598-20FE-45DE-B3B5-233BB6069344}" destId="{3E6D5CB8-3F5B-482C-8A58-46F449702ED2}" srcOrd="0" destOrd="0" presId="urn:microsoft.com/office/officeart/2005/8/layout/gear1"/>
    <dgm:cxn modelId="{863FF4DC-07A5-485E-A604-43E8EE7BE0B6}" type="presParOf" srcId="{B74716C0-EDC9-44C2-B956-976F9D430E6E}" destId="{3E6D5CB8-3F5B-482C-8A58-46F449702ED2}" srcOrd="0" destOrd="0" presId="urn:microsoft.com/office/officeart/2005/8/layout/gear1"/>
    <dgm:cxn modelId="{CB61F259-2659-4097-B1AB-A33A5261C68B}" type="presParOf" srcId="{B74716C0-EDC9-44C2-B956-976F9D430E6E}" destId="{1E949C61-6EB0-4834-A323-D1ECF43DB696}" srcOrd="1" destOrd="0" presId="urn:microsoft.com/office/officeart/2005/8/layout/gear1"/>
    <dgm:cxn modelId="{5A56A4F0-DE63-4D7C-A913-9D10168733A4}" type="presParOf" srcId="{B74716C0-EDC9-44C2-B956-976F9D430E6E}" destId="{5D30B9F3-2687-41AD-A8D6-A4509AAAD9AE}" srcOrd="2" destOrd="0" presId="urn:microsoft.com/office/officeart/2005/8/layout/gear1"/>
    <dgm:cxn modelId="{CE20F101-E457-42A7-AEB1-9638F2659FFC}" type="presParOf" srcId="{B74716C0-EDC9-44C2-B956-976F9D430E6E}" destId="{D22C4176-32B3-4E4A-ABD4-365D73E8FB10}" srcOrd="3" destOrd="0" presId="urn:microsoft.com/office/officeart/2005/8/layout/gear1"/>
    <dgm:cxn modelId="{78C9B2B8-0BEA-4F67-BE61-7319B0E3DF43}" type="presParOf" srcId="{B74716C0-EDC9-44C2-B956-976F9D430E6E}" destId="{1B927FEE-97DD-442B-B192-D135B02CCCC8}" srcOrd="4" destOrd="0" presId="urn:microsoft.com/office/officeart/2005/8/layout/gear1"/>
    <dgm:cxn modelId="{CDC9C2DE-E7E1-4845-B60E-7BC8A888EE43}" type="presParOf" srcId="{B74716C0-EDC9-44C2-B956-976F9D430E6E}" destId="{6194EAAF-122E-4F81-9DDF-E4AABB72F5EB}" srcOrd="5" destOrd="0" presId="urn:microsoft.com/office/officeart/2005/8/layout/gear1"/>
    <dgm:cxn modelId="{1C9C82BB-6F19-4334-9738-842B63BB9C0D}" type="presParOf" srcId="{B74716C0-EDC9-44C2-B956-976F9D430E6E}" destId="{26229AAA-85F0-499C-9D93-AC45DD2047ED}" srcOrd="6" destOrd="0" presId="urn:microsoft.com/office/officeart/2005/8/layout/gear1"/>
    <dgm:cxn modelId="{8ADAC9E0-5810-401B-9BE8-CA970E07E2B7}" type="presParOf" srcId="{B74716C0-EDC9-44C2-B956-976F9D430E6E}" destId="{B1074BA3-BF92-45AC-B81A-1275E094E068}" srcOrd="7" destOrd="0" presId="urn:microsoft.com/office/officeart/2005/8/layout/gear1"/>
    <dgm:cxn modelId="{9501A348-9000-473E-86E1-062FCB9F81C7}" type="presParOf" srcId="{B74716C0-EDC9-44C2-B956-976F9D430E6E}" destId="{5B738012-077C-4362-91E0-C00D533EBD83}" srcOrd="8" destOrd="0" presId="urn:microsoft.com/office/officeart/2005/8/layout/gear1"/>
    <dgm:cxn modelId="{C1F7A5C6-CD6C-4F5D-870F-3173CE10D15C}" type="presParOf" srcId="{B74716C0-EDC9-44C2-B956-976F9D430E6E}" destId="{70DE78BB-F2F5-4061-B964-E634F514C0CD}" srcOrd="9" destOrd="0" presId="urn:microsoft.com/office/officeart/2005/8/layout/gear1"/>
    <dgm:cxn modelId="{AD5C6C22-ED51-4BED-8273-D7FD198AD9AC}" type="presParOf" srcId="{B74716C0-EDC9-44C2-B956-976F9D430E6E}" destId="{C2687DA8-BAAB-4F2E-A2B8-C7FD11C40B10}" srcOrd="10" destOrd="0" presId="urn:microsoft.com/office/officeart/2005/8/layout/gear1"/>
    <dgm:cxn modelId="{AC8D1E1C-26CA-40E6-9F75-C4DF4FF4D7F5}" type="presParOf" srcId="{B74716C0-EDC9-44C2-B956-976F9D430E6E}" destId="{9F407E1E-54D9-4E61-8725-9C64DB301D2A}" srcOrd="11" destOrd="0" presId="urn:microsoft.com/office/officeart/2005/8/layout/gear1"/>
    <dgm:cxn modelId="{A4359B58-4523-40F2-8DD3-F1E94720D088}" type="presParOf" srcId="{B74716C0-EDC9-44C2-B956-976F9D430E6E}" destId="{16CA69DD-AB0A-4CF2-B6B6-9F6E8347ECFB}" srcOrd="12" destOrd="0" presId="urn:microsoft.com/office/officeart/2005/8/layout/gear1"/>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20DF2E-3A18-41FD-9E64-5CDDF2136C08}" type="doc">
      <dgm:prSet loTypeId="urn:microsoft.com/office/officeart/2005/8/layout/cycle6" loCatId="cycle" qsTypeId="urn:microsoft.com/office/officeart/2005/8/quickstyle/3d1" qsCatId="3D" csTypeId="urn:microsoft.com/office/officeart/2005/8/colors/colorful1#1" csCatId="colorful" phldr="1"/>
      <dgm:spPr/>
      <dgm:t>
        <a:bodyPr/>
        <a:lstStyle/>
        <a:p>
          <a:endParaRPr lang="en-US"/>
        </a:p>
      </dgm:t>
    </dgm:pt>
    <dgm:pt modelId="{A7D25755-ACD2-4129-AA22-D9E6CD49A755}">
      <dgm:prSet phldrT="[Text]"/>
      <dgm:spPr/>
      <dgm:t>
        <a:bodyPr/>
        <a:lstStyle/>
        <a:p>
          <a:r>
            <a:rPr lang="en-GB" b="1" i="0">
              <a:latin typeface="Arial" pitchFamily="34" charset="0"/>
              <a:cs typeface="Arial" pitchFamily="34" charset="0"/>
            </a:rPr>
            <a:t>Professional development</a:t>
          </a:r>
          <a:endParaRPr lang="en-US" i="0">
            <a:latin typeface="Arial" pitchFamily="34" charset="0"/>
            <a:cs typeface="Arial" pitchFamily="34" charset="0"/>
          </a:endParaRPr>
        </a:p>
      </dgm:t>
    </dgm:pt>
    <dgm:pt modelId="{F4626D2A-4B8B-4C88-8676-7BA2557C24F3}" type="parTrans" cxnId="{A464B4D1-34DE-4808-A478-44067274FC42}">
      <dgm:prSet/>
      <dgm:spPr/>
      <dgm:t>
        <a:bodyPr/>
        <a:lstStyle/>
        <a:p>
          <a:endParaRPr lang="en-US"/>
        </a:p>
      </dgm:t>
    </dgm:pt>
    <dgm:pt modelId="{8C5808DD-73D7-4EF8-A12F-86077CA81BDB}" type="sibTrans" cxnId="{A464B4D1-34DE-4808-A478-44067274FC42}">
      <dgm:prSet/>
      <dgm:spPr/>
      <dgm:t>
        <a:bodyPr/>
        <a:lstStyle/>
        <a:p>
          <a:endParaRPr lang="en-US"/>
        </a:p>
      </dgm:t>
    </dgm:pt>
    <dgm:pt modelId="{F502158C-38EA-4139-A918-1D72E1C8DA22}">
      <dgm:prSet/>
      <dgm:spPr/>
      <dgm:t>
        <a:bodyPr/>
        <a:lstStyle/>
        <a:p>
          <a:r>
            <a:rPr lang="en-GB" b="1" i="0">
              <a:latin typeface="Arial" pitchFamily="34" charset="0"/>
              <a:cs typeface="Arial" pitchFamily="34" charset="0"/>
            </a:rPr>
            <a:t>Shared values</a:t>
          </a:r>
          <a:endParaRPr lang="en-US" i="0">
            <a:latin typeface="Arial" pitchFamily="34" charset="0"/>
            <a:cs typeface="Arial" pitchFamily="34" charset="0"/>
          </a:endParaRPr>
        </a:p>
      </dgm:t>
    </dgm:pt>
    <dgm:pt modelId="{7B919CED-A959-4EF6-BD94-833FBFCAFA50}" type="parTrans" cxnId="{E5309BEA-F714-4878-9178-D3BCA620573B}">
      <dgm:prSet/>
      <dgm:spPr/>
      <dgm:t>
        <a:bodyPr/>
        <a:lstStyle/>
        <a:p>
          <a:endParaRPr lang="en-US"/>
        </a:p>
      </dgm:t>
    </dgm:pt>
    <dgm:pt modelId="{28169CFB-1C9B-495B-822C-F03237D3CA6C}" type="sibTrans" cxnId="{E5309BEA-F714-4878-9178-D3BCA620573B}">
      <dgm:prSet/>
      <dgm:spPr/>
      <dgm:t>
        <a:bodyPr/>
        <a:lstStyle/>
        <a:p>
          <a:endParaRPr lang="en-US"/>
        </a:p>
      </dgm:t>
    </dgm:pt>
    <dgm:pt modelId="{A9654286-9A8B-4412-B229-826E4358690F}">
      <dgm:prSet/>
      <dgm:spPr/>
      <dgm:t>
        <a:bodyPr/>
        <a:lstStyle/>
        <a:p>
          <a:r>
            <a:rPr lang="en-GB" b="1" i="0">
              <a:latin typeface="Arial" pitchFamily="34" charset="0"/>
              <a:cs typeface="Arial" pitchFamily="34" charset="0"/>
            </a:rPr>
            <a:t>Safety</a:t>
          </a:r>
          <a:endParaRPr lang="en-US" i="0">
            <a:latin typeface="Arial" pitchFamily="34" charset="0"/>
            <a:cs typeface="Arial" pitchFamily="34" charset="0"/>
          </a:endParaRPr>
        </a:p>
      </dgm:t>
    </dgm:pt>
    <dgm:pt modelId="{8E8BAC76-7B9C-42F0-AE76-BD02BAF9ED53}" type="parTrans" cxnId="{AA18F113-21A7-45A5-AE3E-3DE23CBC7E0E}">
      <dgm:prSet/>
      <dgm:spPr/>
      <dgm:t>
        <a:bodyPr/>
        <a:lstStyle/>
        <a:p>
          <a:endParaRPr lang="en-US"/>
        </a:p>
      </dgm:t>
    </dgm:pt>
    <dgm:pt modelId="{D0E63EC5-3B01-42B3-B77C-9B7DFA7BEEC4}" type="sibTrans" cxnId="{AA18F113-21A7-45A5-AE3E-3DE23CBC7E0E}">
      <dgm:prSet/>
      <dgm:spPr/>
      <dgm:t>
        <a:bodyPr/>
        <a:lstStyle/>
        <a:p>
          <a:endParaRPr lang="en-US"/>
        </a:p>
      </dgm:t>
    </dgm:pt>
    <dgm:pt modelId="{7028FAA2-AFD2-4FE9-AB16-70D983428456}">
      <dgm:prSet/>
      <dgm:spPr/>
      <dgm:t>
        <a:bodyPr/>
        <a:lstStyle/>
        <a:p>
          <a:r>
            <a:rPr lang="en-GB" b="1" i="0">
              <a:latin typeface="Arial" pitchFamily="34" charset="0"/>
              <a:cs typeface="Arial" pitchFamily="34" charset="0"/>
            </a:rPr>
            <a:t>Leadership</a:t>
          </a:r>
          <a:endParaRPr lang="en-US" i="0">
            <a:latin typeface="Arial" pitchFamily="34" charset="0"/>
            <a:cs typeface="Arial" pitchFamily="34" charset="0"/>
          </a:endParaRPr>
        </a:p>
      </dgm:t>
    </dgm:pt>
    <dgm:pt modelId="{17FA18E7-0329-4BBE-9E80-1777A04FF1C3}" type="parTrans" cxnId="{3B6D296A-78CB-4EDB-8732-AA10DC261EE8}">
      <dgm:prSet/>
      <dgm:spPr/>
      <dgm:t>
        <a:bodyPr/>
        <a:lstStyle/>
        <a:p>
          <a:endParaRPr lang="en-US"/>
        </a:p>
      </dgm:t>
    </dgm:pt>
    <dgm:pt modelId="{4B6AC198-A178-49AD-B579-1DD7EF43A652}" type="sibTrans" cxnId="{3B6D296A-78CB-4EDB-8732-AA10DC261EE8}">
      <dgm:prSet/>
      <dgm:spPr/>
      <dgm:t>
        <a:bodyPr/>
        <a:lstStyle/>
        <a:p>
          <a:endParaRPr lang="en-US"/>
        </a:p>
      </dgm:t>
    </dgm:pt>
    <dgm:pt modelId="{AB2FD42A-B31A-42A0-8F13-30B5885E338A}">
      <dgm:prSet/>
      <dgm:spPr/>
      <dgm:t>
        <a:bodyPr/>
        <a:lstStyle/>
        <a:p>
          <a:r>
            <a:rPr lang="en-GB" b="1" i="0">
              <a:latin typeface="Arial" pitchFamily="34" charset="0"/>
              <a:cs typeface="Arial" pitchFamily="34" charset="0"/>
            </a:rPr>
            <a:t>Feedback</a:t>
          </a:r>
          <a:endParaRPr lang="en-US" i="0">
            <a:latin typeface="Arial" pitchFamily="34" charset="0"/>
            <a:cs typeface="Arial" pitchFamily="34" charset="0"/>
          </a:endParaRPr>
        </a:p>
      </dgm:t>
    </dgm:pt>
    <dgm:pt modelId="{950D7C7B-0E0F-490B-AA2A-89BBCD19FF35}" type="parTrans" cxnId="{EE8EE14F-E56D-4809-8359-EF1E9AD03CB1}">
      <dgm:prSet/>
      <dgm:spPr/>
      <dgm:t>
        <a:bodyPr/>
        <a:lstStyle/>
        <a:p>
          <a:endParaRPr lang="en-US"/>
        </a:p>
      </dgm:t>
    </dgm:pt>
    <dgm:pt modelId="{942BB8BF-E728-47CC-8BBE-6F7C05EEBD9B}" type="sibTrans" cxnId="{EE8EE14F-E56D-4809-8359-EF1E9AD03CB1}">
      <dgm:prSet/>
      <dgm:spPr/>
      <dgm:t>
        <a:bodyPr/>
        <a:lstStyle/>
        <a:p>
          <a:endParaRPr lang="en-US"/>
        </a:p>
      </dgm:t>
    </dgm:pt>
    <dgm:pt modelId="{D3AE37EE-1349-40D1-9CC0-4487C10728D7}">
      <dgm:prSet/>
      <dgm:spPr/>
      <dgm:t>
        <a:bodyPr/>
        <a:lstStyle/>
        <a:p>
          <a:r>
            <a:rPr lang="en-GB" b="1" i="0">
              <a:latin typeface="Arial" pitchFamily="34" charset="0"/>
              <a:cs typeface="Arial" pitchFamily="34" charset="0"/>
            </a:rPr>
            <a:t>Capacity</a:t>
          </a:r>
          <a:endParaRPr lang="en-US" i="0">
            <a:latin typeface="Arial" pitchFamily="34" charset="0"/>
            <a:cs typeface="Arial" pitchFamily="34" charset="0"/>
          </a:endParaRPr>
        </a:p>
      </dgm:t>
    </dgm:pt>
    <dgm:pt modelId="{D8855E67-70E9-48DB-866B-805F7BA7844F}" type="parTrans" cxnId="{955E6DF7-1D42-4CCB-A04F-2CB76ACB229D}">
      <dgm:prSet/>
      <dgm:spPr/>
      <dgm:t>
        <a:bodyPr/>
        <a:lstStyle/>
        <a:p>
          <a:endParaRPr lang="en-US"/>
        </a:p>
      </dgm:t>
    </dgm:pt>
    <dgm:pt modelId="{1D2E9BCB-4D2F-4426-B4B1-A04AA8DB1C0B}" type="sibTrans" cxnId="{955E6DF7-1D42-4CCB-A04F-2CB76ACB229D}">
      <dgm:prSet/>
      <dgm:spPr/>
      <dgm:t>
        <a:bodyPr/>
        <a:lstStyle/>
        <a:p>
          <a:endParaRPr lang="en-US"/>
        </a:p>
      </dgm:t>
    </dgm:pt>
    <dgm:pt modelId="{3CB9687E-D2C4-4E78-BBDA-FF184452CD31}" type="pres">
      <dgm:prSet presAssocID="{0E20DF2E-3A18-41FD-9E64-5CDDF2136C08}" presName="cycle" presStyleCnt="0">
        <dgm:presLayoutVars>
          <dgm:dir/>
          <dgm:resizeHandles val="exact"/>
        </dgm:presLayoutVars>
      </dgm:prSet>
      <dgm:spPr/>
    </dgm:pt>
    <dgm:pt modelId="{07235566-F0B2-4463-8C70-81A9E3F0F96C}" type="pres">
      <dgm:prSet presAssocID="{A7D25755-ACD2-4129-AA22-D9E6CD49A755}" presName="node" presStyleLbl="node1" presStyleIdx="0" presStyleCnt="6">
        <dgm:presLayoutVars>
          <dgm:bulletEnabled val="1"/>
        </dgm:presLayoutVars>
      </dgm:prSet>
      <dgm:spPr/>
    </dgm:pt>
    <dgm:pt modelId="{9E3CB00D-4AC3-469B-ACAC-0EF8ED07C50B}" type="pres">
      <dgm:prSet presAssocID="{A7D25755-ACD2-4129-AA22-D9E6CD49A755}" presName="spNode" presStyleCnt="0"/>
      <dgm:spPr/>
    </dgm:pt>
    <dgm:pt modelId="{48AE7779-84BC-41C5-AFEE-86EC49A49549}" type="pres">
      <dgm:prSet presAssocID="{8C5808DD-73D7-4EF8-A12F-86077CA81BDB}" presName="sibTrans" presStyleLbl="sibTrans1D1" presStyleIdx="0" presStyleCnt="6"/>
      <dgm:spPr/>
    </dgm:pt>
    <dgm:pt modelId="{309CC3F2-4872-48D6-A969-546444F98D86}" type="pres">
      <dgm:prSet presAssocID="{F502158C-38EA-4139-A918-1D72E1C8DA22}" presName="node" presStyleLbl="node1" presStyleIdx="1" presStyleCnt="6">
        <dgm:presLayoutVars>
          <dgm:bulletEnabled val="1"/>
        </dgm:presLayoutVars>
      </dgm:prSet>
      <dgm:spPr/>
    </dgm:pt>
    <dgm:pt modelId="{01DD57FC-8ADA-41B0-AFF1-D74E30C1DC77}" type="pres">
      <dgm:prSet presAssocID="{F502158C-38EA-4139-A918-1D72E1C8DA22}" presName="spNode" presStyleCnt="0"/>
      <dgm:spPr/>
    </dgm:pt>
    <dgm:pt modelId="{4642EA4A-EF49-4D54-A354-3F33CE4A931D}" type="pres">
      <dgm:prSet presAssocID="{28169CFB-1C9B-495B-822C-F03237D3CA6C}" presName="sibTrans" presStyleLbl="sibTrans1D1" presStyleIdx="1" presStyleCnt="6"/>
      <dgm:spPr/>
    </dgm:pt>
    <dgm:pt modelId="{DFEEBD9B-27B2-4C08-A93C-34D5C45C67E4}" type="pres">
      <dgm:prSet presAssocID="{A9654286-9A8B-4412-B229-826E4358690F}" presName="node" presStyleLbl="node1" presStyleIdx="2" presStyleCnt="6">
        <dgm:presLayoutVars>
          <dgm:bulletEnabled val="1"/>
        </dgm:presLayoutVars>
      </dgm:prSet>
      <dgm:spPr/>
    </dgm:pt>
    <dgm:pt modelId="{CFE8FC96-EB3C-4CFF-838F-37244283248F}" type="pres">
      <dgm:prSet presAssocID="{A9654286-9A8B-4412-B229-826E4358690F}" presName="spNode" presStyleCnt="0"/>
      <dgm:spPr/>
    </dgm:pt>
    <dgm:pt modelId="{B7CACE78-36D9-458B-9C82-367B195FD7F4}" type="pres">
      <dgm:prSet presAssocID="{D0E63EC5-3B01-42B3-B77C-9B7DFA7BEEC4}" presName="sibTrans" presStyleLbl="sibTrans1D1" presStyleIdx="2" presStyleCnt="6"/>
      <dgm:spPr/>
    </dgm:pt>
    <dgm:pt modelId="{4859F194-46D5-445B-83E3-2DEE2CE990E0}" type="pres">
      <dgm:prSet presAssocID="{7028FAA2-AFD2-4FE9-AB16-70D983428456}" presName="node" presStyleLbl="node1" presStyleIdx="3" presStyleCnt="6">
        <dgm:presLayoutVars>
          <dgm:bulletEnabled val="1"/>
        </dgm:presLayoutVars>
      </dgm:prSet>
      <dgm:spPr/>
    </dgm:pt>
    <dgm:pt modelId="{0F4FDA1B-67EE-482F-B7A8-C7A1DE55AE87}" type="pres">
      <dgm:prSet presAssocID="{7028FAA2-AFD2-4FE9-AB16-70D983428456}" presName="spNode" presStyleCnt="0"/>
      <dgm:spPr/>
    </dgm:pt>
    <dgm:pt modelId="{38A03CA4-CAA9-4DA6-A6A3-C9B95A17D778}" type="pres">
      <dgm:prSet presAssocID="{4B6AC198-A178-49AD-B579-1DD7EF43A652}" presName="sibTrans" presStyleLbl="sibTrans1D1" presStyleIdx="3" presStyleCnt="6"/>
      <dgm:spPr/>
    </dgm:pt>
    <dgm:pt modelId="{F140D1C7-E75B-4FF5-8544-04E0A7F72228}" type="pres">
      <dgm:prSet presAssocID="{AB2FD42A-B31A-42A0-8F13-30B5885E338A}" presName="node" presStyleLbl="node1" presStyleIdx="4" presStyleCnt="6">
        <dgm:presLayoutVars>
          <dgm:bulletEnabled val="1"/>
        </dgm:presLayoutVars>
      </dgm:prSet>
      <dgm:spPr/>
    </dgm:pt>
    <dgm:pt modelId="{26B7A681-4721-479D-B1D0-440E65580101}" type="pres">
      <dgm:prSet presAssocID="{AB2FD42A-B31A-42A0-8F13-30B5885E338A}" presName="spNode" presStyleCnt="0"/>
      <dgm:spPr/>
    </dgm:pt>
    <dgm:pt modelId="{F4C63D11-5510-4DC0-ACF2-F23E871105A1}" type="pres">
      <dgm:prSet presAssocID="{942BB8BF-E728-47CC-8BBE-6F7C05EEBD9B}" presName="sibTrans" presStyleLbl="sibTrans1D1" presStyleIdx="4" presStyleCnt="6"/>
      <dgm:spPr/>
    </dgm:pt>
    <dgm:pt modelId="{A4FCCD0C-A3EC-4F5D-BC4B-FE4F00F5007B}" type="pres">
      <dgm:prSet presAssocID="{D3AE37EE-1349-40D1-9CC0-4487C10728D7}" presName="node" presStyleLbl="node1" presStyleIdx="5" presStyleCnt="6">
        <dgm:presLayoutVars>
          <dgm:bulletEnabled val="1"/>
        </dgm:presLayoutVars>
      </dgm:prSet>
      <dgm:spPr/>
    </dgm:pt>
    <dgm:pt modelId="{40ED2070-0659-4C98-94B2-7204788D7113}" type="pres">
      <dgm:prSet presAssocID="{D3AE37EE-1349-40D1-9CC0-4487C10728D7}" presName="spNode" presStyleCnt="0"/>
      <dgm:spPr/>
    </dgm:pt>
    <dgm:pt modelId="{599327EA-71EC-4A8F-8BC6-9C4095B87480}" type="pres">
      <dgm:prSet presAssocID="{1D2E9BCB-4D2F-4426-B4B1-A04AA8DB1C0B}" presName="sibTrans" presStyleLbl="sibTrans1D1" presStyleIdx="5" presStyleCnt="6"/>
      <dgm:spPr/>
    </dgm:pt>
  </dgm:ptLst>
  <dgm:cxnLst>
    <dgm:cxn modelId="{AA18F113-21A7-45A5-AE3E-3DE23CBC7E0E}" srcId="{0E20DF2E-3A18-41FD-9E64-5CDDF2136C08}" destId="{A9654286-9A8B-4412-B229-826E4358690F}" srcOrd="2" destOrd="0" parTransId="{8E8BAC76-7B9C-42F0-AE76-BD02BAF9ED53}" sibTransId="{D0E63EC5-3B01-42B3-B77C-9B7DFA7BEEC4}"/>
    <dgm:cxn modelId="{9EAB661F-9D60-4572-BB41-4EED8EC1D6FA}" type="presOf" srcId="{1D2E9BCB-4D2F-4426-B4B1-A04AA8DB1C0B}" destId="{599327EA-71EC-4A8F-8BC6-9C4095B87480}" srcOrd="0" destOrd="0" presId="urn:microsoft.com/office/officeart/2005/8/layout/cycle6"/>
    <dgm:cxn modelId="{3B6D296A-78CB-4EDB-8732-AA10DC261EE8}" srcId="{0E20DF2E-3A18-41FD-9E64-5CDDF2136C08}" destId="{7028FAA2-AFD2-4FE9-AB16-70D983428456}" srcOrd="3" destOrd="0" parTransId="{17FA18E7-0329-4BBE-9E80-1777A04FF1C3}" sibTransId="{4B6AC198-A178-49AD-B579-1DD7EF43A652}"/>
    <dgm:cxn modelId="{495E856A-C01B-4C85-A69D-1D8F526FFEB2}" type="presOf" srcId="{D0E63EC5-3B01-42B3-B77C-9B7DFA7BEEC4}" destId="{B7CACE78-36D9-458B-9C82-367B195FD7F4}" srcOrd="0" destOrd="0" presId="urn:microsoft.com/office/officeart/2005/8/layout/cycle6"/>
    <dgm:cxn modelId="{EE8EE14F-E56D-4809-8359-EF1E9AD03CB1}" srcId="{0E20DF2E-3A18-41FD-9E64-5CDDF2136C08}" destId="{AB2FD42A-B31A-42A0-8F13-30B5885E338A}" srcOrd="4" destOrd="0" parTransId="{950D7C7B-0E0F-490B-AA2A-89BBCD19FF35}" sibTransId="{942BB8BF-E728-47CC-8BBE-6F7C05EEBD9B}"/>
    <dgm:cxn modelId="{79ACF17B-6EAC-4AB5-8C37-213E57AB59E8}" type="presOf" srcId="{AB2FD42A-B31A-42A0-8F13-30B5885E338A}" destId="{F140D1C7-E75B-4FF5-8544-04E0A7F72228}" srcOrd="0" destOrd="0" presId="urn:microsoft.com/office/officeart/2005/8/layout/cycle6"/>
    <dgm:cxn modelId="{78F35393-359A-4A63-BF44-FC80D3E5C77B}" type="presOf" srcId="{4B6AC198-A178-49AD-B579-1DD7EF43A652}" destId="{38A03CA4-CAA9-4DA6-A6A3-C9B95A17D778}" srcOrd="0" destOrd="0" presId="urn:microsoft.com/office/officeart/2005/8/layout/cycle6"/>
    <dgm:cxn modelId="{34433BA5-B636-4832-A277-0A5B9FF0AD2A}" type="presOf" srcId="{8C5808DD-73D7-4EF8-A12F-86077CA81BDB}" destId="{48AE7779-84BC-41C5-AFEE-86EC49A49549}" srcOrd="0" destOrd="0" presId="urn:microsoft.com/office/officeart/2005/8/layout/cycle6"/>
    <dgm:cxn modelId="{FB9FD3A8-B400-495B-B6D6-12B8F2FA9F27}" type="presOf" srcId="{7028FAA2-AFD2-4FE9-AB16-70D983428456}" destId="{4859F194-46D5-445B-83E3-2DEE2CE990E0}" srcOrd="0" destOrd="0" presId="urn:microsoft.com/office/officeart/2005/8/layout/cycle6"/>
    <dgm:cxn modelId="{B6956FC4-8F0E-428D-8671-A52981C9372D}" type="presOf" srcId="{942BB8BF-E728-47CC-8BBE-6F7C05EEBD9B}" destId="{F4C63D11-5510-4DC0-ACF2-F23E871105A1}" srcOrd="0" destOrd="0" presId="urn:microsoft.com/office/officeart/2005/8/layout/cycle6"/>
    <dgm:cxn modelId="{602E24D1-6A11-465C-BE50-0EC4324E29B4}" type="presOf" srcId="{D3AE37EE-1349-40D1-9CC0-4487C10728D7}" destId="{A4FCCD0C-A3EC-4F5D-BC4B-FE4F00F5007B}" srcOrd="0" destOrd="0" presId="urn:microsoft.com/office/officeart/2005/8/layout/cycle6"/>
    <dgm:cxn modelId="{A464B4D1-34DE-4808-A478-44067274FC42}" srcId="{0E20DF2E-3A18-41FD-9E64-5CDDF2136C08}" destId="{A7D25755-ACD2-4129-AA22-D9E6CD49A755}" srcOrd="0" destOrd="0" parTransId="{F4626D2A-4B8B-4C88-8676-7BA2557C24F3}" sibTransId="{8C5808DD-73D7-4EF8-A12F-86077CA81BDB}"/>
    <dgm:cxn modelId="{469226D3-6FF8-4A1F-8ABA-50AD2CA65E1D}" type="presOf" srcId="{F502158C-38EA-4139-A918-1D72E1C8DA22}" destId="{309CC3F2-4872-48D6-A969-546444F98D86}" srcOrd="0" destOrd="0" presId="urn:microsoft.com/office/officeart/2005/8/layout/cycle6"/>
    <dgm:cxn modelId="{37DA17DF-BC12-44A0-8479-A7C29C7523FD}" type="presOf" srcId="{A9654286-9A8B-4412-B229-826E4358690F}" destId="{DFEEBD9B-27B2-4C08-A93C-34D5C45C67E4}" srcOrd="0" destOrd="0" presId="urn:microsoft.com/office/officeart/2005/8/layout/cycle6"/>
    <dgm:cxn modelId="{EF41A8E8-052C-46C5-A2D4-E5E9D3E2CAD1}" type="presOf" srcId="{28169CFB-1C9B-495B-822C-F03237D3CA6C}" destId="{4642EA4A-EF49-4D54-A354-3F33CE4A931D}" srcOrd="0" destOrd="0" presId="urn:microsoft.com/office/officeart/2005/8/layout/cycle6"/>
    <dgm:cxn modelId="{E5309BEA-F714-4878-9178-D3BCA620573B}" srcId="{0E20DF2E-3A18-41FD-9E64-5CDDF2136C08}" destId="{F502158C-38EA-4139-A918-1D72E1C8DA22}" srcOrd="1" destOrd="0" parTransId="{7B919CED-A959-4EF6-BD94-833FBFCAFA50}" sibTransId="{28169CFB-1C9B-495B-822C-F03237D3CA6C}"/>
    <dgm:cxn modelId="{73CE61F0-327F-48B8-B76C-C668C4FF0B07}" type="presOf" srcId="{A7D25755-ACD2-4129-AA22-D9E6CD49A755}" destId="{07235566-F0B2-4463-8C70-81A9E3F0F96C}" srcOrd="0" destOrd="0" presId="urn:microsoft.com/office/officeart/2005/8/layout/cycle6"/>
    <dgm:cxn modelId="{955E6DF7-1D42-4CCB-A04F-2CB76ACB229D}" srcId="{0E20DF2E-3A18-41FD-9E64-5CDDF2136C08}" destId="{D3AE37EE-1349-40D1-9CC0-4487C10728D7}" srcOrd="5" destOrd="0" parTransId="{D8855E67-70E9-48DB-866B-805F7BA7844F}" sibTransId="{1D2E9BCB-4D2F-4426-B4B1-A04AA8DB1C0B}"/>
    <dgm:cxn modelId="{B22FC3FD-9708-456E-B714-94FA5B7FEEB1}" type="presOf" srcId="{0E20DF2E-3A18-41FD-9E64-5CDDF2136C08}" destId="{3CB9687E-D2C4-4E78-BBDA-FF184452CD31}" srcOrd="0" destOrd="0" presId="urn:microsoft.com/office/officeart/2005/8/layout/cycle6"/>
    <dgm:cxn modelId="{A88D3F2A-0C9A-45D3-80DA-D651863DA629}" type="presParOf" srcId="{3CB9687E-D2C4-4E78-BBDA-FF184452CD31}" destId="{07235566-F0B2-4463-8C70-81A9E3F0F96C}" srcOrd="0" destOrd="0" presId="urn:microsoft.com/office/officeart/2005/8/layout/cycle6"/>
    <dgm:cxn modelId="{440463AC-5BD4-4E57-868C-6174928C13CA}" type="presParOf" srcId="{3CB9687E-D2C4-4E78-BBDA-FF184452CD31}" destId="{9E3CB00D-4AC3-469B-ACAC-0EF8ED07C50B}" srcOrd="1" destOrd="0" presId="urn:microsoft.com/office/officeart/2005/8/layout/cycle6"/>
    <dgm:cxn modelId="{4B72BB67-87A6-42AB-A35B-08A99B796764}" type="presParOf" srcId="{3CB9687E-D2C4-4E78-BBDA-FF184452CD31}" destId="{48AE7779-84BC-41C5-AFEE-86EC49A49549}" srcOrd="2" destOrd="0" presId="urn:microsoft.com/office/officeart/2005/8/layout/cycle6"/>
    <dgm:cxn modelId="{9F84E8A9-B169-49A2-A9B6-D50B80B927F9}" type="presParOf" srcId="{3CB9687E-D2C4-4E78-BBDA-FF184452CD31}" destId="{309CC3F2-4872-48D6-A969-546444F98D86}" srcOrd="3" destOrd="0" presId="urn:microsoft.com/office/officeart/2005/8/layout/cycle6"/>
    <dgm:cxn modelId="{F6B8AD77-EFF7-4D11-BB11-0BF897414728}" type="presParOf" srcId="{3CB9687E-D2C4-4E78-BBDA-FF184452CD31}" destId="{01DD57FC-8ADA-41B0-AFF1-D74E30C1DC77}" srcOrd="4" destOrd="0" presId="urn:microsoft.com/office/officeart/2005/8/layout/cycle6"/>
    <dgm:cxn modelId="{AF157FC9-8B22-4577-83F7-0ED6E802066A}" type="presParOf" srcId="{3CB9687E-D2C4-4E78-BBDA-FF184452CD31}" destId="{4642EA4A-EF49-4D54-A354-3F33CE4A931D}" srcOrd="5" destOrd="0" presId="urn:microsoft.com/office/officeart/2005/8/layout/cycle6"/>
    <dgm:cxn modelId="{9774CFE2-2A3C-4711-AA9E-0A9D91731057}" type="presParOf" srcId="{3CB9687E-D2C4-4E78-BBDA-FF184452CD31}" destId="{DFEEBD9B-27B2-4C08-A93C-34D5C45C67E4}" srcOrd="6" destOrd="0" presId="urn:microsoft.com/office/officeart/2005/8/layout/cycle6"/>
    <dgm:cxn modelId="{5FC50323-72EF-477B-BC53-E3C0E49D89CF}" type="presParOf" srcId="{3CB9687E-D2C4-4E78-BBDA-FF184452CD31}" destId="{CFE8FC96-EB3C-4CFF-838F-37244283248F}" srcOrd="7" destOrd="0" presId="urn:microsoft.com/office/officeart/2005/8/layout/cycle6"/>
    <dgm:cxn modelId="{FADA62F6-41A2-4A23-80E1-34F7F0935E7E}" type="presParOf" srcId="{3CB9687E-D2C4-4E78-BBDA-FF184452CD31}" destId="{B7CACE78-36D9-458B-9C82-367B195FD7F4}" srcOrd="8" destOrd="0" presId="urn:microsoft.com/office/officeart/2005/8/layout/cycle6"/>
    <dgm:cxn modelId="{CE5EDE57-CFD1-4583-9766-7A4E1EA0F543}" type="presParOf" srcId="{3CB9687E-D2C4-4E78-BBDA-FF184452CD31}" destId="{4859F194-46D5-445B-83E3-2DEE2CE990E0}" srcOrd="9" destOrd="0" presId="urn:microsoft.com/office/officeart/2005/8/layout/cycle6"/>
    <dgm:cxn modelId="{65D833CC-AFD4-4414-B558-CF6B42E2495E}" type="presParOf" srcId="{3CB9687E-D2C4-4E78-BBDA-FF184452CD31}" destId="{0F4FDA1B-67EE-482F-B7A8-C7A1DE55AE87}" srcOrd="10" destOrd="0" presId="urn:microsoft.com/office/officeart/2005/8/layout/cycle6"/>
    <dgm:cxn modelId="{66D48502-DBE5-4935-8BD7-2AABB07F7052}" type="presParOf" srcId="{3CB9687E-D2C4-4E78-BBDA-FF184452CD31}" destId="{38A03CA4-CAA9-4DA6-A6A3-C9B95A17D778}" srcOrd="11" destOrd="0" presId="urn:microsoft.com/office/officeart/2005/8/layout/cycle6"/>
    <dgm:cxn modelId="{6B42297F-83E4-44EE-8DDD-484DF28C6C02}" type="presParOf" srcId="{3CB9687E-D2C4-4E78-BBDA-FF184452CD31}" destId="{F140D1C7-E75B-4FF5-8544-04E0A7F72228}" srcOrd="12" destOrd="0" presId="urn:microsoft.com/office/officeart/2005/8/layout/cycle6"/>
    <dgm:cxn modelId="{F82A7B81-5B5F-42F3-A53B-634D68138091}" type="presParOf" srcId="{3CB9687E-D2C4-4E78-BBDA-FF184452CD31}" destId="{26B7A681-4721-479D-B1D0-440E65580101}" srcOrd="13" destOrd="0" presId="urn:microsoft.com/office/officeart/2005/8/layout/cycle6"/>
    <dgm:cxn modelId="{6CEA9412-5FD3-46CA-9F37-8AEABFC6F122}" type="presParOf" srcId="{3CB9687E-D2C4-4E78-BBDA-FF184452CD31}" destId="{F4C63D11-5510-4DC0-ACF2-F23E871105A1}" srcOrd="14" destOrd="0" presId="urn:microsoft.com/office/officeart/2005/8/layout/cycle6"/>
    <dgm:cxn modelId="{8AFC0AAA-9AE1-4D72-89D5-269FFE44DF12}" type="presParOf" srcId="{3CB9687E-D2C4-4E78-BBDA-FF184452CD31}" destId="{A4FCCD0C-A3EC-4F5D-BC4B-FE4F00F5007B}" srcOrd="15" destOrd="0" presId="urn:microsoft.com/office/officeart/2005/8/layout/cycle6"/>
    <dgm:cxn modelId="{4B55AB39-181F-4CD5-A5F9-60A7F5F5F818}" type="presParOf" srcId="{3CB9687E-D2C4-4E78-BBDA-FF184452CD31}" destId="{40ED2070-0659-4C98-94B2-7204788D7113}" srcOrd="16" destOrd="0" presId="urn:microsoft.com/office/officeart/2005/8/layout/cycle6"/>
    <dgm:cxn modelId="{660787EF-F349-43FB-A9E9-42E6DA7370FB}" type="presParOf" srcId="{3CB9687E-D2C4-4E78-BBDA-FF184452CD31}" destId="{599327EA-71EC-4A8F-8BC6-9C4095B87480}" srcOrd="17" destOrd="0" presId="urn:microsoft.com/office/officeart/2005/8/layout/cycle6"/>
  </dgm:cxnLst>
  <dgm:bg/>
  <dgm:whole>
    <a:ln>
      <a:solidFill>
        <a:schemeClr val="tx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F9A94B0-2E2B-43E8-8A57-9968E11929E5}" type="doc">
      <dgm:prSet loTypeId="urn:microsoft.com/office/officeart/2005/8/layout/list1" loCatId="list" qsTypeId="urn:microsoft.com/office/officeart/2005/8/quickstyle/3d3" qsCatId="3D" csTypeId="urn:microsoft.com/office/officeart/2005/8/colors/accent0_1" csCatId="mainScheme" phldr="1"/>
      <dgm:spPr/>
      <dgm:t>
        <a:bodyPr/>
        <a:lstStyle/>
        <a:p>
          <a:endParaRPr lang="en-US"/>
        </a:p>
      </dgm:t>
    </dgm:pt>
    <dgm:pt modelId="{C4731EB8-697F-4A8D-86A0-38228E86FB13}">
      <dgm:prSet phldrT="[Text]"/>
      <dgm:spPr/>
      <dgm:t>
        <a:bodyPr/>
        <a:lstStyle/>
        <a:p>
          <a:r>
            <a:rPr lang="en-GB" b="1" i="0"/>
            <a:t>Employee recognition or reward programs </a:t>
          </a:r>
          <a:endParaRPr lang="en-US" i="0"/>
        </a:p>
      </dgm:t>
    </dgm:pt>
    <dgm:pt modelId="{C776128A-924C-4854-A282-87F26D52BB0F}" type="parTrans" cxnId="{F59351A3-C4BD-4561-B15F-E1E972770B85}">
      <dgm:prSet/>
      <dgm:spPr/>
      <dgm:t>
        <a:bodyPr/>
        <a:lstStyle/>
        <a:p>
          <a:endParaRPr lang="en-US"/>
        </a:p>
      </dgm:t>
    </dgm:pt>
    <dgm:pt modelId="{06D9BBAA-BB2C-4BB4-81EC-E61306F63512}" type="sibTrans" cxnId="{F59351A3-C4BD-4561-B15F-E1E972770B85}">
      <dgm:prSet/>
      <dgm:spPr/>
      <dgm:t>
        <a:bodyPr/>
        <a:lstStyle/>
        <a:p>
          <a:endParaRPr lang="en-US"/>
        </a:p>
      </dgm:t>
    </dgm:pt>
    <dgm:pt modelId="{C9D8F5BB-F1F3-40CF-A7A2-37CA813657F3}">
      <dgm:prSet/>
      <dgm:spPr/>
      <dgm:t>
        <a:bodyPr/>
        <a:lstStyle/>
        <a:p>
          <a:r>
            <a:rPr lang="en-GB" b="1" i="0"/>
            <a:t>Employee survey</a:t>
          </a:r>
          <a:endParaRPr lang="en-US" i="0"/>
        </a:p>
      </dgm:t>
    </dgm:pt>
    <dgm:pt modelId="{33AD743A-56D6-4BCE-B39F-2C3AD67737BD}" type="parTrans" cxnId="{169F81D1-4A7B-417F-A3A0-19E9488BC591}">
      <dgm:prSet/>
      <dgm:spPr/>
      <dgm:t>
        <a:bodyPr/>
        <a:lstStyle/>
        <a:p>
          <a:endParaRPr lang="en-US"/>
        </a:p>
      </dgm:t>
    </dgm:pt>
    <dgm:pt modelId="{FE34C4E3-858B-449E-B700-BD841E14D16A}" type="sibTrans" cxnId="{169F81D1-4A7B-417F-A3A0-19E9488BC591}">
      <dgm:prSet/>
      <dgm:spPr/>
      <dgm:t>
        <a:bodyPr/>
        <a:lstStyle/>
        <a:p>
          <a:endParaRPr lang="en-US"/>
        </a:p>
      </dgm:t>
    </dgm:pt>
    <dgm:pt modelId="{4A800F2F-8B0F-4194-AAEE-162F15BB9941}">
      <dgm:prSet/>
      <dgm:spPr/>
      <dgm:t>
        <a:bodyPr/>
        <a:lstStyle/>
        <a:p>
          <a:r>
            <a:rPr lang="en-GB" b="1" i="0"/>
            <a:t>One-to-one meetings</a:t>
          </a:r>
          <a:r>
            <a:rPr lang="en-GB" i="0"/>
            <a:t> </a:t>
          </a:r>
          <a:endParaRPr lang="en-US" i="0"/>
        </a:p>
      </dgm:t>
    </dgm:pt>
    <dgm:pt modelId="{559644E4-5311-4A1E-BD97-2FD4AC8D3618}" type="parTrans" cxnId="{A077CCA8-2AB8-46BB-8A72-CAC974F31C21}">
      <dgm:prSet/>
      <dgm:spPr/>
      <dgm:t>
        <a:bodyPr/>
        <a:lstStyle/>
        <a:p>
          <a:endParaRPr lang="en-US"/>
        </a:p>
      </dgm:t>
    </dgm:pt>
    <dgm:pt modelId="{71687C90-2793-4FB6-9AAD-C93B4FC8B546}" type="sibTrans" cxnId="{A077CCA8-2AB8-46BB-8A72-CAC974F31C21}">
      <dgm:prSet/>
      <dgm:spPr/>
      <dgm:t>
        <a:bodyPr/>
        <a:lstStyle/>
        <a:p>
          <a:endParaRPr lang="en-US"/>
        </a:p>
      </dgm:t>
    </dgm:pt>
    <dgm:pt modelId="{318EA641-A339-4C2C-974F-035CC6212C48}">
      <dgm:prSet/>
      <dgm:spPr/>
      <dgm:t>
        <a:bodyPr/>
        <a:lstStyle/>
        <a:p>
          <a:r>
            <a:rPr lang="en-GB" b="1" i="0"/>
            <a:t>Measuring productivity and retention rates</a:t>
          </a:r>
          <a:r>
            <a:rPr lang="en-GB" i="0"/>
            <a:t> </a:t>
          </a:r>
          <a:endParaRPr lang="en-US" i="0"/>
        </a:p>
      </dgm:t>
    </dgm:pt>
    <dgm:pt modelId="{920CCF7E-0219-41CE-9FA3-0F0C631EB88F}" type="parTrans" cxnId="{D6254633-6EA6-448C-BBF0-E9514FB8CED8}">
      <dgm:prSet/>
      <dgm:spPr/>
      <dgm:t>
        <a:bodyPr/>
        <a:lstStyle/>
        <a:p>
          <a:endParaRPr lang="en-US"/>
        </a:p>
      </dgm:t>
    </dgm:pt>
    <dgm:pt modelId="{A6EFE9D3-B352-4C43-B560-6C593245B59A}" type="sibTrans" cxnId="{D6254633-6EA6-448C-BBF0-E9514FB8CED8}">
      <dgm:prSet/>
      <dgm:spPr/>
      <dgm:t>
        <a:bodyPr/>
        <a:lstStyle/>
        <a:p>
          <a:endParaRPr lang="en-US"/>
        </a:p>
      </dgm:t>
    </dgm:pt>
    <dgm:pt modelId="{487A3504-297E-4704-8B46-FF1553BD90C4}" type="pres">
      <dgm:prSet presAssocID="{0F9A94B0-2E2B-43E8-8A57-9968E11929E5}" presName="linear" presStyleCnt="0">
        <dgm:presLayoutVars>
          <dgm:dir/>
          <dgm:animLvl val="lvl"/>
          <dgm:resizeHandles val="exact"/>
        </dgm:presLayoutVars>
      </dgm:prSet>
      <dgm:spPr/>
    </dgm:pt>
    <dgm:pt modelId="{E3D04F58-1519-4C52-BC6D-217DADF4F34B}" type="pres">
      <dgm:prSet presAssocID="{C4731EB8-697F-4A8D-86A0-38228E86FB13}" presName="parentLin" presStyleCnt="0"/>
      <dgm:spPr/>
    </dgm:pt>
    <dgm:pt modelId="{83BFF6E3-53C4-4D98-ADFD-89D1A7827DB4}" type="pres">
      <dgm:prSet presAssocID="{C4731EB8-697F-4A8D-86A0-38228E86FB13}" presName="parentLeftMargin" presStyleLbl="node1" presStyleIdx="0" presStyleCnt="4"/>
      <dgm:spPr/>
    </dgm:pt>
    <dgm:pt modelId="{F68E1581-42A1-4E48-A593-EF9D80A91BE8}" type="pres">
      <dgm:prSet presAssocID="{C4731EB8-697F-4A8D-86A0-38228E86FB13}" presName="parentText" presStyleLbl="node1" presStyleIdx="0" presStyleCnt="4">
        <dgm:presLayoutVars>
          <dgm:chMax val="0"/>
          <dgm:bulletEnabled val="1"/>
        </dgm:presLayoutVars>
      </dgm:prSet>
      <dgm:spPr/>
    </dgm:pt>
    <dgm:pt modelId="{9AD5D558-8F18-4529-994F-5AB3F55B0B80}" type="pres">
      <dgm:prSet presAssocID="{C4731EB8-697F-4A8D-86A0-38228E86FB13}" presName="negativeSpace" presStyleCnt="0"/>
      <dgm:spPr/>
    </dgm:pt>
    <dgm:pt modelId="{42E06F24-F8C9-4953-B3D3-3D3EDAC76973}" type="pres">
      <dgm:prSet presAssocID="{C4731EB8-697F-4A8D-86A0-38228E86FB13}" presName="childText" presStyleLbl="conFgAcc1" presStyleIdx="0" presStyleCnt="4">
        <dgm:presLayoutVars>
          <dgm:bulletEnabled val="1"/>
        </dgm:presLayoutVars>
      </dgm:prSet>
      <dgm:spPr/>
    </dgm:pt>
    <dgm:pt modelId="{32B8A1FB-99F8-4697-85FA-EB05832740FC}" type="pres">
      <dgm:prSet presAssocID="{06D9BBAA-BB2C-4BB4-81EC-E61306F63512}" presName="spaceBetweenRectangles" presStyleCnt="0"/>
      <dgm:spPr/>
    </dgm:pt>
    <dgm:pt modelId="{96137C0C-E3AA-4E88-A3AA-DC1B0E38F4BF}" type="pres">
      <dgm:prSet presAssocID="{C9D8F5BB-F1F3-40CF-A7A2-37CA813657F3}" presName="parentLin" presStyleCnt="0"/>
      <dgm:spPr/>
    </dgm:pt>
    <dgm:pt modelId="{356BCB02-241C-427C-9AF7-ADCCE6EADE9A}" type="pres">
      <dgm:prSet presAssocID="{C9D8F5BB-F1F3-40CF-A7A2-37CA813657F3}" presName="parentLeftMargin" presStyleLbl="node1" presStyleIdx="0" presStyleCnt="4"/>
      <dgm:spPr/>
    </dgm:pt>
    <dgm:pt modelId="{E148237C-2CAB-434D-BB58-7EFC96BFFC65}" type="pres">
      <dgm:prSet presAssocID="{C9D8F5BB-F1F3-40CF-A7A2-37CA813657F3}" presName="parentText" presStyleLbl="node1" presStyleIdx="1" presStyleCnt="4">
        <dgm:presLayoutVars>
          <dgm:chMax val="0"/>
          <dgm:bulletEnabled val="1"/>
        </dgm:presLayoutVars>
      </dgm:prSet>
      <dgm:spPr/>
    </dgm:pt>
    <dgm:pt modelId="{427E2C73-D520-4533-A48E-31EEBD3337AF}" type="pres">
      <dgm:prSet presAssocID="{C9D8F5BB-F1F3-40CF-A7A2-37CA813657F3}" presName="negativeSpace" presStyleCnt="0"/>
      <dgm:spPr/>
    </dgm:pt>
    <dgm:pt modelId="{EFAB5CF0-9BB2-40F4-91AA-FA47B958E658}" type="pres">
      <dgm:prSet presAssocID="{C9D8F5BB-F1F3-40CF-A7A2-37CA813657F3}" presName="childText" presStyleLbl="conFgAcc1" presStyleIdx="1" presStyleCnt="4">
        <dgm:presLayoutVars>
          <dgm:bulletEnabled val="1"/>
        </dgm:presLayoutVars>
      </dgm:prSet>
      <dgm:spPr/>
    </dgm:pt>
    <dgm:pt modelId="{5FF8E364-E282-47CE-9D85-7D1B782D2DEA}" type="pres">
      <dgm:prSet presAssocID="{FE34C4E3-858B-449E-B700-BD841E14D16A}" presName="spaceBetweenRectangles" presStyleCnt="0"/>
      <dgm:spPr/>
    </dgm:pt>
    <dgm:pt modelId="{C33AE094-4B07-4472-8C2F-10A571E7A6CD}" type="pres">
      <dgm:prSet presAssocID="{4A800F2F-8B0F-4194-AAEE-162F15BB9941}" presName="parentLin" presStyleCnt="0"/>
      <dgm:spPr/>
    </dgm:pt>
    <dgm:pt modelId="{56D36B5E-CA4B-4F06-8D5C-02FAD7A9E9D4}" type="pres">
      <dgm:prSet presAssocID="{4A800F2F-8B0F-4194-AAEE-162F15BB9941}" presName="parentLeftMargin" presStyleLbl="node1" presStyleIdx="1" presStyleCnt="4"/>
      <dgm:spPr/>
    </dgm:pt>
    <dgm:pt modelId="{5C4B8795-55B2-4C6D-91AC-75930F969470}" type="pres">
      <dgm:prSet presAssocID="{4A800F2F-8B0F-4194-AAEE-162F15BB9941}" presName="parentText" presStyleLbl="node1" presStyleIdx="2" presStyleCnt="4">
        <dgm:presLayoutVars>
          <dgm:chMax val="0"/>
          <dgm:bulletEnabled val="1"/>
        </dgm:presLayoutVars>
      </dgm:prSet>
      <dgm:spPr/>
    </dgm:pt>
    <dgm:pt modelId="{6A5FE8E7-ACAF-4794-BDF6-B52035EAB7EA}" type="pres">
      <dgm:prSet presAssocID="{4A800F2F-8B0F-4194-AAEE-162F15BB9941}" presName="negativeSpace" presStyleCnt="0"/>
      <dgm:spPr/>
    </dgm:pt>
    <dgm:pt modelId="{5282BBF3-BACD-45A2-AD6A-C341EC94A903}" type="pres">
      <dgm:prSet presAssocID="{4A800F2F-8B0F-4194-AAEE-162F15BB9941}" presName="childText" presStyleLbl="conFgAcc1" presStyleIdx="2" presStyleCnt="4">
        <dgm:presLayoutVars>
          <dgm:bulletEnabled val="1"/>
        </dgm:presLayoutVars>
      </dgm:prSet>
      <dgm:spPr/>
    </dgm:pt>
    <dgm:pt modelId="{52F29528-409A-48BB-8A35-AF5469DFD1C6}" type="pres">
      <dgm:prSet presAssocID="{71687C90-2793-4FB6-9AAD-C93B4FC8B546}" presName="spaceBetweenRectangles" presStyleCnt="0"/>
      <dgm:spPr/>
    </dgm:pt>
    <dgm:pt modelId="{FA1D9C34-0E5A-4F97-9242-66143C7BDD89}" type="pres">
      <dgm:prSet presAssocID="{318EA641-A339-4C2C-974F-035CC6212C48}" presName="parentLin" presStyleCnt="0"/>
      <dgm:spPr/>
    </dgm:pt>
    <dgm:pt modelId="{BC73D5C0-6481-46CB-806D-5ACD57469575}" type="pres">
      <dgm:prSet presAssocID="{318EA641-A339-4C2C-974F-035CC6212C48}" presName="parentLeftMargin" presStyleLbl="node1" presStyleIdx="2" presStyleCnt="4"/>
      <dgm:spPr/>
    </dgm:pt>
    <dgm:pt modelId="{5FAB1D5E-6B9A-4B4F-851E-91512D05DE4B}" type="pres">
      <dgm:prSet presAssocID="{318EA641-A339-4C2C-974F-035CC6212C48}" presName="parentText" presStyleLbl="node1" presStyleIdx="3" presStyleCnt="4">
        <dgm:presLayoutVars>
          <dgm:chMax val="0"/>
          <dgm:bulletEnabled val="1"/>
        </dgm:presLayoutVars>
      </dgm:prSet>
      <dgm:spPr/>
    </dgm:pt>
    <dgm:pt modelId="{2DD73E5A-428C-4AE0-A224-51553D72114D}" type="pres">
      <dgm:prSet presAssocID="{318EA641-A339-4C2C-974F-035CC6212C48}" presName="negativeSpace" presStyleCnt="0"/>
      <dgm:spPr/>
    </dgm:pt>
    <dgm:pt modelId="{328EC09D-D18E-4FC3-9769-0BAA4AAD6E10}" type="pres">
      <dgm:prSet presAssocID="{318EA641-A339-4C2C-974F-035CC6212C48}" presName="childText" presStyleLbl="conFgAcc1" presStyleIdx="3" presStyleCnt="4">
        <dgm:presLayoutVars>
          <dgm:bulletEnabled val="1"/>
        </dgm:presLayoutVars>
      </dgm:prSet>
      <dgm:spPr/>
    </dgm:pt>
  </dgm:ptLst>
  <dgm:cxnLst>
    <dgm:cxn modelId="{C2B50022-FEA6-488D-A3FD-AF52BA5B0D4A}" type="presOf" srcId="{318EA641-A339-4C2C-974F-035CC6212C48}" destId="{BC73D5C0-6481-46CB-806D-5ACD57469575}" srcOrd="0" destOrd="0" presId="urn:microsoft.com/office/officeart/2005/8/layout/list1"/>
    <dgm:cxn modelId="{D6254633-6EA6-448C-BBF0-E9514FB8CED8}" srcId="{0F9A94B0-2E2B-43E8-8A57-9968E11929E5}" destId="{318EA641-A339-4C2C-974F-035CC6212C48}" srcOrd="3" destOrd="0" parTransId="{920CCF7E-0219-41CE-9FA3-0F0C631EB88F}" sibTransId="{A6EFE9D3-B352-4C43-B560-6C593245B59A}"/>
    <dgm:cxn modelId="{FD5ED340-B6B9-4E61-9A37-C290223E1F45}" type="presOf" srcId="{C9D8F5BB-F1F3-40CF-A7A2-37CA813657F3}" destId="{E148237C-2CAB-434D-BB58-7EFC96BFFC65}" srcOrd="1" destOrd="0" presId="urn:microsoft.com/office/officeart/2005/8/layout/list1"/>
    <dgm:cxn modelId="{71AB8F5C-D756-48BF-A0B7-2776C8B2D2C2}" type="presOf" srcId="{C4731EB8-697F-4A8D-86A0-38228E86FB13}" destId="{F68E1581-42A1-4E48-A593-EF9D80A91BE8}" srcOrd="1" destOrd="0" presId="urn:microsoft.com/office/officeart/2005/8/layout/list1"/>
    <dgm:cxn modelId="{F88CE86C-5E04-449A-BDD8-84DAE6DFDE27}" type="presOf" srcId="{4A800F2F-8B0F-4194-AAEE-162F15BB9941}" destId="{56D36B5E-CA4B-4F06-8D5C-02FAD7A9E9D4}" srcOrd="0" destOrd="0" presId="urn:microsoft.com/office/officeart/2005/8/layout/list1"/>
    <dgm:cxn modelId="{49CE8670-37EE-4E53-AD25-7772279B60BF}" type="presOf" srcId="{C4731EB8-697F-4A8D-86A0-38228E86FB13}" destId="{83BFF6E3-53C4-4D98-ADFD-89D1A7827DB4}" srcOrd="0" destOrd="0" presId="urn:microsoft.com/office/officeart/2005/8/layout/list1"/>
    <dgm:cxn modelId="{AAD0D59E-998D-45E5-A0DB-4AED81FBDB76}" type="presOf" srcId="{4A800F2F-8B0F-4194-AAEE-162F15BB9941}" destId="{5C4B8795-55B2-4C6D-91AC-75930F969470}" srcOrd="1" destOrd="0" presId="urn:microsoft.com/office/officeart/2005/8/layout/list1"/>
    <dgm:cxn modelId="{F59351A3-C4BD-4561-B15F-E1E972770B85}" srcId="{0F9A94B0-2E2B-43E8-8A57-9968E11929E5}" destId="{C4731EB8-697F-4A8D-86A0-38228E86FB13}" srcOrd="0" destOrd="0" parTransId="{C776128A-924C-4854-A282-87F26D52BB0F}" sibTransId="{06D9BBAA-BB2C-4BB4-81EC-E61306F63512}"/>
    <dgm:cxn modelId="{A077CCA8-2AB8-46BB-8A72-CAC974F31C21}" srcId="{0F9A94B0-2E2B-43E8-8A57-9968E11929E5}" destId="{4A800F2F-8B0F-4194-AAEE-162F15BB9941}" srcOrd="2" destOrd="0" parTransId="{559644E4-5311-4A1E-BD97-2FD4AC8D3618}" sibTransId="{71687C90-2793-4FB6-9AAD-C93B4FC8B546}"/>
    <dgm:cxn modelId="{169F81D1-4A7B-417F-A3A0-19E9488BC591}" srcId="{0F9A94B0-2E2B-43E8-8A57-9968E11929E5}" destId="{C9D8F5BB-F1F3-40CF-A7A2-37CA813657F3}" srcOrd="1" destOrd="0" parTransId="{33AD743A-56D6-4BCE-B39F-2C3AD67737BD}" sibTransId="{FE34C4E3-858B-449E-B700-BD841E14D16A}"/>
    <dgm:cxn modelId="{6763E1D6-5A96-4CA7-A1D5-72B029A6D906}" type="presOf" srcId="{0F9A94B0-2E2B-43E8-8A57-9968E11929E5}" destId="{487A3504-297E-4704-8B46-FF1553BD90C4}" srcOrd="0" destOrd="0" presId="urn:microsoft.com/office/officeart/2005/8/layout/list1"/>
    <dgm:cxn modelId="{73630EDE-5605-43A5-994D-01266D3F7456}" type="presOf" srcId="{318EA641-A339-4C2C-974F-035CC6212C48}" destId="{5FAB1D5E-6B9A-4B4F-851E-91512D05DE4B}" srcOrd="1" destOrd="0" presId="urn:microsoft.com/office/officeart/2005/8/layout/list1"/>
    <dgm:cxn modelId="{C78CD1FC-E633-4852-A2E2-5123CC67383C}" type="presOf" srcId="{C9D8F5BB-F1F3-40CF-A7A2-37CA813657F3}" destId="{356BCB02-241C-427C-9AF7-ADCCE6EADE9A}" srcOrd="0" destOrd="0" presId="urn:microsoft.com/office/officeart/2005/8/layout/list1"/>
    <dgm:cxn modelId="{0F347E5B-A6BA-4F2B-8D69-CEB6FE6EBF96}" type="presParOf" srcId="{487A3504-297E-4704-8B46-FF1553BD90C4}" destId="{E3D04F58-1519-4C52-BC6D-217DADF4F34B}" srcOrd="0" destOrd="0" presId="urn:microsoft.com/office/officeart/2005/8/layout/list1"/>
    <dgm:cxn modelId="{DC438A67-BA50-4E1F-AFC1-319D4A707E81}" type="presParOf" srcId="{E3D04F58-1519-4C52-BC6D-217DADF4F34B}" destId="{83BFF6E3-53C4-4D98-ADFD-89D1A7827DB4}" srcOrd="0" destOrd="0" presId="urn:microsoft.com/office/officeart/2005/8/layout/list1"/>
    <dgm:cxn modelId="{9A9327C5-506E-43D0-9A5A-5CF57BA68945}" type="presParOf" srcId="{E3D04F58-1519-4C52-BC6D-217DADF4F34B}" destId="{F68E1581-42A1-4E48-A593-EF9D80A91BE8}" srcOrd="1" destOrd="0" presId="urn:microsoft.com/office/officeart/2005/8/layout/list1"/>
    <dgm:cxn modelId="{61EAB0DC-7EDE-4E6B-8DBB-53D63B0E4F6E}" type="presParOf" srcId="{487A3504-297E-4704-8B46-FF1553BD90C4}" destId="{9AD5D558-8F18-4529-994F-5AB3F55B0B80}" srcOrd="1" destOrd="0" presId="urn:microsoft.com/office/officeart/2005/8/layout/list1"/>
    <dgm:cxn modelId="{2FC2EE10-5689-4A69-A57A-ABA944373B58}" type="presParOf" srcId="{487A3504-297E-4704-8B46-FF1553BD90C4}" destId="{42E06F24-F8C9-4953-B3D3-3D3EDAC76973}" srcOrd="2" destOrd="0" presId="urn:microsoft.com/office/officeart/2005/8/layout/list1"/>
    <dgm:cxn modelId="{0E18535B-BD66-4EE0-9377-F3FAE875595F}" type="presParOf" srcId="{487A3504-297E-4704-8B46-FF1553BD90C4}" destId="{32B8A1FB-99F8-4697-85FA-EB05832740FC}" srcOrd="3" destOrd="0" presId="urn:microsoft.com/office/officeart/2005/8/layout/list1"/>
    <dgm:cxn modelId="{F2ACB177-D2C6-4EC5-9E32-A71438D00B0D}" type="presParOf" srcId="{487A3504-297E-4704-8B46-FF1553BD90C4}" destId="{96137C0C-E3AA-4E88-A3AA-DC1B0E38F4BF}" srcOrd="4" destOrd="0" presId="urn:microsoft.com/office/officeart/2005/8/layout/list1"/>
    <dgm:cxn modelId="{E325707E-EC34-4DF7-B989-6A217455285C}" type="presParOf" srcId="{96137C0C-E3AA-4E88-A3AA-DC1B0E38F4BF}" destId="{356BCB02-241C-427C-9AF7-ADCCE6EADE9A}" srcOrd="0" destOrd="0" presId="urn:microsoft.com/office/officeart/2005/8/layout/list1"/>
    <dgm:cxn modelId="{A1003195-F858-4716-B5D3-A8E7F6E30FAF}" type="presParOf" srcId="{96137C0C-E3AA-4E88-A3AA-DC1B0E38F4BF}" destId="{E148237C-2CAB-434D-BB58-7EFC96BFFC65}" srcOrd="1" destOrd="0" presId="urn:microsoft.com/office/officeart/2005/8/layout/list1"/>
    <dgm:cxn modelId="{535A80D2-825A-43BC-ABC8-A8876A682978}" type="presParOf" srcId="{487A3504-297E-4704-8B46-FF1553BD90C4}" destId="{427E2C73-D520-4533-A48E-31EEBD3337AF}" srcOrd="5" destOrd="0" presId="urn:microsoft.com/office/officeart/2005/8/layout/list1"/>
    <dgm:cxn modelId="{3B9C5B23-2C5B-4DDE-857E-C5052EB9991F}" type="presParOf" srcId="{487A3504-297E-4704-8B46-FF1553BD90C4}" destId="{EFAB5CF0-9BB2-40F4-91AA-FA47B958E658}" srcOrd="6" destOrd="0" presId="urn:microsoft.com/office/officeart/2005/8/layout/list1"/>
    <dgm:cxn modelId="{B713FE60-B736-4197-957A-D7E66D0304CB}" type="presParOf" srcId="{487A3504-297E-4704-8B46-FF1553BD90C4}" destId="{5FF8E364-E282-47CE-9D85-7D1B782D2DEA}" srcOrd="7" destOrd="0" presId="urn:microsoft.com/office/officeart/2005/8/layout/list1"/>
    <dgm:cxn modelId="{840E6E10-B692-4362-AC17-1C5F2F416B8F}" type="presParOf" srcId="{487A3504-297E-4704-8B46-FF1553BD90C4}" destId="{C33AE094-4B07-4472-8C2F-10A571E7A6CD}" srcOrd="8" destOrd="0" presId="urn:microsoft.com/office/officeart/2005/8/layout/list1"/>
    <dgm:cxn modelId="{5EC5C7A7-18A2-4595-A28E-32D028D45C04}" type="presParOf" srcId="{C33AE094-4B07-4472-8C2F-10A571E7A6CD}" destId="{56D36B5E-CA4B-4F06-8D5C-02FAD7A9E9D4}" srcOrd="0" destOrd="0" presId="urn:microsoft.com/office/officeart/2005/8/layout/list1"/>
    <dgm:cxn modelId="{B6A63C18-5731-4882-99E5-C1F8ED0CB5E6}" type="presParOf" srcId="{C33AE094-4B07-4472-8C2F-10A571E7A6CD}" destId="{5C4B8795-55B2-4C6D-91AC-75930F969470}" srcOrd="1" destOrd="0" presId="urn:microsoft.com/office/officeart/2005/8/layout/list1"/>
    <dgm:cxn modelId="{61E30FB0-9394-4D2D-94EF-3F9CBB63B19B}" type="presParOf" srcId="{487A3504-297E-4704-8B46-FF1553BD90C4}" destId="{6A5FE8E7-ACAF-4794-BDF6-B52035EAB7EA}" srcOrd="9" destOrd="0" presId="urn:microsoft.com/office/officeart/2005/8/layout/list1"/>
    <dgm:cxn modelId="{B3E94B76-FE0F-48F9-B9A6-4469FF383D1E}" type="presParOf" srcId="{487A3504-297E-4704-8B46-FF1553BD90C4}" destId="{5282BBF3-BACD-45A2-AD6A-C341EC94A903}" srcOrd="10" destOrd="0" presId="urn:microsoft.com/office/officeart/2005/8/layout/list1"/>
    <dgm:cxn modelId="{C328CDB8-DD65-474F-BB65-7069042A62A2}" type="presParOf" srcId="{487A3504-297E-4704-8B46-FF1553BD90C4}" destId="{52F29528-409A-48BB-8A35-AF5469DFD1C6}" srcOrd="11" destOrd="0" presId="urn:microsoft.com/office/officeart/2005/8/layout/list1"/>
    <dgm:cxn modelId="{1B6631D0-595A-4346-99E5-C4F017342D1C}" type="presParOf" srcId="{487A3504-297E-4704-8B46-FF1553BD90C4}" destId="{FA1D9C34-0E5A-4F97-9242-66143C7BDD89}" srcOrd="12" destOrd="0" presId="urn:microsoft.com/office/officeart/2005/8/layout/list1"/>
    <dgm:cxn modelId="{602AE29C-DF0D-4810-A4D2-71ECEB0073DA}" type="presParOf" srcId="{FA1D9C34-0E5A-4F97-9242-66143C7BDD89}" destId="{BC73D5C0-6481-46CB-806D-5ACD57469575}" srcOrd="0" destOrd="0" presId="urn:microsoft.com/office/officeart/2005/8/layout/list1"/>
    <dgm:cxn modelId="{8E703F99-632D-4826-A869-05A2DCAE3A5F}" type="presParOf" srcId="{FA1D9C34-0E5A-4F97-9242-66143C7BDD89}" destId="{5FAB1D5E-6B9A-4B4F-851E-91512D05DE4B}" srcOrd="1" destOrd="0" presId="urn:microsoft.com/office/officeart/2005/8/layout/list1"/>
    <dgm:cxn modelId="{0C6CF3F6-606A-4493-ACE3-2BD8BAA3D696}" type="presParOf" srcId="{487A3504-297E-4704-8B46-FF1553BD90C4}" destId="{2DD73E5A-428C-4AE0-A224-51553D72114D}" srcOrd="13" destOrd="0" presId="urn:microsoft.com/office/officeart/2005/8/layout/list1"/>
    <dgm:cxn modelId="{468826E9-7AB8-43B5-9970-1BE628FC5F59}" type="presParOf" srcId="{487A3504-297E-4704-8B46-FF1553BD90C4}" destId="{328EC09D-D18E-4FC3-9769-0BAA4AAD6E10}" srcOrd="14" destOrd="0" presId="urn:microsoft.com/office/officeart/2005/8/layout/list1"/>
  </dgm:cxnLst>
  <dgm:bg/>
  <dgm:whole>
    <a:ln>
      <a:solidFill>
        <a:schemeClr val="tx1"/>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D5CB8-3F5B-482C-8A58-46F449702ED2}">
      <dsp:nvSpPr>
        <dsp:cNvPr id="0" name=""/>
        <dsp:cNvSpPr/>
      </dsp:nvSpPr>
      <dsp:spPr>
        <a:xfrm>
          <a:off x="2583180" y="1440180"/>
          <a:ext cx="1760220" cy="1760220"/>
        </a:xfrm>
        <a:prstGeom prst="gear9">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itchFamily="34" charset="0"/>
              <a:cs typeface="Arial" pitchFamily="34" charset="0"/>
            </a:rPr>
            <a:t>Emotional</a:t>
          </a:r>
          <a:endParaRPr lang="en-US" sz="1000" b="1" kern="1200">
            <a:latin typeface="Arial" pitchFamily="34" charset="0"/>
            <a:cs typeface="Arial" pitchFamily="34" charset="0"/>
          </a:endParaRPr>
        </a:p>
      </dsp:txBody>
      <dsp:txXfrm>
        <a:off x="2937063" y="1852503"/>
        <a:ext cx="1052454" cy="904790"/>
      </dsp:txXfrm>
    </dsp:sp>
    <dsp:sp modelId="{D22C4176-32B3-4E4A-ABD4-365D73E8FB10}">
      <dsp:nvSpPr>
        <dsp:cNvPr id="0" name=""/>
        <dsp:cNvSpPr/>
      </dsp:nvSpPr>
      <dsp:spPr>
        <a:xfrm>
          <a:off x="1559052" y="1024128"/>
          <a:ext cx="1280160" cy="1280160"/>
        </a:xfrm>
        <a:prstGeom prst="gear6">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itchFamily="34" charset="0"/>
              <a:cs typeface="Arial" pitchFamily="34" charset="0"/>
            </a:rPr>
            <a:t>Cognitive</a:t>
          </a:r>
          <a:endParaRPr lang="en-US" sz="1000" b="1" kern="1200">
            <a:latin typeface="Arial" pitchFamily="34" charset="0"/>
            <a:cs typeface="Arial" pitchFamily="34" charset="0"/>
          </a:endParaRPr>
        </a:p>
      </dsp:txBody>
      <dsp:txXfrm>
        <a:off x="1881336" y="1348360"/>
        <a:ext cx="635592" cy="631696"/>
      </dsp:txXfrm>
    </dsp:sp>
    <dsp:sp modelId="{26229AAA-85F0-499C-9D93-AC45DD2047ED}">
      <dsp:nvSpPr>
        <dsp:cNvPr id="0" name=""/>
        <dsp:cNvSpPr/>
      </dsp:nvSpPr>
      <dsp:spPr>
        <a:xfrm rot="20700000">
          <a:off x="2276072" y="140948"/>
          <a:ext cx="1254295" cy="1254295"/>
        </a:xfrm>
        <a:prstGeom prst="gear6">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itchFamily="34" charset="0"/>
              <a:cs typeface="Arial" pitchFamily="34" charset="0"/>
            </a:rPr>
            <a:t>Physical roles </a:t>
          </a:r>
          <a:endParaRPr lang="en-US" sz="1000" b="1" kern="1200">
            <a:latin typeface="Arial" pitchFamily="34" charset="0"/>
            <a:cs typeface="Arial" pitchFamily="34" charset="0"/>
          </a:endParaRPr>
        </a:p>
      </dsp:txBody>
      <dsp:txXfrm rot="-20700000">
        <a:off x="2551176" y="416052"/>
        <a:ext cx="704088" cy="704088"/>
      </dsp:txXfrm>
    </dsp:sp>
    <dsp:sp modelId="{C2687DA8-BAAB-4F2E-A2B8-C7FD11C40B10}">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9F407E1E-54D9-4E61-8725-9C64DB301D2A}">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4">
            <a:hueOff val="-2232385"/>
            <a:satOff val="13449"/>
            <a:lumOff val="1078"/>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16CA69DD-AB0A-4CF2-B6B6-9F6E8347ECFB}">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235566-F0B2-4463-8C70-81A9E3F0F96C}">
      <dsp:nvSpPr>
        <dsp:cNvPr id="0" name=""/>
        <dsp:cNvSpPr/>
      </dsp:nvSpPr>
      <dsp:spPr>
        <a:xfrm>
          <a:off x="2312565" y="2598"/>
          <a:ext cx="861268" cy="559824"/>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0" kern="1200">
              <a:latin typeface="Arial" pitchFamily="34" charset="0"/>
              <a:cs typeface="Arial" pitchFamily="34" charset="0"/>
            </a:rPr>
            <a:t>Professional development</a:t>
          </a:r>
          <a:endParaRPr lang="en-US" sz="900" i="0" kern="1200">
            <a:latin typeface="Arial" pitchFamily="34" charset="0"/>
            <a:cs typeface="Arial" pitchFamily="34" charset="0"/>
          </a:endParaRPr>
        </a:p>
      </dsp:txBody>
      <dsp:txXfrm>
        <a:off x="2339893" y="29926"/>
        <a:ext cx="806612" cy="505168"/>
      </dsp:txXfrm>
    </dsp:sp>
    <dsp:sp modelId="{48AE7779-84BC-41C5-AFEE-86EC49A49549}">
      <dsp:nvSpPr>
        <dsp:cNvPr id="0" name=""/>
        <dsp:cNvSpPr/>
      </dsp:nvSpPr>
      <dsp:spPr>
        <a:xfrm>
          <a:off x="1425510" y="282510"/>
          <a:ext cx="2635379" cy="2635379"/>
        </a:xfrm>
        <a:custGeom>
          <a:avLst/>
          <a:gdLst/>
          <a:ahLst/>
          <a:cxnLst/>
          <a:rect l="0" t="0" r="0" b="0"/>
          <a:pathLst>
            <a:path>
              <a:moveTo>
                <a:pt x="1753814" y="74266"/>
              </a:moveTo>
              <a:arcTo wR="1317689" hR="1317689" stAng="17359686" swAng="1499184"/>
            </a:path>
          </a:pathLst>
        </a:custGeom>
        <a:noFill/>
        <a:ln w="9525" cap="flat" cmpd="sng" algn="ctr">
          <a:solidFill>
            <a:schemeClr val="accent2">
              <a:hueOff val="0"/>
              <a:satOff val="0"/>
              <a:lumOff val="0"/>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309CC3F2-4872-48D6-A969-546444F98D86}">
      <dsp:nvSpPr>
        <dsp:cNvPr id="0" name=""/>
        <dsp:cNvSpPr/>
      </dsp:nvSpPr>
      <dsp:spPr>
        <a:xfrm>
          <a:off x="3453718" y="661443"/>
          <a:ext cx="861268" cy="559824"/>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0" kern="1200">
              <a:latin typeface="Arial" pitchFamily="34" charset="0"/>
              <a:cs typeface="Arial" pitchFamily="34" charset="0"/>
            </a:rPr>
            <a:t>Shared values</a:t>
          </a:r>
          <a:endParaRPr lang="en-US" sz="900" i="0" kern="1200">
            <a:latin typeface="Arial" pitchFamily="34" charset="0"/>
            <a:cs typeface="Arial" pitchFamily="34" charset="0"/>
          </a:endParaRPr>
        </a:p>
      </dsp:txBody>
      <dsp:txXfrm>
        <a:off x="3481046" y="688771"/>
        <a:ext cx="806612" cy="505168"/>
      </dsp:txXfrm>
    </dsp:sp>
    <dsp:sp modelId="{4642EA4A-EF49-4D54-A354-3F33CE4A931D}">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9525" cap="flat" cmpd="sng" algn="ctr">
          <a:solidFill>
            <a:schemeClr val="accent3">
              <a:hueOff val="0"/>
              <a:satOff val="0"/>
              <a:lumOff val="0"/>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DFEEBD9B-27B2-4C08-A93C-34D5C45C67E4}">
      <dsp:nvSpPr>
        <dsp:cNvPr id="0" name=""/>
        <dsp:cNvSpPr/>
      </dsp:nvSpPr>
      <dsp:spPr>
        <a:xfrm>
          <a:off x="3453718" y="1979132"/>
          <a:ext cx="861268" cy="559824"/>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0" kern="1200">
              <a:latin typeface="Arial" pitchFamily="34" charset="0"/>
              <a:cs typeface="Arial" pitchFamily="34" charset="0"/>
            </a:rPr>
            <a:t>Safety</a:t>
          </a:r>
          <a:endParaRPr lang="en-US" sz="900" i="0" kern="1200">
            <a:latin typeface="Arial" pitchFamily="34" charset="0"/>
            <a:cs typeface="Arial" pitchFamily="34" charset="0"/>
          </a:endParaRPr>
        </a:p>
      </dsp:txBody>
      <dsp:txXfrm>
        <a:off x="3481046" y="2006460"/>
        <a:ext cx="806612" cy="505168"/>
      </dsp:txXfrm>
    </dsp:sp>
    <dsp:sp modelId="{B7CACE78-36D9-458B-9C82-367B195FD7F4}">
      <dsp:nvSpPr>
        <dsp:cNvPr id="0" name=""/>
        <dsp:cNvSpPr/>
      </dsp:nvSpPr>
      <dsp:spPr>
        <a:xfrm>
          <a:off x="1425510" y="282510"/>
          <a:ext cx="2635379" cy="2635379"/>
        </a:xfrm>
        <a:custGeom>
          <a:avLst/>
          <a:gdLst/>
          <a:ahLst/>
          <a:cxnLst/>
          <a:rect l="0" t="0" r="0" b="0"/>
          <a:pathLst>
            <a:path>
              <a:moveTo>
                <a:pt x="2238222" y="2260517"/>
              </a:moveTo>
              <a:arcTo wR="1317689" hR="1317689" stAng="2741131" swAng="1499184"/>
            </a:path>
          </a:pathLst>
        </a:custGeom>
        <a:noFill/>
        <a:ln w="9525" cap="flat" cmpd="sng" algn="ctr">
          <a:solidFill>
            <a:schemeClr val="accent4">
              <a:hueOff val="0"/>
              <a:satOff val="0"/>
              <a:lumOff val="0"/>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859F194-46D5-445B-83E3-2DEE2CE990E0}">
      <dsp:nvSpPr>
        <dsp:cNvPr id="0" name=""/>
        <dsp:cNvSpPr/>
      </dsp:nvSpPr>
      <dsp:spPr>
        <a:xfrm>
          <a:off x="2312565" y="2637977"/>
          <a:ext cx="861268" cy="559824"/>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0" kern="1200">
              <a:latin typeface="Arial" pitchFamily="34" charset="0"/>
              <a:cs typeface="Arial" pitchFamily="34" charset="0"/>
            </a:rPr>
            <a:t>Leadership</a:t>
          </a:r>
          <a:endParaRPr lang="en-US" sz="900" i="0" kern="1200">
            <a:latin typeface="Arial" pitchFamily="34" charset="0"/>
            <a:cs typeface="Arial" pitchFamily="34" charset="0"/>
          </a:endParaRPr>
        </a:p>
      </dsp:txBody>
      <dsp:txXfrm>
        <a:off x="2339893" y="2665305"/>
        <a:ext cx="806612" cy="505168"/>
      </dsp:txXfrm>
    </dsp:sp>
    <dsp:sp modelId="{38A03CA4-CAA9-4DA6-A6A3-C9B95A17D778}">
      <dsp:nvSpPr>
        <dsp:cNvPr id="0" name=""/>
        <dsp:cNvSpPr/>
      </dsp:nvSpPr>
      <dsp:spPr>
        <a:xfrm>
          <a:off x="1425510" y="282510"/>
          <a:ext cx="2635379" cy="2635379"/>
        </a:xfrm>
        <a:custGeom>
          <a:avLst/>
          <a:gdLst/>
          <a:ahLst/>
          <a:cxnLst/>
          <a:rect l="0" t="0" r="0" b="0"/>
          <a:pathLst>
            <a:path>
              <a:moveTo>
                <a:pt x="881564" y="2561112"/>
              </a:moveTo>
              <a:arcTo wR="1317689" hR="1317689" stAng="6559686" swAng="1499184"/>
            </a:path>
          </a:pathLst>
        </a:custGeom>
        <a:noFill/>
        <a:ln w="9525" cap="flat" cmpd="sng" algn="ctr">
          <a:solidFill>
            <a:schemeClr val="accent5">
              <a:hueOff val="0"/>
              <a:satOff val="0"/>
              <a:lumOff val="0"/>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F140D1C7-E75B-4FF5-8544-04E0A7F72228}">
      <dsp:nvSpPr>
        <dsp:cNvPr id="0" name=""/>
        <dsp:cNvSpPr/>
      </dsp:nvSpPr>
      <dsp:spPr>
        <a:xfrm>
          <a:off x="1171413" y="1979132"/>
          <a:ext cx="861268" cy="559824"/>
        </a:xfrm>
        <a:prstGeom prst="round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0" kern="1200">
              <a:latin typeface="Arial" pitchFamily="34" charset="0"/>
              <a:cs typeface="Arial" pitchFamily="34" charset="0"/>
            </a:rPr>
            <a:t>Feedback</a:t>
          </a:r>
          <a:endParaRPr lang="en-US" sz="900" i="0" kern="1200">
            <a:latin typeface="Arial" pitchFamily="34" charset="0"/>
            <a:cs typeface="Arial" pitchFamily="34" charset="0"/>
          </a:endParaRPr>
        </a:p>
      </dsp:txBody>
      <dsp:txXfrm>
        <a:off x="1198741" y="2006460"/>
        <a:ext cx="806612" cy="505168"/>
      </dsp:txXfrm>
    </dsp:sp>
    <dsp:sp modelId="{F4C63D11-5510-4DC0-ACF2-F23E871105A1}">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9525" cap="flat" cmpd="sng" algn="ctr">
          <a:solidFill>
            <a:schemeClr val="accent6">
              <a:hueOff val="0"/>
              <a:satOff val="0"/>
              <a:lumOff val="0"/>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A4FCCD0C-A3EC-4F5D-BC4B-FE4F00F5007B}">
      <dsp:nvSpPr>
        <dsp:cNvPr id="0" name=""/>
        <dsp:cNvSpPr/>
      </dsp:nvSpPr>
      <dsp:spPr>
        <a:xfrm>
          <a:off x="1171413" y="661443"/>
          <a:ext cx="861268" cy="559824"/>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0" kern="1200">
              <a:latin typeface="Arial" pitchFamily="34" charset="0"/>
              <a:cs typeface="Arial" pitchFamily="34" charset="0"/>
            </a:rPr>
            <a:t>Capacity</a:t>
          </a:r>
          <a:endParaRPr lang="en-US" sz="900" i="0" kern="1200">
            <a:latin typeface="Arial" pitchFamily="34" charset="0"/>
            <a:cs typeface="Arial" pitchFamily="34" charset="0"/>
          </a:endParaRPr>
        </a:p>
      </dsp:txBody>
      <dsp:txXfrm>
        <a:off x="1198741" y="688771"/>
        <a:ext cx="806612" cy="505168"/>
      </dsp:txXfrm>
    </dsp:sp>
    <dsp:sp modelId="{599327EA-71EC-4A8F-8BC6-9C4095B87480}">
      <dsp:nvSpPr>
        <dsp:cNvPr id="0" name=""/>
        <dsp:cNvSpPr/>
      </dsp:nvSpPr>
      <dsp:spPr>
        <a:xfrm>
          <a:off x="1425510" y="282510"/>
          <a:ext cx="2635379" cy="2635379"/>
        </a:xfrm>
        <a:custGeom>
          <a:avLst/>
          <a:gdLst/>
          <a:ahLst/>
          <a:cxnLst/>
          <a:rect l="0" t="0" r="0" b="0"/>
          <a:pathLst>
            <a:path>
              <a:moveTo>
                <a:pt x="397156" y="374861"/>
              </a:moveTo>
              <a:arcTo wR="1317689" hR="1317689" stAng="13541131" swAng="1499184"/>
            </a:path>
          </a:pathLst>
        </a:custGeom>
        <a:noFill/>
        <a:ln w="9525" cap="flat" cmpd="sng" algn="ctr">
          <a:solidFill>
            <a:schemeClr val="accent2">
              <a:hueOff val="0"/>
              <a:satOff val="0"/>
              <a:lumOff val="0"/>
              <a:alphaOff val="0"/>
            </a:schemeClr>
          </a:solidFill>
          <a:prstDash val="solid"/>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E06F24-F8C9-4953-B3D3-3D3EDAC76973}">
      <dsp:nvSpPr>
        <dsp:cNvPr id="0" name=""/>
        <dsp:cNvSpPr/>
      </dsp:nvSpPr>
      <dsp:spPr>
        <a:xfrm>
          <a:off x="0" y="501299"/>
          <a:ext cx="5486400" cy="3780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F68E1581-42A1-4E48-A593-EF9D80A91BE8}">
      <dsp:nvSpPr>
        <dsp:cNvPr id="0" name=""/>
        <dsp:cNvSpPr/>
      </dsp:nvSpPr>
      <dsp:spPr>
        <a:xfrm>
          <a:off x="274320" y="279899"/>
          <a:ext cx="3840480" cy="44280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66750">
            <a:lnSpc>
              <a:spcPct val="90000"/>
            </a:lnSpc>
            <a:spcBef>
              <a:spcPct val="0"/>
            </a:spcBef>
            <a:spcAft>
              <a:spcPct val="35000"/>
            </a:spcAft>
            <a:buNone/>
          </a:pPr>
          <a:r>
            <a:rPr lang="en-GB" sz="1500" b="1" i="0" kern="1200"/>
            <a:t>Employee recognition or reward programs </a:t>
          </a:r>
          <a:endParaRPr lang="en-US" sz="1500" i="0" kern="1200"/>
        </a:p>
      </dsp:txBody>
      <dsp:txXfrm>
        <a:off x="295936" y="301515"/>
        <a:ext cx="3797248" cy="399568"/>
      </dsp:txXfrm>
    </dsp:sp>
    <dsp:sp modelId="{EFAB5CF0-9BB2-40F4-91AA-FA47B958E658}">
      <dsp:nvSpPr>
        <dsp:cNvPr id="0" name=""/>
        <dsp:cNvSpPr/>
      </dsp:nvSpPr>
      <dsp:spPr>
        <a:xfrm>
          <a:off x="0" y="1181699"/>
          <a:ext cx="5486400" cy="3780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148237C-2CAB-434D-BB58-7EFC96BFFC65}">
      <dsp:nvSpPr>
        <dsp:cNvPr id="0" name=""/>
        <dsp:cNvSpPr/>
      </dsp:nvSpPr>
      <dsp:spPr>
        <a:xfrm>
          <a:off x="274320" y="960299"/>
          <a:ext cx="3840480" cy="44280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66750">
            <a:lnSpc>
              <a:spcPct val="90000"/>
            </a:lnSpc>
            <a:spcBef>
              <a:spcPct val="0"/>
            </a:spcBef>
            <a:spcAft>
              <a:spcPct val="35000"/>
            </a:spcAft>
            <a:buNone/>
          </a:pPr>
          <a:r>
            <a:rPr lang="en-GB" sz="1500" b="1" i="0" kern="1200"/>
            <a:t>Employee survey</a:t>
          </a:r>
          <a:endParaRPr lang="en-US" sz="1500" i="0" kern="1200"/>
        </a:p>
      </dsp:txBody>
      <dsp:txXfrm>
        <a:off x="295936" y="981915"/>
        <a:ext cx="3797248" cy="399568"/>
      </dsp:txXfrm>
    </dsp:sp>
    <dsp:sp modelId="{5282BBF3-BACD-45A2-AD6A-C341EC94A903}">
      <dsp:nvSpPr>
        <dsp:cNvPr id="0" name=""/>
        <dsp:cNvSpPr/>
      </dsp:nvSpPr>
      <dsp:spPr>
        <a:xfrm>
          <a:off x="0" y="1862100"/>
          <a:ext cx="5486400" cy="3780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C4B8795-55B2-4C6D-91AC-75930F969470}">
      <dsp:nvSpPr>
        <dsp:cNvPr id="0" name=""/>
        <dsp:cNvSpPr/>
      </dsp:nvSpPr>
      <dsp:spPr>
        <a:xfrm>
          <a:off x="274320" y="1640699"/>
          <a:ext cx="3840480" cy="44280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66750">
            <a:lnSpc>
              <a:spcPct val="90000"/>
            </a:lnSpc>
            <a:spcBef>
              <a:spcPct val="0"/>
            </a:spcBef>
            <a:spcAft>
              <a:spcPct val="35000"/>
            </a:spcAft>
            <a:buNone/>
          </a:pPr>
          <a:r>
            <a:rPr lang="en-GB" sz="1500" b="1" i="0" kern="1200"/>
            <a:t>One-to-one meetings</a:t>
          </a:r>
          <a:r>
            <a:rPr lang="en-GB" sz="1500" i="0" kern="1200"/>
            <a:t> </a:t>
          </a:r>
          <a:endParaRPr lang="en-US" sz="1500" i="0" kern="1200"/>
        </a:p>
      </dsp:txBody>
      <dsp:txXfrm>
        <a:off x="295936" y="1662315"/>
        <a:ext cx="3797248" cy="399568"/>
      </dsp:txXfrm>
    </dsp:sp>
    <dsp:sp modelId="{328EC09D-D18E-4FC3-9769-0BAA4AAD6E10}">
      <dsp:nvSpPr>
        <dsp:cNvPr id="0" name=""/>
        <dsp:cNvSpPr/>
      </dsp:nvSpPr>
      <dsp:spPr>
        <a:xfrm>
          <a:off x="0" y="2542500"/>
          <a:ext cx="5486400" cy="378000"/>
        </a:xfrm>
        <a:prstGeom prst="rect">
          <a:avLst/>
        </a:prstGeom>
        <a:solidFill>
          <a:schemeClr val="dk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FAB1D5E-6B9A-4B4F-851E-91512D05DE4B}">
      <dsp:nvSpPr>
        <dsp:cNvPr id="0" name=""/>
        <dsp:cNvSpPr/>
      </dsp:nvSpPr>
      <dsp:spPr>
        <a:xfrm>
          <a:off x="274320" y="2321099"/>
          <a:ext cx="3840480" cy="44280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66750">
            <a:lnSpc>
              <a:spcPct val="90000"/>
            </a:lnSpc>
            <a:spcBef>
              <a:spcPct val="0"/>
            </a:spcBef>
            <a:spcAft>
              <a:spcPct val="35000"/>
            </a:spcAft>
            <a:buNone/>
          </a:pPr>
          <a:r>
            <a:rPr lang="en-GB" sz="1500" b="1" i="0" kern="1200"/>
            <a:t>Measuring productivity and retention rates</a:t>
          </a:r>
          <a:r>
            <a:rPr lang="en-GB" sz="1500" i="0" kern="1200"/>
            <a:t> </a:t>
          </a:r>
          <a:endParaRPr lang="en-US" sz="1500" i="0" kern="1200"/>
        </a:p>
      </dsp:txBody>
      <dsp:txXfrm>
        <a:off x="295936" y="2342715"/>
        <a:ext cx="3797248" cy="399568"/>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00B29-19E1-4C7E-947D-82F8E2D67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Zaharia</dc:creator>
  <cp:keywords/>
  <dc:description/>
  <cp:lastModifiedBy>Mariana Zaharia</cp:lastModifiedBy>
  <cp:revision>2</cp:revision>
  <dcterms:created xsi:type="dcterms:W3CDTF">2022-01-05T16:40:00Z</dcterms:created>
  <dcterms:modified xsi:type="dcterms:W3CDTF">2022-01-05T16:40:00Z</dcterms:modified>
</cp:coreProperties>
</file>