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left="-180" w:right="-334" w:firstLine="0"/>
        <w:rPr>
          <w:rFonts w:ascii="Georgia" w:cs="Georgia" w:eastAsia="Georgia" w:hAnsi="Georgia"/>
          <w:sz w:val="26"/>
          <w:szCs w:val="26"/>
        </w:rPr>
      </w:pPr>
      <w:r w:rsidDel="00000000" w:rsidR="00000000" w:rsidRPr="00000000">
        <w:rPr>
          <w:rFonts w:ascii="Georgia" w:cs="Georgia" w:eastAsia="Georgia" w:hAnsi="Georgia"/>
          <w:sz w:val="26"/>
          <w:szCs w:val="26"/>
        </w:rPr>
        <w:drawing>
          <wp:inline distB="0" distT="0" distL="114300" distR="114300">
            <wp:extent cx="1908175" cy="63563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08175" cy="63563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ind w:left="-180" w:right="-334" w:firstLine="0"/>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03">
      <w:pPr>
        <w:spacing w:line="240" w:lineRule="auto"/>
        <w:ind w:left="-180" w:right="-334" w:firstLine="0"/>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04">
      <w:pPr>
        <w:spacing w:line="240" w:lineRule="auto"/>
        <w:ind w:left="-180" w:right="-334" w:firstLine="0"/>
        <w:jc w:val="center"/>
        <w:rPr>
          <w:sz w:val="26"/>
          <w:szCs w:val="26"/>
        </w:rPr>
      </w:pPr>
      <w:r w:rsidDel="00000000" w:rsidR="00000000" w:rsidRPr="00000000">
        <w:rPr>
          <w:b w:val="1"/>
          <w:sz w:val="26"/>
          <w:szCs w:val="26"/>
          <w:rtl w:val="0"/>
        </w:rPr>
        <w:t xml:space="preserve">Postgraduate/Distance Learning </w:t>
      </w:r>
      <w:r w:rsidDel="00000000" w:rsidR="00000000" w:rsidRPr="00000000">
        <w:rPr>
          <w:rtl w:val="0"/>
        </w:rPr>
      </w:r>
    </w:p>
    <w:p w:rsidR="00000000" w:rsidDel="00000000" w:rsidP="00000000" w:rsidRDefault="00000000" w:rsidRPr="00000000" w14:paraId="00000005">
      <w:pPr>
        <w:spacing w:line="240" w:lineRule="auto"/>
        <w:ind w:left="-180" w:right="-334" w:firstLine="0"/>
        <w:jc w:val="center"/>
        <w:rPr>
          <w:sz w:val="26"/>
          <w:szCs w:val="26"/>
        </w:rPr>
      </w:pPr>
      <w:r w:rsidDel="00000000" w:rsidR="00000000" w:rsidRPr="00000000">
        <w:rPr>
          <w:b w:val="1"/>
          <w:sz w:val="26"/>
          <w:szCs w:val="26"/>
          <w:rtl w:val="0"/>
        </w:rPr>
        <w:t xml:space="preserve">Assignment coversheet &amp; feedback form</w:t>
      </w:r>
      <w:r w:rsidDel="00000000" w:rsidR="00000000" w:rsidRPr="00000000">
        <w:rPr>
          <w:rtl w:val="0"/>
        </w:rPr>
      </w:r>
    </w:p>
    <w:p w:rsidR="00000000" w:rsidDel="00000000" w:rsidP="00000000" w:rsidRDefault="00000000" w:rsidRPr="00000000" w14:paraId="00000006">
      <w:pPr>
        <w:spacing w:line="240" w:lineRule="auto"/>
        <w:jc w:val="center"/>
        <w:rPr>
          <w:sz w:val="26"/>
          <w:szCs w:val="26"/>
        </w:rPr>
      </w:pPr>
      <w:r w:rsidDel="00000000" w:rsidR="00000000" w:rsidRPr="00000000">
        <w:rPr>
          <w:rtl w:val="0"/>
        </w:rPr>
      </w:r>
    </w:p>
    <w:p w:rsidR="00000000" w:rsidDel="00000000" w:rsidP="00000000" w:rsidRDefault="00000000" w:rsidRPr="00000000" w14:paraId="00000007">
      <w:pPr>
        <w:pStyle w:val="Heading3"/>
        <w:keepLines w:val="0"/>
        <w:spacing w:after="0" w:before="0" w:line="240" w:lineRule="auto"/>
        <w:ind w:left="720" w:firstLine="0"/>
        <w:jc w:val="center"/>
        <w:rPr>
          <w:rFonts w:ascii="Tahoma" w:cs="Tahoma" w:eastAsia="Tahoma" w:hAnsi="Tahoma"/>
          <w:b w:val="1"/>
          <w:color w:val="000000"/>
          <w:sz w:val="26"/>
          <w:szCs w:val="26"/>
        </w:rPr>
      </w:pPr>
      <w:r w:rsidDel="00000000" w:rsidR="00000000" w:rsidRPr="00000000">
        <w:rPr>
          <w:rFonts w:ascii="Tahoma" w:cs="Tahoma" w:eastAsia="Tahoma" w:hAnsi="Tahoma"/>
          <w:b w:val="1"/>
          <w:color w:val="000000"/>
          <w:sz w:val="26"/>
          <w:szCs w:val="26"/>
          <w:rtl w:val="0"/>
        </w:rPr>
        <w:t xml:space="preserve">THIS SHEET MUST BE THE FIRST PAGE OF THE ASSIGNMENT YOU ARE SUBMITTING  (DO NOT SEND AS A SEPARATE FILE)</w:t>
      </w:r>
    </w:p>
    <w:p w:rsidR="00000000" w:rsidDel="00000000" w:rsidP="00000000" w:rsidRDefault="00000000" w:rsidRPr="00000000" w14:paraId="00000008">
      <w:pPr>
        <w:pStyle w:val="Heading3"/>
        <w:keepLines w:val="0"/>
        <w:spacing w:after="0" w:before="0" w:line="240" w:lineRule="auto"/>
        <w:ind w:left="720" w:firstLine="0"/>
        <w:jc w:val="center"/>
        <w:rPr>
          <w:rFonts w:ascii="Trebuchet MS" w:cs="Trebuchet MS" w:eastAsia="Trebuchet MS" w:hAnsi="Trebuchet MS"/>
          <w:b w:val="1"/>
          <w:color w:val="000000"/>
          <w:sz w:val="26"/>
          <w:szCs w:val="26"/>
        </w:rPr>
      </w:pPr>
      <w:r w:rsidDel="00000000" w:rsidR="00000000" w:rsidRPr="00000000">
        <w:rPr>
          <w:rtl w:val="0"/>
        </w:rPr>
      </w:r>
    </w:p>
    <w:tbl>
      <w:tblPr>
        <w:tblStyle w:val="Table1"/>
        <w:tblW w:w="955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85"/>
        <w:gridCol w:w="420"/>
        <w:gridCol w:w="1560"/>
        <w:gridCol w:w="285"/>
        <w:gridCol w:w="2505"/>
        <w:tblGridChange w:id="0">
          <w:tblGrid>
            <w:gridCol w:w="4785"/>
            <w:gridCol w:w="420"/>
            <w:gridCol w:w="1560"/>
            <w:gridCol w:w="285"/>
            <w:gridCol w:w="2505"/>
          </w:tblGrid>
        </w:tblGridChange>
      </w:tblGrid>
      <w:tr>
        <w:trPr>
          <w:cantSplit w:val="0"/>
          <w:trHeight w:val="614" w:hRule="atLeast"/>
          <w:tblHeader w:val="0"/>
        </w:trPr>
        <w:tc>
          <w:tcPr>
            <w:gridSpan w:val="5"/>
            <w:vAlign w:val="top"/>
          </w:tcPr>
          <w:p w:rsidR="00000000" w:rsidDel="00000000" w:rsidP="00000000" w:rsidRDefault="00000000" w:rsidRPr="00000000" w14:paraId="00000009">
            <w:pPr>
              <w:spacing w:line="240" w:lineRule="auto"/>
              <w:ind w:right="34"/>
              <w:rPr>
                <w:sz w:val="26"/>
                <w:szCs w:val="26"/>
              </w:rPr>
            </w:pPr>
            <w:r w:rsidDel="00000000" w:rsidR="00000000" w:rsidRPr="00000000">
              <w:rPr>
                <w:b w:val="1"/>
                <w:sz w:val="26"/>
                <w:szCs w:val="26"/>
                <w:rtl w:val="0"/>
              </w:rPr>
              <w:t xml:space="preserve">For completion by the student</w:t>
            </w:r>
            <w:r w:rsidDel="00000000" w:rsidR="00000000" w:rsidRPr="00000000">
              <w:rPr>
                <w:sz w:val="26"/>
                <w:szCs w:val="26"/>
                <w:rtl w:val="0"/>
              </w:rPr>
              <w:t xml:space="preserve">:</w:t>
            </w:r>
          </w:p>
        </w:tc>
      </w:tr>
      <w:tr>
        <w:trPr>
          <w:cantSplit w:val="0"/>
          <w:trHeight w:val="718" w:hRule="atLeast"/>
          <w:tblHeader w:val="0"/>
        </w:trPr>
        <w:tc>
          <w:tcPr>
            <w:gridSpan w:val="5"/>
            <w:vAlign w:val="top"/>
          </w:tcPr>
          <w:p w:rsidR="00000000" w:rsidDel="00000000" w:rsidP="00000000" w:rsidRDefault="00000000" w:rsidRPr="00000000" w14:paraId="0000000E">
            <w:pPr>
              <w:spacing w:line="240" w:lineRule="auto"/>
              <w:ind w:right="34"/>
              <w:rPr>
                <w:sz w:val="26"/>
                <w:szCs w:val="26"/>
              </w:rPr>
            </w:pPr>
            <w:r w:rsidDel="00000000" w:rsidR="00000000" w:rsidRPr="00000000">
              <w:rPr>
                <w:sz w:val="26"/>
                <w:szCs w:val="26"/>
                <w:rtl w:val="0"/>
              </w:rPr>
              <w:t xml:space="preserve">Student Name: Kat Azima</w:t>
            </w:r>
          </w:p>
          <w:p w:rsidR="00000000" w:rsidDel="00000000" w:rsidP="00000000" w:rsidRDefault="00000000" w:rsidRPr="00000000" w14:paraId="0000000F">
            <w:pPr>
              <w:spacing w:line="240" w:lineRule="auto"/>
              <w:ind w:right="34"/>
              <w:rPr>
                <w:sz w:val="26"/>
                <w:szCs w:val="26"/>
              </w:rPr>
            </w:pPr>
            <w:r w:rsidDel="00000000" w:rsidR="00000000" w:rsidRPr="00000000">
              <w:rPr>
                <w:rtl w:val="0"/>
              </w:rPr>
            </w:r>
          </w:p>
          <w:p w:rsidR="00000000" w:rsidDel="00000000" w:rsidP="00000000" w:rsidRDefault="00000000" w:rsidRPr="00000000" w14:paraId="00000010">
            <w:pPr>
              <w:spacing w:line="240" w:lineRule="auto"/>
              <w:ind w:right="34"/>
              <w:rPr>
                <w:sz w:val="26"/>
                <w:szCs w:val="26"/>
              </w:rPr>
            </w:pPr>
            <w:r w:rsidDel="00000000" w:rsidR="00000000" w:rsidRPr="00000000">
              <w:rPr>
                <w:sz w:val="26"/>
                <w:szCs w:val="26"/>
                <w:rtl w:val="0"/>
              </w:rPr>
              <w:t xml:space="preserve">Student </w:t>
            </w:r>
            <w:r w:rsidDel="00000000" w:rsidR="00000000" w:rsidRPr="00000000">
              <w:rPr>
                <w:b w:val="1"/>
                <w:sz w:val="26"/>
                <w:szCs w:val="26"/>
                <w:u w:val="single"/>
                <w:rtl w:val="0"/>
              </w:rPr>
              <w:t xml:space="preserve">University</w:t>
            </w:r>
            <w:r w:rsidDel="00000000" w:rsidR="00000000" w:rsidRPr="00000000">
              <w:rPr>
                <w:sz w:val="26"/>
                <w:szCs w:val="26"/>
                <w:u w:val="single"/>
                <w:rtl w:val="0"/>
              </w:rPr>
              <w:t xml:space="preserve"> </w:t>
            </w:r>
            <w:r w:rsidDel="00000000" w:rsidR="00000000" w:rsidRPr="00000000">
              <w:rPr>
                <w:sz w:val="26"/>
                <w:szCs w:val="26"/>
                <w:rtl w:val="0"/>
              </w:rPr>
              <w:t xml:space="preserve">Email: 2219013@student.uwtsd.ac.uk</w:t>
            </w:r>
          </w:p>
        </w:tc>
      </w:tr>
      <w:tr>
        <w:trPr>
          <w:cantSplit w:val="0"/>
          <w:trHeight w:val="849" w:hRule="atLeast"/>
          <w:tblHeader w:val="0"/>
        </w:trPr>
        <w:tc>
          <w:tcPr>
            <w:vAlign w:val="top"/>
          </w:tcPr>
          <w:p w:rsidR="00000000" w:rsidDel="00000000" w:rsidP="00000000" w:rsidRDefault="00000000" w:rsidRPr="00000000" w14:paraId="00000015">
            <w:pPr>
              <w:spacing w:line="240" w:lineRule="auto"/>
              <w:ind w:right="34"/>
              <w:rPr>
                <w:sz w:val="26"/>
                <w:szCs w:val="26"/>
              </w:rPr>
            </w:pPr>
            <w:r w:rsidDel="00000000" w:rsidR="00000000" w:rsidRPr="00000000">
              <w:rPr>
                <w:sz w:val="26"/>
                <w:szCs w:val="26"/>
                <w:rtl w:val="0"/>
              </w:rPr>
              <w:t xml:space="preserve">Module code: HPCA7028</w:t>
            </w:r>
          </w:p>
          <w:p w:rsidR="00000000" w:rsidDel="00000000" w:rsidP="00000000" w:rsidRDefault="00000000" w:rsidRPr="00000000" w14:paraId="00000016">
            <w:pPr>
              <w:spacing w:line="240" w:lineRule="auto"/>
              <w:ind w:right="34"/>
              <w:rPr>
                <w:sz w:val="26"/>
                <w:szCs w:val="26"/>
              </w:rPr>
            </w:pPr>
            <w:r w:rsidDel="00000000" w:rsidR="00000000" w:rsidRPr="00000000">
              <w:rPr>
                <w:rtl w:val="0"/>
              </w:rPr>
            </w:r>
          </w:p>
          <w:p w:rsidR="00000000" w:rsidDel="00000000" w:rsidP="00000000" w:rsidRDefault="00000000" w:rsidRPr="00000000" w14:paraId="00000017">
            <w:pPr>
              <w:spacing w:line="240" w:lineRule="auto"/>
              <w:ind w:right="34"/>
              <w:rPr>
                <w:sz w:val="26"/>
                <w:szCs w:val="26"/>
              </w:rPr>
            </w:pPr>
            <w:r w:rsidDel="00000000" w:rsidR="00000000" w:rsidRPr="00000000">
              <w:rPr>
                <w:sz w:val="26"/>
                <w:szCs w:val="26"/>
                <w:rtl w:val="0"/>
              </w:rPr>
              <w:t xml:space="preserve">Module title: Sacred Skies</w:t>
            </w:r>
          </w:p>
          <w:p w:rsidR="00000000" w:rsidDel="00000000" w:rsidP="00000000" w:rsidRDefault="00000000" w:rsidRPr="00000000" w14:paraId="00000018">
            <w:pPr>
              <w:spacing w:line="240" w:lineRule="auto"/>
              <w:ind w:right="34"/>
              <w:rPr>
                <w:sz w:val="26"/>
                <w:szCs w:val="26"/>
              </w:rPr>
            </w:pPr>
            <w:r w:rsidDel="00000000" w:rsidR="00000000" w:rsidRPr="00000000">
              <w:rPr>
                <w:rtl w:val="0"/>
              </w:rPr>
            </w:r>
          </w:p>
        </w:tc>
        <w:tc>
          <w:tcPr>
            <w:gridSpan w:val="3"/>
            <w:vAlign w:val="top"/>
          </w:tcPr>
          <w:p w:rsidR="00000000" w:rsidDel="00000000" w:rsidP="00000000" w:rsidRDefault="00000000" w:rsidRPr="00000000" w14:paraId="00000019">
            <w:pPr>
              <w:spacing w:line="240" w:lineRule="auto"/>
              <w:ind w:right="34"/>
              <w:rPr>
                <w:sz w:val="26"/>
                <w:szCs w:val="26"/>
              </w:rPr>
            </w:pPr>
            <w:r w:rsidDel="00000000" w:rsidR="00000000" w:rsidRPr="00000000">
              <w:rPr>
                <w:sz w:val="26"/>
                <w:szCs w:val="26"/>
                <w:rtl w:val="0"/>
              </w:rPr>
              <w:t xml:space="preserve">Student ID number:</w:t>
            </w:r>
          </w:p>
          <w:p w:rsidR="00000000" w:rsidDel="00000000" w:rsidP="00000000" w:rsidRDefault="00000000" w:rsidRPr="00000000" w14:paraId="0000001A">
            <w:pPr>
              <w:spacing w:line="240" w:lineRule="auto"/>
              <w:ind w:right="34"/>
              <w:rPr>
                <w:sz w:val="26"/>
                <w:szCs w:val="26"/>
              </w:rPr>
            </w:pPr>
            <w:r w:rsidDel="00000000" w:rsidR="00000000" w:rsidRPr="00000000">
              <w:rPr>
                <w:sz w:val="26"/>
                <w:szCs w:val="26"/>
                <w:rtl w:val="0"/>
              </w:rPr>
              <w:t xml:space="preserve">2219013</w:t>
            </w:r>
          </w:p>
        </w:tc>
        <w:tc>
          <w:tcPr>
            <w:vAlign w:val="top"/>
          </w:tcPr>
          <w:p w:rsidR="00000000" w:rsidDel="00000000" w:rsidP="00000000" w:rsidRDefault="00000000" w:rsidRPr="00000000" w14:paraId="0000001D">
            <w:pPr>
              <w:spacing w:line="240" w:lineRule="auto"/>
              <w:ind w:right="34"/>
              <w:rPr>
                <w:sz w:val="26"/>
                <w:szCs w:val="26"/>
              </w:rPr>
            </w:pPr>
            <w:r w:rsidDel="00000000" w:rsidR="00000000" w:rsidRPr="00000000">
              <w:rPr>
                <w:sz w:val="26"/>
                <w:szCs w:val="26"/>
                <w:rtl w:val="0"/>
              </w:rPr>
              <w:t xml:space="preserve">Educational support needs:</w:t>
            </w:r>
          </w:p>
          <w:p w:rsidR="00000000" w:rsidDel="00000000" w:rsidP="00000000" w:rsidRDefault="00000000" w:rsidRPr="00000000" w14:paraId="0000001E">
            <w:pPr>
              <w:spacing w:line="240" w:lineRule="auto"/>
              <w:ind w:right="34"/>
              <w:rPr>
                <w:sz w:val="26"/>
                <w:szCs w:val="26"/>
              </w:rPr>
            </w:pPr>
            <w:r w:rsidDel="00000000" w:rsidR="00000000" w:rsidRPr="00000000">
              <w:rPr>
                <w:sz w:val="26"/>
                <w:szCs w:val="26"/>
                <w:rtl w:val="0"/>
              </w:rPr>
              <w:t xml:space="preserve">No</w:t>
            </w:r>
          </w:p>
        </w:tc>
      </w:tr>
      <w:tr>
        <w:trPr>
          <w:cantSplit w:val="0"/>
          <w:trHeight w:val="1139" w:hRule="atLeast"/>
          <w:tblHeader w:val="0"/>
        </w:trPr>
        <w:tc>
          <w:tcPr>
            <w:gridSpan w:val="5"/>
            <w:vAlign w:val="top"/>
          </w:tcPr>
          <w:p w:rsidR="00000000" w:rsidDel="00000000" w:rsidP="00000000" w:rsidRDefault="00000000" w:rsidRPr="00000000" w14:paraId="0000001F">
            <w:pPr>
              <w:spacing w:line="240" w:lineRule="auto"/>
              <w:ind w:right="34"/>
              <w:rPr>
                <w:sz w:val="26"/>
                <w:szCs w:val="26"/>
              </w:rPr>
            </w:pPr>
            <w:r w:rsidDel="00000000" w:rsidR="00000000" w:rsidRPr="00000000">
              <w:rPr>
                <w:sz w:val="26"/>
                <w:szCs w:val="26"/>
                <w:rtl w:val="0"/>
              </w:rPr>
              <w:t xml:space="preserve">Assignment title: </w:t>
              <w:br w:type="textWrapping"/>
              <w:t xml:space="preserve">Explore the cultural significance of the myth of Venus and the descent of Ishtar.</w:t>
            </w:r>
            <w:r w:rsidDel="00000000" w:rsidR="00000000" w:rsidRPr="00000000">
              <w:rPr>
                <w:b w:val="1"/>
                <w:sz w:val="26"/>
                <w:szCs w:val="26"/>
                <w:rtl w:val="0"/>
              </w:rPr>
              <w:br w:type="textWrapping"/>
            </w:r>
            <w:r w:rsidDel="00000000" w:rsidR="00000000" w:rsidRPr="00000000">
              <w:rPr>
                <w:rtl w:val="0"/>
              </w:rPr>
            </w:r>
          </w:p>
          <w:p w:rsidR="00000000" w:rsidDel="00000000" w:rsidP="00000000" w:rsidRDefault="00000000" w:rsidRPr="00000000" w14:paraId="00000020">
            <w:pPr>
              <w:spacing w:line="240" w:lineRule="auto"/>
              <w:ind w:right="34"/>
              <w:rPr>
                <w:sz w:val="26"/>
                <w:szCs w:val="26"/>
              </w:rPr>
            </w:pPr>
            <w:r w:rsidDel="00000000" w:rsidR="00000000" w:rsidRPr="00000000">
              <w:rPr>
                <w:rtl w:val="0"/>
              </w:rPr>
            </w:r>
          </w:p>
          <w:p w:rsidR="00000000" w:rsidDel="00000000" w:rsidP="00000000" w:rsidRDefault="00000000" w:rsidRPr="00000000" w14:paraId="00000021">
            <w:pPr>
              <w:spacing w:line="240" w:lineRule="auto"/>
              <w:ind w:right="34"/>
              <w:rPr>
                <w:sz w:val="26"/>
                <w:szCs w:val="26"/>
              </w:rPr>
            </w:pPr>
            <w:r w:rsidDel="00000000" w:rsidR="00000000" w:rsidRPr="00000000">
              <w:rPr>
                <w:sz w:val="26"/>
                <w:szCs w:val="26"/>
                <w:rtl w:val="0"/>
              </w:rPr>
              <w:t xml:space="preserve">Assignment due date: April 4th </w:t>
            </w:r>
          </w:p>
        </w:tc>
      </w:tr>
      <w:tr>
        <w:trPr>
          <w:cantSplit w:val="0"/>
          <w:trHeight w:val="978" w:hRule="atLeast"/>
          <w:tblHeader w:val="0"/>
        </w:trPr>
        <w:tc>
          <w:tcPr>
            <w:gridSpan w:val="5"/>
            <w:tcBorders>
              <w:bottom w:color="000000" w:space="0" w:sz="4" w:val="single"/>
            </w:tcBorders>
            <w:vAlign w:val="top"/>
          </w:tcPr>
          <w:p w:rsidR="00000000" w:rsidDel="00000000" w:rsidP="00000000" w:rsidRDefault="00000000" w:rsidRPr="00000000" w14:paraId="00000026">
            <w:pPr>
              <w:spacing w:line="240" w:lineRule="auto"/>
              <w:rPr>
                <w:sz w:val="26"/>
                <w:szCs w:val="26"/>
              </w:rPr>
            </w:pPr>
            <w:r w:rsidDel="00000000" w:rsidR="00000000" w:rsidRPr="00000000">
              <w:rPr>
                <w:sz w:val="26"/>
                <w:szCs w:val="26"/>
                <w:rtl w:val="0"/>
              </w:rPr>
              <w:t xml:space="preserve">This assignment is for the       1</w:t>
            </w:r>
            <w:r w:rsidDel="00000000" w:rsidR="00000000" w:rsidRPr="00000000">
              <w:rPr>
                <w:sz w:val="26"/>
                <w:szCs w:val="26"/>
                <w:vertAlign w:val="superscript"/>
                <w:rtl w:val="0"/>
              </w:rPr>
              <w:t xml:space="preserve">st </w:t>
            </w:r>
            <w:bookmarkStart w:colFirst="0" w:colLast="0" w:name="kix.v2pcfokets9k" w:id="0"/>
            <w:bookmarkEnd w:id="0"/>
            <w:r w:rsidDel="00000000" w:rsidR="00000000" w:rsidRPr="00000000">
              <w:rPr>
                <w:sz w:val="26"/>
                <w:szCs w:val="26"/>
                <w:rtl w:val="0"/>
              </w:rPr>
              <w:t xml:space="preserve">☐    2</w:t>
            </w:r>
            <w:r w:rsidDel="00000000" w:rsidR="00000000" w:rsidRPr="00000000">
              <w:rPr>
                <w:sz w:val="26"/>
                <w:szCs w:val="26"/>
                <w:vertAlign w:val="superscript"/>
                <w:rtl w:val="0"/>
              </w:rPr>
              <w:t xml:space="preserve">nd</w:t>
            </w:r>
            <w:r w:rsidDel="00000000" w:rsidR="00000000" w:rsidRPr="00000000">
              <w:rPr>
                <w:sz w:val="26"/>
                <w:szCs w:val="26"/>
                <w:rtl w:val="0"/>
              </w:rPr>
              <w:t xml:space="preserve">  </w:t>
            </w:r>
            <w:bookmarkStart w:colFirst="0" w:colLast="0" w:name="kix.h5g7fh7veje4" w:id="1"/>
            <w:bookmarkEnd w:id="1"/>
            <w:r w:rsidDel="00000000" w:rsidR="00000000" w:rsidRPr="00000000">
              <w:rPr>
                <w:sz w:val="26"/>
                <w:szCs w:val="26"/>
                <w:rtl w:val="0"/>
              </w:rPr>
              <w:t xml:space="preserve">☐     3</w:t>
            </w:r>
            <w:r w:rsidDel="00000000" w:rsidR="00000000" w:rsidRPr="00000000">
              <w:rPr>
                <w:sz w:val="26"/>
                <w:szCs w:val="26"/>
                <w:vertAlign w:val="superscript"/>
                <w:rtl w:val="0"/>
              </w:rPr>
              <w:t xml:space="preserve">rd</w:t>
            </w:r>
            <w:r w:rsidDel="00000000" w:rsidR="00000000" w:rsidRPr="00000000">
              <w:rPr>
                <w:sz w:val="26"/>
                <w:szCs w:val="26"/>
                <w:rtl w:val="0"/>
              </w:rPr>
              <w:t xml:space="preserve">  </w:t>
            </w:r>
            <w:bookmarkStart w:colFirst="0" w:colLast="0" w:name="kix.sizcisvk68vi" w:id="2"/>
            <w:bookmarkEnd w:id="2"/>
            <w:r w:rsidDel="00000000" w:rsidR="00000000" w:rsidRPr="00000000">
              <w:rPr>
                <w:sz w:val="26"/>
                <w:szCs w:val="26"/>
                <w:rtl w:val="0"/>
              </w:rPr>
              <w:t xml:space="preserve">☐      4</w:t>
            </w:r>
            <w:r w:rsidDel="00000000" w:rsidR="00000000" w:rsidRPr="00000000">
              <w:rPr>
                <w:sz w:val="26"/>
                <w:szCs w:val="26"/>
                <w:vertAlign w:val="superscript"/>
                <w:rtl w:val="0"/>
              </w:rPr>
              <w:t xml:space="preserve">th</w:t>
            </w:r>
            <w:bookmarkStart w:colFirst="0" w:colLast="0" w:name="kix.id09hciteqho" w:id="3"/>
            <w:bookmarkEnd w:id="3"/>
            <w:r w:rsidDel="00000000" w:rsidR="00000000" w:rsidRPr="00000000">
              <w:rPr>
                <w:sz w:val="26"/>
                <w:szCs w:val="26"/>
                <w:rtl w:val="0"/>
              </w:rPr>
              <w:t xml:space="preserve"> X      5</w:t>
            </w:r>
            <w:r w:rsidDel="00000000" w:rsidR="00000000" w:rsidRPr="00000000">
              <w:rPr>
                <w:sz w:val="26"/>
                <w:szCs w:val="26"/>
                <w:vertAlign w:val="superscript"/>
                <w:rtl w:val="0"/>
              </w:rPr>
              <w:t xml:space="preserve">th</w:t>
            </w:r>
            <w:r w:rsidDel="00000000" w:rsidR="00000000" w:rsidRPr="00000000">
              <w:rPr>
                <w:sz w:val="26"/>
                <w:szCs w:val="26"/>
                <w:rtl w:val="0"/>
              </w:rPr>
              <w:t xml:space="preserve"> </w:t>
            </w:r>
            <w:bookmarkStart w:colFirst="0" w:colLast="0" w:name="kix.ge4sm72c7btn" w:id="4"/>
            <w:bookmarkEnd w:id="4"/>
            <w:r w:rsidDel="00000000" w:rsidR="00000000" w:rsidRPr="00000000">
              <w:rPr>
                <w:sz w:val="26"/>
                <w:szCs w:val="26"/>
                <w:rtl w:val="0"/>
              </w:rPr>
              <w:t xml:space="preserve">☐      6</w:t>
            </w:r>
            <w:r w:rsidDel="00000000" w:rsidR="00000000" w:rsidRPr="00000000">
              <w:rPr>
                <w:sz w:val="26"/>
                <w:szCs w:val="26"/>
                <w:vertAlign w:val="superscript"/>
                <w:rtl w:val="0"/>
              </w:rPr>
              <w:t xml:space="preserve">th</w:t>
            </w:r>
            <w:r w:rsidDel="00000000" w:rsidR="00000000" w:rsidRPr="00000000">
              <w:rPr>
                <w:sz w:val="26"/>
                <w:szCs w:val="26"/>
                <w:rtl w:val="0"/>
              </w:rPr>
              <w:t xml:space="preserve"> </w:t>
            </w:r>
            <w:bookmarkStart w:colFirst="0" w:colLast="0" w:name="kix.jems07vavs3m" w:id="5"/>
            <w:bookmarkEnd w:id="5"/>
            <w:r w:rsidDel="00000000" w:rsidR="00000000" w:rsidRPr="00000000">
              <w:rPr>
                <w:sz w:val="26"/>
                <w:szCs w:val="26"/>
                <w:rtl w:val="0"/>
              </w:rPr>
              <w:t xml:space="preserve">☐</w:t>
            </w:r>
            <w:r w:rsidDel="00000000" w:rsidR="00000000" w:rsidRPr="00000000">
              <w:rPr>
                <w:b w:val="1"/>
                <w:sz w:val="26"/>
                <w:szCs w:val="26"/>
                <w:rtl w:val="0"/>
              </w:rPr>
              <w:t xml:space="preserve">   </w:t>
            </w:r>
            <w:r w:rsidDel="00000000" w:rsidR="00000000" w:rsidRPr="00000000">
              <w:rPr>
                <w:sz w:val="26"/>
                <w:szCs w:val="26"/>
                <w:rtl w:val="0"/>
              </w:rPr>
              <w:t xml:space="preserve">module of the degree</w:t>
            </w:r>
          </w:p>
        </w:tc>
      </w:tr>
      <w:tr>
        <w:trPr>
          <w:cantSplit w:val="0"/>
          <w:trHeight w:val="978" w:hRule="atLeast"/>
          <w:tblHeader w:val="0"/>
        </w:trPr>
        <w:tc>
          <w:tcPr>
            <w:gridSpan w:val="5"/>
            <w:shd w:fill="d9d9d9" w:val="clear"/>
            <w:vAlign w:val="top"/>
          </w:tcPr>
          <w:p w:rsidR="00000000" w:rsidDel="00000000" w:rsidP="00000000" w:rsidRDefault="00000000" w:rsidRPr="00000000" w14:paraId="0000002B">
            <w:pPr>
              <w:spacing w:line="240" w:lineRule="auto"/>
              <w:ind w:right="34"/>
              <w:rPr>
                <w:sz w:val="26"/>
                <w:szCs w:val="26"/>
              </w:rPr>
            </w:pPr>
            <w:r w:rsidDel="00000000" w:rsidR="00000000" w:rsidRPr="00000000">
              <w:rPr>
                <w:sz w:val="26"/>
                <w:szCs w:val="26"/>
                <w:rtl w:val="0"/>
              </w:rPr>
              <w:t xml:space="preserve">I confirm that this is my original work and that I have adhered to the University policy on plagiarism.</w:t>
            </w:r>
          </w:p>
          <w:p w:rsidR="00000000" w:rsidDel="00000000" w:rsidP="00000000" w:rsidRDefault="00000000" w:rsidRPr="00000000" w14:paraId="0000002C">
            <w:pPr>
              <w:spacing w:line="240" w:lineRule="auto"/>
              <w:ind w:right="34"/>
              <w:rPr>
                <w:sz w:val="26"/>
                <w:szCs w:val="26"/>
              </w:rPr>
            </w:pPr>
            <w:r w:rsidDel="00000000" w:rsidR="00000000" w:rsidRPr="00000000">
              <w:rPr>
                <w:sz w:val="26"/>
                <w:szCs w:val="26"/>
                <w:rtl w:val="0"/>
              </w:rPr>
              <w:t xml:space="preserve">Signed  Kat Azima ……………………………………………………………</w:t>
            </w:r>
          </w:p>
          <w:p w:rsidR="00000000" w:rsidDel="00000000" w:rsidP="00000000" w:rsidRDefault="00000000" w:rsidRPr="00000000" w14:paraId="0000002D">
            <w:pPr>
              <w:spacing w:line="240" w:lineRule="auto"/>
              <w:ind w:right="34"/>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Email submission:if you are submitting this form via email, please tick this box □</w:t>
            </w:r>
            <w:r w:rsidDel="00000000" w:rsidR="00000000" w:rsidRPr="00000000">
              <w:rPr>
                <w:rtl w:val="0"/>
              </w:rPr>
            </w:r>
          </w:p>
          <w:p w:rsidR="00000000" w:rsidDel="00000000" w:rsidP="00000000" w:rsidRDefault="00000000" w:rsidRPr="00000000" w14:paraId="0000002E">
            <w:pPr>
              <w:spacing w:line="240" w:lineRule="auto"/>
              <w:ind w:right="34"/>
              <w:rPr>
                <w:sz w:val="26"/>
                <w:szCs w:val="26"/>
              </w:rPr>
            </w:pPr>
            <w:r w:rsidDel="00000000" w:rsidR="00000000" w:rsidRPr="00000000">
              <w:rPr>
                <w:rFonts w:ascii="Calibri" w:cs="Calibri" w:eastAsia="Calibri" w:hAnsi="Calibri"/>
                <w:b w:val="1"/>
                <w:sz w:val="26"/>
                <w:szCs w:val="26"/>
                <w:rtl w:val="0"/>
              </w:rPr>
              <w:t xml:space="preserve">(as a substitute for your signature) to confirm that you agree to the above declaration.</w:t>
            </w:r>
            <w:r w:rsidDel="00000000" w:rsidR="00000000" w:rsidRPr="00000000">
              <w:rPr>
                <w:rtl w:val="0"/>
              </w:rPr>
            </w:r>
          </w:p>
        </w:tc>
      </w:tr>
      <w:tr>
        <w:trPr>
          <w:cantSplit w:val="0"/>
          <w:trHeight w:val="3972" w:hRule="atLeast"/>
          <w:tblHeader w:val="0"/>
        </w:trPr>
        <w:tc>
          <w:tcPr>
            <w:gridSpan w:val="5"/>
            <w:vAlign w:val="top"/>
          </w:tcPr>
          <w:p w:rsidR="00000000" w:rsidDel="00000000" w:rsidP="00000000" w:rsidRDefault="00000000" w:rsidRPr="00000000" w14:paraId="00000033">
            <w:pPr>
              <w:spacing w:line="240" w:lineRule="auto"/>
              <w:rPr>
                <w:sz w:val="26"/>
                <w:szCs w:val="26"/>
              </w:rPr>
            </w:pPr>
            <w:r w:rsidDel="00000000" w:rsidR="00000000" w:rsidRPr="00000000">
              <w:rPr>
                <w:rtl w:val="0"/>
              </w:rPr>
            </w:r>
          </w:p>
          <w:p w:rsidR="00000000" w:rsidDel="00000000" w:rsidP="00000000" w:rsidRDefault="00000000" w:rsidRPr="00000000" w14:paraId="00000034">
            <w:pPr>
              <w:spacing w:line="240" w:lineRule="auto"/>
              <w:rPr>
                <w:sz w:val="26"/>
                <w:szCs w:val="26"/>
              </w:rPr>
            </w:pPr>
            <w:r w:rsidDel="00000000" w:rsidR="00000000" w:rsidRPr="00000000">
              <w:rPr>
                <w:b w:val="1"/>
                <w:sz w:val="26"/>
                <w:szCs w:val="26"/>
                <w:rtl w:val="0"/>
              </w:rPr>
              <w:t xml:space="preserve">Assignment Mark</w:t>
            </w:r>
            <w:r w:rsidDel="00000000" w:rsidR="00000000" w:rsidRPr="00000000">
              <w:rPr>
                <w:rtl w:val="0"/>
              </w:rPr>
            </w:r>
          </w:p>
          <w:tbl>
            <w:tblPr>
              <w:tblStyle w:val="Table2"/>
              <w:tblW w:w="93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5"/>
              <w:gridCol w:w="2355"/>
              <w:tblGridChange w:id="0">
                <w:tblGrid>
                  <w:gridCol w:w="6975"/>
                  <w:gridCol w:w="2355"/>
                </w:tblGrid>
              </w:tblGridChange>
            </w:tblGrid>
            <w:tr>
              <w:trPr>
                <w:cantSplit w:val="0"/>
                <w:tblHeader w:val="0"/>
              </w:trPr>
              <w:tc>
                <w:tcPr>
                  <w:vAlign w:val="top"/>
                </w:tcPr>
                <w:p w:rsidR="00000000" w:rsidDel="00000000" w:rsidP="00000000" w:rsidRDefault="00000000" w:rsidRPr="00000000" w14:paraId="00000035">
                  <w:pPr>
                    <w:spacing w:line="240" w:lineRule="auto"/>
                    <w:rPr>
                      <w:sz w:val="26"/>
                      <w:szCs w:val="26"/>
                    </w:rPr>
                  </w:pPr>
                  <w:r w:rsidDel="00000000" w:rsidR="00000000" w:rsidRPr="00000000">
                    <w:rPr>
                      <w:rtl w:val="0"/>
                    </w:rPr>
                  </w:r>
                </w:p>
                <w:p w:rsidR="00000000" w:rsidDel="00000000" w:rsidP="00000000" w:rsidRDefault="00000000" w:rsidRPr="00000000" w14:paraId="00000036">
                  <w:pPr>
                    <w:spacing w:line="240" w:lineRule="auto"/>
                    <w:rPr>
                      <w:sz w:val="26"/>
                      <w:szCs w:val="26"/>
                    </w:rPr>
                  </w:pPr>
                  <w:r w:rsidDel="00000000" w:rsidR="00000000" w:rsidRPr="00000000">
                    <w:rPr>
                      <w:sz w:val="26"/>
                      <w:szCs w:val="26"/>
                      <w:rtl w:val="0"/>
                    </w:rPr>
                    <w:t xml:space="preserve">1</w:t>
                  </w:r>
                  <w:r w:rsidDel="00000000" w:rsidR="00000000" w:rsidRPr="00000000">
                    <w:rPr>
                      <w:sz w:val="26"/>
                      <w:szCs w:val="26"/>
                      <w:vertAlign w:val="superscript"/>
                      <w:rtl w:val="0"/>
                    </w:rPr>
                    <w:t xml:space="preserve">st</w:t>
                  </w:r>
                  <w:r w:rsidDel="00000000" w:rsidR="00000000" w:rsidRPr="00000000">
                    <w:rPr>
                      <w:sz w:val="26"/>
                      <w:szCs w:val="26"/>
                      <w:rtl w:val="0"/>
                    </w:rPr>
                    <w:t xml:space="preserve"> Marker’s Provisional mark</w:t>
                  </w:r>
                </w:p>
              </w:tc>
              <w:tc>
                <w:tcPr>
                  <w:vAlign w:val="top"/>
                </w:tcPr>
                <w:p w:rsidR="00000000" w:rsidDel="00000000" w:rsidP="00000000" w:rsidRDefault="00000000" w:rsidRPr="00000000" w14:paraId="00000037">
                  <w:pPr>
                    <w:spacing w:line="240" w:lineRule="auto"/>
                    <w:rPr>
                      <w:sz w:val="26"/>
                      <w:szCs w:val="26"/>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8">
                  <w:pPr>
                    <w:spacing w:line="240" w:lineRule="auto"/>
                    <w:rPr>
                      <w:sz w:val="26"/>
                      <w:szCs w:val="26"/>
                    </w:rPr>
                  </w:pPr>
                  <w:r w:rsidDel="00000000" w:rsidR="00000000" w:rsidRPr="00000000">
                    <w:rPr>
                      <w:rtl w:val="0"/>
                    </w:rPr>
                  </w:r>
                </w:p>
                <w:p w:rsidR="00000000" w:rsidDel="00000000" w:rsidP="00000000" w:rsidRDefault="00000000" w:rsidRPr="00000000" w14:paraId="00000039">
                  <w:pPr>
                    <w:spacing w:line="240" w:lineRule="auto"/>
                    <w:rPr>
                      <w:sz w:val="26"/>
                      <w:szCs w:val="26"/>
                    </w:rPr>
                  </w:pPr>
                  <w:r w:rsidDel="00000000" w:rsidR="00000000" w:rsidRPr="00000000">
                    <w:rPr>
                      <w:sz w:val="26"/>
                      <w:szCs w:val="26"/>
                      <w:rtl w:val="0"/>
                    </w:rPr>
                    <w:t xml:space="preserve">2</w:t>
                  </w:r>
                  <w:r w:rsidDel="00000000" w:rsidR="00000000" w:rsidRPr="00000000">
                    <w:rPr>
                      <w:sz w:val="26"/>
                      <w:szCs w:val="26"/>
                      <w:vertAlign w:val="superscript"/>
                      <w:rtl w:val="0"/>
                    </w:rPr>
                    <w:t xml:space="preserve">nd</w:t>
                  </w:r>
                  <w:r w:rsidDel="00000000" w:rsidR="00000000" w:rsidRPr="00000000">
                    <w:rPr>
                      <w:sz w:val="26"/>
                      <w:szCs w:val="26"/>
                      <w:rtl w:val="0"/>
                    </w:rPr>
                    <w:t xml:space="preserve"> Marker’s/Moderator’s provisional mark</w:t>
                  </w:r>
                </w:p>
              </w:tc>
              <w:tc>
                <w:tcPr>
                  <w:vAlign w:val="top"/>
                </w:tcPr>
                <w:p w:rsidR="00000000" w:rsidDel="00000000" w:rsidP="00000000" w:rsidRDefault="00000000" w:rsidRPr="00000000" w14:paraId="0000003A">
                  <w:pPr>
                    <w:spacing w:line="240" w:lineRule="auto"/>
                    <w:rPr>
                      <w:sz w:val="26"/>
                      <w:szCs w:val="26"/>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B">
                  <w:pPr>
                    <w:spacing w:line="240" w:lineRule="auto"/>
                    <w:rPr>
                      <w:sz w:val="26"/>
                      <w:szCs w:val="26"/>
                    </w:rPr>
                  </w:pPr>
                  <w:r w:rsidDel="00000000" w:rsidR="00000000" w:rsidRPr="00000000">
                    <w:rPr>
                      <w:rtl w:val="0"/>
                    </w:rPr>
                  </w:r>
                </w:p>
                <w:p w:rsidR="00000000" w:rsidDel="00000000" w:rsidP="00000000" w:rsidRDefault="00000000" w:rsidRPr="00000000" w14:paraId="0000003C">
                  <w:pPr>
                    <w:spacing w:line="240" w:lineRule="auto"/>
                    <w:rPr>
                      <w:sz w:val="26"/>
                      <w:szCs w:val="26"/>
                    </w:rPr>
                  </w:pPr>
                  <w:r w:rsidDel="00000000" w:rsidR="00000000" w:rsidRPr="00000000">
                    <w:rPr>
                      <w:sz w:val="26"/>
                      <w:szCs w:val="26"/>
                      <w:rtl w:val="0"/>
                    </w:rPr>
                    <w:t xml:space="preserve">External Examiner’s mark (if relevant)</w:t>
                  </w:r>
                </w:p>
              </w:tc>
              <w:tc>
                <w:tcPr>
                  <w:vAlign w:val="top"/>
                </w:tcPr>
                <w:p w:rsidR="00000000" w:rsidDel="00000000" w:rsidP="00000000" w:rsidRDefault="00000000" w:rsidRPr="00000000" w14:paraId="0000003D">
                  <w:pPr>
                    <w:spacing w:line="240" w:lineRule="auto"/>
                    <w:rPr>
                      <w:sz w:val="26"/>
                      <w:szCs w:val="26"/>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E">
                  <w:pPr>
                    <w:spacing w:line="240" w:lineRule="auto"/>
                    <w:rPr>
                      <w:sz w:val="26"/>
                      <w:szCs w:val="26"/>
                    </w:rPr>
                  </w:pPr>
                  <w:r w:rsidDel="00000000" w:rsidR="00000000" w:rsidRPr="00000000">
                    <w:rPr>
                      <w:rtl w:val="0"/>
                    </w:rPr>
                  </w:r>
                </w:p>
                <w:p w:rsidR="00000000" w:rsidDel="00000000" w:rsidP="00000000" w:rsidRDefault="00000000" w:rsidRPr="00000000" w14:paraId="0000003F">
                  <w:pPr>
                    <w:spacing w:line="240" w:lineRule="auto"/>
                    <w:rPr>
                      <w:sz w:val="26"/>
                      <w:szCs w:val="26"/>
                    </w:rPr>
                  </w:pPr>
                  <w:r w:rsidDel="00000000" w:rsidR="00000000" w:rsidRPr="00000000">
                    <w:rPr>
                      <w:b w:val="1"/>
                      <w:sz w:val="26"/>
                      <w:szCs w:val="26"/>
                      <w:rtl w:val="0"/>
                    </w:rPr>
                    <w:t xml:space="preserve">Final Mark</w:t>
                  </w:r>
                  <w:r w:rsidDel="00000000" w:rsidR="00000000" w:rsidRPr="00000000">
                    <w:rPr>
                      <w:rtl w:val="0"/>
                    </w:rPr>
                  </w:r>
                </w:p>
                <w:p w:rsidR="00000000" w:rsidDel="00000000" w:rsidP="00000000" w:rsidRDefault="00000000" w:rsidRPr="00000000" w14:paraId="00000040">
                  <w:pPr>
                    <w:spacing w:line="240" w:lineRule="auto"/>
                    <w:rPr>
                      <w:sz w:val="26"/>
                      <w:szCs w:val="26"/>
                    </w:rPr>
                  </w:pPr>
                  <w:r w:rsidDel="00000000" w:rsidR="00000000" w:rsidRPr="00000000">
                    <w:rPr>
                      <w:rtl w:val="0"/>
                    </w:rPr>
                  </w:r>
                </w:p>
              </w:tc>
              <w:tc>
                <w:tcPr>
                  <w:vAlign w:val="top"/>
                </w:tcPr>
                <w:p w:rsidR="00000000" w:rsidDel="00000000" w:rsidP="00000000" w:rsidRDefault="00000000" w:rsidRPr="00000000" w14:paraId="00000041">
                  <w:pPr>
                    <w:spacing w:line="240" w:lineRule="auto"/>
                    <w:rPr>
                      <w:sz w:val="26"/>
                      <w:szCs w:val="26"/>
                    </w:rPr>
                  </w:pPr>
                  <w:r w:rsidDel="00000000" w:rsidR="00000000" w:rsidRPr="00000000">
                    <w:rPr>
                      <w:rtl w:val="0"/>
                    </w:rPr>
                  </w:r>
                </w:p>
              </w:tc>
            </w:tr>
          </w:tbl>
          <w:p w:rsidR="00000000" w:rsidDel="00000000" w:rsidP="00000000" w:rsidRDefault="00000000" w:rsidRPr="00000000" w14:paraId="00000042">
            <w:pPr>
              <w:spacing w:line="240" w:lineRule="auto"/>
              <w:ind w:left="142" w:right="34" w:firstLine="0"/>
              <w:rPr>
                <w:sz w:val="26"/>
                <w:szCs w:val="26"/>
              </w:rPr>
            </w:pPr>
            <w:r w:rsidDel="00000000" w:rsidR="00000000" w:rsidRPr="00000000">
              <w:rPr>
                <w:rtl w:val="0"/>
              </w:rPr>
            </w:r>
          </w:p>
          <w:p w:rsidR="00000000" w:rsidDel="00000000" w:rsidP="00000000" w:rsidRDefault="00000000" w:rsidRPr="00000000" w14:paraId="00000043">
            <w:pPr>
              <w:spacing w:line="240" w:lineRule="auto"/>
              <w:ind w:left="0" w:right="34" w:firstLine="0"/>
              <w:rPr>
                <w:sz w:val="26"/>
                <w:szCs w:val="26"/>
              </w:rPr>
            </w:pPr>
            <w:r w:rsidDel="00000000" w:rsidR="00000000" w:rsidRPr="00000000">
              <w:rPr>
                <w:b w:val="1"/>
                <w:sz w:val="26"/>
                <w:szCs w:val="26"/>
                <w:rtl w:val="0"/>
              </w:rPr>
              <w:t xml:space="preserve">NB.</w:t>
            </w:r>
            <w:r w:rsidDel="00000000" w:rsidR="00000000" w:rsidRPr="00000000">
              <w:rPr>
                <w:sz w:val="26"/>
                <w:szCs w:val="26"/>
                <w:rtl w:val="0"/>
              </w:rPr>
              <w:t xml:space="preserve">  All marks are provisional until confirmed by the Final Examination Board.</w:t>
            </w:r>
          </w:p>
          <w:p w:rsidR="00000000" w:rsidDel="00000000" w:rsidP="00000000" w:rsidRDefault="00000000" w:rsidRPr="00000000" w14:paraId="00000044">
            <w:pPr>
              <w:spacing w:line="240" w:lineRule="auto"/>
              <w:rPr>
                <w:sz w:val="26"/>
                <w:szCs w:val="26"/>
              </w:rPr>
            </w:pPr>
            <w:r w:rsidDel="00000000" w:rsidR="00000000" w:rsidRPr="00000000">
              <w:rPr>
                <w:rtl w:val="0"/>
              </w:rPr>
            </w:r>
          </w:p>
          <w:p w:rsidR="00000000" w:rsidDel="00000000" w:rsidP="00000000" w:rsidRDefault="00000000" w:rsidRPr="00000000" w14:paraId="00000045">
            <w:pPr>
              <w:spacing w:line="240" w:lineRule="auto"/>
              <w:rPr>
                <w:sz w:val="26"/>
                <w:szCs w:val="26"/>
              </w:rPr>
            </w:pPr>
            <w:r w:rsidDel="00000000" w:rsidR="00000000" w:rsidRPr="00000000">
              <w:rPr>
                <w:rtl w:val="0"/>
              </w:rPr>
            </w:r>
          </w:p>
          <w:p w:rsidR="00000000" w:rsidDel="00000000" w:rsidP="00000000" w:rsidRDefault="00000000" w:rsidRPr="00000000" w14:paraId="00000046">
            <w:pPr>
              <w:spacing w:line="240" w:lineRule="auto"/>
              <w:rPr>
                <w:sz w:val="26"/>
                <w:szCs w:val="26"/>
              </w:rPr>
            </w:pPr>
            <w:r w:rsidDel="00000000" w:rsidR="00000000" w:rsidRPr="00000000">
              <w:rPr>
                <w:rtl w:val="0"/>
              </w:rPr>
            </w:r>
          </w:p>
          <w:p w:rsidR="00000000" w:rsidDel="00000000" w:rsidP="00000000" w:rsidRDefault="00000000" w:rsidRPr="00000000" w14:paraId="00000047">
            <w:pPr>
              <w:spacing w:line="240" w:lineRule="auto"/>
              <w:rPr>
                <w:sz w:val="26"/>
                <w:szCs w:val="26"/>
              </w:rPr>
            </w:pPr>
            <w:r w:rsidDel="00000000" w:rsidR="00000000" w:rsidRPr="00000000">
              <w:rPr>
                <w:b w:val="1"/>
                <w:sz w:val="26"/>
                <w:szCs w:val="26"/>
                <w:rtl w:val="0"/>
              </w:rPr>
              <w:t xml:space="preserve">For completion by Marker 1 :</w:t>
            </w:r>
            <w:r w:rsidDel="00000000" w:rsidR="00000000" w:rsidRPr="00000000">
              <w:rPr>
                <w:rtl w:val="0"/>
              </w:rPr>
            </w:r>
          </w:p>
          <w:p w:rsidR="00000000" w:rsidDel="00000000" w:rsidP="00000000" w:rsidRDefault="00000000" w:rsidRPr="00000000" w14:paraId="00000048">
            <w:pPr>
              <w:spacing w:after="280" w:before="280" w:line="240" w:lineRule="auto"/>
              <w:rPr>
                <w:sz w:val="26"/>
                <w:szCs w:val="26"/>
              </w:rPr>
            </w:pPr>
            <w:r w:rsidDel="00000000" w:rsidR="00000000" w:rsidRPr="00000000">
              <w:rPr>
                <w:sz w:val="26"/>
                <w:szCs w:val="26"/>
                <w:rtl w:val="0"/>
              </w:rPr>
              <w:t xml:space="preserve">Comments:</w:t>
            </w:r>
          </w:p>
          <w:p w:rsidR="00000000" w:rsidDel="00000000" w:rsidP="00000000" w:rsidRDefault="00000000" w:rsidRPr="00000000" w14:paraId="00000049">
            <w:pPr>
              <w:spacing w:before="280" w:line="240" w:lineRule="auto"/>
              <w:rPr>
                <w:sz w:val="26"/>
                <w:szCs w:val="26"/>
              </w:rPr>
            </w:pPr>
            <w:r w:rsidDel="00000000" w:rsidR="00000000" w:rsidRPr="00000000">
              <w:rPr>
                <w:rtl w:val="0"/>
              </w:rPr>
            </w:r>
          </w:p>
        </w:tc>
      </w:tr>
      <w:tr>
        <w:trPr>
          <w:cantSplit w:val="0"/>
          <w:trHeight w:val="492" w:hRule="atLeast"/>
          <w:tblHeader w:val="0"/>
        </w:trPr>
        <w:tc>
          <w:tcPr>
            <w:gridSpan w:val="3"/>
            <w:vAlign w:val="top"/>
          </w:tcPr>
          <w:p w:rsidR="00000000" w:rsidDel="00000000" w:rsidP="00000000" w:rsidRDefault="00000000" w:rsidRPr="00000000" w14:paraId="0000004E">
            <w:pPr>
              <w:spacing w:line="240" w:lineRule="auto"/>
              <w:ind w:left="142" w:right="34" w:firstLine="0"/>
              <w:rPr>
                <w:sz w:val="26"/>
                <w:szCs w:val="26"/>
              </w:rPr>
            </w:pPr>
            <w:r w:rsidDel="00000000" w:rsidR="00000000" w:rsidRPr="00000000">
              <w:rPr>
                <w:sz w:val="26"/>
                <w:szCs w:val="26"/>
                <w:rtl w:val="0"/>
              </w:rPr>
              <w:t xml:space="preserve">Marker’s signature:</w:t>
            </w:r>
          </w:p>
        </w:tc>
        <w:tc>
          <w:tcPr>
            <w:gridSpan w:val="2"/>
            <w:vAlign w:val="top"/>
          </w:tcPr>
          <w:p w:rsidR="00000000" w:rsidDel="00000000" w:rsidP="00000000" w:rsidRDefault="00000000" w:rsidRPr="00000000" w14:paraId="00000051">
            <w:pPr>
              <w:spacing w:line="240" w:lineRule="auto"/>
              <w:ind w:left="142" w:right="34" w:firstLine="0"/>
              <w:rPr>
                <w:sz w:val="26"/>
                <w:szCs w:val="26"/>
              </w:rPr>
            </w:pPr>
            <w:r w:rsidDel="00000000" w:rsidR="00000000" w:rsidRPr="00000000">
              <w:rPr>
                <w:sz w:val="26"/>
                <w:szCs w:val="26"/>
                <w:rtl w:val="0"/>
              </w:rPr>
              <w:t xml:space="preserve">Date:</w:t>
            </w:r>
          </w:p>
        </w:tc>
      </w:tr>
      <w:tr>
        <w:trPr>
          <w:cantSplit w:val="0"/>
          <w:tblHeader w:val="0"/>
        </w:trPr>
        <w:tc>
          <w:tcPr>
            <w:gridSpan w:val="5"/>
            <w:vAlign w:val="top"/>
          </w:tcPr>
          <w:p w:rsidR="00000000" w:rsidDel="00000000" w:rsidP="00000000" w:rsidRDefault="00000000" w:rsidRPr="00000000" w14:paraId="00000053">
            <w:pPr>
              <w:spacing w:line="240" w:lineRule="auto"/>
              <w:ind w:right="-334"/>
              <w:rPr>
                <w:sz w:val="26"/>
                <w:szCs w:val="26"/>
              </w:rPr>
            </w:pPr>
            <w:r w:rsidDel="00000000" w:rsidR="00000000" w:rsidRPr="00000000">
              <w:rPr>
                <w:rtl w:val="0"/>
              </w:rPr>
            </w:r>
          </w:p>
          <w:p w:rsidR="00000000" w:rsidDel="00000000" w:rsidP="00000000" w:rsidRDefault="00000000" w:rsidRPr="00000000" w14:paraId="00000054">
            <w:pPr>
              <w:spacing w:line="240" w:lineRule="auto"/>
              <w:ind w:right="-334"/>
              <w:rPr>
                <w:sz w:val="26"/>
                <w:szCs w:val="26"/>
              </w:rPr>
            </w:pPr>
            <w:r w:rsidDel="00000000" w:rsidR="00000000" w:rsidRPr="00000000">
              <w:rPr>
                <w:b w:val="1"/>
                <w:sz w:val="26"/>
                <w:szCs w:val="26"/>
                <w:rtl w:val="0"/>
              </w:rPr>
              <w:t xml:space="preserve">For completion by Marker 2/Moderator:</w:t>
            </w:r>
            <w:r w:rsidDel="00000000" w:rsidR="00000000" w:rsidRPr="00000000">
              <w:rPr>
                <w:rtl w:val="0"/>
              </w:rPr>
            </w:r>
          </w:p>
          <w:p w:rsidR="00000000" w:rsidDel="00000000" w:rsidP="00000000" w:rsidRDefault="00000000" w:rsidRPr="00000000" w14:paraId="00000055">
            <w:pPr>
              <w:spacing w:line="240" w:lineRule="auto"/>
              <w:ind w:right="-334"/>
              <w:rPr>
                <w:sz w:val="26"/>
                <w:szCs w:val="26"/>
              </w:rPr>
            </w:pPr>
            <w:r w:rsidDel="00000000" w:rsidR="00000000" w:rsidRPr="00000000">
              <w:rPr>
                <w:rtl w:val="0"/>
              </w:rPr>
            </w:r>
          </w:p>
          <w:p w:rsidR="00000000" w:rsidDel="00000000" w:rsidP="00000000" w:rsidRDefault="00000000" w:rsidRPr="00000000" w14:paraId="00000056">
            <w:pPr>
              <w:spacing w:line="240" w:lineRule="auto"/>
              <w:ind w:right="-334"/>
              <w:rPr>
                <w:sz w:val="26"/>
                <w:szCs w:val="26"/>
              </w:rPr>
            </w:pPr>
            <w:r w:rsidDel="00000000" w:rsidR="00000000" w:rsidRPr="00000000">
              <w:rPr>
                <w:sz w:val="26"/>
                <w:szCs w:val="26"/>
                <w:rtl w:val="0"/>
              </w:rPr>
              <w:t xml:space="preserve">Comments:</w:t>
            </w:r>
          </w:p>
          <w:p w:rsidR="00000000" w:rsidDel="00000000" w:rsidP="00000000" w:rsidRDefault="00000000" w:rsidRPr="00000000" w14:paraId="00000057">
            <w:pPr>
              <w:spacing w:line="240" w:lineRule="auto"/>
              <w:ind w:right="-334"/>
              <w:rPr>
                <w:sz w:val="26"/>
                <w:szCs w:val="26"/>
              </w:rPr>
            </w:pPr>
            <w:r w:rsidDel="00000000" w:rsidR="00000000" w:rsidRPr="00000000">
              <w:rPr>
                <w:rtl w:val="0"/>
              </w:rPr>
            </w:r>
          </w:p>
          <w:p w:rsidR="00000000" w:rsidDel="00000000" w:rsidP="00000000" w:rsidRDefault="00000000" w:rsidRPr="00000000" w14:paraId="00000058">
            <w:pPr>
              <w:spacing w:line="240" w:lineRule="auto"/>
              <w:ind w:right="-334"/>
              <w:rPr>
                <w:sz w:val="26"/>
                <w:szCs w:val="26"/>
              </w:rPr>
            </w:pPr>
            <w:r w:rsidDel="00000000" w:rsidR="00000000" w:rsidRPr="00000000">
              <w:rPr>
                <w:rtl w:val="0"/>
              </w:rPr>
            </w:r>
          </w:p>
          <w:p w:rsidR="00000000" w:rsidDel="00000000" w:rsidP="00000000" w:rsidRDefault="00000000" w:rsidRPr="00000000" w14:paraId="00000059">
            <w:pPr>
              <w:spacing w:line="240" w:lineRule="auto"/>
              <w:ind w:right="-334"/>
              <w:rPr>
                <w:sz w:val="26"/>
                <w:szCs w:val="26"/>
              </w:rPr>
            </w:pPr>
            <w:r w:rsidDel="00000000" w:rsidR="00000000" w:rsidRPr="00000000">
              <w:rPr>
                <w:rtl w:val="0"/>
              </w:rPr>
            </w:r>
          </w:p>
          <w:p w:rsidR="00000000" w:rsidDel="00000000" w:rsidP="00000000" w:rsidRDefault="00000000" w:rsidRPr="00000000" w14:paraId="0000005A">
            <w:pPr>
              <w:spacing w:line="240" w:lineRule="auto"/>
              <w:ind w:right="-334"/>
              <w:rPr>
                <w:sz w:val="26"/>
                <w:szCs w:val="26"/>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5F">
            <w:pPr>
              <w:spacing w:line="240" w:lineRule="auto"/>
              <w:ind w:right="-334"/>
              <w:rPr>
                <w:sz w:val="26"/>
                <w:szCs w:val="26"/>
              </w:rPr>
            </w:pPr>
            <w:r w:rsidDel="00000000" w:rsidR="00000000" w:rsidRPr="00000000">
              <w:rPr>
                <w:sz w:val="26"/>
                <w:szCs w:val="26"/>
                <w:rtl w:val="0"/>
              </w:rPr>
              <w:t xml:space="preserve">Marker’s Signature:</w:t>
            </w:r>
          </w:p>
        </w:tc>
        <w:tc>
          <w:tcPr>
            <w:gridSpan w:val="3"/>
            <w:vAlign w:val="top"/>
          </w:tcPr>
          <w:p w:rsidR="00000000" w:rsidDel="00000000" w:rsidP="00000000" w:rsidRDefault="00000000" w:rsidRPr="00000000" w14:paraId="00000061">
            <w:pPr>
              <w:spacing w:line="240" w:lineRule="auto"/>
              <w:ind w:right="-334"/>
              <w:rPr>
                <w:sz w:val="26"/>
                <w:szCs w:val="26"/>
              </w:rPr>
            </w:pPr>
            <w:r w:rsidDel="00000000" w:rsidR="00000000" w:rsidRPr="00000000">
              <w:rPr>
                <w:sz w:val="26"/>
                <w:szCs w:val="26"/>
                <w:rtl w:val="0"/>
              </w:rPr>
              <w:t xml:space="preserve">Date:</w:t>
            </w:r>
          </w:p>
        </w:tc>
      </w:tr>
      <w:tr>
        <w:trPr>
          <w:cantSplit w:val="0"/>
          <w:trHeight w:val="720" w:hRule="atLeast"/>
          <w:tblHeader w:val="0"/>
        </w:trPr>
        <w:tc>
          <w:tcPr>
            <w:gridSpan w:val="5"/>
            <w:vAlign w:val="top"/>
          </w:tcPr>
          <w:p w:rsidR="00000000" w:rsidDel="00000000" w:rsidP="00000000" w:rsidRDefault="00000000" w:rsidRPr="00000000" w14:paraId="00000064">
            <w:pPr>
              <w:spacing w:line="240" w:lineRule="auto"/>
              <w:rPr>
                <w:sz w:val="26"/>
                <w:szCs w:val="26"/>
              </w:rPr>
            </w:pPr>
            <w:r w:rsidDel="00000000" w:rsidR="00000000" w:rsidRPr="00000000">
              <w:rPr>
                <w:b w:val="1"/>
                <w:sz w:val="26"/>
                <w:szCs w:val="26"/>
                <w:rtl w:val="0"/>
              </w:rPr>
              <w:t xml:space="preserve">External Examiner’s comments (if relevant)</w:t>
            </w:r>
            <w:r w:rsidDel="00000000" w:rsidR="00000000" w:rsidRPr="00000000">
              <w:rPr>
                <w:rtl w:val="0"/>
              </w:rPr>
            </w:r>
          </w:p>
          <w:p w:rsidR="00000000" w:rsidDel="00000000" w:rsidP="00000000" w:rsidRDefault="00000000" w:rsidRPr="00000000" w14:paraId="00000065">
            <w:pPr>
              <w:spacing w:line="240" w:lineRule="auto"/>
              <w:ind w:right="-334"/>
              <w:rPr>
                <w:sz w:val="26"/>
                <w:szCs w:val="26"/>
              </w:rPr>
            </w:pPr>
            <w:r w:rsidDel="00000000" w:rsidR="00000000" w:rsidRPr="00000000">
              <w:rPr>
                <w:rtl w:val="0"/>
              </w:rPr>
            </w:r>
          </w:p>
          <w:p w:rsidR="00000000" w:rsidDel="00000000" w:rsidP="00000000" w:rsidRDefault="00000000" w:rsidRPr="00000000" w14:paraId="00000066">
            <w:pPr>
              <w:spacing w:line="240" w:lineRule="auto"/>
              <w:ind w:right="-334"/>
              <w:rPr>
                <w:sz w:val="26"/>
                <w:szCs w:val="26"/>
              </w:rPr>
            </w:pPr>
            <w:r w:rsidDel="00000000" w:rsidR="00000000" w:rsidRPr="00000000">
              <w:rPr>
                <w:rtl w:val="0"/>
              </w:rPr>
            </w:r>
          </w:p>
          <w:p w:rsidR="00000000" w:rsidDel="00000000" w:rsidP="00000000" w:rsidRDefault="00000000" w:rsidRPr="00000000" w14:paraId="00000067">
            <w:pPr>
              <w:spacing w:line="240" w:lineRule="auto"/>
              <w:ind w:right="-334"/>
              <w:rPr>
                <w:sz w:val="26"/>
                <w:szCs w:val="26"/>
              </w:rPr>
            </w:pPr>
            <w:r w:rsidDel="00000000" w:rsidR="00000000" w:rsidRPr="00000000">
              <w:rPr>
                <w:rtl w:val="0"/>
              </w:rPr>
            </w:r>
          </w:p>
          <w:p w:rsidR="00000000" w:rsidDel="00000000" w:rsidP="00000000" w:rsidRDefault="00000000" w:rsidRPr="00000000" w14:paraId="00000068">
            <w:pPr>
              <w:spacing w:line="240" w:lineRule="auto"/>
              <w:ind w:right="-334"/>
              <w:rPr>
                <w:sz w:val="26"/>
                <w:szCs w:val="26"/>
              </w:rPr>
            </w:pPr>
            <w:r w:rsidDel="00000000" w:rsidR="00000000" w:rsidRPr="00000000">
              <w:rPr>
                <w:rtl w:val="0"/>
              </w:rPr>
            </w:r>
          </w:p>
          <w:p w:rsidR="00000000" w:rsidDel="00000000" w:rsidP="00000000" w:rsidRDefault="00000000" w:rsidRPr="00000000" w14:paraId="00000069">
            <w:pPr>
              <w:spacing w:line="240" w:lineRule="auto"/>
              <w:ind w:right="-334"/>
              <w:rPr>
                <w:sz w:val="26"/>
                <w:szCs w:val="26"/>
              </w:rPr>
            </w:pPr>
            <w:r w:rsidDel="00000000" w:rsidR="00000000" w:rsidRPr="00000000">
              <w:rPr>
                <w:rtl w:val="0"/>
              </w:rPr>
            </w:r>
          </w:p>
          <w:p w:rsidR="00000000" w:rsidDel="00000000" w:rsidP="00000000" w:rsidRDefault="00000000" w:rsidRPr="00000000" w14:paraId="0000006A">
            <w:pPr>
              <w:spacing w:line="240" w:lineRule="auto"/>
              <w:ind w:right="-334"/>
              <w:rPr>
                <w:sz w:val="26"/>
                <w:szCs w:val="26"/>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6F">
            <w:pPr>
              <w:spacing w:line="240" w:lineRule="auto"/>
              <w:rPr>
                <w:sz w:val="26"/>
                <w:szCs w:val="26"/>
              </w:rPr>
            </w:pPr>
            <w:r w:rsidDel="00000000" w:rsidR="00000000" w:rsidRPr="00000000">
              <w:rPr>
                <w:sz w:val="26"/>
                <w:szCs w:val="26"/>
                <w:rtl w:val="0"/>
              </w:rPr>
              <w:t xml:space="preserve">External Examiner’s Signature:</w:t>
            </w:r>
          </w:p>
        </w:tc>
        <w:tc>
          <w:tcPr>
            <w:gridSpan w:val="3"/>
            <w:vAlign w:val="top"/>
          </w:tcPr>
          <w:p w:rsidR="00000000" w:rsidDel="00000000" w:rsidP="00000000" w:rsidRDefault="00000000" w:rsidRPr="00000000" w14:paraId="00000071">
            <w:pPr>
              <w:spacing w:line="240" w:lineRule="auto"/>
              <w:rPr>
                <w:sz w:val="26"/>
                <w:szCs w:val="26"/>
              </w:rPr>
            </w:pPr>
            <w:r w:rsidDel="00000000" w:rsidR="00000000" w:rsidRPr="00000000">
              <w:rPr>
                <w:sz w:val="26"/>
                <w:szCs w:val="26"/>
                <w:rtl w:val="0"/>
              </w:rPr>
              <w:t xml:space="preserve">Date:</w:t>
            </w:r>
          </w:p>
        </w:tc>
      </w:tr>
    </w:tbl>
    <w:p w:rsidR="00000000" w:rsidDel="00000000" w:rsidP="00000000" w:rsidRDefault="00000000" w:rsidRPr="00000000" w14:paraId="00000074">
      <w:pPr>
        <w:spacing w:line="276" w:lineRule="auto"/>
        <w:ind w:right="-334"/>
        <w:rPr>
          <w:rFonts w:ascii="Trebuchet MS" w:cs="Trebuchet MS" w:eastAsia="Trebuchet MS" w:hAnsi="Trebuchet MS"/>
          <w:sz w:val="26"/>
          <w:szCs w:val="26"/>
        </w:rPr>
      </w:pPr>
      <w:r w:rsidDel="00000000" w:rsidR="00000000" w:rsidRPr="00000000">
        <w:rPr>
          <w:rtl w:val="0"/>
        </w:rPr>
      </w:r>
    </w:p>
    <w:p w:rsidR="00000000" w:rsidDel="00000000" w:rsidP="00000000" w:rsidRDefault="00000000" w:rsidRPr="00000000" w14:paraId="00000075">
      <w:pPr>
        <w:shd w:fill="ffffff" w:val="clear"/>
        <w:spacing w:after="240" w:line="276" w:lineRule="auto"/>
        <w:jc w:val="center"/>
        <w:rPr>
          <w:b w:val="1"/>
          <w:sz w:val="24"/>
          <w:szCs w:val="24"/>
        </w:rPr>
      </w:pPr>
      <w:r w:rsidDel="00000000" w:rsidR="00000000" w:rsidRPr="00000000">
        <w:rPr>
          <w:b w:val="1"/>
          <w:sz w:val="24"/>
          <w:szCs w:val="24"/>
          <w:rtl w:val="0"/>
        </w:rPr>
        <w:t xml:space="preserve">Kat Azima – HPCA7028– Essay 1</w:t>
      </w:r>
    </w:p>
    <w:p w:rsidR="00000000" w:rsidDel="00000000" w:rsidP="00000000" w:rsidRDefault="00000000" w:rsidRPr="00000000" w14:paraId="00000076">
      <w:pPr>
        <w:shd w:fill="ffffff" w:val="clear"/>
        <w:spacing w:after="240" w:line="276" w:lineRule="auto"/>
        <w:jc w:val="center"/>
        <w:rPr>
          <w:b w:val="1"/>
          <w:sz w:val="26"/>
          <w:szCs w:val="26"/>
        </w:rPr>
      </w:pPr>
      <w:r w:rsidDel="00000000" w:rsidR="00000000" w:rsidRPr="00000000">
        <w:rPr>
          <w:b w:val="1"/>
          <w:sz w:val="24"/>
          <w:szCs w:val="24"/>
          <w:rtl w:val="0"/>
        </w:rPr>
        <w:t xml:space="preserve">Explore the cultural significance of the myth of </w:t>
        <w:br w:type="textWrapping"/>
        <w:t xml:space="preserve">Venus and the descent of Ishtar.</w:t>
      </w:r>
      <w:r w:rsidDel="00000000" w:rsidR="00000000" w:rsidRPr="00000000">
        <w:rPr>
          <w:rtl w:val="0"/>
        </w:rPr>
      </w:r>
    </w:p>
    <w:p w:rsidR="00000000" w:rsidDel="00000000" w:rsidP="00000000" w:rsidRDefault="00000000" w:rsidRPr="00000000" w14:paraId="00000077">
      <w:pPr>
        <w:shd w:fill="ffffff" w:val="clear"/>
        <w:spacing w:after="240" w:line="276" w:lineRule="auto"/>
        <w:rPr>
          <w:b w:val="1"/>
          <w:sz w:val="24"/>
          <w:szCs w:val="24"/>
          <w:u w:val="single"/>
        </w:rPr>
      </w:pPr>
      <w:r w:rsidDel="00000000" w:rsidR="00000000" w:rsidRPr="00000000">
        <w:rPr>
          <w:b w:val="1"/>
          <w:sz w:val="24"/>
          <w:szCs w:val="24"/>
          <w:u w:val="single"/>
          <w:rtl w:val="0"/>
        </w:rPr>
        <w:t xml:space="preserve">Introduction</w:t>
      </w:r>
    </w:p>
    <w:p w:rsidR="00000000" w:rsidDel="00000000" w:rsidP="00000000" w:rsidRDefault="00000000" w:rsidRPr="00000000" w14:paraId="00000078">
      <w:pPr>
        <w:shd w:fill="ffffff" w:val="clear"/>
        <w:spacing w:after="240" w:line="276" w:lineRule="auto"/>
        <w:rPr/>
      </w:pPr>
      <w:r w:rsidDel="00000000" w:rsidR="00000000" w:rsidRPr="00000000">
        <w:rPr>
          <w:rtl w:val="0"/>
        </w:rPr>
        <w:t xml:space="preserve">The aim of this essay is to explore the cultural significance of the myth of Venus and the ancient Sumerian myth of Inanna’s descent to the netherworld. More specifically this paper will look at the cultural significance of this sky myth through a feminist and Jungian psychological framework in relation to the life and conservatorship of Britney Jean Spears (1981-), one of the most iconic global female music stars in contemporary popular culture. The primary source of the myth used in the analysis of this essay is by Kramer, S.N. (trans), ‘Inanna’s Descent to the Nether World’ in ‘Sumerian Myth and Epic Tales’ in Pritchard, James B. (ed.), Ancient Near Eastern Texts Relating to the Old Testament, (Princeton: Princeton University Press, 1969), pp. 52-57. The other primary source used in this analysis is Britney Spears’s memoir, Spears, B. </w:t>
      </w:r>
      <w:r w:rsidDel="00000000" w:rsidR="00000000" w:rsidRPr="00000000">
        <w:rPr>
          <w:i w:val="1"/>
          <w:rtl w:val="0"/>
        </w:rPr>
        <w:t xml:space="preserve">The Woman in Me</w:t>
      </w:r>
      <w:r w:rsidDel="00000000" w:rsidR="00000000" w:rsidRPr="00000000">
        <w:rPr>
          <w:rtl w:val="0"/>
        </w:rPr>
        <w:t xml:space="preserve">, (New York: Gallery Books, 2023). This paper will attempt to unpack the definitions of the words sky, culture, myth to provide context for a comparative analysis between Inanna’s descent myth and Spears' experience as a global star who lived through a very long and public conservatorship and her return back to freedom. By highlighting similarities between the two stories, this paper will seek to investigate the enduring cultural significance of the Venus sky myth of ‘The Descent of Inanna to the Netherworld’. </w:t>
      </w:r>
    </w:p>
    <w:p w:rsidR="00000000" w:rsidDel="00000000" w:rsidP="00000000" w:rsidRDefault="00000000" w:rsidRPr="00000000" w14:paraId="00000079">
      <w:pPr>
        <w:shd w:fill="ffffff" w:val="clear"/>
        <w:spacing w:after="240" w:line="276" w:lineRule="auto"/>
        <w:rPr>
          <w:b w:val="1"/>
          <w:sz w:val="24"/>
          <w:szCs w:val="24"/>
          <w:u w:val="single"/>
        </w:rPr>
      </w:pPr>
      <w:r w:rsidDel="00000000" w:rsidR="00000000" w:rsidRPr="00000000">
        <w:rPr>
          <w:b w:val="1"/>
          <w:sz w:val="24"/>
          <w:szCs w:val="24"/>
          <w:u w:val="single"/>
          <w:rtl w:val="0"/>
        </w:rPr>
        <w:t xml:space="preserve">Locating Sky, Culture and Myth</w:t>
      </w:r>
    </w:p>
    <w:p w:rsidR="00000000" w:rsidDel="00000000" w:rsidP="00000000" w:rsidRDefault="00000000" w:rsidRPr="00000000" w14:paraId="0000007A">
      <w:pPr>
        <w:shd w:fill="ffffff" w:val="clear"/>
        <w:spacing w:after="240" w:lineRule="auto"/>
        <w:rPr>
          <w:sz w:val="26"/>
          <w:szCs w:val="26"/>
          <w:u w:val="single"/>
        </w:rPr>
      </w:pPr>
      <w:r w:rsidDel="00000000" w:rsidR="00000000" w:rsidRPr="00000000">
        <w:rPr>
          <w:u w:val="single"/>
          <w:rtl w:val="0"/>
        </w:rPr>
        <w:t xml:space="preserve">Sky</w:t>
      </w:r>
      <w:r w:rsidDel="00000000" w:rsidR="00000000" w:rsidRPr="00000000">
        <w:rPr>
          <w:sz w:val="26"/>
          <w:szCs w:val="26"/>
          <w:u w:val="single"/>
          <w:rtl w:val="0"/>
        </w:rPr>
        <w:t xml:space="preserve"> </w:t>
      </w:r>
    </w:p>
    <w:p w:rsidR="00000000" w:rsidDel="00000000" w:rsidP="00000000" w:rsidRDefault="00000000" w:rsidRPr="00000000" w14:paraId="0000007B">
      <w:pPr>
        <w:shd w:fill="ffffff" w:val="clear"/>
        <w:spacing w:after="240" w:lineRule="auto"/>
        <w:rPr>
          <w:b w:val="1"/>
          <w:sz w:val="24"/>
          <w:szCs w:val="24"/>
          <w:u w:val="single"/>
        </w:rPr>
      </w:pPr>
      <w:r w:rsidDel="00000000" w:rsidR="00000000" w:rsidRPr="00000000">
        <w:rPr>
          <w:rtl w:val="0"/>
        </w:rPr>
        <w:t xml:space="preserve">Darrelyn Gunzburg reminds us that the sky makes up fifty percent of our visual world and therefore it has a visual impact on us. The sky is where we locate ourselves she says externally and internally, physically and symbolically and has reflected our place in the cosmos.</w:t>
      </w:r>
      <w:r w:rsidDel="00000000" w:rsidR="00000000" w:rsidRPr="00000000">
        <w:rPr>
          <w:vertAlign w:val="superscript"/>
        </w:rPr>
        <w:footnoteReference w:customMarkFollows="0" w:id="0"/>
      </w:r>
      <w:r w:rsidDel="00000000" w:rsidR="00000000" w:rsidRPr="00000000">
        <w:rPr>
          <w:rtl w:val="0"/>
        </w:rPr>
        <w:t xml:space="preserve"> The universal importance of the sky is highlighted by Clive Ruggles who maintains that ‘cultural perceptions of the sky are vital in fulfilling humankind's most basic need to comprehend the universe it inhabits, both from a modern scientific perspective and from countless other cultural standpoints, extending right back into early prehistory.’</w:t>
      </w:r>
      <w:r w:rsidDel="00000000" w:rsidR="00000000" w:rsidRPr="00000000">
        <w:rPr>
          <w:vertAlign w:val="superscript"/>
        </w:rPr>
        <w:footnoteReference w:customMarkFollows="0" w:id="1"/>
      </w:r>
      <w:r w:rsidDel="00000000" w:rsidR="00000000" w:rsidRPr="00000000">
        <w:rPr>
          <w:rtl w:val="0"/>
        </w:rPr>
        <w:t xml:space="preserve"> In studying the relationship between the sky and human societies in the academy, Anthony Aveni notes that, ‘serious anthropologists generally acknowledge the importance of perceptions of the sky to ancient, historical, and modern indigenous societies. Nowadays they are seriously interested in how the sky influences broader cosmologies and the relevance of such studies to wider cultural questions.’</w:t>
      </w:r>
      <w:r w:rsidDel="00000000" w:rsidR="00000000" w:rsidRPr="00000000">
        <w:rPr>
          <w:vertAlign w:val="superscript"/>
        </w:rPr>
        <w:footnoteReference w:customMarkFollows="0" w:id="2"/>
      </w:r>
      <w:r w:rsidDel="00000000" w:rsidR="00000000" w:rsidRPr="00000000">
        <w:rPr>
          <w:rtl w:val="0"/>
        </w:rPr>
        <w:t xml:space="preserve"> Fabio Silva states, this area of study in the academy has become the purview of Cultural Astronomy.’</w:t>
      </w:r>
      <w:r w:rsidDel="00000000" w:rsidR="00000000" w:rsidRPr="00000000">
        <w:rPr>
          <w:vertAlign w:val="superscript"/>
        </w:rPr>
        <w:footnoteReference w:customMarkFollows="0" w:id="3"/>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7C">
      <w:pPr>
        <w:shd w:fill="ffffff" w:val="clear"/>
        <w:spacing w:after="240" w:line="276" w:lineRule="auto"/>
        <w:rPr>
          <w:sz w:val="24"/>
          <w:szCs w:val="24"/>
          <w:u w:val="single"/>
        </w:rPr>
      </w:pPr>
      <w:r w:rsidDel="00000000" w:rsidR="00000000" w:rsidRPr="00000000">
        <w:rPr>
          <w:sz w:val="24"/>
          <w:szCs w:val="24"/>
          <w:u w:val="single"/>
          <w:rtl w:val="0"/>
        </w:rPr>
        <w:t xml:space="preserve">Culture</w:t>
      </w:r>
    </w:p>
    <w:p w:rsidR="00000000" w:rsidDel="00000000" w:rsidP="00000000" w:rsidRDefault="00000000" w:rsidRPr="00000000" w14:paraId="0000007D">
      <w:pPr>
        <w:shd w:fill="ffffff" w:val="clear"/>
        <w:spacing w:after="240" w:line="276" w:lineRule="auto"/>
        <w:rPr/>
      </w:pPr>
      <w:r w:rsidDel="00000000" w:rsidR="00000000" w:rsidRPr="00000000">
        <w:rPr>
          <w:rtl w:val="0"/>
        </w:rPr>
        <w:t xml:space="preserve">The myth of ‘Inanna’s Descent to the Nether World’ comes from the ancient Sumerian culture while Spear’s memoir is part of contemporary and popular culture. Definitions of both culture and myth are contested by scholars and difficult to define. Raymond Williams famously asserted that culture is ‘one of the two or three most complicated words in the English language.’</w:t>
      </w:r>
      <w:r w:rsidDel="00000000" w:rsidR="00000000" w:rsidRPr="00000000">
        <w:rPr>
          <w:vertAlign w:val="superscript"/>
        </w:rPr>
        <w:footnoteReference w:customMarkFollows="0" w:id="4"/>
      </w:r>
      <w:r w:rsidDel="00000000" w:rsidR="00000000" w:rsidRPr="00000000">
        <w:rPr>
          <w:rtl w:val="0"/>
        </w:rPr>
        <w:t xml:space="preserve"> Culture, as Terry Eagleton argues, is derived from nature rather than the other way around, where there is a ‘dialectic between the artificial and the natural, what we do to the world and what the world does to us.’</w:t>
      </w:r>
      <w:r w:rsidDel="00000000" w:rsidR="00000000" w:rsidRPr="00000000">
        <w:rPr>
          <w:vertAlign w:val="superscript"/>
        </w:rPr>
        <w:footnoteReference w:customMarkFollows="0" w:id="5"/>
      </w:r>
      <w:r w:rsidDel="00000000" w:rsidR="00000000" w:rsidRPr="00000000">
        <w:rPr>
          <w:rtl w:val="0"/>
        </w:rPr>
        <w:t xml:space="preserve"> Postmodernism has blurred the boundaries between high and low culture, according to </w:t>
      </w:r>
      <w:r w:rsidDel="00000000" w:rsidR="00000000" w:rsidRPr="00000000">
        <w:rPr>
          <w:rtl w:val="0"/>
        </w:rPr>
        <w:t xml:space="preserve">Sherrie</w:t>
      </w:r>
      <w:r w:rsidDel="00000000" w:rsidR="00000000" w:rsidRPr="00000000">
        <w:rPr>
          <w:sz w:val="18"/>
          <w:szCs w:val="18"/>
          <w:rtl w:val="0"/>
        </w:rPr>
        <w:t xml:space="preserve"> </w:t>
      </w:r>
      <w:r w:rsidDel="00000000" w:rsidR="00000000" w:rsidRPr="00000000">
        <w:rPr>
          <w:rtl w:val="0"/>
        </w:rPr>
        <w:t xml:space="preserve">Innes, who contends that studying popular culture and popular culture’s impact on women’s lives is an important way to understand society saying, ‘Popular sources are invaluable when exploring the changing image of women in our society. Popular culture does not simply reflect women's lives; it helps to create them and so demands critical scrutiny.</w:t>
      </w:r>
      <w:r w:rsidDel="00000000" w:rsidR="00000000" w:rsidRPr="00000000">
        <w:rPr>
          <w:vertAlign w:val="superscript"/>
        </w:rPr>
        <w:footnoteReference w:customMarkFollows="0" w:id="6"/>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7E">
      <w:pPr>
        <w:shd w:fill="ffffff" w:val="clear"/>
        <w:spacing w:after="240" w:line="276" w:lineRule="auto"/>
        <w:rPr>
          <w:u w:val="single"/>
        </w:rPr>
      </w:pPr>
      <w:r w:rsidDel="00000000" w:rsidR="00000000" w:rsidRPr="00000000">
        <w:rPr>
          <w:u w:val="single"/>
          <w:rtl w:val="0"/>
        </w:rPr>
        <w:t xml:space="preserve">Myth</w:t>
      </w:r>
    </w:p>
    <w:p w:rsidR="00000000" w:rsidDel="00000000" w:rsidP="00000000" w:rsidRDefault="00000000" w:rsidRPr="00000000" w14:paraId="0000007F">
      <w:pPr>
        <w:shd w:fill="ffffff" w:val="clear"/>
        <w:spacing w:after="240" w:line="276" w:lineRule="auto"/>
        <w:rPr/>
      </w:pPr>
      <w:r w:rsidDel="00000000" w:rsidR="00000000" w:rsidRPr="00000000">
        <w:rPr>
          <w:rtl w:val="0"/>
        </w:rPr>
        <w:t xml:space="preserve">Myth has also been a challenge to define. As </w:t>
      </w:r>
      <w:r w:rsidDel="00000000" w:rsidR="00000000" w:rsidRPr="00000000">
        <w:rPr>
          <w:rtl w:val="0"/>
        </w:rPr>
        <w:t xml:space="preserve">Eliade states ‘From Plato and Fontenelle to Schelling and Bultmann, philosophers and theologians have proposed innumerable definitions of myth.</w:t>
      </w:r>
      <w:r w:rsidDel="00000000" w:rsidR="00000000" w:rsidRPr="00000000">
        <w:rPr>
          <w:vertAlign w:val="superscript"/>
        </w:rPr>
        <w:footnoteReference w:customMarkFollows="0" w:id="7"/>
      </w:r>
      <w:r w:rsidDel="00000000" w:rsidR="00000000" w:rsidRPr="00000000">
        <w:rPr>
          <w:rtl w:val="0"/>
        </w:rPr>
        <w:t xml:space="preserve"> Menzies similarly notes that ‘the hermeneutical challenges raised by myth are many and complex. Myth is a word without clear definition or standardised use.’</w:t>
      </w:r>
      <w:r w:rsidDel="00000000" w:rsidR="00000000" w:rsidRPr="00000000">
        <w:rPr>
          <w:vertAlign w:val="superscript"/>
        </w:rPr>
        <w:footnoteReference w:customMarkFollows="0" w:id="8"/>
      </w:r>
      <w:r w:rsidDel="00000000" w:rsidR="00000000" w:rsidRPr="00000000">
        <w:rPr>
          <w:rtl w:val="0"/>
        </w:rPr>
        <w:t xml:space="preserve"> Segal defines myth as a ‘story’ and what unites myth across the disciplines are questions of myths origins, function and subject matter.</w:t>
      </w:r>
      <w:r w:rsidDel="00000000" w:rsidR="00000000" w:rsidRPr="00000000">
        <w:rPr>
          <w:vertAlign w:val="superscript"/>
        </w:rPr>
        <w:footnoteReference w:customMarkFollows="0" w:id="9"/>
      </w:r>
      <w:r w:rsidDel="00000000" w:rsidR="00000000" w:rsidRPr="00000000">
        <w:rPr>
          <w:rtl w:val="0"/>
        </w:rPr>
        <w:t xml:space="preserve"> Perhaps as Walter Burket describes, we can characterise myth by ‘its suitability for telling and retelling…Its themes are often surprisingly constant, in spite of the many fantastic and paradoxical motifs that shape its unmistakable identity; even though slightly distorted, they return again and again.’</w:t>
      </w:r>
      <w:r w:rsidDel="00000000" w:rsidR="00000000" w:rsidRPr="00000000">
        <w:rPr>
          <w:vertAlign w:val="superscript"/>
        </w:rPr>
        <w:footnoteReference w:customMarkFollows="0" w:id="10"/>
      </w:r>
      <w:r w:rsidDel="00000000" w:rsidR="00000000" w:rsidRPr="00000000">
        <w:rPr>
          <w:rtl w:val="0"/>
        </w:rPr>
        <w:t xml:space="preserve"> </w:t>
      </w:r>
      <w:r w:rsidDel="00000000" w:rsidR="00000000" w:rsidRPr="00000000">
        <w:rPr>
          <w:rtl w:val="0"/>
        </w:rPr>
        <w:t xml:space="preserve">Additionally, the ‘collective unconscious’ as C.G. Jung posits,</w:t>
      </w:r>
      <w:r w:rsidDel="00000000" w:rsidR="00000000" w:rsidRPr="00000000">
        <w:rPr>
          <w:rtl w:val="0"/>
        </w:rPr>
        <w:t xml:space="preserve"> is part of the universal unconscious as opposed to the individual unconscious in which contents and modes of behaviour are more or less the same everywhere and in all individuals.</w:t>
      </w:r>
      <w:r w:rsidDel="00000000" w:rsidR="00000000" w:rsidRPr="00000000">
        <w:rPr>
          <w:vertAlign w:val="superscript"/>
        </w:rPr>
        <w:footnoteReference w:customMarkFollows="0" w:id="11"/>
      </w:r>
      <w:r w:rsidDel="00000000" w:rsidR="00000000" w:rsidRPr="00000000">
        <w:rPr>
          <w:rtl w:val="0"/>
        </w:rPr>
        <w:t xml:space="preserve"> Nicholas Campion argues that while this ‘essentialism’ can be a useful model it's one that cannot be proven, while current scholarship emphasises localism, but this too can often obscure the genuine similarities between different cultures.</w:t>
      </w:r>
      <w:r w:rsidDel="00000000" w:rsidR="00000000" w:rsidRPr="00000000">
        <w:rPr>
          <w:vertAlign w:val="superscript"/>
        </w:rPr>
        <w:footnoteReference w:customMarkFollows="0" w:id="12"/>
      </w:r>
      <w:r w:rsidDel="00000000" w:rsidR="00000000" w:rsidRPr="00000000">
        <w:rPr>
          <w:rtl w:val="0"/>
        </w:rPr>
      </w:r>
    </w:p>
    <w:p w:rsidR="00000000" w:rsidDel="00000000" w:rsidP="00000000" w:rsidRDefault="00000000" w:rsidRPr="00000000" w14:paraId="00000080">
      <w:pPr>
        <w:shd w:fill="ffffff" w:val="clear"/>
        <w:spacing w:after="240" w:line="276" w:lineRule="auto"/>
        <w:rPr/>
      </w:pPr>
      <w:r w:rsidDel="00000000" w:rsidR="00000000" w:rsidRPr="00000000">
        <w:rPr>
          <w:rtl w:val="0"/>
        </w:rPr>
        <w:t xml:space="preserve">In summary, while defining concepts like culture and myth are not straightforward and often contested, sky myths are the purview of cultural astronomy and worthy of study because they are born from and are rooted in the natural world in which we come from and inhabit, arguably making them stories of significance in every culture.</w:t>
      </w:r>
    </w:p>
    <w:p w:rsidR="00000000" w:rsidDel="00000000" w:rsidP="00000000" w:rsidRDefault="00000000" w:rsidRPr="00000000" w14:paraId="00000081">
      <w:pPr>
        <w:shd w:fill="ffffff" w:val="clear"/>
        <w:spacing w:after="240" w:line="276" w:lineRule="auto"/>
        <w:rPr>
          <w:sz w:val="24"/>
          <w:szCs w:val="24"/>
        </w:rPr>
      </w:pPr>
      <w:r w:rsidDel="00000000" w:rsidR="00000000" w:rsidRPr="00000000">
        <w:rPr>
          <w:b w:val="1"/>
          <w:sz w:val="24"/>
          <w:szCs w:val="24"/>
          <w:u w:val="single"/>
          <w:rtl w:val="0"/>
        </w:rPr>
        <w:t xml:space="preserve">Venus and The </w:t>
      </w:r>
      <w:r w:rsidDel="00000000" w:rsidR="00000000" w:rsidRPr="00000000">
        <w:rPr>
          <w:b w:val="1"/>
          <w:sz w:val="24"/>
          <w:szCs w:val="24"/>
          <w:u w:val="single"/>
          <w:rtl w:val="0"/>
        </w:rPr>
        <w:t xml:space="preserve">Descent of Inanna to the Netherworld</w:t>
      </w:r>
      <w:r w:rsidDel="00000000" w:rsidR="00000000" w:rsidRPr="00000000">
        <w:rPr>
          <w:rtl w:val="0"/>
        </w:rPr>
      </w:r>
    </w:p>
    <w:p w:rsidR="00000000" w:rsidDel="00000000" w:rsidP="00000000" w:rsidRDefault="00000000" w:rsidRPr="00000000" w14:paraId="00000082">
      <w:pPr>
        <w:shd w:fill="ffffff" w:val="clear"/>
        <w:spacing w:after="240" w:lineRule="auto"/>
        <w:rPr/>
      </w:pPr>
      <w:r w:rsidDel="00000000" w:rsidR="00000000" w:rsidRPr="00000000">
        <w:rPr>
          <w:rtl w:val="0"/>
        </w:rPr>
        <w:t xml:space="preserve">According to Francesca Rochberg, the Mesopotamian conception of the world order was intimately tied to the creative acts of divinities rather than as a mechanistic system which is where we see Venus as the goddess Ishtar.</w:t>
      </w:r>
      <w:r w:rsidDel="00000000" w:rsidR="00000000" w:rsidRPr="00000000">
        <w:rPr>
          <w:vertAlign w:val="superscript"/>
        </w:rPr>
        <w:footnoteReference w:customMarkFollows="0" w:id="13"/>
      </w:r>
      <w:r w:rsidDel="00000000" w:rsidR="00000000" w:rsidRPr="00000000">
        <w:rPr>
          <w:rtl w:val="0"/>
        </w:rPr>
        <w:t xml:space="preserve"> As Belden Lane observes, ‘</w:t>
      </w:r>
      <w:r w:rsidDel="00000000" w:rsidR="00000000" w:rsidRPr="00000000">
        <w:rPr>
          <w:rtl w:val="0"/>
        </w:rPr>
        <w:t xml:space="preserve">Venus is far brighter than any of the other planets or stars. You can see it in broad daylight by the naked eye. The planet appears to rise in the eastern sky before sunrise and linger after the setting sun in the west, depending on the time of the year and its orbit around the sun.’</w:t>
      </w:r>
      <w:r w:rsidDel="00000000" w:rsidR="00000000" w:rsidRPr="00000000">
        <w:rPr>
          <w:vertAlign w:val="superscript"/>
        </w:rPr>
        <w:footnoteReference w:customMarkFollows="0" w:id="14"/>
      </w:r>
      <w:r w:rsidDel="00000000" w:rsidR="00000000" w:rsidRPr="00000000">
        <w:rPr>
          <w:rtl w:val="0"/>
        </w:rPr>
        <w:t xml:space="preserve"> Campion states that ‘Venus was strictly tied to its 5-year cycle, Ishtar retained the ability to speak to her earthly subjects through minor variations in the planets' movements. Each planet provided a tool for its presiding deity to communicate with his or her subjects through its changing appearance and shifting location.’</w:t>
      </w:r>
      <w:r w:rsidDel="00000000" w:rsidR="00000000" w:rsidRPr="00000000">
        <w:rPr>
          <w:vertAlign w:val="superscript"/>
        </w:rPr>
        <w:footnoteReference w:customMarkFollows="0" w:id="15"/>
      </w:r>
      <w:r w:rsidDel="00000000" w:rsidR="00000000" w:rsidRPr="00000000">
        <w:rPr>
          <w:rtl w:val="0"/>
        </w:rPr>
        <w:t xml:space="preserve"> </w:t>
      </w:r>
    </w:p>
    <w:p w:rsidR="00000000" w:rsidDel="00000000" w:rsidP="00000000" w:rsidRDefault="00000000" w:rsidRPr="00000000" w14:paraId="00000083">
      <w:pPr>
        <w:shd w:fill="ffffff" w:val="clear"/>
        <w:spacing w:after="240" w:lineRule="auto"/>
        <w:rPr/>
      </w:pPr>
      <w:r w:rsidDel="00000000" w:rsidR="00000000" w:rsidRPr="00000000">
        <w:rPr>
          <w:rtl w:val="0"/>
        </w:rPr>
        <w:t xml:space="preserve">Eagleton’s theory of </w:t>
      </w:r>
      <w:r w:rsidDel="00000000" w:rsidR="00000000" w:rsidRPr="00000000">
        <w:rPr>
          <w:rtl w:val="0"/>
        </w:rPr>
        <w:t xml:space="preserve">culture as derived from nature is evident in how the planet Venus as observed by the Sumerians in both the day and night sky became part of their culture.</w:t>
      </w:r>
      <w:r w:rsidDel="00000000" w:rsidR="00000000" w:rsidRPr="00000000">
        <w:rPr>
          <w:b w:val="1"/>
          <w:rtl w:val="0"/>
        </w:rPr>
        <w:t xml:space="preserve"> </w:t>
      </w:r>
      <w:r w:rsidDel="00000000" w:rsidR="00000000" w:rsidRPr="00000000">
        <w:rPr>
          <w:rtl w:val="0"/>
        </w:rPr>
        <w:t xml:space="preserve">As Rochberg says,</w:t>
      </w:r>
    </w:p>
    <w:p w:rsidR="00000000" w:rsidDel="00000000" w:rsidP="00000000" w:rsidRDefault="00000000" w:rsidRPr="00000000" w14:paraId="00000084">
      <w:pPr>
        <w:shd w:fill="ffffff" w:val="clear"/>
        <w:spacing w:after="240" w:lineRule="auto"/>
        <w:ind w:left="720" w:right="990" w:firstLine="0"/>
        <w:rPr>
          <w:b w:val="1"/>
          <w:sz w:val="20"/>
          <w:szCs w:val="20"/>
        </w:rPr>
      </w:pPr>
      <w:r w:rsidDel="00000000" w:rsidR="00000000" w:rsidRPr="00000000">
        <w:rPr>
          <w:sz w:val="20"/>
          <w:szCs w:val="20"/>
          <w:rtl w:val="0"/>
        </w:rPr>
        <w:t xml:space="preserve">‘because all the phenomena of the physical world were interpreted as divinely ordered and ordained, and because the phenomena in the natural as well as the human experiential world were viewed as potential signs (roughly the equivalent of Green </w:t>
      </w:r>
      <w:r w:rsidDel="00000000" w:rsidR="00000000" w:rsidRPr="00000000">
        <w:rPr>
          <w:i w:val="1"/>
          <w:sz w:val="20"/>
          <w:szCs w:val="20"/>
          <w:rtl w:val="0"/>
        </w:rPr>
        <w:t xml:space="preserve">semeia and Latin </w:t>
      </w:r>
      <w:r w:rsidDel="00000000" w:rsidR="00000000" w:rsidRPr="00000000">
        <w:rPr>
          <w:sz w:val="20"/>
          <w:szCs w:val="20"/>
          <w:rtl w:val="0"/>
        </w:rPr>
        <w:t xml:space="preserve">omina) these phenomena were believed to indicate to humankind the divinely determined events.</w:t>
      </w:r>
      <w:r w:rsidDel="00000000" w:rsidR="00000000" w:rsidRPr="00000000">
        <w:rPr>
          <w:sz w:val="20"/>
          <w:szCs w:val="20"/>
          <w:vertAlign w:val="superscript"/>
        </w:rPr>
        <w:footnoteReference w:customMarkFollows="0" w:id="16"/>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85">
      <w:pPr>
        <w:shd w:fill="ffffff" w:val="clear"/>
        <w:spacing w:after="240" w:lineRule="auto"/>
        <w:rPr/>
      </w:pPr>
      <w:r w:rsidDel="00000000" w:rsidR="00000000" w:rsidRPr="00000000">
        <w:rPr>
          <w:rtl w:val="0"/>
        </w:rPr>
        <w:t xml:space="preserve">The myth of ‘The Descent of Innana’ is the story of Inanna, ‘The Queen of Heaven’, who travels through the seven gates leading to the underworld where she suffers a stripping away and death before being revived and returned to heaven.</w:t>
      </w:r>
      <w:r w:rsidDel="00000000" w:rsidR="00000000" w:rsidRPr="00000000">
        <w:rPr>
          <w:vertAlign w:val="superscript"/>
        </w:rPr>
        <w:footnoteReference w:customMarkFollows="0" w:id="17"/>
      </w:r>
      <w:r w:rsidDel="00000000" w:rsidR="00000000" w:rsidRPr="00000000">
        <w:rPr>
          <w:rtl w:val="0"/>
        </w:rPr>
        <w:t xml:space="preserve"> The myth of the ‘The Descent of Inanna to the Netherworld’ was inscribed by mythographers around 1750 B.C according to Noah Samuel Kramer who was part of its recovery and restoration. The ‘Descent of Inanna’ consisted of four hundred lines of text gathered from thirty tablets and fragments that were pieced together. These tablets and fragments, says Kramer, were found buried in the ruins of Nippur, the cultural and spiritual centre of Sumer located in the south half of modern Iraq.</w:t>
      </w:r>
      <w:r w:rsidDel="00000000" w:rsidR="00000000" w:rsidRPr="00000000">
        <w:rPr>
          <w:vertAlign w:val="superscript"/>
        </w:rPr>
        <w:footnoteReference w:customMarkFollows="0" w:id="18"/>
      </w:r>
      <w:r w:rsidDel="00000000" w:rsidR="00000000" w:rsidRPr="00000000">
        <w:rPr>
          <w:rtl w:val="0"/>
        </w:rPr>
        <w:t xml:space="preserve"> Proof of Inanna’s relation to the planet Venus, as G.E. Kurtik states, is proven by seal pictures of the middle of the third millennium BC.</w:t>
      </w:r>
      <w:r w:rsidDel="00000000" w:rsidR="00000000" w:rsidRPr="00000000">
        <w:rPr>
          <w:vertAlign w:val="superscript"/>
        </w:rPr>
        <w:footnoteReference w:customMarkFollows="0" w:id="19"/>
      </w:r>
      <w:r w:rsidDel="00000000" w:rsidR="00000000" w:rsidRPr="00000000">
        <w:rPr>
          <w:rtl w:val="0"/>
        </w:rPr>
        <w:t xml:space="preserve"> The concept of divine radiance, as Rochberg states, is important for understanding the relationship between Inanna and Venus, as she explains in Sumerian liturgy ‘the radiance of the goddess Inanna is a principal element in her description as the planet Venus.’</w:t>
      </w:r>
      <w:r w:rsidDel="00000000" w:rsidR="00000000" w:rsidRPr="00000000">
        <w:rPr>
          <w:vertAlign w:val="superscript"/>
        </w:rPr>
        <w:footnoteReference w:customMarkFollows="0" w:id="20"/>
      </w:r>
      <w:r w:rsidDel="00000000" w:rsidR="00000000" w:rsidRPr="00000000">
        <w:rPr>
          <w:rtl w:val="0"/>
        </w:rPr>
        <w:t xml:space="preserve"> In regards to Inanna’s influence in Sumerian history, Kramer says, female deities were both worshipped and adored but it was Inanna that was the most significant,</w:t>
      </w:r>
    </w:p>
    <w:p w:rsidR="00000000" w:rsidDel="00000000" w:rsidP="00000000" w:rsidRDefault="00000000" w:rsidRPr="00000000" w14:paraId="00000086">
      <w:pPr>
        <w:shd w:fill="ffffff" w:val="clear"/>
        <w:spacing w:after="240" w:lineRule="auto"/>
        <w:ind w:left="675" w:right="720" w:firstLine="0"/>
        <w:rPr>
          <w:sz w:val="20"/>
          <w:szCs w:val="20"/>
        </w:rPr>
      </w:pPr>
      <w:r w:rsidDel="00000000" w:rsidR="00000000" w:rsidRPr="00000000">
        <w:rPr>
          <w:sz w:val="20"/>
          <w:szCs w:val="20"/>
          <w:rtl w:val="0"/>
        </w:rPr>
        <w:t xml:space="preserve">‘but the goddess who outweighed, overshadowed, and outlasted them all was a deity known to the Sumerians by the name of Inanna, ‘Queen of Heaven,’ and to the Semites who lived in Sumer by the name of Ishtar. Inanna played a greater role in myth, epic, and hymn than any other deity, male or female.’</w:t>
      </w:r>
      <w:r w:rsidDel="00000000" w:rsidR="00000000" w:rsidRPr="00000000">
        <w:rPr>
          <w:sz w:val="20"/>
          <w:szCs w:val="20"/>
          <w:vertAlign w:val="superscript"/>
        </w:rPr>
        <w:footnoteReference w:customMarkFollows="0" w:id="21"/>
      </w:r>
      <w:r w:rsidDel="00000000" w:rsidR="00000000" w:rsidRPr="00000000">
        <w:rPr>
          <w:rtl w:val="0"/>
        </w:rPr>
      </w:r>
    </w:p>
    <w:p w:rsidR="00000000" w:rsidDel="00000000" w:rsidP="00000000" w:rsidRDefault="00000000" w:rsidRPr="00000000" w14:paraId="00000087">
      <w:pPr>
        <w:shd w:fill="ffffff" w:val="clear"/>
        <w:spacing w:after="240" w:lineRule="auto"/>
        <w:rPr>
          <w:b w:val="1"/>
          <w:i w:val="1"/>
        </w:rPr>
      </w:pPr>
      <w:r w:rsidDel="00000000" w:rsidR="00000000" w:rsidRPr="00000000">
        <w:rPr>
          <w:rtl w:val="0"/>
        </w:rPr>
        <w:t xml:space="preserve">According to Rachel Falconer our contemporary culture is still very much governed by a ‘katabatic imagination’ which metaphorically was used by the Greeks (who may have also known about the older Sumerian and Akkadian descent heroes) ‘refers to a story about a living person who visits the land of the Dead and returns more or less unscathed.’</w:t>
      </w:r>
      <w:r w:rsidDel="00000000" w:rsidR="00000000" w:rsidRPr="00000000">
        <w:rPr>
          <w:vertAlign w:val="superscript"/>
        </w:rPr>
        <w:footnoteReference w:customMarkFollows="0" w:id="22"/>
      </w:r>
      <w:r w:rsidDel="00000000" w:rsidR="00000000" w:rsidRPr="00000000">
        <w:rPr>
          <w:rtl w:val="0"/>
        </w:rPr>
        <w:t xml:space="preserve"> Judith Fletcher describes, ‘The Descent of Inanna’ as ‘among the first in a long line of underworld stories that feature tests of endurance, substitutions and cycles, and a return to the realm of the living.’</w:t>
      </w:r>
      <w:r w:rsidDel="00000000" w:rsidR="00000000" w:rsidRPr="00000000">
        <w:rPr>
          <w:vertAlign w:val="superscript"/>
        </w:rPr>
        <w:footnoteReference w:customMarkFollows="0" w:id="23"/>
      </w:r>
      <w:r w:rsidDel="00000000" w:rsidR="00000000" w:rsidRPr="00000000">
        <w:rPr>
          <w:rtl w:val="0"/>
        </w:rPr>
        <w:t xml:space="preserve"> Inanna’s descent and return myth, as Brington Parera posits, can be seen from four perspectives, firstly the rhythmic order of nature, secondly, a story of an initiation process into the mysteries, thirdly, a description of the psychological health for the feminine of both in women and in men and lastly, the powers of the goddess return to Western culture.</w:t>
      </w:r>
      <w:r w:rsidDel="00000000" w:rsidR="00000000" w:rsidRPr="00000000">
        <w:rPr>
          <w:vertAlign w:val="superscript"/>
        </w:rPr>
        <w:footnoteReference w:customMarkFollows="0" w:id="24"/>
      </w:r>
      <w:r w:rsidDel="00000000" w:rsidR="00000000" w:rsidRPr="00000000">
        <w:rPr>
          <w:rtl w:val="0"/>
        </w:rPr>
        <w:t xml:space="preserve"> Or in summary, they hold, as she says, ‘a cosmic pattern, one that is astronomical, seasonal, transformational, and psychological.’</w:t>
      </w:r>
      <w:r w:rsidDel="00000000" w:rsidR="00000000" w:rsidRPr="00000000">
        <w:rPr>
          <w:vertAlign w:val="superscript"/>
        </w:rPr>
        <w:footnoteReference w:customMarkFollows="0" w:id="25"/>
      </w:r>
      <w:r w:rsidDel="00000000" w:rsidR="00000000" w:rsidRPr="00000000">
        <w:rPr>
          <w:rtl w:val="0"/>
        </w:rPr>
      </w:r>
    </w:p>
    <w:p w:rsidR="00000000" w:rsidDel="00000000" w:rsidP="00000000" w:rsidRDefault="00000000" w:rsidRPr="00000000" w14:paraId="00000088">
      <w:pPr>
        <w:shd w:fill="ffffff" w:val="clear"/>
        <w:spacing w:after="240" w:lineRule="auto"/>
        <w:rPr/>
      </w:pPr>
      <w:r w:rsidDel="00000000" w:rsidR="00000000" w:rsidRPr="00000000">
        <w:rPr>
          <w:rtl w:val="0"/>
        </w:rPr>
        <w:t xml:space="preserve">Rivka Harris discusses the paradoxical nature of Innana stating that  ‘Inanna-Ishtar combines male aggressiveness with the force of a superabundance of female sexuality. She encompasses the two forms of potential disorder and violence - sex and war.’</w:t>
      </w:r>
      <w:r w:rsidDel="00000000" w:rsidR="00000000" w:rsidRPr="00000000">
        <w:rPr>
          <w:vertAlign w:val="superscript"/>
        </w:rPr>
        <w:footnoteReference w:customMarkFollows="0" w:id="26"/>
      </w:r>
      <w:r w:rsidDel="00000000" w:rsidR="00000000" w:rsidRPr="00000000">
        <w:rPr>
          <w:rtl w:val="0"/>
        </w:rPr>
        <w:t xml:space="preserve"> Harris also says that Innana ‘embodied within herself polarities and contraries, and thereby she transcended them.’</w:t>
      </w:r>
      <w:r w:rsidDel="00000000" w:rsidR="00000000" w:rsidRPr="00000000">
        <w:rPr>
          <w:vertAlign w:val="superscript"/>
        </w:rPr>
        <w:footnoteReference w:customMarkFollows="0" w:id="27"/>
      </w:r>
      <w:r w:rsidDel="00000000" w:rsidR="00000000" w:rsidRPr="00000000">
        <w:rPr>
          <w:rtl w:val="0"/>
        </w:rPr>
        <w:t xml:space="preserve"> </w:t>
      </w:r>
      <w:r w:rsidDel="00000000" w:rsidR="00000000" w:rsidRPr="00000000">
        <w:rPr>
          <w:rtl w:val="0"/>
        </w:rPr>
        <w:t xml:space="preserve">As Brington Parera states ‘The myth is also a description of a pattern of psychological health for the feminine, both in women and in men. It provides a model of the incarnation-ascension rhythm of the healthy soul, and also of a process to promote healing. The soul ‘comes from the stars’ and returns to the stellar regions,” writes Jung. Inanna’s descent, as we shall see, may be viewed as the incarnation of cosmic, uncontained powers into timebound, corrupting </w:t>
      </w:r>
      <w:r w:rsidDel="00000000" w:rsidR="00000000" w:rsidRPr="00000000">
        <w:rPr>
          <w:rtl w:val="0"/>
        </w:rPr>
        <w:t xml:space="preserve">flesh, but it is also a descent for the purpose of retrieving values long repressed, and of uniting above and below into a new pattern.</w:t>
      </w:r>
      <w:r w:rsidDel="00000000" w:rsidR="00000000" w:rsidRPr="00000000">
        <w:rPr>
          <w:vertAlign w:val="superscript"/>
        </w:rPr>
        <w:footnoteReference w:customMarkFollows="0" w:id="28"/>
      </w:r>
      <w:r w:rsidDel="00000000" w:rsidR="00000000" w:rsidRPr="00000000">
        <w:rPr>
          <w:rtl w:val="0"/>
        </w:rPr>
      </w:r>
    </w:p>
    <w:p w:rsidR="00000000" w:rsidDel="00000000" w:rsidP="00000000" w:rsidRDefault="00000000" w:rsidRPr="00000000" w14:paraId="00000089">
      <w:pPr>
        <w:shd w:fill="ffffff" w:val="clear"/>
        <w:spacing w:after="240" w:lineRule="auto"/>
        <w:rPr>
          <w:b w:val="1"/>
          <w:sz w:val="24"/>
          <w:szCs w:val="24"/>
          <w:u w:val="single"/>
        </w:rPr>
      </w:pPr>
      <w:r w:rsidDel="00000000" w:rsidR="00000000" w:rsidRPr="00000000">
        <w:rPr>
          <w:b w:val="1"/>
          <w:sz w:val="24"/>
          <w:szCs w:val="24"/>
          <w:u w:val="single"/>
          <w:rtl w:val="0"/>
        </w:rPr>
        <w:t xml:space="preserve">Britney Jean Spears: a Superstar’s Descent to the Netherworld</w:t>
      </w:r>
    </w:p>
    <w:p w:rsidR="00000000" w:rsidDel="00000000" w:rsidP="00000000" w:rsidRDefault="00000000" w:rsidRPr="00000000" w14:paraId="0000008A">
      <w:pPr>
        <w:shd w:fill="ffffff" w:val="clear"/>
        <w:spacing w:after="240" w:lineRule="auto"/>
        <w:rPr>
          <w:b w:val="1"/>
          <w:u w:val="single"/>
        </w:rPr>
      </w:pPr>
      <w:r w:rsidDel="00000000" w:rsidR="00000000" w:rsidRPr="00000000">
        <w:rPr>
          <w:rtl w:val="0"/>
        </w:rPr>
        <w:t xml:space="preserve">As Ruggles explains, the sky was an essential part of our ancestors' world in which they were intimately familiar with the heavenly bodies and their movements unlike our generation who has lost touch with the sky.</w:t>
      </w:r>
      <w:r w:rsidDel="00000000" w:rsidR="00000000" w:rsidRPr="00000000">
        <w:rPr>
          <w:vertAlign w:val="superscript"/>
        </w:rPr>
        <w:footnoteReference w:customMarkFollows="0" w:id="29"/>
      </w:r>
      <w:r w:rsidDel="00000000" w:rsidR="00000000" w:rsidRPr="00000000">
        <w:rPr>
          <w:rtl w:val="0"/>
        </w:rPr>
        <w:t xml:space="preserve"> In contemporary times the meaning of a star has expanded, as The Cambridge Dictionary defines as ‘a very </w:t>
      </w:r>
      <w:hyperlink r:id="rId8">
        <w:r w:rsidDel="00000000" w:rsidR="00000000" w:rsidRPr="00000000">
          <w:rPr>
            <w:rtl w:val="0"/>
          </w:rPr>
          <w:t xml:space="preserve">famous</w:t>
        </w:r>
      </w:hyperlink>
      <w:r w:rsidDel="00000000" w:rsidR="00000000" w:rsidRPr="00000000">
        <w:rPr>
          <w:rtl w:val="0"/>
        </w:rPr>
        <w:t xml:space="preserve">, </w:t>
      </w:r>
      <w:hyperlink r:id="rId9">
        <w:r w:rsidDel="00000000" w:rsidR="00000000" w:rsidRPr="00000000">
          <w:rPr>
            <w:rtl w:val="0"/>
          </w:rPr>
          <w:t xml:space="preserve">successful</w:t>
        </w:r>
      </w:hyperlink>
      <w:r w:rsidDel="00000000" w:rsidR="00000000" w:rsidRPr="00000000">
        <w:rPr>
          <w:rtl w:val="0"/>
        </w:rPr>
        <w:t xml:space="preserve">, and </w:t>
      </w:r>
      <w:hyperlink r:id="rId10">
        <w:r w:rsidDel="00000000" w:rsidR="00000000" w:rsidRPr="00000000">
          <w:rPr>
            <w:rtl w:val="0"/>
          </w:rPr>
          <w:t xml:space="preserve">important</w:t>
        </w:r>
      </w:hyperlink>
      <w:r w:rsidDel="00000000" w:rsidR="00000000" w:rsidRPr="00000000">
        <w:rPr>
          <w:rtl w:val="0"/>
        </w:rPr>
        <w:t xml:space="preserve"> </w:t>
      </w:r>
      <w:hyperlink r:id="rId11">
        <w:r w:rsidDel="00000000" w:rsidR="00000000" w:rsidRPr="00000000">
          <w:rPr>
            <w:rtl w:val="0"/>
          </w:rPr>
          <w:t xml:space="preserve">person</w:t>
        </w:r>
      </w:hyperlink>
      <w:r w:rsidDel="00000000" w:rsidR="00000000" w:rsidRPr="00000000">
        <w:rPr>
          <w:rtl w:val="0"/>
        </w:rPr>
        <w:t xml:space="preserve">, </w:t>
      </w:r>
      <w:hyperlink r:id="rId12">
        <w:r w:rsidDel="00000000" w:rsidR="00000000" w:rsidRPr="00000000">
          <w:rPr>
            <w:rtl w:val="0"/>
          </w:rPr>
          <w:t xml:space="preserve">especially</w:t>
        </w:r>
      </w:hyperlink>
      <w:r w:rsidDel="00000000" w:rsidR="00000000" w:rsidRPr="00000000">
        <w:rPr>
          <w:rtl w:val="0"/>
        </w:rPr>
        <w:t xml:space="preserve"> a </w:t>
      </w:r>
      <w:hyperlink r:id="rId13">
        <w:r w:rsidDel="00000000" w:rsidR="00000000" w:rsidRPr="00000000">
          <w:rPr>
            <w:rtl w:val="0"/>
          </w:rPr>
          <w:t xml:space="preserve">performer</w:t>
        </w:r>
      </w:hyperlink>
      <w:r w:rsidDel="00000000" w:rsidR="00000000" w:rsidRPr="00000000">
        <w:rPr>
          <w:rtl w:val="0"/>
        </w:rPr>
        <w:t xml:space="preserve"> such as a </w:t>
      </w:r>
      <w:hyperlink r:id="rId14">
        <w:r w:rsidDel="00000000" w:rsidR="00000000" w:rsidRPr="00000000">
          <w:rPr>
            <w:rtl w:val="0"/>
          </w:rPr>
          <w:t xml:space="preserve">musician</w:t>
        </w:r>
      </w:hyperlink>
      <w:r w:rsidDel="00000000" w:rsidR="00000000" w:rsidRPr="00000000">
        <w:rPr>
          <w:rtl w:val="0"/>
        </w:rPr>
        <w:t xml:space="preserve">, </w:t>
      </w:r>
      <w:hyperlink r:id="rId15">
        <w:r w:rsidDel="00000000" w:rsidR="00000000" w:rsidRPr="00000000">
          <w:rPr>
            <w:rtl w:val="0"/>
          </w:rPr>
          <w:t xml:space="preserve">actor</w:t>
        </w:r>
      </w:hyperlink>
      <w:r w:rsidDel="00000000" w:rsidR="00000000" w:rsidRPr="00000000">
        <w:rPr>
          <w:rtl w:val="0"/>
        </w:rPr>
        <w:t xml:space="preserve">, or </w:t>
      </w:r>
      <w:hyperlink r:id="rId16">
        <w:r w:rsidDel="00000000" w:rsidR="00000000" w:rsidRPr="00000000">
          <w:rPr>
            <w:rtl w:val="0"/>
          </w:rPr>
          <w:t xml:space="preserve">sports</w:t>
        </w:r>
      </w:hyperlink>
      <w:r w:rsidDel="00000000" w:rsidR="00000000" w:rsidRPr="00000000">
        <w:rPr>
          <w:rtl w:val="0"/>
        </w:rPr>
        <w:t xml:space="preserve"> </w:t>
      </w:r>
      <w:hyperlink r:id="rId17">
        <w:r w:rsidDel="00000000" w:rsidR="00000000" w:rsidRPr="00000000">
          <w:rPr>
            <w:rtl w:val="0"/>
          </w:rPr>
          <w:t xml:space="preserve">player</w:t>
        </w:r>
      </w:hyperlink>
      <w:r w:rsidDel="00000000" w:rsidR="00000000" w:rsidRPr="00000000">
        <w:rPr>
          <w:rtl w:val="0"/>
        </w:rPr>
        <w:t xml:space="preserve">.’</w:t>
      </w:r>
      <w:r w:rsidDel="00000000" w:rsidR="00000000" w:rsidRPr="00000000">
        <w:rPr>
          <w:vertAlign w:val="superscript"/>
        </w:rPr>
        <w:footnoteReference w:customMarkFollows="0" w:id="30"/>
      </w:r>
      <w:r w:rsidDel="00000000" w:rsidR="00000000" w:rsidRPr="00000000">
        <w:rPr>
          <w:rtl w:val="0"/>
        </w:rPr>
        <w:t xml:space="preserve"> </w:t>
      </w:r>
      <w:r w:rsidDel="00000000" w:rsidR="00000000" w:rsidRPr="00000000">
        <w:rPr>
          <w:rtl w:val="0"/>
        </w:rPr>
        <w:t xml:space="preserve">Lane argues that ‘There’s a quest for stardom in every human soul. The nature of the adolescent is to give herself to flights of fancy, to the farthest reaches of the mind and heart.</w:t>
      </w:r>
      <w:r w:rsidDel="00000000" w:rsidR="00000000" w:rsidRPr="00000000">
        <w:rPr>
          <w:vertAlign w:val="superscript"/>
        </w:rPr>
        <w:footnoteReference w:customMarkFollows="0" w:id="31"/>
      </w:r>
      <w:r w:rsidDel="00000000" w:rsidR="00000000" w:rsidRPr="00000000">
        <w:rPr>
          <w:rtl w:val="0"/>
        </w:rPr>
        <w:t xml:space="preserve"> As Segal states, ‘The terms used of fans’ admiration say it all: stars are ‘idolized’ and ‘worshiped.’And the greatest are called ‘gods’. As ‘stars’, they shine brightly in a heaven far above us. Fans are ‘star struck’.</w:t>
      </w:r>
      <w:r w:rsidDel="00000000" w:rsidR="00000000" w:rsidRPr="00000000">
        <w:rPr>
          <w:vertAlign w:val="superscript"/>
        </w:rPr>
        <w:footnoteReference w:customMarkFollows="0" w:id="32"/>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8B">
      <w:pPr>
        <w:shd w:fill="ffffff" w:val="clear"/>
        <w:spacing w:after="240" w:line="276" w:lineRule="auto"/>
        <w:rPr/>
      </w:pPr>
      <w:r w:rsidDel="00000000" w:rsidR="00000000" w:rsidRPr="00000000">
        <w:rPr>
          <w:rtl w:val="0"/>
        </w:rPr>
        <w:t xml:space="preserve">The quest for stardom is neatly seen in the story Britney Jean Spears (1981-). Spears is an American music star arguably one of the most successful and celebrated entertainers in music history with more than 100 million records sold globally.</w:t>
      </w:r>
      <w:r w:rsidDel="00000000" w:rsidR="00000000" w:rsidRPr="00000000">
        <w:rPr>
          <w:vertAlign w:val="superscript"/>
        </w:rPr>
        <w:footnoteReference w:customMarkFollows="0" w:id="33"/>
      </w:r>
      <w:r w:rsidDel="00000000" w:rsidR="00000000" w:rsidRPr="00000000">
        <w:rPr>
          <w:rtl w:val="0"/>
        </w:rPr>
        <w:t xml:space="preserve"> Spears has been in the public eye since her childhood. As Campbell states ‘Spears struck the same cultural nerve Elvis had twanged generations earlier, combining an intriguing and volatile mix of come-on sexuality and charming southern innocence…“Pop’s reigning queen,” cooed </w:t>
      </w:r>
      <w:r w:rsidDel="00000000" w:rsidR="00000000" w:rsidRPr="00000000">
        <w:rPr>
          <w:i w:val="1"/>
          <w:rtl w:val="0"/>
        </w:rPr>
        <w:t xml:space="preserve">Teen People </w:t>
      </w:r>
      <w:r w:rsidDel="00000000" w:rsidR="00000000" w:rsidRPr="00000000">
        <w:rPr>
          <w:rtl w:val="0"/>
        </w:rPr>
        <w:t xml:space="preserve">in the summer of 1999, “</w:t>
      </w:r>
      <w:r w:rsidDel="00000000" w:rsidR="00000000" w:rsidRPr="00000000">
        <w:rPr>
          <w:i w:val="1"/>
          <w:rtl w:val="0"/>
        </w:rPr>
        <w:t xml:space="preserve">is first and foremost a nice Southern girl</w:t>
      </w:r>
      <w:r w:rsidDel="00000000" w:rsidR="00000000" w:rsidRPr="00000000">
        <w:rPr>
          <w:rtl w:val="0"/>
        </w:rPr>
        <w:t xml:space="preserve">”.’</w:t>
      </w:r>
      <w:r w:rsidDel="00000000" w:rsidR="00000000" w:rsidRPr="00000000">
        <w:rPr>
          <w:vertAlign w:val="superscript"/>
        </w:rPr>
        <w:footnoteReference w:customMarkFollows="0" w:id="34"/>
      </w:r>
      <w:r w:rsidDel="00000000" w:rsidR="00000000" w:rsidRPr="00000000">
        <w:rPr>
          <w:rtl w:val="0"/>
        </w:rPr>
        <w:t xml:space="preserve"> The worship and adoration by people within Inanna’s culture and Spears’s culture as the ‘Queen of Heaven’ and ‘Queen of Pop’respectively, show the similarities in their cultural and paradoxical perception and elevation in society.  </w:t>
      </w:r>
    </w:p>
    <w:p w:rsidR="00000000" w:rsidDel="00000000" w:rsidP="00000000" w:rsidRDefault="00000000" w:rsidRPr="00000000" w14:paraId="0000008C">
      <w:pPr>
        <w:shd w:fill="ffffff" w:val="clear"/>
        <w:spacing w:after="240" w:line="276" w:lineRule="auto"/>
        <w:rPr/>
      </w:pPr>
      <w:r w:rsidDel="00000000" w:rsidR="00000000" w:rsidRPr="00000000">
        <w:rPr>
          <w:rtl w:val="0"/>
        </w:rPr>
        <w:t xml:space="preserve">In the opening lines of ‘Inanna’s Descent to the Nether World’, the myth begins with a Inanna’s connection between the sky and the earth, </w:t>
      </w:r>
    </w:p>
    <w:p w:rsidR="00000000" w:rsidDel="00000000" w:rsidP="00000000" w:rsidRDefault="00000000" w:rsidRPr="00000000" w14:paraId="0000008D">
      <w:pPr>
        <w:shd w:fill="ffffff" w:val="clear"/>
        <w:spacing w:after="240" w:line="276" w:lineRule="auto"/>
        <w:ind w:firstLine="2790"/>
        <w:rPr>
          <w:sz w:val="20"/>
          <w:szCs w:val="20"/>
        </w:rPr>
      </w:pPr>
      <w:r w:rsidDel="00000000" w:rsidR="00000000" w:rsidRPr="00000000">
        <w:rPr>
          <w:sz w:val="20"/>
          <w:szCs w:val="20"/>
          <w:rtl w:val="0"/>
        </w:rPr>
        <w:t xml:space="preserve">‘From the [“great above”] she set her mind</w:t>
        <w:br w:type="textWrapping"/>
        <w:tab/>
        <w:tab/>
        <w:tab/>
        <w:tab/>
        <w:t xml:space="preserve">toward the “Great below,’</w:t>
      </w:r>
      <w:r w:rsidDel="00000000" w:rsidR="00000000" w:rsidRPr="00000000">
        <w:rPr>
          <w:sz w:val="20"/>
          <w:szCs w:val="20"/>
          <w:vertAlign w:val="superscript"/>
        </w:rPr>
        <w:footnoteReference w:customMarkFollows="0" w:id="35"/>
      </w:r>
      <w:r w:rsidDel="00000000" w:rsidR="00000000" w:rsidRPr="00000000">
        <w:rPr>
          <w:rtl w:val="0"/>
        </w:rPr>
      </w:r>
    </w:p>
    <w:p w:rsidR="00000000" w:rsidDel="00000000" w:rsidP="00000000" w:rsidRDefault="00000000" w:rsidRPr="00000000" w14:paraId="0000008E">
      <w:pPr>
        <w:shd w:fill="ffffff" w:val="clear"/>
        <w:spacing w:after="240" w:line="276" w:lineRule="auto"/>
        <w:rPr>
          <w:b w:val="1"/>
          <w:u w:val="single"/>
        </w:rPr>
      </w:pPr>
      <w:r w:rsidDel="00000000" w:rsidR="00000000" w:rsidRPr="00000000">
        <w:rPr>
          <w:rtl w:val="0"/>
        </w:rPr>
        <w:t xml:space="preserve">In the opening chapter of her memoir, </w:t>
      </w:r>
      <w:r w:rsidDel="00000000" w:rsidR="00000000" w:rsidRPr="00000000">
        <w:rPr>
          <w:i w:val="1"/>
          <w:rtl w:val="0"/>
        </w:rPr>
        <w:t xml:space="preserve">The Woman in Me, </w:t>
      </w:r>
      <w:r w:rsidDel="00000000" w:rsidR="00000000" w:rsidRPr="00000000">
        <w:rPr>
          <w:rtl w:val="0"/>
        </w:rPr>
        <w:t xml:space="preserve">released in 2023</w:t>
      </w:r>
      <w:r w:rsidDel="00000000" w:rsidR="00000000" w:rsidRPr="00000000">
        <w:rPr>
          <w:rtl w:val="0"/>
        </w:rPr>
        <w:t xml:space="preserve">, Spears describes her connection to both the sky and the earth saying that  ‘as a little girl … I would lie down on those rocks and look up at the sky, feeling the warmth from below and above, thinking: </w:t>
      </w:r>
      <w:r w:rsidDel="00000000" w:rsidR="00000000" w:rsidRPr="00000000">
        <w:rPr>
          <w:i w:val="1"/>
          <w:rtl w:val="0"/>
        </w:rPr>
        <w:t xml:space="preserve">I can make my own way in life. I can make my own dreams come true.’ </w:t>
      </w:r>
      <w:r w:rsidDel="00000000" w:rsidR="00000000" w:rsidRPr="00000000">
        <w:rPr>
          <w:b w:val="1"/>
          <w:vertAlign w:val="superscript"/>
        </w:rPr>
        <w:footnoteReference w:customMarkFollows="0" w:id="36"/>
      </w:r>
      <w:r w:rsidDel="00000000" w:rsidR="00000000" w:rsidRPr="00000000">
        <w:rPr>
          <w:b w:val="1"/>
          <w:rtl w:val="0"/>
        </w:rPr>
        <w:t xml:space="preserve"> </w:t>
      </w:r>
      <w:r w:rsidDel="00000000" w:rsidR="00000000" w:rsidRPr="00000000">
        <w:rPr>
          <w:rtl w:val="0"/>
        </w:rPr>
        <w:t xml:space="preserve">Spears, reflects here that during her childhood her connection to the earth and sky was helpful in supporting her dreams. </w:t>
      </w:r>
      <w:r w:rsidDel="00000000" w:rsidR="00000000" w:rsidRPr="00000000">
        <w:rPr>
          <w:rtl w:val="0"/>
        </w:rPr>
      </w:r>
    </w:p>
    <w:p w:rsidR="00000000" w:rsidDel="00000000" w:rsidP="00000000" w:rsidRDefault="00000000" w:rsidRPr="00000000" w14:paraId="0000008F">
      <w:pPr>
        <w:shd w:fill="ffffff" w:val="clear"/>
        <w:spacing w:after="240" w:line="276" w:lineRule="auto"/>
        <w:rPr/>
      </w:pPr>
      <w:r w:rsidDel="00000000" w:rsidR="00000000" w:rsidRPr="00000000">
        <w:rPr>
          <w:rtl w:val="0"/>
        </w:rPr>
        <w:t xml:space="preserve">As Betty De Shong Meador describes, ‘Inanna’s immense popularity in antiquity must be related in part to the fact that she could reflect not only the best in human nature, but she could also exhibit what is abhorrent, unpleasant, dirty, sinful, terrifying, abnormal, perverse, obsessive, murderous, mad, and violent.</w:t>
      </w:r>
      <w:r w:rsidDel="00000000" w:rsidR="00000000" w:rsidRPr="00000000">
        <w:rPr>
          <w:vertAlign w:val="superscript"/>
        </w:rPr>
        <w:footnoteReference w:customMarkFollows="0" w:id="37"/>
      </w:r>
      <w:r w:rsidDel="00000000" w:rsidR="00000000" w:rsidRPr="00000000">
        <w:rPr>
          <w:rtl w:val="0"/>
        </w:rPr>
        <w:t xml:space="preserve"> </w:t>
      </w:r>
      <w:r w:rsidDel="00000000" w:rsidR="00000000" w:rsidRPr="00000000">
        <w:rPr>
          <w:rtl w:val="0"/>
        </w:rPr>
        <w:t xml:space="preserve">Spears who started her career as a Disney actor was always praised for her extraordinary beauty and sweet and polite demeanour but also widely judged about her sexuality as either a virgin or a cheating slut.</w:t>
      </w:r>
      <w:r w:rsidDel="00000000" w:rsidR="00000000" w:rsidRPr="00000000">
        <w:rPr>
          <w:vertAlign w:val="superscript"/>
        </w:rPr>
        <w:footnoteReference w:customMarkFollows="0" w:id="38"/>
      </w:r>
      <w:r w:rsidDel="00000000" w:rsidR="00000000" w:rsidRPr="00000000">
        <w:rPr>
          <w:rtl w:val="0"/>
        </w:rPr>
        <w:t xml:space="preserve"> As her mental health began to falter later in her career, the public saw a different side to her when the paparazzi filmed her infamously shaving her head at a hair salon and then using an umbrella to attack a paparazzo in Los </w:t>
      </w:r>
      <w:r w:rsidDel="00000000" w:rsidR="00000000" w:rsidRPr="00000000">
        <w:rPr>
          <w:rtl w:val="0"/>
        </w:rPr>
        <w:t xml:space="preserve">Angeles</w:t>
      </w:r>
      <w:r w:rsidDel="00000000" w:rsidR="00000000" w:rsidRPr="00000000">
        <w:rPr>
          <w:rtl w:val="0"/>
        </w:rPr>
        <w:t xml:space="preserve">.</w:t>
      </w:r>
      <w:r w:rsidDel="00000000" w:rsidR="00000000" w:rsidRPr="00000000">
        <w:rPr>
          <w:vertAlign w:val="superscript"/>
        </w:rPr>
        <w:footnoteReference w:customMarkFollows="0" w:id="39"/>
      </w:r>
      <w:r w:rsidDel="00000000" w:rsidR="00000000" w:rsidRPr="00000000">
        <w:rPr>
          <w:rtl w:val="0"/>
        </w:rPr>
        <w:t xml:space="preserve"> These events</w:t>
      </w:r>
      <w:r w:rsidDel="00000000" w:rsidR="00000000" w:rsidRPr="00000000">
        <w:rPr>
          <w:rtl w:val="0"/>
        </w:rPr>
        <w:t xml:space="preserve"> as well as others gave Spears’s father, with a team of lawyers, a case in 2008 to set up two forms of conservatorships, one of ‘person’ which controlled her day to day life and one of the ‘estate’ which controlled the estate and its finances with conservatorship normally reserved for people that are mentally incapacitated and in need of guardianship.</w:t>
      </w:r>
      <w:r w:rsidDel="00000000" w:rsidR="00000000" w:rsidRPr="00000000">
        <w:rPr>
          <w:vertAlign w:val="superscript"/>
        </w:rPr>
        <w:footnoteReference w:customMarkFollows="0" w:id="40"/>
      </w:r>
      <w:r w:rsidDel="00000000" w:rsidR="00000000" w:rsidRPr="00000000">
        <w:rPr>
          <w:rtl w:val="0"/>
        </w:rPr>
        <w:t xml:space="preserve"> As Spears recounts in her memoir, her womanhood was stripped away and stolen from her, ‘the conservatorship stripped me of my womanhood, made me into a child," she writes. "I became more of an entity than a person onstage. I had always felt music in my bones and my blood; they stole that from me.’</w:t>
      </w:r>
      <w:r w:rsidDel="00000000" w:rsidR="00000000" w:rsidRPr="00000000">
        <w:rPr>
          <w:vertAlign w:val="superscript"/>
        </w:rPr>
        <w:footnoteReference w:customMarkFollows="0" w:id="41"/>
      </w:r>
      <w:r w:rsidDel="00000000" w:rsidR="00000000" w:rsidRPr="00000000">
        <w:rPr>
          <w:rtl w:val="0"/>
        </w:rPr>
        <w:t xml:space="preserve"> </w:t>
      </w:r>
    </w:p>
    <w:p w:rsidR="00000000" w:rsidDel="00000000" w:rsidP="00000000" w:rsidRDefault="00000000" w:rsidRPr="00000000" w14:paraId="00000090">
      <w:pPr>
        <w:shd w:fill="ffffff" w:val="clear"/>
        <w:spacing w:after="240" w:line="276" w:lineRule="auto"/>
        <w:rPr/>
      </w:pPr>
      <w:r w:rsidDel="00000000" w:rsidR="00000000" w:rsidRPr="00000000">
        <w:rPr>
          <w:rtl w:val="0"/>
        </w:rPr>
        <w:t xml:space="preserve">When Inanna enters the netherworld wearing the seven ordinances of clothing and jewellery, each one is removed; the crow, the wig, the measuring rod, lapis lazuli around her neck, stone fastened to her breast, a gold ring, a breastplate, pala-garment. When these are each stripped away Inanna is told to be silent and not to question the rites of the netherworld.</w:t>
      </w:r>
      <w:r w:rsidDel="00000000" w:rsidR="00000000" w:rsidRPr="00000000">
        <w:rPr>
          <w:vertAlign w:val="superscript"/>
        </w:rPr>
        <w:footnoteReference w:customMarkFollows="0" w:id="42"/>
      </w:r>
      <w:r w:rsidDel="00000000" w:rsidR="00000000" w:rsidRPr="00000000">
        <w:rPr>
          <w:rtl w:val="0"/>
        </w:rPr>
        <w:t xml:space="preserve"> Through the conservatorship Spears is deprived of her basic rights as a woman and mother, artist and human being. Inanna’s sister Ereshkigal is seated upon her throne and the Anunnaki, the seven judges, kill her and hang her corpse from a </w:t>
      </w:r>
      <w:r w:rsidDel="00000000" w:rsidR="00000000" w:rsidRPr="00000000">
        <w:rPr>
          <w:rtl w:val="0"/>
        </w:rPr>
        <w:t xml:space="preserve">stake</w:t>
      </w:r>
      <w:r w:rsidDel="00000000" w:rsidR="00000000" w:rsidRPr="00000000">
        <w:rPr>
          <w:rtl w:val="0"/>
        </w:rPr>
        <w:t xml:space="preserve">.</w:t>
      </w:r>
      <w:r w:rsidDel="00000000" w:rsidR="00000000" w:rsidRPr="00000000">
        <w:rPr>
          <w:vertAlign w:val="superscript"/>
        </w:rPr>
        <w:footnoteReference w:customMarkFollows="0" w:id="43"/>
      </w:r>
      <w:r w:rsidDel="00000000" w:rsidR="00000000" w:rsidRPr="00000000">
        <w:rPr>
          <w:rtl w:val="0"/>
        </w:rPr>
        <w:t xml:space="preserve"> Spears goes on to describe in her memoir that the conservators ‘wanted to take away that specialness and keep everything as rote as possible. It was death to my creativity as an artist.’</w:t>
      </w:r>
      <w:r w:rsidDel="00000000" w:rsidR="00000000" w:rsidRPr="00000000">
        <w:rPr>
          <w:vertAlign w:val="superscript"/>
        </w:rPr>
        <w:footnoteReference w:customMarkFollows="0" w:id="44"/>
      </w:r>
      <w:r w:rsidDel="00000000" w:rsidR="00000000" w:rsidRPr="00000000">
        <w:rPr>
          <w:rtl w:val="0"/>
        </w:rPr>
        <w:t xml:space="preserve"> Spears’s fan base parallels Ninshubur, Inanna’s messenger of favourable words, constant support, carrier of true words. Inanna asks Ninshubur to be her voice so that she may not be put to death in the nether world.</w:t>
      </w:r>
      <w:r w:rsidDel="00000000" w:rsidR="00000000" w:rsidRPr="00000000">
        <w:rPr>
          <w:vertAlign w:val="superscript"/>
        </w:rPr>
        <w:footnoteReference w:customMarkFollows="0" w:id="45"/>
      </w:r>
      <w:r w:rsidDel="00000000" w:rsidR="00000000" w:rsidRPr="00000000">
        <w:rPr>
          <w:rtl w:val="0"/>
        </w:rPr>
        <w:t xml:space="preserve"> Spears’s fandom, like Ninshubur, created the social media #freebritney movement in 2008 which brought light publicly to her plight in the conservatorship</w:t>
      </w:r>
      <w:r w:rsidDel="00000000" w:rsidR="00000000" w:rsidRPr="00000000">
        <w:rPr>
          <w:vertAlign w:val="superscript"/>
        </w:rPr>
        <w:footnoteReference w:customMarkFollows="0" w:id="46"/>
      </w:r>
      <w:r w:rsidDel="00000000" w:rsidR="00000000" w:rsidRPr="00000000">
        <w:rPr>
          <w:rtl w:val="0"/>
        </w:rPr>
        <w:t xml:space="preserve">. Just like Ninshubur who filled the heavens with complaints for Inanna, cried out, rushed about and scratched his eyes and mouth for her, the Spears fandom were her voice and advocates to help her return back to everyday life and freedom. </w:t>
      </w:r>
    </w:p>
    <w:p w:rsidR="00000000" w:rsidDel="00000000" w:rsidP="00000000" w:rsidRDefault="00000000" w:rsidRPr="00000000" w14:paraId="00000091">
      <w:pPr>
        <w:shd w:fill="ffffff" w:val="clear"/>
        <w:spacing w:after="240" w:line="276" w:lineRule="auto"/>
        <w:rPr>
          <w:b w:val="1"/>
          <w:u w:val="single"/>
        </w:rPr>
      </w:pPr>
      <w:r w:rsidDel="00000000" w:rsidR="00000000" w:rsidRPr="00000000">
        <w:rPr>
          <w:rtl w:val="0"/>
        </w:rPr>
        <w:t xml:space="preserve">As Wolkstein reflects upon her reading of Inanna’s Descent story she says ‘I suddenly understood that with the rebirth of the goddess into the sky, the texts formed a story: the life story of the goddess, from her adolescence to her completed womanhood and “godship.”</w:t>
      </w:r>
      <w:r w:rsidDel="00000000" w:rsidR="00000000" w:rsidRPr="00000000">
        <w:rPr>
          <w:vertAlign w:val="superscript"/>
        </w:rPr>
        <w:footnoteReference w:customMarkFollows="0" w:id="47"/>
      </w:r>
      <w:r w:rsidDel="00000000" w:rsidR="00000000" w:rsidRPr="00000000">
        <w:rPr>
          <w:b w:val="1"/>
          <w:rtl w:val="0"/>
        </w:rPr>
        <w:t xml:space="preserve"> </w:t>
      </w:r>
      <w:r w:rsidDel="00000000" w:rsidR="00000000" w:rsidRPr="00000000">
        <w:rPr>
          <w:rtl w:val="0"/>
        </w:rPr>
        <w:t xml:space="preserve"> As Inanna arose and ascended from the nether world the Anunnaki fled.</w:t>
      </w:r>
      <w:r w:rsidDel="00000000" w:rsidR="00000000" w:rsidRPr="00000000">
        <w:rPr>
          <w:vertAlign w:val="superscript"/>
        </w:rPr>
        <w:footnoteReference w:customMarkFollows="0" w:id="48"/>
      </w:r>
      <w:r w:rsidDel="00000000" w:rsidR="00000000" w:rsidRPr="00000000">
        <w:rPr>
          <w:rtl w:val="0"/>
        </w:rPr>
        <w:t xml:space="preserve"> By 2021, Spears officially asked the court to end her conservatorship. By 2023, a judge ruled that Spears should have control over her personal, financial and medical decisions going forward and ended the 13 years conservatorship and her father’s and team of lawyers control over her life.</w:t>
      </w:r>
      <w:r w:rsidDel="00000000" w:rsidR="00000000" w:rsidRPr="00000000">
        <w:rPr>
          <w:vertAlign w:val="superscript"/>
        </w:rPr>
        <w:footnoteReference w:customMarkFollows="0" w:id="49"/>
      </w:r>
      <w:r w:rsidDel="00000000" w:rsidR="00000000" w:rsidRPr="00000000">
        <w:rPr>
          <w:rtl w:val="0"/>
        </w:rPr>
        <w:t xml:space="preserve"> As Spears recounts in her memoir, </w:t>
      </w:r>
      <w:r w:rsidDel="00000000" w:rsidR="00000000" w:rsidRPr="00000000">
        <w:rPr>
          <w:rtl w:val="0"/>
        </w:rPr>
        <w:t xml:space="preserve">‘Since I’ve been free, I’ve had to construct a whole different identity," she writes. "I’ve had to say</w:t>
      </w:r>
      <w:r w:rsidDel="00000000" w:rsidR="00000000" w:rsidRPr="00000000">
        <w:rPr>
          <w:i w:val="1"/>
          <w:rtl w:val="0"/>
        </w:rPr>
        <w:t xml:space="preserve">, 'Wait a second, this is who I was—someone passive and pleasing. A girl. And this is who I am now—someone strong and confident. A woman</w:t>
      </w:r>
      <w:r w:rsidDel="00000000" w:rsidR="00000000" w:rsidRPr="00000000">
        <w:rPr>
          <w:rtl w:val="0"/>
        </w:rPr>
        <w:t xml:space="preserve">.’</w:t>
      </w:r>
      <w:r w:rsidDel="00000000" w:rsidR="00000000" w:rsidRPr="00000000">
        <w:rPr>
          <w:vertAlign w:val="superscript"/>
        </w:rPr>
        <w:footnoteReference w:customMarkFollows="0" w:id="50"/>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2">
      <w:pPr>
        <w:shd w:fill="ffffff" w:val="clear"/>
        <w:spacing w:after="240" w:line="276" w:lineRule="auto"/>
        <w:rPr>
          <w:b w:val="1"/>
          <w:sz w:val="24"/>
          <w:szCs w:val="24"/>
          <w:u w:val="single"/>
        </w:rPr>
      </w:pPr>
      <w:r w:rsidDel="00000000" w:rsidR="00000000" w:rsidRPr="00000000">
        <w:rPr>
          <w:b w:val="1"/>
          <w:sz w:val="24"/>
          <w:szCs w:val="24"/>
          <w:u w:val="single"/>
          <w:rtl w:val="0"/>
        </w:rPr>
        <w:t xml:space="preserve">Concluding Thoughts</w:t>
      </w:r>
    </w:p>
    <w:p w:rsidR="00000000" w:rsidDel="00000000" w:rsidP="00000000" w:rsidRDefault="00000000" w:rsidRPr="00000000" w14:paraId="00000093">
      <w:pPr>
        <w:shd w:fill="ffffff" w:val="clear"/>
        <w:spacing w:after="240" w:lineRule="auto"/>
        <w:rPr>
          <w:b w:val="1"/>
          <w:u w:val="single"/>
        </w:rPr>
      </w:pPr>
      <w:r w:rsidDel="00000000" w:rsidR="00000000" w:rsidRPr="00000000">
        <w:rPr>
          <w:rtl w:val="0"/>
        </w:rPr>
        <w:t xml:space="preserve">This essay explored the cultural significance of the myth of Venus and Inanna’s descent to the underworld as it relates to the life and conservatorship of Britney Jean Spears, one of the most iconic global female music stars in contemporary popular culture. Ruggles, Aveni and Silva contend that the sky is of universal importance and reinforce its place within the academy and within other disciplines. By finding parallels in the ancient myth of Inanna’s descent to the nethereworld and a biography of superstar in contemporary popular culture, the sky has been shown to have agency as a key player, as Gunzburg states, where we do indeed locate ourselves externally and internally, physically and symbolically to reflect our place in the cosmos.</w:t>
      </w:r>
      <w:r w:rsidDel="00000000" w:rsidR="00000000" w:rsidRPr="00000000">
        <w:rPr>
          <w:vertAlign w:val="superscript"/>
        </w:rPr>
        <w:footnoteReference w:customMarkFollows="0" w:id="51"/>
      </w:r>
      <w:r w:rsidDel="00000000" w:rsidR="00000000" w:rsidRPr="00000000">
        <w:rPr>
          <w:rtl w:val="0"/>
        </w:rPr>
        <w:t xml:space="preserve"> While definitions of both culture and myth are contested by scholars, Eagleton’s definition of culture as a ‘dialectic between the artificial and natural’ and Burket’s definition of myth ‘as suitable for telling and retelling’ helped ground this paper in a theoretical framework. Jung’s theory of the collective unconscious also helps frame why the sky and sky myths are so important and influential both in our collective psyche and culture. As Innes contends, studying popular culture and popular culture’s impact on women’s lives is an important way to understand society because as she says it does not simply reflect women's lives but helps to create them.</w:t>
      </w:r>
      <w:r w:rsidDel="00000000" w:rsidR="00000000" w:rsidRPr="00000000">
        <w:rPr>
          <w:vertAlign w:val="superscript"/>
        </w:rPr>
        <w:footnoteReference w:customMarkFollows="0" w:id="52"/>
      </w:r>
      <w:r w:rsidDel="00000000" w:rsidR="00000000" w:rsidRPr="00000000">
        <w:rPr>
          <w:b w:val="1"/>
          <w:rtl w:val="0"/>
        </w:rPr>
        <w:t xml:space="preserve"> </w:t>
      </w:r>
      <w:r w:rsidDel="00000000" w:rsidR="00000000" w:rsidRPr="00000000">
        <w:rPr>
          <w:rtl w:val="0"/>
        </w:rPr>
        <w:t xml:space="preserve">Britney Spears, and her experience in a 13 year conservatorship she considered a metaphoric hell and death, is just one contemporary case study that uncovers the enduring ‘katabatic imagination’ discussed by Falconer. Spears' descent from global ‘Pop Queen’, to conservatorship and then return to her ultimate freedom and womanhood can be seen uncovering similar motifs as the myth of the descent of Inanna thousands of years later or as Brington Parera neatly summarises ‘a cosmic pattern, one that is astronomical, seasonal, transformational, and psychological.’</w:t>
      </w:r>
      <w:r w:rsidDel="00000000" w:rsidR="00000000" w:rsidRPr="00000000">
        <w:rPr>
          <w:vertAlign w:val="superscript"/>
        </w:rPr>
        <w:footnoteReference w:customMarkFollows="0" w:id="53"/>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4">
      <w:pPr>
        <w:shd w:fill="ffffff" w:val="clear"/>
        <w:spacing w:after="240" w:line="276" w:lineRule="auto"/>
        <w:rPr>
          <w:b w:val="1"/>
          <w:u w:val="single"/>
        </w:rPr>
      </w:pPr>
      <w:r w:rsidDel="00000000" w:rsidR="00000000" w:rsidRPr="00000000">
        <w:rPr>
          <w:b w:val="1"/>
          <w:u w:val="single"/>
          <w:rtl w:val="0"/>
        </w:rPr>
        <w:t xml:space="preserve">Bibliography</w:t>
      </w:r>
    </w:p>
    <w:p w:rsidR="00000000" w:rsidDel="00000000" w:rsidP="00000000" w:rsidRDefault="00000000" w:rsidRPr="00000000" w14:paraId="00000095">
      <w:pPr>
        <w:shd w:fill="ffffff" w:val="clear"/>
        <w:spacing w:after="240" w:line="276" w:lineRule="auto"/>
        <w:rPr>
          <w:b w:val="1"/>
          <w:sz w:val="20"/>
          <w:szCs w:val="20"/>
          <w:u w:val="single"/>
        </w:rPr>
      </w:pPr>
      <w:r w:rsidDel="00000000" w:rsidR="00000000" w:rsidRPr="00000000">
        <w:rPr>
          <w:b w:val="1"/>
          <w:sz w:val="20"/>
          <w:szCs w:val="20"/>
          <w:u w:val="single"/>
          <w:rtl w:val="0"/>
        </w:rPr>
        <w:t xml:space="preserve">Primary Sources</w:t>
      </w:r>
    </w:p>
    <w:p w:rsidR="00000000" w:rsidDel="00000000" w:rsidP="00000000" w:rsidRDefault="00000000" w:rsidRPr="00000000" w14:paraId="00000096">
      <w:pPr>
        <w:shd w:fill="ffffff" w:val="clear"/>
        <w:spacing w:after="240" w:line="276" w:lineRule="auto"/>
        <w:rPr>
          <w:sz w:val="20"/>
          <w:szCs w:val="20"/>
        </w:rPr>
      </w:pPr>
      <w:r w:rsidDel="00000000" w:rsidR="00000000" w:rsidRPr="00000000">
        <w:rPr>
          <w:sz w:val="20"/>
          <w:szCs w:val="20"/>
          <w:rtl w:val="0"/>
        </w:rPr>
        <w:t xml:space="preserve">Kramer, S.N. (trans), ‘Inanna’s Descent to the Underworld’ in ‘Sumerian Myth and Epic Tales’ in Pritchard, James B. (ed.), Ancient Near Eastern Texts Relating to the Old Testament, (Princeton: Princeton University Press, 1969), pp. 52-57.</w:t>
      </w:r>
    </w:p>
    <w:p w:rsidR="00000000" w:rsidDel="00000000" w:rsidP="00000000" w:rsidRDefault="00000000" w:rsidRPr="00000000" w14:paraId="00000097">
      <w:pPr>
        <w:shd w:fill="ffffff" w:val="clear"/>
        <w:spacing w:after="240" w:line="276" w:lineRule="auto"/>
        <w:rPr>
          <w:sz w:val="20"/>
          <w:szCs w:val="20"/>
        </w:rPr>
      </w:pPr>
      <w:r w:rsidDel="00000000" w:rsidR="00000000" w:rsidRPr="00000000">
        <w:rPr>
          <w:sz w:val="20"/>
          <w:szCs w:val="20"/>
          <w:rtl w:val="0"/>
        </w:rPr>
        <w:t xml:space="preserve">Spears, Britney, </w:t>
      </w:r>
      <w:r w:rsidDel="00000000" w:rsidR="00000000" w:rsidRPr="00000000">
        <w:rPr>
          <w:i w:val="1"/>
          <w:sz w:val="20"/>
          <w:szCs w:val="20"/>
          <w:rtl w:val="0"/>
        </w:rPr>
        <w:t xml:space="preserve">The Woman in Me</w:t>
      </w:r>
      <w:r w:rsidDel="00000000" w:rsidR="00000000" w:rsidRPr="00000000">
        <w:rPr>
          <w:sz w:val="20"/>
          <w:szCs w:val="20"/>
          <w:rtl w:val="0"/>
        </w:rPr>
        <w:t xml:space="preserve">, (New York: Gallery Books, 2023)</w:t>
      </w:r>
    </w:p>
    <w:p w:rsidR="00000000" w:rsidDel="00000000" w:rsidP="00000000" w:rsidRDefault="00000000" w:rsidRPr="00000000" w14:paraId="00000098">
      <w:pPr>
        <w:shd w:fill="ffffff" w:val="clear"/>
        <w:spacing w:after="240" w:line="276" w:lineRule="auto"/>
        <w:rPr>
          <w:b w:val="1"/>
          <w:sz w:val="20"/>
          <w:szCs w:val="20"/>
          <w:u w:val="single"/>
        </w:rPr>
      </w:pPr>
      <w:r w:rsidDel="00000000" w:rsidR="00000000" w:rsidRPr="00000000">
        <w:rPr>
          <w:b w:val="1"/>
          <w:sz w:val="20"/>
          <w:szCs w:val="20"/>
          <w:u w:val="single"/>
          <w:rtl w:val="0"/>
        </w:rPr>
        <w:t xml:space="preserve">Secondary Sources</w:t>
      </w:r>
    </w:p>
    <w:p w:rsidR="00000000" w:rsidDel="00000000" w:rsidP="00000000" w:rsidRDefault="00000000" w:rsidRPr="00000000" w14:paraId="00000099">
      <w:pPr>
        <w:shd w:fill="ffffff" w:val="clear"/>
        <w:spacing w:after="240" w:line="276" w:lineRule="auto"/>
        <w:rPr>
          <w:sz w:val="20"/>
          <w:szCs w:val="20"/>
        </w:rPr>
      </w:pPr>
      <w:r w:rsidDel="00000000" w:rsidR="00000000" w:rsidRPr="00000000">
        <w:rPr>
          <w:sz w:val="20"/>
          <w:szCs w:val="20"/>
          <w:highlight w:val="white"/>
          <w:rtl w:val="0"/>
        </w:rPr>
        <w:t xml:space="preserve">Aveni, Anthony F., </w:t>
      </w:r>
      <w:r w:rsidDel="00000000" w:rsidR="00000000" w:rsidRPr="00000000">
        <w:rPr>
          <w:i w:val="1"/>
          <w:sz w:val="20"/>
          <w:szCs w:val="20"/>
          <w:highlight w:val="white"/>
          <w:rtl w:val="0"/>
        </w:rPr>
        <w:t xml:space="preserve">Skywatching in the Ancient World : New Perspectives in Cultural Astronomy : Studies in Honor of Anthony F. Aveni</w:t>
      </w:r>
      <w:r w:rsidDel="00000000" w:rsidR="00000000" w:rsidRPr="00000000">
        <w:rPr>
          <w:sz w:val="20"/>
          <w:szCs w:val="20"/>
          <w:highlight w:val="white"/>
          <w:rtl w:val="0"/>
        </w:rPr>
        <w:t xml:space="preserve">, ed. by C. L. N. (Clive L. N.) Ruggles and Gary Urton (Boulder, CO, University Press of Colorado, 2007)</w:t>
      </w:r>
      <w:r w:rsidDel="00000000" w:rsidR="00000000" w:rsidRPr="00000000">
        <w:rPr>
          <w:rtl w:val="0"/>
        </w:rPr>
      </w:r>
    </w:p>
    <w:p w:rsidR="00000000" w:rsidDel="00000000" w:rsidP="00000000" w:rsidRDefault="00000000" w:rsidRPr="00000000" w14:paraId="0000009A">
      <w:pPr>
        <w:spacing w:line="240" w:lineRule="auto"/>
        <w:rPr>
          <w:sz w:val="20"/>
          <w:szCs w:val="20"/>
          <w:highlight w:val="white"/>
        </w:rPr>
      </w:pPr>
      <w:r w:rsidDel="00000000" w:rsidR="00000000" w:rsidRPr="00000000">
        <w:rPr>
          <w:sz w:val="20"/>
          <w:szCs w:val="20"/>
          <w:rtl w:val="0"/>
        </w:rPr>
        <w:t xml:space="preserve">Burkert, Walter, </w:t>
      </w:r>
      <w:r w:rsidDel="00000000" w:rsidR="00000000" w:rsidRPr="00000000">
        <w:rPr>
          <w:i w:val="1"/>
          <w:sz w:val="20"/>
          <w:szCs w:val="20"/>
          <w:rtl w:val="0"/>
        </w:rPr>
        <w:t xml:space="preserve">Homo Necans The Anthropology of Ancient Greek Sacrificial Ritual and Myth </w:t>
      </w:r>
      <w:r w:rsidDel="00000000" w:rsidR="00000000" w:rsidRPr="00000000">
        <w:rPr>
          <w:sz w:val="20"/>
          <w:szCs w:val="20"/>
          <w:rtl w:val="0"/>
        </w:rPr>
        <w:t xml:space="preserve">(Berkley: University of California Press, 1983)</w:t>
      </w:r>
      <w:r w:rsidDel="00000000" w:rsidR="00000000" w:rsidRPr="00000000">
        <w:rPr>
          <w:i w:val="1"/>
          <w:sz w:val="20"/>
          <w:szCs w:val="20"/>
          <w:rtl w:val="0"/>
        </w:rPr>
        <w:t xml:space="preserve"> </w:t>
      </w:r>
      <w:r w:rsidDel="00000000" w:rsidR="00000000" w:rsidRPr="00000000">
        <w:rPr>
          <w:sz w:val="20"/>
          <w:szCs w:val="20"/>
          <w:rtl w:val="0"/>
        </w:rPr>
        <w:br w:type="textWrapping"/>
      </w:r>
      <w:r w:rsidDel="00000000" w:rsidR="00000000" w:rsidRPr="00000000">
        <w:rPr>
          <w:rtl w:val="0"/>
        </w:rPr>
      </w:r>
    </w:p>
    <w:p w:rsidR="00000000" w:rsidDel="00000000" w:rsidP="00000000" w:rsidRDefault="00000000" w:rsidRPr="00000000" w14:paraId="0000009B">
      <w:pPr>
        <w:shd w:fill="ffffff" w:val="clear"/>
        <w:spacing w:after="240" w:lineRule="auto"/>
        <w:rPr>
          <w:sz w:val="20"/>
          <w:szCs w:val="20"/>
        </w:rPr>
      </w:pPr>
      <w:r w:rsidDel="00000000" w:rsidR="00000000" w:rsidRPr="00000000">
        <w:rPr>
          <w:sz w:val="20"/>
          <w:szCs w:val="20"/>
          <w:rtl w:val="0"/>
        </w:rPr>
        <w:t xml:space="preserve">Campbell, G. J., &amp; Wilson, C. R., ‘Spears, Britney: (b. 1981) Pop Singer’ in B. C. Malone, ed., </w:t>
      </w:r>
      <w:r w:rsidDel="00000000" w:rsidR="00000000" w:rsidRPr="00000000">
        <w:rPr>
          <w:i w:val="1"/>
          <w:sz w:val="20"/>
          <w:szCs w:val="20"/>
          <w:rtl w:val="0"/>
        </w:rPr>
        <w:t xml:space="preserve">The New Encyclopedia of Southern Culture: Volume 12: Music</w:t>
      </w:r>
      <w:r w:rsidDel="00000000" w:rsidR="00000000" w:rsidRPr="00000000">
        <w:rPr>
          <w:sz w:val="20"/>
          <w:szCs w:val="20"/>
          <w:rtl w:val="0"/>
        </w:rPr>
        <w:t xml:space="preserve"> (pp. 355–356). (North Carolina: University of North Carolina Press, 2008)</w:t>
      </w:r>
    </w:p>
    <w:p w:rsidR="00000000" w:rsidDel="00000000" w:rsidP="00000000" w:rsidRDefault="00000000" w:rsidRPr="00000000" w14:paraId="0000009C">
      <w:pPr>
        <w:spacing w:line="240" w:lineRule="auto"/>
        <w:rPr>
          <w:sz w:val="20"/>
          <w:szCs w:val="20"/>
        </w:rPr>
      </w:pPr>
      <w:r w:rsidDel="00000000" w:rsidR="00000000" w:rsidRPr="00000000">
        <w:rPr>
          <w:sz w:val="20"/>
          <w:szCs w:val="20"/>
          <w:highlight w:val="white"/>
          <w:rtl w:val="0"/>
        </w:rPr>
        <w:t xml:space="preserve">Campion, Nicholas, </w:t>
      </w:r>
      <w:r w:rsidDel="00000000" w:rsidR="00000000" w:rsidRPr="00000000">
        <w:rPr>
          <w:i w:val="1"/>
          <w:sz w:val="20"/>
          <w:szCs w:val="20"/>
          <w:highlight w:val="white"/>
          <w:rtl w:val="0"/>
        </w:rPr>
        <w:t xml:space="preserve">Astrology and Cosmology in the World’s Religions</w:t>
      </w:r>
      <w:r w:rsidDel="00000000" w:rsidR="00000000" w:rsidRPr="00000000">
        <w:rPr>
          <w:sz w:val="20"/>
          <w:szCs w:val="20"/>
          <w:highlight w:val="white"/>
          <w:rtl w:val="0"/>
        </w:rPr>
        <w:t xml:space="preserve"> (New York: New York University Press, 2012)</w:t>
      </w:r>
      <w:r w:rsidDel="00000000" w:rsidR="00000000" w:rsidRPr="00000000">
        <w:rPr>
          <w:rtl w:val="0"/>
        </w:rPr>
      </w:r>
    </w:p>
    <w:p w:rsidR="00000000" w:rsidDel="00000000" w:rsidP="00000000" w:rsidRDefault="00000000" w:rsidRPr="00000000" w14:paraId="0000009D">
      <w:pPr>
        <w:spacing w:line="240" w:lineRule="auto"/>
        <w:rPr>
          <w:sz w:val="20"/>
          <w:szCs w:val="20"/>
        </w:rPr>
      </w:pPr>
      <w:r w:rsidDel="00000000" w:rsidR="00000000" w:rsidRPr="00000000">
        <w:rPr>
          <w:rtl w:val="0"/>
        </w:rPr>
      </w:r>
    </w:p>
    <w:p w:rsidR="00000000" w:rsidDel="00000000" w:rsidP="00000000" w:rsidRDefault="00000000" w:rsidRPr="00000000" w14:paraId="0000009E">
      <w:pPr>
        <w:shd w:fill="ffffff" w:val="clear"/>
        <w:spacing w:after="240" w:line="276" w:lineRule="auto"/>
        <w:rPr>
          <w:sz w:val="20"/>
          <w:szCs w:val="20"/>
          <w:highlight w:val="white"/>
        </w:rPr>
      </w:pPr>
      <w:r w:rsidDel="00000000" w:rsidR="00000000" w:rsidRPr="00000000">
        <w:rPr>
          <w:sz w:val="20"/>
          <w:szCs w:val="20"/>
          <w:highlight w:val="white"/>
          <w:rtl w:val="0"/>
        </w:rPr>
        <w:t xml:space="preserve">Campion, Nicholas., </w:t>
      </w:r>
      <w:r w:rsidDel="00000000" w:rsidR="00000000" w:rsidRPr="00000000">
        <w:rPr>
          <w:i w:val="1"/>
          <w:sz w:val="20"/>
          <w:szCs w:val="20"/>
          <w:highlight w:val="white"/>
          <w:rtl w:val="0"/>
        </w:rPr>
        <w:t xml:space="preserve">The Dawn of Astrology : A Cultural History of Western Astrology. Vol. 1, the Ancient and Classical Worlds</w:t>
      </w:r>
      <w:r w:rsidDel="00000000" w:rsidR="00000000" w:rsidRPr="00000000">
        <w:rPr>
          <w:sz w:val="20"/>
          <w:szCs w:val="20"/>
          <w:highlight w:val="white"/>
          <w:rtl w:val="0"/>
        </w:rPr>
        <w:t xml:space="preserve"> (London: Continuum, 2008)</w:t>
      </w:r>
      <w:r w:rsidDel="00000000" w:rsidR="00000000" w:rsidRPr="00000000">
        <w:rPr>
          <w:rtl w:val="0"/>
        </w:rPr>
      </w:r>
    </w:p>
    <w:p w:rsidR="00000000" w:rsidDel="00000000" w:rsidP="00000000" w:rsidRDefault="00000000" w:rsidRPr="00000000" w14:paraId="0000009F">
      <w:pPr>
        <w:shd w:fill="ffffff" w:val="clear"/>
        <w:spacing w:after="240" w:line="276" w:lineRule="auto"/>
        <w:rPr>
          <w:sz w:val="20"/>
          <w:szCs w:val="20"/>
          <w:highlight w:val="white"/>
        </w:rPr>
      </w:pPr>
      <w:r w:rsidDel="00000000" w:rsidR="00000000" w:rsidRPr="00000000">
        <w:rPr>
          <w:sz w:val="20"/>
          <w:szCs w:val="20"/>
          <w:highlight w:val="white"/>
          <w:rtl w:val="0"/>
        </w:rPr>
        <w:t xml:space="preserve">Campion, Nicholas., and Silva, Fabio P., </w:t>
      </w:r>
      <w:r w:rsidDel="00000000" w:rsidR="00000000" w:rsidRPr="00000000">
        <w:rPr>
          <w:i w:val="1"/>
          <w:sz w:val="20"/>
          <w:szCs w:val="20"/>
          <w:highlight w:val="white"/>
          <w:rtl w:val="0"/>
        </w:rPr>
        <w:t xml:space="preserve">Skyscapes: The Role and Importance of the Sky in Archaeology</w:t>
      </w:r>
      <w:r w:rsidDel="00000000" w:rsidR="00000000" w:rsidRPr="00000000">
        <w:rPr>
          <w:sz w:val="20"/>
          <w:szCs w:val="20"/>
          <w:highlight w:val="white"/>
          <w:rtl w:val="0"/>
        </w:rPr>
        <w:t xml:space="preserve"> (Oxford: Oxbow Books, 2015)</w:t>
      </w:r>
    </w:p>
    <w:p w:rsidR="00000000" w:rsidDel="00000000" w:rsidP="00000000" w:rsidRDefault="00000000" w:rsidRPr="00000000" w14:paraId="000000A0">
      <w:pPr>
        <w:spacing w:line="240" w:lineRule="auto"/>
        <w:rPr>
          <w:sz w:val="20"/>
          <w:szCs w:val="20"/>
          <w:highlight w:val="white"/>
        </w:rPr>
      </w:pPr>
      <w:r w:rsidDel="00000000" w:rsidR="00000000" w:rsidRPr="00000000">
        <w:rPr>
          <w:sz w:val="20"/>
          <w:szCs w:val="20"/>
          <w:highlight w:val="white"/>
          <w:rtl w:val="0"/>
        </w:rPr>
        <w:t xml:space="preserve">De Shong Meador, Betty, </w:t>
      </w:r>
      <w:r w:rsidDel="00000000" w:rsidR="00000000" w:rsidRPr="00000000">
        <w:rPr>
          <w:i w:val="1"/>
          <w:sz w:val="20"/>
          <w:szCs w:val="20"/>
          <w:highlight w:val="white"/>
          <w:rtl w:val="0"/>
        </w:rPr>
        <w:t xml:space="preserve">Inanna, Lady of Largest Heart Poems of the Sumerian High Priestess Enheduanna</w:t>
      </w:r>
      <w:r w:rsidDel="00000000" w:rsidR="00000000" w:rsidRPr="00000000">
        <w:rPr>
          <w:sz w:val="20"/>
          <w:szCs w:val="20"/>
          <w:highlight w:val="white"/>
          <w:rtl w:val="0"/>
        </w:rPr>
        <w:t xml:space="preserve">, 1st ed. (Austin: University of Texas Press, 2000)</w:t>
      </w:r>
      <w:r w:rsidDel="00000000" w:rsidR="00000000" w:rsidRPr="00000000">
        <w:rPr>
          <w:sz w:val="20"/>
          <w:szCs w:val="20"/>
          <w:rtl w:val="0"/>
        </w:rPr>
        <w:br w:type="textWrapping"/>
      </w:r>
      <w:r w:rsidDel="00000000" w:rsidR="00000000" w:rsidRPr="00000000">
        <w:rPr>
          <w:rtl w:val="0"/>
        </w:rPr>
      </w:r>
    </w:p>
    <w:p w:rsidR="00000000" w:rsidDel="00000000" w:rsidP="00000000" w:rsidRDefault="00000000" w:rsidRPr="00000000" w14:paraId="000000A1">
      <w:pPr>
        <w:spacing w:line="240" w:lineRule="auto"/>
        <w:rPr>
          <w:sz w:val="20"/>
          <w:szCs w:val="20"/>
        </w:rPr>
      </w:pPr>
      <w:r w:rsidDel="00000000" w:rsidR="00000000" w:rsidRPr="00000000">
        <w:rPr>
          <w:sz w:val="20"/>
          <w:szCs w:val="20"/>
          <w:rtl w:val="0"/>
        </w:rPr>
        <w:t xml:space="preserve">Eagleton, Terry, ‘Versions of Culture’, </w:t>
      </w:r>
      <w:r w:rsidDel="00000000" w:rsidR="00000000" w:rsidRPr="00000000">
        <w:rPr>
          <w:i w:val="1"/>
          <w:sz w:val="20"/>
          <w:szCs w:val="20"/>
          <w:rtl w:val="0"/>
        </w:rPr>
        <w:t xml:space="preserve">The Idea of Culture, </w:t>
      </w:r>
      <w:r w:rsidDel="00000000" w:rsidR="00000000" w:rsidRPr="00000000">
        <w:rPr>
          <w:sz w:val="20"/>
          <w:szCs w:val="20"/>
          <w:rtl w:val="0"/>
        </w:rPr>
        <w:t xml:space="preserve">(Oxford, Blackwell, 2000)</w:t>
      </w:r>
    </w:p>
    <w:p w:rsidR="00000000" w:rsidDel="00000000" w:rsidP="00000000" w:rsidRDefault="00000000" w:rsidRPr="00000000" w14:paraId="000000A2">
      <w:pPr>
        <w:spacing w:line="240" w:lineRule="auto"/>
        <w:rPr>
          <w:sz w:val="20"/>
          <w:szCs w:val="20"/>
        </w:rPr>
      </w:pPr>
      <w:r w:rsidDel="00000000" w:rsidR="00000000" w:rsidRPr="00000000">
        <w:rPr>
          <w:rtl w:val="0"/>
        </w:rPr>
      </w:r>
    </w:p>
    <w:p w:rsidR="00000000" w:rsidDel="00000000" w:rsidP="00000000" w:rsidRDefault="00000000" w:rsidRPr="00000000" w14:paraId="000000A3">
      <w:pPr>
        <w:shd w:fill="ffffff" w:val="clear"/>
        <w:spacing w:after="240" w:lineRule="auto"/>
        <w:rPr>
          <w:sz w:val="20"/>
          <w:szCs w:val="20"/>
          <w:highlight w:val="white"/>
        </w:rPr>
      </w:pPr>
      <w:r w:rsidDel="00000000" w:rsidR="00000000" w:rsidRPr="00000000">
        <w:rPr>
          <w:sz w:val="20"/>
          <w:szCs w:val="20"/>
          <w:highlight w:val="white"/>
          <w:rtl w:val="0"/>
        </w:rPr>
        <w:t xml:space="preserve">Enheduanna., and Betty De Shong Meador, </w:t>
      </w:r>
      <w:r w:rsidDel="00000000" w:rsidR="00000000" w:rsidRPr="00000000">
        <w:rPr>
          <w:i w:val="1"/>
          <w:sz w:val="20"/>
          <w:szCs w:val="20"/>
          <w:highlight w:val="white"/>
          <w:rtl w:val="0"/>
        </w:rPr>
        <w:t xml:space="preserve">Inanna, Lady of Largest Heart Poems of the Sumerian High Priestess Enheduanna</w:t>
      </w:r>
      <w:r w:rsidDel="00000000" w:rsidR="00000000" w:rsidRPr="00000000">
        <w:rPr>
          <w:sz w:val="20"/>
          <w:szCs w:val="20"/>
          <w:highlight w:val="white"/>
          <w:rtl w:val="0"/>
        </w:rPr>
        <w:t xml:space="preserve">, 1st ed. (Austin: University of Texas Press, 2000)</w:t>
      </w:r>
    </w:p>
    <w:p w:rsidR="00000000" w:rsidDel="00000000" w:rsidP="00000000" w:rsidRDefault="00000000" w:rsidRPr="00000000" w14:paraId="000000A4">
      <w:pPr>
        <w:widowControl w:val="0"/>
        <w:rPr>
          <w:sz w:val="20"/>
          <w:szCs w:val="20"/>
        </w:rPr>
      </w:pPr>
      <w:r w:rsidDel="00000000" w:rsidR="00000000" w:rsidRPr="00000000">
        <w:rPr>
          <w:sz w:val="20"/>
          <w:szCs w:val="20"/>
          <w:rtl w:val="0"/>
        </w:rPr>
        <w:t xml:space="preserve">Eliade, Mircea, ‘Cosmogonic Myth and “Sacred History”’, </w:t>
      </w:r>
      <w:r w:rsidDel="00000000" w:rsidR="00000000" w:rsidRPr="00000000">
        <w:rPr>
          <w:i w:val="1"/>
          <w:sz w:val="20"/>
          <w:szCs w:val="20"/>
          <w:rtl w:val="0"/>
        </w:rPr>
        <w:t xml:space="preserve">Religious Studies</w:t>
      </w:r>
      <w:r w:rsidDel="00000000" w:rsidR="00000000" w:rsidRPr="00000000">
        <w:rPr>
          <w:sz w:val="20"/>
          <w:szCs w:val="20"/>
          <w:rtl w:val="0"/>
        </w:rPr>
        <w:t xml:space="preserve">, Vol. 2, No. 2 (Apr., 1967)</w:t>
      </w:r>
    </w:p>
    <w:p w:rsidR="00000000" w:rsidDel="00000000" w:rsidP="00000000" w:rsidRDefault="00000000" w:rsidRPr="00000000" w14:paraId="000000A5">
      <w:pPr>
        <w:widowControl w:val="0"/>
        <w:rPr>
          <w:sz w:val="20"/>
          <w:szCs w:val="20"/>
        </w:rPr>
      </w:pPr>
      <w:r w:rsidDel="00000000" w:rsidR="00000000" w:rsidRPr="00000000">
        <w:rPr>
          <w:rtl w:val="0"/>
        </w:rPr>
      </w:r>
    </w:p>
    <w:p w:rsidR="00000000" w:rsidDel="00000000" w:rsidP="00000000" w:rsidRDefault="00000000" w:rsidRPr="00000000" w14:paraId="000000A6">
      <w:pPr>
        <w:widowControl w:val="0"/>
        <w:rPr>
          <w:sz w:val="20"/>
          <w:szCs w:val="20"/>
          <w:highlight w:val="white"/>
        </w:rPr>
      </w:pPr>
      <w:r w:rsidDel="00000000" w:rsidR="00000000" w:rsidRPr="00000000">
        <w:rPr>
          <w:sz w:val="20"/>
          <w:szCs w:val="20"/>
          <w:highlight w:val="white"/>
          <w:rtl w:val="0"/>
        </w:rPr>
        <w:t xml:space="preserve">Falconer, Rachel, </w:t>
      </w:r>
      <w:r w:rsidDel="00000000" w:rsidR="00000000" w:rsidRPr="00000000">
        <w:rPr>
          <w:i w:val="1"/>
          <w:sz w:val="20"/>
          <w:szCs w:val="20"/>
          <w:highlight w:val="white"/>
          <w:rtl w:val="0"/>
        </w:rPr>
        <w:t xml:space="preserve">Hell in Contemporary Literature : Western Descent Narratives since 1945</w:t>
      </w:r>
      <w:r w:rsidDel="00000000" w:rsidR="00000000" w:rsidRPr="00000000">
        <w:rPr>
          <w:sz w:val="20"/>
          <w:szCs w:val="20"/>
          <w:highlight w:val="white"/>
          <w:rtl w:val="0"/>
        </w:rPr>
        <w:t xml:space="preserve"> (Edinburgh: Edinburgh University Press, 2005) </w:t>
      </w:r>
    </w:p>
    <w:p w:rsidR="00000000" w:rsidDel="00000000" w:rsidP="00000000" w:rsidRDefault="00000000" w:rsidRPr="00000000" w14:paraId="000000A7">
      <w:pPr>
        <w:shd w:fill="ffffff" w:val="clear"/>
        <w:spacing w:after="240" w:before="240" w:lineRule="auto"/>
        <w:ind w:right="720"/>
        <w:rPr>
          <w:sz w:val="20"/>
          <w:szCs w:val="20"/>
          <w:highlight w:val="white"/>
        </w:rPr>
      </w:pPr>
      <w:r w:rsidDel="00000000" w:rsidR="00000000" w:rsidRPr="00000000">
        <w:rPr>
          <w:sz w:val="20"/>
          <w:szCs w:val="20"/>
          <w:highlight w:val="white"/>
          <w:rtl w:val="0"/>
        </w:rPr>
        <w:t xml:space="preserve">Fletcher, Judith, </w:t>
      </w:r>
      <w:r w:rsidDel="00000000" w:rsidR="00000000" w:rsidRPr="00000000">
        <w:rPr>
          <w:i w:val="1"/>
          <w:sz w:val="20"/>
          <w:szCs w:val="20"/>
          <w:highlight w:val="white"/>
          <w:rtl w:val="0"/>
        </w:rPr>
        <w:t xml:space="preserve">Myths of the Underworld in Contemporary Culture: The Backward Gaze</w:t>
      </w:r>
      <w:r w:rsidDel="00000000" w:rsidR="00000000" w:rsidRPr="00000000">
        <w:rPr>
          <w:sz w:val="20"/>
          <w:szCs w:val="20"/>
          <w:highlight w:val="white"/>
          <w:rtl w:val="0"/>
        </w:rPr>
        <w:t xml:space="preserve">, 1st edn (Oxford: Oxford University Press, 2019) </w:t>
      </w:r>
    </w:p>
    <w:p w:rsidR="00000000" w:rsidDel="00000000" w:rsidP="00000000" w:rsidRDefault="00000000" w:rsidRPr="00000000" w14:paraId="000000A8">
      <w:pPr>
        <w:spacing w:line="240" w:lineRule="auto"/>
        <w:rPr>
          <w:sz w:val="20"/>
          <w:szCs w:val="20"/>
        </w:rPr>
      </w:pPr>
      <w:r w:rsidDel="00000000" w:rsidR="00000000" w:rsidRPr="00000000">
        <w:rPr>
          <w:sz w:val="20"/>
          <w:szCs w:val="20"/>
          <w:rtl w:val="0"/>
        </w:rPr>
        <w:t xml:space="preserve">Gunzburg, D., ed. </w:t>
      </w:r>
      <w:r w:rsidDel="00000000" w:rsidR="00000000" w:rsidRPr="00000000">
        <w:rPr>
          <w:i w:val="1"/>
          <w:sz w:val="20"/>
          <w:szCs w:val="20"/>
          <w:rtl w:val="0"/>
        </w:rPr>
        <w:t xml:space="preserve">The Imagined Sky: Cultural Perspectives</w:t>
      </w:r>
      <w:r w:rsidDel="00000000" w:rsidR="00000000" w:rsidRPr="00000000">
        <w:rPr>
          <w:sz w:val="20"/>
          <w:szCs w:val="20"/>
          <w:rtl w:val="0"/>
        </w:rPr>
        <w:t xml:space="preserve"> (Sheffield: Equinox, 2013)</w:t>
      </w:r>
      <w:r w:rsidDel="00000000" w:rsidR="00000000" w:rsidRPr="00000000">
        <w:rPr>
          <w:sz w:val="20"/>
          <w:szCs w:val="20"/>
          <w:highlight w:val="white"/>
          <w:rtl w:val="0"/>
        </w:rPr>
        <w:br w:type="textWrapping"/>
      </w:r>
      <w:r w:rsidDel="00000000" w:rsidR="00000000" w:rsidRPr="00000000">
        <w:rPr>
          <w:sz w:val="20"/>
          <w:szCs w:val="20"/>
          <w:rtl w:val="0"/>
        </w:rPr>
        <w:br w:type="textWrapping"/>
      </w:r>
      <w:r w:rsidDel="00000000" w:rsidR="00000000" w:rsidRPr="00000000">
        <w:rPr>
          <w:rFonts w:ascii="Roboto" w:cs="Roboto" w:eastAsia="Roboto" w:hAnsi="Roboto"/>
          <w:sz w:val="20"/>
          <w:szCs w:val="20"/>
          <w:rtl w:val="0"/>
        </w:rPr>
        <w:t xml:space="preserve">Harris, Rivka,  ‘Inanna-Ishtar as Paradox and a Coincidence of Opposites’, History of Religions, (Chicago: University of Chicago Press, 1991), vol. 30, no. 3</w:t>
      </w:r>
      <w:r w:rsidDel="00000000" w:rsidR="00000000" w:rsidRPr="00000000">
        <w:rPr>
          <w:rtl w:val="0"/>
        </w:rPr>
      </w:r>
    </w:p>
    <w:p w:rsidR="00000000" w:rsidDel="00000000" w:rsidP="00000000" w:rsidRDefault="00000000" w:rsidRPr="00000000" w14:paraId="000000A9">
      <w:pPr>
        <w:shd w:fill="ffffff" w:val="clear"/>
        <w:spacing w:after="240" w:before="240" w:lineRule="auto"/>
        <w:ind w:right="720"/>
        <w:rPr>
          <w:sz w:val="20"/>
          <w:szCs w:val="20"/>
          <w:highlight w:val="white"/>
        </w:rPr>
      </w:pPr>
      <w:r w:rsidDel="00000000" w:rsidR="00000000" w:rsidRPr="00000000">
        <w:rPr>
          <w:sz w:val="20"/>
          <w:szCs w:val="20"/>
          <w:highlight w:val="white"/>
          <w:rtl w:val="0"/>
        </w:rPr>
        <w:t xml:space="preserve">Inness, Sherrie A, </w:t>
      </w:r>
      <w:r w:rsidDel="00000000" w:rsidR="00000000" w:rsidRPr="00000000">
        <w:rPr>
          <w:i w:val="1"/>
          <w:sz w:val="20"/>
          <w:szCs w:val="20"/>
          <w:highlight w:val="white"/>
          <w:rtl w:val="0"/>
        </w:rPr>
        <w:t xml:space="preserve">Tough Girls: Women Warriors and Wonder Women in Popular Culture</w:t>
      </w:r>
      <w:r w:rsidDel="00000000" w:rsidR="00000000" w:rsidRPr="00000000">
        <w:rPr>
          <w:sz w:val="20"/>
          <w:szCs w:val="20"/>
          <w:highlight w:val="white"/>
          <w:rtl w:val="0"/>
        </w:rPr>
        <w:t xml:space="preserve"> (Pennsylvania: University of Pennsylvania Press, Inc, 2018)</w:t>
      </w:r>
    </w:p>
    <w:p w:rsidR="00000000" w:rsidDel="00000000" w:rsidP="00000000" w:rsidRDefault="00000000" w:rsidRPr="00000000" w14:paraId="000000AA">
      <w:pPr>
        <w:shd w:fill="ffffff" w:val="clear"/>
        <w:spacing w:after="240" w:lineRule="auto"/>
        <w:rPr>
          <w:sz w:val="20"/>
          <w:szCs w:val="20"/>
          <w:highlight w:val="white"/>
        </w:rPr>
      </w:pPr>
      <w:r w:rsidDel="00000000" w:rsidR="00000000" w:rsidRPr="00000000">
        <w:rPr>
          <w:sz w:val="20"/>
          <w:szCs w:val="20"/>
          <w:rtl w:val="0"/>
        </w:rPr>
        <w:t xml:space="preserve">Jung, C. G. “Archetypese of the Collective Unconscious” </w:t>
      </w:r>
      <w:r w:rsidDel="00000000" w:rsidR="00000000" w:rsidRPr="00000000">
        <w:rPr>
          <w:i w:val="1"/>
          <w:sz w:val="20"/>
          <w:szCs w:val="20"/>
          <w:rtl w:val="0"/>
        </w:rPr>
        <w:t xml:space="preserve">Collected Works of C.G. Jung, Volume 9 (Part 1): Archetypes and the Collective Unconscious</w:t>
      </w:r>
      <w:r w:rsidDel="00000000" w:rsidR="00000000" w:rsidRPr="00000000">
        <w:rPr>
          <w:sz w:val="20"/>
          <w:szCs w:val="20"/>
          <w:rtl w:val="0"/>
        </w:rPr>
        <w:t xml:space="preserve">, edited by Gerhard Adler and R. F. C. Hull, (Princeton: Princeton University Press, 1969)</w:t>
      </w:r>
      <w:r w:rsidDel="00000000" w:rsidR="00000000" w:rsidRPr="00000000">
        <w:rPr>
          <w:rtl w:val="0"/>
        </w:rPr>
      </w:r>
    </w:p>
    <w:p w:rsidR="00000000" w:rsidDel="00000000" w:rsidP="00000000" w:rsidRDefault="00000000" w:rsidRPr="00000000" w14:paraId="000000AB">
      <w:pPr>
        <w:shd w:fill="ffffff" w:val="clear"/>
        <w:spacing w:after="240" w:before="240" w:lineRule="auto"/>
        <w:rPr>
          <w:rFonts w:ascii="Roboto" w:cs="Roboto" w:eastAsia="Roboto" w:hAnsi="Roboto"/>
          <w:sz w:val="20"/>
          <w:szCs w:val="20"/>
        </w:rPr>
      </w:pPr>
      <w:r w:rsidDel="00000000" w:rsidR="00000000" w:rsidRPr="00000000">
        <w:rPr>
          <w:rFonts w:ascii="Roboto" w:cs="Roboto" w:eastAsia="Roboto" w:hAnsi="Roboto"/>
          <w:sz w:val="20"/>
          <w:szCs w:val="20"/>
          <w:rtl w:val="0"/>
        </w:rPr>
        <w:t xml:space="preserve">Kramer, S. N., </w:t>
      </w:r>
      <w:r w:rsidDel="00000000" w:rsidR="00000000" w:rsidRPr="00000000">
        <w:rPr>
          <w:rFonts w:ascii="Roboto" w:cs="Roboto" w:eastAsia="Roboto" w:hAnsi="Roboto"/>
          <w:i w:val="1"/>
          <w:sz w:val="20"/>
          <w:szCs w:val="20"/>
          <w:rtl w:val="0"/>
        </w:rPr>
        <w:t xml:space="preserve">The Sumerians: Their History, Culture, and Character</w:t>
      </w:r>
      <w:r w:rsidDel="00000000" w:rsidR="00000000" w:rsidRPr="00000000">
        <w:rPr>
          <w:rFonts w:ascii="Roboto" w:cs="Roboto" w:eastAsia="Roboto" w:hAnsi="Roboto"/>
          <w:sz w:val="20"/>
          <w:szCs w:val="20"/>
          <w:rtl w:val="0"/>
        </w:rPr>
        <w:t xml:space="preserve"> (Chicago: University of Chicago Press, 1971)  </w:t>
      </w:r>
    </w:p>
    <w:p w:rsidR="00000000" w:rsidDel="00000000" w:rsidP="00000000" w:rsidRDefault="00000000" w:rsidRPr="00000000" w14:paraId="000000AC">
      <w:pPr>
        <w:shd w:fill="ffffff" w:val="clear"/>
        <w:spacing w:after="240" w:before="240" w:lineRule="auto"/>
        <w:rPr>
          <w:sz w:val="20"/>
          <w:szCs w:val="20"/>
          <w:highlight w:val="white"/>
        </w:rPr>
      </w:pPr>
      <w:r w:rsidDel="00000000" w:rsidR="00000000" w:rsidRPr="00000000">
        <w:rPr>
          <w:sz w:val="20"/>
          <w:szCs w:val="20"/>
          <w:highlight w:val="white"/>
          <w:rtl w:val="0"/>
        </w:rPr>
        <w:t xml:space="preserve">Kurtik, G. E., “The Identification of Inanna with the Planet Venus: A Criterion for the Time Determination of the Recognition of Constellations in Ancient Mesopotamia,” </w:t>
      </w:r>
      <w:r w:rsidDel="00000000" w:rsidR="00000000" w:rsidRPr="00000000">
        <w:rPr>
          <w:i w:val="1"/>
          <w:sz w:val="20"/>
          <w:szCs w:val="20"/>
          <w:highlight w:val="white"/>
          <w:rtl w:val="0"/>
        </w:rPr>
        <w:t xml:space="preserve">Astronomical and Astrophysical Transactions</w:t>
      </w:r>
      <w:r w:rsidDel="00000000" w:rsidR="00000000" w:rsidRPr="00000000">
        <w:rPr>
          <w:sz w:val="20"/>
          <w:szCs w:val="20"/>
          <w:highlight w:val="white"/>
          <w:rtl w:val="0"/>
        </w:rPr>
        <w:t xml:space="preserve">, 17.6 (1999), pp. 501–13</w:t>
      </w:r>
    </w:p>
    <w:p w:rsidR="00000000" w:rsidDel="00000000" w:rsidP="00000000" w:rsidRDefault="00000000" w:rsidRPr="00000000" w14:paraId="000000AD">
      <w:pPr>
        <w:spacing w:line="240" w:lineRule="auto"/>
        <w:rPr>
          <w:sz w:val="20"/>
          <w:szCs w:val="20"/>
          <w:highlight w:val="white"/>
        </w:rPr>
      </w:pPr>
      <w:r w:rsidDel="00000000" w:rsidR="00000000" w:rsidRPr="00000000">
        <w:rPr>
          <w:sz w:val="20"/>
          <w:szCs w:val="20"/>
          <w:highlight w:val="white"/>
          <w:rtl w:val="0"/>
        </w:rPr>
        <w:t xml:space="preserve">Lane, Belden C., 'Stars: Cahokia Mounds and Origen of Alexandria', </w:t>
      </w:r>
      <w:r w:rsidDel="00000000" w:rsidR="00000000" w:rsidRPr="00000000">
        <w:rPr>
          <w:i w:val="1"/>
          <w:sz w:val="20"/>
          <w:szCs w:val="20"/>
          <w:highlight w:val="white"/>
          <w:rtl w:val="0"/>
        </w:rPr>
        <w:t xml:space="preserve">The Great Conversation: Nature and the Care of the Soul</w:t>
      </w:r>
      <w:r w:rsidDel="00000000" w:rsidR="00000000" w:rsidRPr="00000000">
        <w:rPr>
          <w:sz w:val="20"/>
          <w:szCs w:val="20"/>
          <w:highlight w:val="white"/>
          <w:rtl w:val="0"/>
        </w:rPr>
        <w:t xml:space="preserve"> (New York, 2019; online edn, Oxford Academic, 17 Apr. 2019).</w:t>
        <w:br w:type="textWrapping"/>
      </w:r>
    </w:p>
    <w:p w:rsidR="00000000" w:rsidDel="00000000" w:rsidP="00000000" w:rsidRDefault="00000000" w:rsidRPr="00000000" w14:paraId="000000AE">
      <w:pPr>
        <w:spacing w:line="240" w:lineRule="auto"/>
        <w:rPr>
          <w:sz w:val="20"/>
          <w:szCs w:val="20"/>
        </w:rPr>
      </w:pPr>
      <w:r w:rsidDel="00000000" w:rsidR="00000000" w:rsidRPr="00000000">
        <w:rPr>
          <w:sz w:val="20"/>
          <w:szCs w:val="20"/>
          <w:rtl w:val="0"/>
        </w:rPr>
        <w:t xml:space="preserve">Menzies, J.W., </w:t>
      </w:r>
      <w:r w:rsidDel="00000000" w:rsidR="00000000" w:rsidRPr="00000000">
        <w:rPr>
          <w:i w:val="1"/>
          <w:sz w:val="20"/>
          <w:szCs w:val="20"/>
          <w:rtl w:val="0"/>
        </w:rPr>
        <w:t xml:space="preserve">‘True Myth: C.S. Lewis and Joseph Campbell on the Veracity of Christianity’ </w:t>
      </w:r>
      <w:r w:rsidDel="00000000" w:rsidR="00000000" w:rsidRPr="00000000">
        <w:rPr>
          <w:sz w:val="20"/>
          <w:szCs w:val="20"/>
          <w:rtl w:val="0"/>
        </w:rPr>
        <w:t xml:space="preserve">(Cambridge: The Lutterworth Press, 2015)</w:t>
      </w:r>
    </w:p>
    <w:p w:rsidR="00000000" w:rsidDel="00000000" w:rsidP="00000000" w:rsidRDefault="00000000" w:rsidRPr="00000000" w14:paraId="000000AF">
      <w:pPr>
        <w:spacing w:line="240" w:lineRule="auto"/>
        <w:rPr>
          <w:sz w:val="20"/>
          <w:szCs w:val="20"/>
        </w:rPr>
      </w:pPr>
      <w:r w:rsidDel="00000000" w:rsidR="00000000" w:rsidRPr="00000000">
        <w:rPr>
          <w:rtl w:val="0"/>
        </w:rPr>
      </w:r>
    </w:p>
    <w:p w:rsidR="00000000" w:rsidDel="00000000" w:rsidP="00000000" w:rsidRDefault="00000000" w:rsidRPr="00000000" w14:paraId="000000B0">
      <w:pPr>
        <w:spacing w:line="240" w:lineRule="auto"/>
        <w:rPr>
          <w:sz w:val="20"/>
          <w:szCs w:val="20"/>
          <w:highlight w:val="white"/>
        </w:rPr>
      </w:pPr>
      <w:r w:rsidDel="00000000" w:rsidR="00000000" w:rsidRPr="00000000">
        <w:rPr>
          <w:sz w:val="20"/>
          <w:szCs w:val="20"/>
          <w:highlight w:val="white"/>
          <w:rtl w:val="0"/>
        </w:rPr>
        <w:t xml:space="preserve">Rochberg, Francesca, </w:t>
      </w:r>
      <w:r w:rsidDel="00000000" w:rsidR="00000000" w:rsidRPr="00000000">
        <w:rPr>
          <w:i w:val="1"/>
          <w:sz w:val="20"/>
          <w:szCs w:val="20"/>
          <w:highlight w:val="white"/>
          <w:rtl w:val="0"/>
        </w:rPr>
        <w:t xml:space="preserve">The Heavenly Writing : Divination, Horoscopy, and Astronomy in Mesopotamian Culture</w:t>
      </w:r>
      <w:r w:rsidDel="00000000" w:rsidR="00000000" w:rsidRPr="00000000">
        <w:rPr>
          <w:sz w:val="20"/>
          <w:szCs w:val="20"/>
          <w:highlight w:val="white"/>
          <w:rtl w:val="0"/>
        </w:rPr>
        <w:t xml:space="preserve"> (Cambridge: Cambridge University Press, 2004)</w:t>
      </w:r>
    </w:p>
    <w:p w:rsidR="00000000" w:rsidDel="00000000" w:rsidP="00000000" w:rsidRDefault="00000000" w:rsidRPr="00000000" w14:paraId="000000B1">
      <w:pPr>
        <w:spacing w:line="240" w:lineRule="auto"/>
        <w:rPr>
          <w:sz w:val="20"/>
          <w:szCs w:val="20"/>
          <w:highlight w:val="white"/>
        </w:rPr>
      </w:pPr>
      <w:r w:rsidDel="00000000" w:rsidR="00000000" w:rsidRPr="00000000">
        <w:rPr>
          <w:rtl w:val="0"/>
        </w:rPr>
      </w:r>
    </w:p>
    <w:p w:rsidR="00000000" w:rsidDel="00000000" w:rsidP="00000000" w:rsidRDefault="00000000" w:rsidRPr="00000000" w14:paraId="000000B2">
      <w:pPr>
        <w:shd w:fill="ffffff" w:val="clear"/>
        <w:spacing w:after="240" w:lineRule="auto"/>
        <w:rPr>
          <w:sz w:val="20"/>
          <w:szCs w:val="20"/>
        </w:rPr>
      </w:pPr>
      <w:r w:rsidDel="00000000" w:rsidR="00000000" w:rsidRPr="00000000">
        <w:rPr>
          <w:sz w:val="20"/>
          <w:szCs w:val="20"/>
          <w:rtl w:val="0"/>
        </w:rPr>
        <w:t xml:space="preserve">Ruggles, C. Inaugural Lecture: Ancient Astronomies — Ancient Worlds. Journal for the History of Astronomy, 2000, 31(25)</w:t>
      </w:r>
    </w:p>
    <w:p w:rsidR="00000000" w:rsidDel="00000000" w:rsidP="00000000" w:rsidRDefault="00000000" w:rsidRPr="00000000" w14:paraId="000000B3">
      <w:pPr>
        <w:spacing w:line="240" w:lineRule="auto"/>
        <w:rPr>
          <w:sz w:val="20"/>
          <w:szCs w:val="20"/>
        </w:rPr>
      </w:pPr>
      <w:r w:rsidDel="00000000" w:rsidR="00000000" w:rsidRPr="00000000">
        <w:rPr>
          <w:sz w:val="20"/>
          <w:szCs w:val="20"/>
          <w:rtl w:val="0"/>
        </w:rPr>
        <w:t xml:space="preserve">Ruggles, C., and Urton, G., ‘Introduction’, </w:t>
      </w:r>
      <w:r w:rsidDel="00000000" w:rsidR="00000000" w:rsidRPr="00000000">
        <w:rPr>
          <w:i w:val="1"/>
          <w:sz w:val="20"/>
          <w:szCs w:val="20"/>
          <w:rtl w:val="0"/>
        </w:rPr>
        <w:t xml:space="preserve">Skywatching in the Ancient World: New Perspectives in Cultural Astronomy</w:t>
      </w:r>
      <w:r w:rsidDel="00000000" w:rsidR="00000000" w:rsidRPr="00000000">
        <w:rPr>
          <w:sz w:val="20"/>
          <w:szCs w:val="20"/>
          <w:rtl w:val="0"/>
        </w:rPr>
        <w:t xml:space="preserve">, edited by Clive Ruggles and Gary Urton, (Colorado: University Press of Colorado, 2007) pp.1-16</w:t>
      </w:r>
    </w:p>
    <w:p w:rsidR="00000000" w:rsidDel="00000000" w:rsidP="00000000" w:rsidRDefault="00000000" w:rsidRPr="00000000" w14:paraId="000000B4">
      <w:pPr>
        <w:spacing w:line="240" w:lineRule="auto"/>
        <w:rPr>
          <w:sz w:val="20"/>
          <w:szCs w:val="20"/>
        </w:rPr>
      </w:pPr>
      <w:r w:rsidDel="00000000" w:rsidR="00000000" w:rsidRPr="00000000">
        <w:rPr>
          <w:rtl w:val="0"/>
        </w:rPr>
      </w:r>
    </w:p>
    <w:p w:rsidR="00000000" w:rsidDel="00000000" w:rsidP="00000000" w:rsidRDefault="00000000" w:rsidRPr="00000000" w14:paraId="000000B5">
      <w:pPr>
        <w:spacing w:line="240" w:lineRule="auto"/>
        <w:rPr>
          <w:sz w:val="20"/>
          <w:szCs w:val="20"/>
        </w:rPr>
      </w:pPr>
      <w:r w:rsidDel="00000000" w:rsidR="00000000" w:rsidRPr="00000000">
        <w:rPr>
          <w:sz w:val="20"/>
          <w:szCs w:val="20"/>
          <w:rtl w:val="0"/>
        </w:rPr>
        <w:t xml:space="preserve">Ruggles, C., ‘Pushing back the frontiers or still running around the same circles? ‘Interpretive archaeastronomy’; thirty years on’, in Clive Ruggles (ed.), </w:t>
      </w:r>
      <w:r w:rsidDel="00000000" w:rsidR="00000000" w:rsidRPr="00000000">
        <w:rPr>
          <w:i w:val="1"/>
          <w:sz w:val="20"/>
          <w:szCs w:val="20"/>
          <w:rtl w:val="0"/>
        </w:rPr>
        <w:t xml:space="preserve">Archeoastronomy and Ethnoastronomy: Building Bridges between Cultures, Proceedings of International Astronomy Union Symposium 278, </w:t>
      </w:r>
      <w:r w:rsidDel="00000000" w:rsidR="00000000" w:rsidRPr="00000000">
        <w:rPr>
          <w:sz w:val="20"/>
          <w:szCs w:val="20"/>
          <w:rtl w:val="0"/>
        </w:rPr>
        <w:t xml:space="preserve">(Cambridge: Cambridge University Press, 2011), pp. 1-18</w:t>
      </w:r>
    </w:p>
    <w:p w:rsidR="00000000" w:rsidDel="00000000" w:rsidP="00000000" w:rsidRDefault="00000000" w:rsidRPr="00000000" w14:paraId="000000B6">
      <w:pPr>
        <w:spacing w:line="240" w:lineRule="auto"/>
        <w:rPr>
          <w:sz w:val="20"/>
          <w:szCs w:val="20"/>
        </w:rPr>
      </w:pPr>
      <w:r w:rsidDel="00000000" w:rsidR="00000000" w:rsidRPr="00000000">
        <w:rPr>
          <w:rtl w:val="0"/>
        </w:rPr>
      </w:r>
    </w:p>
    <w:p w:rsidR="00000000" w:rsidDel="00000000" w:rsidP="00000000" w:rsidRDefault="00000000" w:rsidRPr="00000000" w14:paraId="000000B7">
      <w:pPr>
        <w:spacing w:line="240" w:lineRule="auto"/>
        <w:rPr>
          <w:sz w:val="20"/>
          <w:szCs w:val="20"/>
          <w:highlight w:val="white"/>
        </w:rPr>
      </w:pPr>
      <w:r w:rsidDel="00000000" w:rsidR="00000000" w:rsidRPr="00000000">
        <w:rPr>
          <w:sz w:val="20"/>
          <w:szCs w:val="20"/>
          <w:highlight w:val="white"/>
          <w:rtl w:val="0"/>
        </w:rPr>
        <w:t xml:space="preserve">Segal, Robert A., </w:t>
      </w:r>
      <w:r w:rsidDel="00000000" w:rsidR="00000000" w:rsidRPr="00000000">
        <w:rPr>
          <w:i w:val="1"/>
          <w:sz w:val="20"/>
          <w:szCs w:val="20"/>
          <w:highlight w:val="white"/>
          <w:rtl w:val="0"/>
        </w:rPr>
        <w:t xml:space="preserve">Myth : A Very Short Introduction</w:t>
      </w:r>
      <w:r w:rsidDel="00000000" w:rsidR="00000000" w:rsidRPr="00000000">
        <w:rPr>
          <w:sz w:val="20"/>
          <w:szCs w:val="20"/>
          <w:highlight w:val="white"/>
          <w:rtl w:val="0"/>
        </w:rPr>
        <w:t xml:space="preserve"> (Oxford: Oxford University Press, 2004) </w:t>
      </w:r>
    </w:p>
    <w:p w:rsidR="00000000" w:rsidDel="00000000" w:rsidP="00000000" w:rsidRDefault="00000000" w:rsidRPr="00000000" w14:paraId="000000B8">
      <w:pPr>
        <w:spacing w:line="240" w:lineRule="auto"/>
        <w:rPr>
          <w:sz w:val="20"/>
          <w:szCs w:val="20"/>
          <w:highlight w:val="white"/>
        </w:rPr>
      </w:pPr>
      <w:r w:rsidDel="00000000" w:rsidR="00000000" w:rsidRPr="00000000">
        <w:rPr>
          <w:rtl w:val="0"/>
        </w:rPr>
      </w:r>
    </w:p>
    <w:p w:rsidR="00000000" w:rsidDel="00000000" w:rsidP="00000000" w:rsidRDefault="00000000" w:rsidRPr="00000000" w14:paraId="000000B9">
      <w:pPr>
        <w:shd w:fill="ffffff" w:val="clear"/>
        <w:spacing w:after="240" w:lineRule="auto"/>
        <w:rPr>
          <w:sz w:val="20"/>
          <w:szCs w:val="20"/>
        </w:rPr>
      </w:pPr>
      <w:r w:rsidDel="00000000" w:rsidR="00000000" w:rsidRPr="00000000">
        <w:rPr>
          <w:sz w:val="20"/>
          <w:szCs w:val="20"/>
          <w:rtl w:val="0"/>
        </w:rPr>
        <w:t xml:space="preserve">Silva, Fabio. ‘The Role and Importance of the Sky in Archaeology: An Introduction.’ </w:t>
      </w:r>
      <w:r w:rsidDel="00000000" w:rsidR="00000000" w:rsidRPr="00000000">
        <w:rPr>
          <w:i w:val="1"/>
          <w:sz w:val="20"/>
          <w:szCs w:val="20"/>
          <w:rtl w:val="0"/>
        </w:rPr>
        <w:t xml:space="preserve">Skyscapes: The Role and Importance of the Sky in Archaeology</w:t>
      </w:r>
      <w:r w:rsidDel="00000000" w:rsidR="00000000" w:rsidRPr="00000000">
        <w:rPr>
          <w:sz w:val="20"/>
          <w:szCs w:val="20"/>
          <w:rtl w:val="0"/>
        </w:rPr>
        <w:t xml:space="preserve">, edited by Fabio Silva and Nicholas Campion, (Oxford: Oxbow Books, 2015)</w:t>
      </w:r>
    </w:p>
    <w:p w:rsidR="00000000" w:rsidDel="00000000" w:rsidP="00000000" w:rsidRDefault="00000000" w:rsidRPr="00000000" w14:paraId="000000BA">
      <w:pPr>
        <w:spacing w:line="240" w:lineRule="auto"/>
        <w:rPr>
          <w:sz w:val="20"/>
          <w:szCs w:val="20"/>
        </w:rPr>
      </w:pPr>
      <w:r w:rsidDel="00000000" w:rsidR="00000000" w:rsidRPr="00000000">
        <w:rPr>
          <w:sz w:val="20"/>
          <w:szCs w:val="20"/>
          <w:rtl w:val="0"/>
        </w:rPr>
        <w:t xml:space="preserve">Williams, Raymond, </w:t>
      </w:r>
      <w:r w:rsidDel="00000000" w:rsidR="00000000" w:rsidRPr="00000000">
        <w:rPr>
          <w:i w:val="1"/>
          <w:sz w:val="20"/>
          <w:szCs w:val="20"/>
          <w:rtl w:val="0"/>
        </w:rPr>
        <w:t xml:space="preserve">Keywords</w:t>
      </w:r>
      <w:r w:rsidDel="00000000" w:rsidR="00000000" w:rsidRPr="00000000">
        <w:rPr>
          <w:sz w:val="20"/>
          <w:szCs w:val="20"/>
          <w:rtl w:val="0"/>
        </w:rPr>
        <w:t xml:space="preserve">, 2nd ed. (London: Collins Fontana, 1983)</w:t>
      </w:r>
    </w:p>
    <w:p w:rsidR="00000000" w:rsidDel="00000000" w:rsidP="00000000" w:rsidRDefault="00000000" w:rsidRPr="00000000" w14:paraId="000000BB">
      <w:pPr>
        <w:spacing w:line="240" w:lineRule="auto"/>
        <w:rPr>
          <w:sz w:val="20"/>
          <w:szCs w:val="20"/>
        </w:rPr>
      </w:pPr>
      <w:r w:rsidDel="00000000" w:rsidR="00000000" w:rsidRPr="00000000">
        <w:rPr>
          <w:rtl w:val="0"/>
        </w:rPr>
      </w:r>
    </w:p>
    <w:p w:rsidR="00000000" w:rsidDel="00000000" w:rsidP="00000000" w:rsidRDefault="00000000" w:rsidRPr="00000000" w14:paraId="000000BC">
      <w:pPr>
        <w:spacing w:line="240" w:lineRule="auto"/>
        <w:rPr>
          <w:sz w:val="20"/>
          <w:szCs w:val="20"/>
        </w:rPr>
      </w:pPr>
      <w:r w:rsidDel="00000000" w:rsidR="00000000" w:rsidRPr="00000000">
        <w:rPr>
          <w:sz w:val="20"/>
          <w:szCs w:val="20"/>
          <w:rtl w:val="0"/>
        </w:rPr>
        <w:t xml:space="preserve">Wolkstein, Diane, and Kramer, Samuel Noah, </w:t>
      </w:r>
      <w:r w:rsidDel="00000000" w:rsidR="00000000" w:rsidRPr="00000000">
        <w:rPr>
          <w:i w:val="1"/>
          <w:sz w:val="20"/>
          <w:szCs w:val="20"/>
          <w:rtl w:val="0"/>
        </w:rPr>
        <w:t xml:space="preserve">Inanna, Queen of Heaven and Earth: Her Stories and Hymns from Sumer.</w:t>
      </w:r>
      <w:r w:rsidDel="00000000" w:rsidR="00000000" w:rsidRPr="00000000">
        <w:rPr>
          <w:sz w:val="20"/>
          <w:szCs w:val="20"/>
          <w:rtl w:val="0"/>
        </w:rPr>
        <w:t xml:space="preserve"> (New York: Harper &amp; Row, 1983)</w:t>
      </w:r>
    </w:p>
    <w:p w:rsidR="00000000" w:rsidDel="00000000" w:rsidP="00000000" w:rsidRDefault="00000000" w:rsidRPr="00000000" w14:paraId="000000BD">
      <w:pPr>
        <w:spacing w:line="240" w:lineRule="auto"/>
        <w:rPr>
          <w:sz w:val="20"/>
          <w:szCs w:val="20"/>
        </w:rPr>
      </w:pPr>
      <w:r w:rsidDel="00000000" w:rsidR="00000000" w:rsidRPr="00000000">
        <w:rPr>
          <w:rtl w:val="0"/>
        </w:rPr>
      </w:r>
    </w:p>
    <w:p w:rsidR="00000000" w:rsidDel="00000000" w:rsidP="00000000" w:rsidRDefault="00000000" w:rsidRPr="00000000" w14:paraId="000000BE">
      <w:pPr>
        <w:spacing w:line="240" w:lineRule="auto"/>
        <w:rPr>
          <w:b w:val="1"/>
          <w:sz w:val="20"/>
          <w:szCs w:val="20"/>
          <w:u w:val="single"/>
        </w:rPr>
      </w:pPr>
      <w:r w:rsidDel="00000000" w:rsidR="00000000" w:rsidRPr="00000000">
        <w:rPr>
          <w:b w:val="1"/>
          <w:sz w:val="20"/>
          <w:szCs w:val="20"/>
          <w:u w:val="single"/>
          <w:rtl w:val="0"/>
        </w:rPr>
        <w:t xml:space="preserve">Online Sources</w:t>
      </w:r>
    </w:p>
    <w:p w:rsidR="00000000" w:rsidDel="00000000" w:rsidP="00000000" w:rsidRDefault="00000000" w:rsidRPr="00000000" w14:paraId="000000BF">
      <w:pPr>
        <w:spacing w:line="240" w:lineRule="auto"/>
        <w:rPr>
          <w:b w:val="1"/>
          <w:sz w:val="20"/>
          <w:szCs w:val="20"/>
          <w:u w:val="single"/>
        </w:rPr>
      </w:pPr>
      <w:r w:rsidDel="00000000" w:rsidR="00000000" w:rsidRPr="00000000">
        <w:rPr>
          <w:rtl w:val="0"/>
        </w:rPr>
      </w:r>
    </w:p>
    <w:p w:rsidR="00000000" w:rsidDel="00000000" w:rsidP="00000000" w:rsidRDefault="00000000" w:rsidRPr="00000000" w14:paraId="000000C0">
      <w:pPr>
        <w:spacing w:line="240" w:lineRule="auto"/>
        <w:rPr>
          <w:sz w:val="20"/>
          <w:szCs w:val="20"/>
        </w:rPr>
      </w:pPr>
      <w:hyperlink r:id="rId18">
        <w:r w:rsidDel="00000000" w:rsidR="00000000" w:rsidRPr="00000000">
          <w:rPr>
            <w:sz w:val="20"/>
            <w:szCs w:val="20"/>
            <w:rtl w:val="0"/>
          </w:rPr>
          <w:t xml:space="preserve">Hillary Hoffower</w:t>
        </w:r>
      </w:hyperlink>
      <w:r w:rsidDel="00000000" w:rsidR="00000000" w:rsidRPr="00000000">
        <w:rPr>
          <w:sz w:val="20"/>
          <w:szCs w:val="20"/>
          <w:rtl w:val="0"/>
        </w:rPr>
        <w:t xml:space="preserve"> and </w:t>
      </w:r>
      <w:hyperlink r:id="rId19">
        <w:r w:rsidDel="00000000" w:rsidR="00000000" w:rsidRPr="00000000">
          <w:rPr>
            <w:sz w:val="20"/>
            <w:szCs w:val="20"/>
            <w:rtl w:val="0"/>
          </w:rPr>
          <w:t xml:space="preserve">Eve Crosbie</w:t>
        </w:r>
      </w:hyperlink>
      <w:r w:rsidDel="00000000" w:rsidR="00000000" w:rsidRPr="00000000">
        <w:rPr>
          <w:sz w:val="20"/>
          <w:szCs w:val="20"/>
          <w:highlight w:val="white"/>
          <w:rtl w:val="0"/>
        </w:rPr>
        <w:t xml:space="preserve">, ‘</w:t>
      </w:r>
      <w:r w:rsidDel="00000000" w:rsidR="00000000" w:rsidRPr="00000000">
        <w:rPr>
          <w:sz w:val="20"/>
          <w:szCs w:val="20"/>
          <w:highlight w:val="white"/>
          <w:rtl w:val="0"/>
        </w:rPr>
        <w:t xml:space="preserve">A Complete Timeline of Britney Spears' Conservatorship</w:t>
      </w:r>
      <w:r w:rsidDel="00000000" w:rsidR="00000000" w:rsidRPr="00000000">
        <w:rPr>
          <w:i w:val="1"/>
          <w:sz w:val="20"/>
          <w:szCs w:val="20"/>
          <w:highlight w:val="white"/>
          <w:rtl w:val="0"/>
        </w:rPr>
        <w:t xml:space="preserve">’</w:t>
      </w:r>
      <w:r w:rsidDel="00000000" w:rsidR="00000000" w:rsidRPr="00000000">
        <w:rPr>
          <w:sz w:val="20"/>
          <w:szCs w:val="20"/>
          <w:highlight w:val="white"/>
          <w:rtl w:val="0"/>
        </w:rPr>
        <w:t xml:space="preserve">, </w:t>
      </w:r>
      <w:r w:rsidDel="00000000" w:rsidR="00000000" w:rsidRPr="00000000">
        <w:rPr>
          <w:i w:val="1"/>
          <w:sz w:val="20"/>
          <w:szCs w:val="20"/>
          <w:highlight w:val="white"/>
          <w:rtl w:val="0"/>
        </w:rPr>
        <w:t xml:space="preserve">Business Insider</w:t>
      </w:r>
      <w:r w:rsidDel="00000000" w:rsidR="00000000" w:rsidRPr="00000000">
        <w:rPr>
          <w:sz w:val="20"/>
          <w:szCs w:val="20"/>
          <w:highlight w:val="white"/>
          <w:rtl w:val="0"/>
        </w:rPr>
        <w:t xml:space="preserve">, </w:t>
      </w:r>
      <w:r w:rsidDel="00000000" w:rsidR="00000000" w:rsidRPr="00000000">
        <w:rPr>
          <w:sz w:val="20"/>
          <w:szCs w:val="20"/>
          <w:rtl w:val="0"/>
        </w:rPr>
        <w:t xml:space="preserve">&lt;</w:t>
      </w:r>
      <w:hyperlink r:id="rId20">
        <w:r w:rsidDel="00000000" w:rsidR="00000000" w:rsidRPr="00000000">
          <w:rPr>
            <w:sz w:val="20"/>
            <w:szCs w:val="20"/>
            <w:u w:val="single"/>
            <w:rtl w:val="0"/>
          </w:rPr>
          <w:t xml:space="preserve">https://www.businessinsider.com/inside-britney-spears-conservatorship-freebritney-movement-2020-12#this-tumultuous-period-led-to-spears-court-approved-conservatorship-which-was-implemented-in-2008-2</w:t>
        </w:r>
      </w:hyperlink>
      <w:r w:rsidDel="00000000" w:rsidR="00000000" w:rsidRPr="00000000">
        <w:rPr>
          <w:sz w:val="20"/>
          <w:szCs w:val="20"/>
          <w:rtl w:val="0"/>
        </w:rPr>
        <w:t xml:space="preserve">&gt; </w:t>
      </w:r>
      <w:r w:rsidDel="00000000" w:rsidR="00000000" w:rsidRPr="00000000">
        <w:rPr>
          <w:sz w:val="20"/>
          <w:szCs w:val="20"/>
          <w:highlight w:val="white"/>
          <w:rtl w:val="0"/>
        </w:rPr>
        <w:t xml:space="preserve"> [accessed 2 March, 2024] </w:t>
      </w:r>
      <w:r w:rsidDel="00000000" w:rsidR="00000000" w:rsidRPr="00000000">
        <w:rPr>
          <w:rtl w:val="0"/>
        </w:rPr>
      </w:r>
    </w:p>
    <w:p w:rsidR="00000000" w:rsidDel="00000000" w:rsidP="00000000" w:rsidRDefault="00000000" w:rsidRPr="00000000" w14:paraId="000000C1">
      <w:pPr>
        <w:spacing w:line="240" w:lineRule="auto"/>
        <w:rPr>
          <w:sz w:val="20"/>
          <w:szCs w:val="20"/>
        </w:rPr>
      </w:pPr>
      <w:r w:rsidDel="00000000" w:rsidR="00000000" w:rsidRPr="00000000">
        <w:rPr>
          <w:rtl w:val="0"/>
        </w:rPr>
      </w:r>
    </w:p>
    <w:p w:rsidR="00000000" w:rsidDel="00000000" w:rsidP="00000000" w:rsidRDefault="00000000" w:rsidRPr="00000000" w14:paraId="000000C2">
      <w:pPr>
        <w:spacing w:line="240" w:lineRule="auto"/>
        <w:rPr>
          <w:sz w:val="20"/>
          <w:szCs w:val="20"/>
        </w:rPr>
      </w:pPr>
      <w:r w:rsidDel="00000000" w:rsidR="00000000" w:rsidRPr="00000000">
        <w:rPr>
          <w:sz w:val="20"/>
          <w:szCs w:val="20"/>
          <w:rtl w:val="0"/>
        </w:rPr>
        <w:t xml:space="preserve">Megan Mccluskey, ‘What to Know About Britney Spears, Her Conservatorship and the #FreeBritney Movement’, </w:t>
      </w:r>
      <w:r w:rsidDel="00000000" w:rsidR="00000000" w:rsidRPr="00000000">
        <w:rPr>
          <w:i w:val="1"/>
          <w:sz w:val="20"/>
          <w:szCs w:val="20"/>
          <w:rtl w:val="0"/>
        </w:rPr>
        <w:t xml:space="preserve">Time.com</w:t>
      </w:r>
      <w:r w:rsidDel="00000000" w:rsidR="00000000" w:rsidRPr="00000000">
        <w:rPr>
          <w:sz w:val="20"/>
          <w:szCs w:val="20"/>
          <w:rtl w:val="0"/>
        </w:rPr>
        <w:t xml:space="preserve">, &lt;</w:t>
      </w:r>
      <w:hyperlink r:id="rId21">
        <w:r w:rsidDel="00000000" w:rsidR="00000000" w:rsidRPr="00000000">
          <w:rPr>
            <w:sz w:val="20"/>
            <w:szCs w:val="20"/>
            <w:u w:val="single"/>
            <w:rtl w:val="0"/>
          </w:rPr>
          <w:t xml:space="preserve">https://time.com/5921720/britney-spears-conservatorship-free-britney/</w:t>
        </w:r>
      </w:hyperlink>
      <w:r w:rsidDel="00000000" w:rsidR="00000000" w:rsidRPr="00000000">
        <w:rPr>
          <w:sz w:val="20"/>
          <w:szCs w:val="20"/>
          <w:rtl w:val="0"/>
        </w:rPr>
        <w:t xml:space="preserve">&gt; [accessed 22, March 2024] </w:t>
      </w:r>
    </w:p>
    <w:p w:rsidR="00000000" w:rsidDel="00000000" w:rsidP="00000000" w:rsidRDefault="00000000" w:rsidRPr="00000000" w14:paraId="000000C3">
      <w:pPr>
        <w:spacing w:line="240" w:lineRule="auto"/>
        <w:rPr>
          <w:sz w:val="20"/>
          <w:szCs w:val="20"/>
        </w:rPr>
      </w:pPr>
      <w:r w:rsidDel="00000000" w:rsidR="00000000" w:rsidRPr="00000000">
        <w:rPr>
          <w:rtl w:val="0"/>
        </w:rPr>
      </w:r>
    </w:p>
    <w:p w:rsidR="00000000" w:rsidDel="00000000" w:rsidP="00000000" w:rsidRDefault="00000000" w:rsidRPr="00000000" w14:paraId="000000C4">
      <w:pPr>
        <w:spacing w:line="240" w:lineRule="auto"/>
        <w:rPr>
          <w:sz w:val="20"/>
          <w:szCs w:val="20"/>
        </w:rPr>
      </w:pPr>
      <w:r w:rsidDel="00000000" w:rsidR="00000000" w:rsidRPr="00000000">
        <w:rPr>
          <w:sz w:val="20"/>
          <w:szCs w:val="20"/>
          <w:rtl w:val="0"/>
        </w:rPr>
        <w:t xml:space="preserve">‘Star’ English Definition, </w:t>
      </w:r>
      <w:r w:rsidDel="00000000" w:rsidR="00000000" w:rsidRPr="00000000">
        <w:rPr>
          <w:i w:val="1"/>
          <w:sz w:val="20"/>
          <w:szCs w:val="20"/>
          <w:rtl w:val="0"/>
        </w:rPr>
        <w:t xml:space="preserve">Cambridge Online Dictionary</w:t>
      </w:r>
      <w:r w:rsidDel="00000000" w:rsidR="00000000" w:rsidRPr="00000000">
        <w:rPr>
          <w:sz w:val="20"/>
          <w:szCs w:val="20"/>
          <w:rtl w:val="0"/>
        </w:rPr>
        <w:t xml:space="preserve">, &lt;</w:t>
      </w:r>
      <w:hyperlink r:id="rId22">
        <w:r w:rsidDel="00000000" w:rsidR="00000000" w:rsidRPr="00000000">
          <w:rPr>
            <w:sz w:val="20"/>
            <w:szCs w:val="20"/>
            <w:u w:val="single"/>
            <w:rtl w:val="0"/>
          </w:rPr>
          <w:t xml:space="preserve">https://dictionary.cambridge.org/us/dictionary/english/star</w:t>
        </w:r>
      </w:hyperlink>
      <w:r w:rsidDel="00000000" w:rsidR="00000000" w:rsidRPr="00000000">
        <w:rPr>
          <w:sz w:val="20"/>
          <w:szCs w:val="20"/>
          <w:rtl w:val="0"/>
        </w:rPr>
        <w:t xml:space="preserve">&gt; [accessed 29 February, 2024] </w:t>
      </w:r>
    </w:p>
    <w:p w:rsidR="00000000" w:rsidDel="00000000" w:rsidP="00000000" w:rsidRDefault="00000000" w:rsidRPr="00000000" w14:paraId="000000C5">
      <w:pPr>
        <w:spacing w:line="240" w:lineRule="auto"/>
        <w:rPr/>
      </w:pPr>
      <w:r w:rsidDel="00000000" w:rsidR="00000000" w:rsidRPr="00000000">
        <w:rPr>
          <w:rtl w:val="0"/>
        </w:rPr>
      </w:r>
    </w:p>
    <w:p w:rsidR="00000000" w:rsidDel="00000000" w:rsidP="00000000" w:rsidRDefault="00000000" w:rsidRPr="00000000" w14:paraId="000000C6">
      <w:pPr>
        <w:spacing w:line="240" w:lineRule="auto"/>
        <w:rPr>
          <w:sz w:val="24"/>
          <w:szCs w:val="24"/>
        </w:rPr>
      </w:pPr>
      <w:r w:rsidDel="00000000" w:rsidR="00000000" w:rsidRPr="00000000">
        <w:rPr>
          <w:rtl w:val="0"/>
        </w:rPr>
      </w:r>
    </w:p>
    <w:sectPr>
      <w:headerReference r:id="rId23" w:type="default"/>
      <w:footerReference r:id="rId24" w:type="default"/>
      <w:pgSz w:h="15840" w:w="12240" w:orient="portrait"/>
      <w:pgMar w:bottom="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rebuchet MS"/>
  <w:font w:name="Calibri"/>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0">
    <w:p w:rsidR="00000000" w:rsidDel="00000000" w:rsidP="00000000" w:rsidRDefault="00000000" w:rsidRPr="00000000" w14:paraId="000000CA">
      <w:pPr>
        <w:spacing w:line="240" w:lineRule="auto"/>
        <w:rPr>
          <w:i w:val="1"/>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Walter Burkert, </w:t>
      </w:r>
      <w:r w:rsidDel="00000000" w:rsidR="00000000" w:rsidRPr="00000000">
        <w:rPr>
          <w:i w:val="1"/>
          <w:sz w:val="18"/>
          <w:szCs w:val="18"/>
          <w:rtl w:val="0"/>
        </w:rPr>
        <w:t xml:space="preserve">Homo Necans The Anthropology of Ancient Greek Sacrificial Ritual and Myth </w:t>
      </w:r>
      <w:r w:rsidDel="00000000" w:rsidR="00000000" w:rsidRPr="00000000">
        <w:rPr>
          <w:sz w:val="18"/>
          <w:szCs w:val="18"/>
          <w:rtl w:val="0"/>
        </w:rPr>
        <w:t xml:space="preserve">(Berkley: University of California Press, 1983), pp.</w:t>
      </w:r>
      <w:r w:rsidDel="00000000" w:rsidR="00000000" w:rsidRPr="00000000">
        <w:rPr>
          <w:i w:val="1"/>
          <w:sz w:val="18"/>
          <w:szCs w:val="18"/>
          <w:rtl w:val="0"/>
        </w:rPr>
        <w:t xml:space="preserve">31-2.</w:t>
      </w:r>
    </w:p>
  </w:footnote>
  <w:footnote w:id="33">
    <w:p w:rsidR="00000000" w:rsidDel="00000000" w:rsidP="00000000" w:rsidRDefault="00000000" w:rsidRPr="00000000" w14:paraId="000000CB">
      <w:pPr>
        <w:spacing w:line="240" w:lineRule="auto"/>
        <w:rPr>
          <w:sz w:val="14"/>
          <w:szCs w:val="14"/>
        </w:rPr>
      </w:pPr>
      <w:r w:rsidDel="00000000" w:rsidR="00000000" w:rsidRPr="00000000">
        <w:rPr>
          <w:rStyle w:val="FootnoteReference"/>
          <w:vertAlign w:val="superscript"/>
        </w:rPr>
        <w:footnoteRef/>
      </w:r>
      <w:r w:rsidDel="00000000" w:rsidR="00000000" w:rsidRPr="00000000">
        <w:rPr>
          <w:sz w:val="18"/>
          <w:szCs w:val="18"/>
          <w:rtl w:val="0"/>
        </w:rPr>
        <w:t xml:space="preserve"> Britney Spears, </w:t>
      </w:r>
      <w:r w:rsidDel="00000000" w:rsidR="00000000" w:rsidRPr="00000000">
        <w:rPr>
          <w:i w:val="1"/>
          <w:sz w:val="18"/>
          <w:szCs w:val="18"/>
          <w:rtl w:val="0"/>
        </w:rPr>
        <w:t xml:space="preserve">The Woman in Me</w:t>
      </w:r>
      <w:r w:rsidDel="00000000" w:rsidR="00000000" w:rsidRPr="00000000">
        <w:rPr>
          <w:sz w:val="18"/>
          <w:szCs w:val="18"/>
          <w:rtl w:val="0"/>
        </w:rPr>
        <w:t xml:space="preserve">, (New York, Gallery Books, 2023) Backsleave. </w:t>
      </w:r>
      <w:r w:rsidDel="00000000" w:rsidR="00000000" w:rsidRPr="00000000">
        <w:rPr>
          <w:rtl w:val="0"/>
        </w:rPr>
      </w:r>
    </w:p>
  </w:footnote>
  <w:footnote w:id="41">
    <w:p w:rsidR="00000000" w:rsidDel="00000000" w:rsidP="00000000" w:rsidRDefault="00000000" w:rsidRPr="00000000" w14:paraId="000000CC">
      <w:pPr>
        <w:spacing w:line="240" w:lineRule="auto"/>
        <w:rPr>
          <w:sz w:val="18"/>
          <w:szCs w:val="18"/>
          <w:highlight w:val="yellow"/>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8"/>
          <w:szCs w:val="18"/>
          <w:rtl w:val="0"/>
        </w:rPr>
        <w:t xml:space="preserve">Britney Spears, </w:t>
      </w:r>
      <w:r w:rsidDel="00000000" w:rsidR="00000000" w:rsidRPr="00000000">
        <w:rPr>
          <w:i w:val="1"/>
          <w:sz w:val="18"/>
          <w:szCs w:val="18"/>
          <w:rtl w:val="0"/>
        </w:rPr>
        <w:t xml:space="preserve">The Woman in Me</w:t>
      </w:r>
      <w:r w:rsidDel="00000000" w:rsidR="00000000" w:rsidRPr="00000000">
        <w:rPr>
          <w:sz w:val="18"/>
          <w:szCs w:val="18"/>
          <w:rtl w:val="0"/>
        </w:rPr>
        <w:t xml:space="preserve">, p.188.</w:t>
      </w:r>
      <w:r w:rsidDel="00000000" w:rsidR="00000000" w:rsidRPr="00000000">
        <w:rPr>
          <w:rtl w:val="0"/>
        </w:rPr>
      </w:r>
    </w:p>
  </w:footnote>
  <w:footnote w:id="50">
    <w:p w:rsidR="00000000" w:rsidDel="00000000" w:rsidP="00000000" w:rsidRDefault="00000000" w:rsidRPr="00000000" w14:paraId="000000CD">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8"/>
          <w:szCs w:val="18"/>
          <w:rtl w:val="0"/>
        </w:rPr>
        <w:t xml:space="preserve">Britney Spears, </w:t>
      </w:r>
      <w:r w:rsidDel="00000000" w:rsidR="00000000" w:rsidRPr="00000000">
        <w:rPr>
          <w:i w:val="1"/>
          <w:sz w:val="18"/>
          <w:szCs w:val="18"/>
          <w:rtl w:val="0"/>
        </w:rPr>
        <w:t xml:space="preserve">The Woman in Me</w:t>
      </w:r>
      <w:r w:rsidDel="00000000" w:rsidR="00000000" w:rsidRPr="00000000">
        <w:rPr>
          <w:sz w:val="18"/>
          <w:szCs w:val="18"/>
          <w:rtl w:val="0"/>
        </w:rPr>
        <w:t xml:space="preserve">, p. 274.</w:t>
      </w:r>
      <w:r w:rsidDel="00000000" w:rsidR="00000000" w:rsidRPr="00000000">
        <w:rPr>
          <w:rtl w:val="0"/>
        </w:rPr>
      </w:r>
    </w:p>
  </w:footnote>
  <w:footnote w:id="36">
    <w:p w:rsidR="00000000" w:rsidDel="00000000" w:rsidP="00000000" w:rsidRDefault="00000000" w:rsidRPr="00000000" w14:paraId="000000CE">
      <w:pPr>
        <w:spacing w:line="240" w:lineRule="auto"/>
        <w:rPr>
          <w:sz w:val="14"/>
          <w:szCs w:val="14"/>
        </w:rPr>
      </w:pPr>
      <w:r w:rsidDel="00000000" w:rsidR="00000000" w:rsidRPr="00000000">
        <w:rPr>
          <w:rStyle w:val="FootnoteReference"/>
          <w:vertAlign w:val="superscript"/>
        </w:rPr>
        <w:footnoteRef/>
      </w:r>
      <w:r w:rsidDel="00000000" w:rsidR="00000000" w:rsidRPr="00000000">
        <w:rPr>
          <w:sz w:val="18"/>
          <w:szCs w:val="18"/>
          <w:rtl w:val="0"/>
        </w:rPr>
        <w:t xml:space="preserve"> Britney Spears, </w:t>
      </w:r>
      <w:r w:rsidDel="00000000" w:rsidR="00000000" w:rsidRPr="00000000">
        <w:rPr>
          <w:i w:val="1"/>
          <w:sz w:val="18"/>
          <w:szCs w:val="18"/>
          <w:rtl w:val="0"/>
        </w:rPr>
        <w:t xml:space="preserve">The Woman in Me</w:t>
      </w:r>
      <w:r w:rsidDel="00000000" w:rsidR="00000000" w:rsidRPr="00000000">
        <w:rPr>
          <w:sz w:val="18"/>
          <w:szCs w:val="18"/>
          <w:rtl w:val="0"/>
        </w:rPr>
        <w:t xml:space="preserve">, p. 1.</w:t>
      </w:r>
      <w:r w:rsidDel="00000000" w:rsidR="00000000" w:rsidRPr="00000000">
        <w:rPr>
          <w:rtl w:val="0"/>
        </w:rPr>
      </w:r>
    </w:p>
  </w:footnote>
  <w:footnote w:id="40">
    <w:p w:rsidR="00000000" w:rsidDel="00000000" w:rsidP="00000000" w:rsidRDefault="00000000" w:rsidRPr="00000000" w14:paraId="000000CF">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8"/>
          <w:szCs w:val="18"/>
          <w:rtl w:val="0"/>
        </w:rPr>
        <w:t xml:space="preserve">Britney Spears, </w:t>
      </w:r>
      <w:r w:rsidDel="00000000" w:rsidR="00000000" w:rsidRPr="00000000">
        <w:rPr>
          <w:i w:val="1"/>
          <w:sz w:val="18"/>
          <w:szCs w:val="18"/>
          <w:rtl w:val="0"/>
        </w:rPr>
        <w:t xml:space="preserve">The Woman in Me</w:t>
      </w:r>
      <w:r w:rsidDel="00000000" w:rsidR="00000000" w:rsidRPr="00000000">
        <w:rPr>
          <w:sz w:val="18"/>
          <w:szCs w:val="18"/>
          <w:rtl w:val="0"/>
        </w:rPr>
        <w:t xml:space="preserve">, p.166.</w:t>
      </w:r>
      <w:r w:rsidDel="00000000" w:rsidR="00000000" w:rsidRPr="00000000">
        <w:rPr>
          <w:rtl w:val="0"/>
        </w:rPr>
      </w:r>
    </w:p>
  </w:footnote>
  <w:footnote w:id="44">
    <w:p w:rsidR="00000000" w:rsidDel="00000000" w:rsidP="00000000" w:rsidRDefault="00000000" w:rsidRPr="00000000" w14:paraId="000000D0">
      <w:pPr>
        <w:spacing w:line="240" w:lineRule="auto"/>
        <w:rPr>
          <w:sz w:val="18"/>
          <w:szCs w:val="18"/>
          <w:highlight w:val="yellow"/>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4"/>
          <w:szCs w:val="14"/>
          <w:rtl w:val="0"/>
        </w:rPr>
        <w:t xml:space="preserve"> </w:t>
      </w:r>
      <w:r w:rsidDel="00000000" w:rsidR="00000000" w:rsidRPr="00000000">
        <w:rPr>
          <w:sz w:val="18"/>
          <w:szCs w:val="18"/>
          <w:rtl w:val="0"/>
        </w:rPr>
        <w:t xml:space="preserve">Britney Spears, </w:t>
      </w:r>
      <w:r w:rsidDel="00000000" w:rsidR="00000000" w:rsidRPr="00000000">
        <w:rPr>
          <w:i w:val="1"/>
          <w:sz w:val="18"/>
          <w:szCs w:val="18"/>
          <w:rtl w:val="0"/>
        </w:rPr>
        <w:t xml:space="preserve">The Woman in Me</w:t>
      </w:r>
      <w:r w:rsidDel="00000000" w:rsidR="00000000" w:rsidRPr="00000000">
        <w:rPr>
          <w:sz w:val="18"/>
          <w:szCs w:val="18"/>
          <w:rtl w:val="0"/>
        </w:rPr>
        <w:t xml:space="preserve">, p.195.</w:t>
      </w:r>
      <w:r w:rsidDel="00000000" w:rsidR="00000000" w:rsidRPr="00000000">
        <w:rPr>
          <w:rtl w:val="0"/>
        </w:rPr>
      </w:r>
    </w:p>
  </w:footnote>
  <w:footnote w:id="49">
    <w:p w:rsidR="00000000" w:rsidDel="00000000" w:rsidP="00000000" w:rsidRDefault="00000000" w:rsidRPr="00000000" w14:paraId="000000D1">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hyperlink r:id="rId1">
        <w:r w:rsidDel="00000000" w:rsidR="00000000" w:rsidRPr="00000000">
          <w:rPr>
            <w:sz w:val="18"/>
            <w:szCs w:val="18"/>
            <w:rtl w:val="0"/>
          </w:rPr>
          <w:t xml:space="preserve">Hillary Hoffower</w:t>
        </w:r>
      </w:hyperlink>
      <w:r w:rsidDel="00000000" w:rsidR="00000000" w:rsidRPr="00000000">
        <w:rPr>
          <w:sz w:val="18"/>
          <w:szCs w:val="18"/>
          <w:rtl w:val="0"/>
        </w:rPr>
        <w:t xml:space="preserve"> and </w:t>
      </w:r>
      <w:hyperlink r:id="rId2">
        <w:r w:rsidDel="00000000" w:rsidR="00000000" w:rsidRPr="00000000">
          <w:rPr>
            <w:sz w:val="18"/>
            <w:szCs w:val="18"/>
            <w:rtl w:val="0"/>
          </w:rPr>
          <w:t xml:space="preserve">Eve Crosbie</w:t>
        </w:r>
      </w:hyperlink>
      <w:r w:rsidDel="00000000" w:rsidR="00000000" w:rsidRPr="00000000">
        <w:rPr>
          <w:sz w:val="18"/>
          <w:szCs w:val="18"/>
          <w:highlight w:val="white"/>
          <w:rtl w:val="0"/>
        </w:rPr>
        <w:t xml:space="preserve">,</w:t>
      </w:r>
      <w:r w:rsidDel="00000000" w:rsidR="00000000" w:rsidRPr="00000000">
        <w:rPr>
          <w:sz w:val="18"/>
          <w:szCs w:val="18"/>
          <w:highlight w:val="white"/>
          <w:rtl w:val="0"/>
        </w:rPr>
        <w:t xml:space="preserve"> ‘</w:t>
      </w:r>
      <w:r w:rsidDel="00000000" w:rsidR="00000000" w:rsidRPr="00000000">
        <w:rPr>
          <w:sz w:val="18"/>
          <w:szCs w:val="18"/>
          <w:highlight w:val="white"/>
          <w:rtl w:val="0"/>
        </w:rPr>
        <w:t xml:space="preserve">A complete timeline of Britney Spears' conservatorship’, [accessed 2 March, 2024] </w:t>
      </w:r>
      <w:r w:rsidDel="00000000" w:rsidR="00000000" w:rsidRPr="00000000">
        <w:rPr>
          <w:sz w:val="18"/>
          <w:szCs w:val="18"/>
          <w:rtl w:val="0"/>
        </w:rPr>
        <w:t xml:space="preserve">&lt;</w:t>
      </w:r>
      <w:r w:rsidDel="00000000" w:rsidR="00000000" w:rsidRPr="00000000">
        <w:rPr>
          <w:sz w:val="18"/>
          <w:szCs w:val="18"/>
          <w:rtl w:val="0"/>
        </w:rPr>
        <w:t xml:space="preserve">https://www.businessinsider.com/inside-britney-spears-conservatorship-freebritney-movement-2020-12#this-tumultuous-period-led-to-spears-court-approved-conservatorship-which-was-implemented-in-2008-2&gt;</w:t>
      </w:r>
    </w:p>
  </w:footnote>
  <w:footnote w:id="42">
    <w:p w:rsidR="00000000" w:rsidDel="00000000" w:rsidP="00000000" w:rsidRDefault="00000000" w:rsidRPr="00000000" w14:paraId="000000D2">
      <w:pPr>
        <w:spacing w:line="240" w:lineRule="auto"/>
        <w:rPr>
          <w:sz w:val="14"/>
          <w:szCs w:val="14"/>
        </w:rPr>
      </w:pPr>
      <w:r w:rsidDel="00000000" w:rsidR="00000000" w:rsidRPr="00000000">
        <w:rPr>
          <w:rStyle w:val="FootnoteReference"/>
          <w:vertAlign w:val="superscript"/>
        </w:rPr>
        <w:footnoteRef/>
      </w:r>
      <w:r w:rsidDel="00000000" w:rsidR="00000000" w:rsidRPr="00000000">
        <w:rPr>
          <w:sz w:val="18"/>
          <w:szCs w:val="18"/>
          <w:rtl w:val="0"/>
        </w:rPr>
        <w:t xml:space="preserve"> Samuel, N. Kramer,</w:t>
      </w:r>
      <w:r w:rsidDel="00000000" w:rsidR="00000000" w:rsidRPr="00000000">
        <w:rPr>
          <w:sz w:val="18"/>
          <w:szCs w:val="18"/>
          <w:rtl w:val="0"/>
        </w:rPr>
        <w:t xml:space="preserve"> (trans), ‘Inanna’s Descent to the Underworld’ in ‘Sumerian Myth and Epic Tales’ in Pritchard, James B. (ed.), Ancient Near Eastern Texts Relating to the Old Testament, (Princeton: Princeton University Press, 1969), p. 55.</w:t>
      </w:r>
      <w:r w:rsidDel="00000000" w:rsidR="00000000" w:rsidRPr="00000000">
        <w:rPr>
          <w:rtl w:val="0"/>
        </w:rPr>
      </w:r>
    </w:p>
  </w:footnote>
  <w:footnote w:id="28">
    <w:p w:rsidR="00000000" w:rsidDel="00000000" w:rsidP="00000000" w:rsidRDefault="00000000" w:rsidRPr="00000000" w14:paraId="000000D3">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Sylvia Brinton Perera, </w:t>
      </w:r>
      <w:r w:rsidDel="00000000" w:rsidR="00000000" w:rsidRPr="00000000">
        <w:rPr>
          <w:i w:val="1"/>
          <w:sz w:val="18"/>
          <w:szCs w:val="18"/>
          <w:rtl w:val="0"/>
        </w:rPr>
        <w:t xml:space="preserve">Descent to the Goddess,</w:t>
      </w:r>
      <w:r w:rsidDel="00000000" w:rsidR="00000000" w:rsidRPr="00000000">
        <w:rPr>
          <w:sz w:val="18"/>
          <w:szCs w:val="18"/>
          <w:rtl w:val="0"/>
        </w:rPr>
        <w:t xml:space="preserve"> p.14.</w:t>
      </w:r>
    </w:p>
  </w:footnote>
  <w:footnote w:id="45">
    <w:p w:rsidR="00000000" w:rsidDel="00000000" w:rsidP="00000000" w:rsidRDefault="00000000" w:rsidRPr="00000000" w14:paraId="000000D4">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Samuel, N. Kramer,</w:t>
      </w:r>
      <w:r w:rsidDel="00000000" w:rsidR="00000000" w:rsidRPr="00000000">
        <w:rPr>
          <w:sz w:val="18"/>
          <w:szCs w:val="18"/>
          <w:rtl w:val="0"/>
        </w:rPr>
        <w:t xml:space="preserve"> (trans), ‘Inanna’s Descent to the Underworld’, p.55.</w:t>
      </w:r>
      <w:r w:rsidDel="00000000" w:rsidR="00000000" w:rsidRPr="00000000">
        <w:rPr>
          <w:rtl w:val="0"/>
        </w:rPr>
      </w:r>
    </w:p>
  </w:footnote>
  <w:footnote w:id="47">
    <w:p w:rsidR="00000000" w:rsidDel="00000000" w:rsidP="00000000" w:rsidRDefault="00000000" w:rsidRPr="00000000" w14:paraId="000000D5">
      <w:pPr>
        <w:spacing w:line="240" w:lineRule="auto"/>
        <w:rPr>
          <w:sz w:val="18"/>
          <w:szCs w:val="18"/>
          <w:highlight w:val="white"/>
        </w:rPr>
      </w:pPr>
      <w:r w:rsidDel="00000000" w:rsidR="00000000" w:rsidRPr="00000000">
        <w:rPr>
          <w:rStyle w:val="FootnoteReference"/>
          <w:vertAlign w:val="superscript"/>
        </w:rPr>
        <w:footnoteRef/>
      </w:r>
      <w:r w:rsidDel="00000000" w:rsidR="00000000" w:rsidRPr="00000000">
        <w:rPr>
          <w:sz w:val="18"/>
          <w:szCs w:val="18"/>
          <w:highlight w:val="white"/>
          <w:rtl w:val="0"/>
        </w:rPr>
        <w:t xml:space="preserve"> </w:t>
      </w:r>
      <w:r w:rsidDel="00000000" w:rsidR="00000000" w:rsidRPr="00000000">
        <w:rPr>
          <w:sz w:val="18"/>
          <w:szCs w:val="18"/>
          <w:highlight w:val="white"/>
          <w:rtl w:val="0"/>
        </w:rPr>
        <w:t xml:space="preserve">Diane Wolkstein, and Samuel Noah Kramer. Inanna, Queen of Heaven and Earth: Her Stories and Hymns from Sumer. (Harper &amp; Row: New York, 1983), p.xvii.</w:t>
      </w:r>
    </w:p>
  </w:footnote>
  <w:footnote w:id="37">
    <w:p w:rsidR="00000000" w:rsidDel="00000000" w:rsidP="00000000" w:rsidRDefault="00000000" w:rsidRPr="00000000" w14:paraId="000000D6">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highlight w:val="white"/>
          <w:rtl w:val="0"/>
        </w:rPr>
        <w:t xml:space="preserve"> Betty De Shong Meador, </w:t>
      </w:r>
      <w:r w:rsidDel="00000000" w:rsidR="00000000" w:rsidRPr="00000000">
        <w:rPr>
          <w:i w:val="1"/>
          <w:sz w:val="18"/>
          <w:szCs w:val="18"/>
          <w:highlight w:val="white"/>
          <w:rtl w:val="0"/>
        </w:rPr>
        <w:t xml:space="preserve">Inanna, Lady of Largest Heart Poems of the Sumerian High Priestess Enheduanna</w:t>
      </w:r>
      <w:r w:rsidDel="00000000" w:rsidR="00000000" w:rsidRPr="00000000">
        <w:rPr>
          <w:sz w:val="18"/>
          <w:szCs w:val="18"/>
          <w:highlight w:val="white"/>
          <w:rtl w:val="0"/>
        </w:rPr>
        <w:t xml:space="preserve">, 1st ed. (Austin: University of Texas Press, 2000)</w:t>
      </w:r>
      <w:r w:rsidDel="00000000" w:rsidR="00000000" w:rsidRPr="00000000">
        <w:rPr>
          <w:sz w:val="18"/>
          <w:szCs w:val="18"/>
          <w:rtl w:val="0"/>
        </w:rPr>
        <w:t xml:space="preserve">, p.19.</w:t>
      </w:r>
    </w:p>
  </w:footnote>
  <w:footnote w:id="7">
    <w:p w:rsidR="00000000" w:rsidDel="00000000" w:rsidP="00000000" w:rsidRDefault="00000000" w:rsidRPr="00000000" w14:paraId="000000D7">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Mircea Eliade, </w:t>
      </w:r>
      <w:r w:rsidDel="00000000" w:rsidR="00000000" w:rsidRPr="00000000">
        <w:rPr>
          <w:i w:val="1"/>
          <w:sz w:val="18"/>
          <w:szCs w:val="18"/>
          <w:rtl w:val="0"/>
        </w:rPr>
        <w:t xml:space="preserve">‘Cosmogonic Myth and “Sacred History”,</w:t>
      </w:r>
      <w:r w:rsidDel="00000000" w:rsidR="00000000" w:rsidRPr="00000000">
        <w:rPr>
          <w:sz w:val="18"/>
          <w:szCs w:val="18"/>
          <w:rtl w:val="0"/>
        </w:rPr>
        <w:t xml:space="preserve"> Religious Studies, 2.2 (Cambridge: Cambridge University Press, 1967), p. 171.</w:t>
      </w:r>
    </w:p>
  </w:footnote>
  <w:footnote w:id="8">
    <w:p w:rsidR="00000000" w:rsidDel="00000000" w:rsidP="00000000" w:rsidRDefault="00000000" w:rsidRPr="00000000" w14:paraId="000000D8">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James W. Menzies, </w:t>
      </w:r>
      <w:r w:rsidDel="00000000" w:rsidR="00000000" w:rsidRPr="00000000">
        <w:rPr>
          <w:i w:val="1"/>
          <w:sz w:val="18"/>
          <w:szCs w:val="18"/>
          <w:rtl w:val="0"/>
        </w:rPr>
        <w:t xml:space="preserve">‘True Myth: C.S. Lewis and Joseph Campbell on the Veracity of Christianity’ </w:t>
      </w:r>
      <w:r w:rsidDel="00000000" w:rsidR="00000000" w:rsidRPr="00000000">
        <w:rPr>
          <w:sz w:val="18"/>
          <w:szCs w:val="18"/>
          <w:rtl w:val="0"/>
        </w:rPr>
        <w:t xml:space="preserve">(Cambridge: The Lutterworth Press, 2015), p. 23.</w:t>
      </w:r>
    </w:p>
  </w:footnote>
  <w:footnote w:id="23">
    <w:p w:rsidR="00000000" w:rsidDel="00000000" w:rsidP="00000000" w:rsidRDefault="00000000" w:rsidRPr="00000000" w14:paraId="000000D9">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Judith </w:t>
      </w:r>
      <w:r w:rsidDel="00000000" w:rsidR="00000000" w:rsidRPr="00000000">
        <w:rPr>
          <w:sz w:val="18"/>
          <w:szCs w:val="18"/>
          <w:highlight w:val="white"/>
          <w:rtl w:val="0"/>
        </w:rPr>
        <w:t xml:space="preserve">Fletcher, </w:t>
      </w:r>
      <w:r w:rsidDel="00000000" w:rsidR="00000000" w:rsidRPr="00000000">
        <w:rPr>
          <w:i w:val="1"/>
          <w:sz w:val="18"/>
          <w:szCs w:val="18"/>
          <w:highlight w:val="white"/>
          <w:rtl w:val="0"/>
        </w:rPr>
        <w:t xml:space="preserve">Myths of the Underworld in Contemporary Culture: The Backward Gaze</w:t>
      </w:r>
      <w:r w:rsidDel="00000000" w:rsidR="00000000" w:rsidRPr="00000000">
        <w:rPr>
          <w:sz w:val="18"/>
          <w:szCs w:val="18"/>
          <w:highlight w:val="white"/>
          <w:rtl w:val="0"/>
        </w:rPr>
        <w:t xml:space="preserve">, 1st ed. (Oxford: Oxford University Press, 2019), p. 1.</w:t>
      </w:r>
      <w:r w:rsidDel="00000000" w:rsidR="00000000" w:rsidRPr="00000000">
        <w:rPr>
          <w:rtl w:val="0"/>
        </w:rPr>
      </w:r>
    </w:p>
  </w:footnote>
  <w:footnote w:id="24">
    <w:p w:rsidR="00000000" w:rsidDel="00000000" w:rsidP="00000000" w:rsidRDefault="00000000" w:rsidRPr="00000000" w14:paraId="000000DA">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Sylvia Brinton Perera, </w:t>
      </w:r>
      <w:r w:rsidDel="00000000" w:rsidR="00000000" w:rsidRPr="00000000">
        <w:rPr>
          <w:i w:val="1"/>
          <w:sz w:val="18"/>
          <w:szCs w:val="18"/>
          <w:rtl w:val="0"/>
        </w:rPr>
        <w:t xml:space="preserve">Descent to the Goddess, A Way of Initiation for Women</w:t>
      </w:r>
      <w:r w:rsidDel="00000000" w:rsidR="00000000" w:rsidRPr="00000000">
        <w:rPr>
          <w:sz w:val="18"/>
          <w:szCs w:val="18"/>
          <w:rtl w:val="0"/>
        </w:rPr>
        <w:t xml:space="preserve">, (Toronto: Inner City Books, 1981), pp.13-15.</w:t>
      </w:r>
    </w:p>
  </w:footnote>
  <w:footnote w:id="22">
    <w:p w:rsidR="00000000" w:rsidDel="00000000" w:rsidP="00000000" w:rsidRDefault="00000000" w:rsidRPr="00000000" w14:paraId="000000DB">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Rachel </w:t>
      </w:r>
      <w:r w:rsidDel="00000000" w:rsidR="00000000" w:rsidRPr="00000000">
        <w:rPr>
          <w:sz w:val="18"/>
          <w:szCs w:val="18"/>
          <w:highlight w:val="white"/>
          <w:rtl w:val="0"/>
        </w:rPr>
        <w:t xml:space="preserve">Falconer, </w:t>
      </w:r>
      <w:r w:rsidDel="00000000" w:rsidR="00000000" w:rsidRPr="00000000">
        <w:rPr>
          <w:i w:val="1"/>
          <w:sz w:val="18"/>
          <w:szCs w:val="18"/>
          <w:highlight w:val="white"/>
          <w:rtl w:val="0"/>
        </w:rPr>
        <w:t xml:space="preserve">Hell in Contemporary Literature : Western Descent Narratives since 1945</w:t>
      </w:r>
      <w:r w:rsidDel="00000000" w:rsidR="00000000" w:rsidRPr="00000000">
        <w:rPr>
          <w:sz w:val="18"/>
          <w:szCs w:val="18"/>
          <w:highlight w:val="white"/>
          <w:rtl w:val="0"/>
        </w:rPr>
        <w:t xml:space="preserve"> (Edinburgh: Edinburgh University Press, 2005), p.2.</w:t>
      </w:r>
      <w:r w:rsidDel="00000000" w:rsidR="00000000" w:rsidRPr="00000000">
        <w:rPr>
          <w:rtl w:val="0"/>
        </w:rPr>
      </w:r>
    </w:p>
  </w:footnote>
  <w:footnote w:id="34">
    <w:p w:rsidR="00000000" w:rsidDel="00000000" w:rsidP="00000000" w:rsidRDefault="00000000" w:rsidRPr="00000000" w14:paraId="000000DC">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G. J Campbell</w:t>
      </w:r>
      <w:r w:rsidDel="00000000" w:rsidR="00000000" w:rsidRPr="00000000">
        <w:rPr>
          <w:sz w:val="18"/>
          <w:szCs w:val="18"/>
          <w:rtl w:val="0"/>
        </w:rPr>
        <w:t xml:space="preserve"> (2008). Spears, Britney: (b. 1981) POP SINGER. In B. C. MALONE (Ed.), </w:t>
      </w:r>
      <w:r w:rsidDel="00000000" w:rsidR="00000000" w:rsidRPr="00000000">
        <w:rPr>
          <w:i w:val="1"/>
          <w:sz w:val="18"/>
          <w:szCs w:val="18"/>
          <w:rtl w:val="0"/>
        </w:rPr>
        <w:t xml:space="preserve">The New Encyclopedia of Southern Culture: Volume 12: Music</w:t>
      </w:r>
      <w:r w:rsidDel="00000000" w:rsidR="00000000" w:rsidRPr="00000000">
        <w:rPr>
          <w:sz w:val="18"/>
          <w:szCs w:val="18"/>
          <w:rtl w:val="0"/>
        </w:rPr>
        <w:t xml:space="preserve"> (pp. 355–356). University of North Carolina Press, 2008), p.355.</w:t>
      </w:r>
      <w:r w:rsidDel="00000000" w:rsidR="00000000" w:rsidRPr="00000000">
        <w:rPr>
          <w:rtl w:val="0"/>
        </w:rPr>
      </w:r>
    </w:p>
  </w:footnote>
  <w:footnote w:id="5">
    <w:p w:rsidR="00000000" w:rsidDel="00000000" w:rsidP="00000000" w:rsidRDefault="00000000" w:rsidRPr="00000000" w14:paraId="000000DD">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Terry Eagleton, ‘Versions of Culture’, </w:t>
      </w:r>
      <w:r w:rsidDel="00000000" w:rsidR="00000000" w:rsidRPr="00000000">
        <w:rPr>
          <w:i w:val="1"/>
          <w:sz w:val="18"/>
          <w:szCs w:val="18"/>
          <w:rtl w:val="0"/>
        </w:rPr>
        <w:t xml:space="preserve">The Idea of Culture, </w:t>
      </w:r>
      <w:r w:rsidDel="00000000" w:rsidR="00000000" w:rsidRPr="00000000">
        <w:rPr>
          <w:sz w:val="18"/>
          <w:szCs w:val="18"/>
          <w:rtl w:val="0"/>
        </w:rPr>
        <w:t xml:space="preserve">(Oxford, Blackwell, 2000), pp 1 and p. 2.</w:t>
      </w:r>
    </w:p>
  </w:footnote>
  <w:footnote w:id="6">
    <w:p w:rsidR="00000000" w:rsidDel="00000000" w:rsidP="00000000" w:rsidRDefault="00000000" w:rsidRPr="00000000" w14:paraId="000000DE">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Sherrie </w:t>
      </w:r>
      <w:r w:rsidDel="00000000" w:rsidR="00000000" w:rsidRPr="00000000">
        <w:rPr>
          <w:sz w:val="18"/>
          <w:szCs w:val="18"/>
          <w:highlight w:val="white"/>
          <w:rtl w:val="0"/>
        </w:rPr>
        <w:t xml:space="preserve">Inness, </w:t>
      </w:r>
      <w:r w:rsidDel="00000000" w:rsidR="00000000" w:rsidRPr="00000000">
        <w:rPr>
          <w:i w:val="1"/>
          <w:sz w:val="18"/>
          <w:szCs w:val="18"/>
          <w:highlight w:val="white"/>
          <w:rtl w:val="0"/>
        </w:rPr>
        <w:t xml:space="preserve">Tough Girls: Women Warriors and Wonder Women in Popular Culture</w:t>
      </w:r>
      <w:r w:rsidDel="00000000" w:rsidR="00000000" w:rsidRPr="00000000">
        <w:rPr>
          <w:sz w:val="18"/>
          <w:szCs w:val="18"/>
          <w:highlight w:val="white"/>
          <w:rtl w:val="0"/>
        </w:rPr>
        <w:t xml:space="preserve"> (Pennsylvania: University of Pennsylvania Press, Inc, 2018), p.6.</w:t>
      </w:r>
      <w:r w:rsidDel="00000000" w:rsidR="00000000" w:rsidRPr="00000000">
        <w:rPr>
          <w:rtl w:val="0"/>
        </w:rPr>
      </w:r>
    </w:p>
  </w:footnote>
  <w:footnote w:id="18">
    <w:p w:rsidR="00000000" w:rsidDel="00000000" w:rsidP="00000000" w:rsidRDefault="00000000" w:rsidRPr="00000000" w14:paraId="000000DF">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highlight w:val="white"/>
          <w:rtl w:val="0"/>
        </w:rPr>
        <w:t xml:space="preserve">Noah Kramer, in Diane </w:t>
      </w:r>
      <w:r w:rsidDel="00000000" w:rsidR="00000000" w:rsidRPr="00000000">
        <w:rPr>
          <w:sz w:val="18"/>
          <w:szCs w:val="18"/>
          <w:highlight w:val="white"/>
          <w:rtl w:val="0"/>
        </w:rPr>
        <w:t xml:space="preserve">Wolkstein, and Samuel Noah Kramer. Inanna, Queen of Heaven and Earth, </w:t>
      </w:r>
      <w:r w:rsidDel="00000000" w:rsidR="00000000" w:rsidRPr="00000000">
        <w:rPr>
          <w:sz w:val="18"/>
          <w:szCs w:val="18"/>
          <w:rtl w:val="0"/>
        </w:rPr>
        <w:t xml:space="preserve">p.128.</w:t>
      </w:r>
    </w:p>
  </w:footnote>
  <w:footnote w:id="21">
    <w:p w:rsidR="00000000" w:rsidDel="00000000" w:rsidP="00000000" w:rsidRDefault="00000000" w:rsidRPr="00000000" w14:paraId="000000E0">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Samuel Noah Kramer, </w:t>
      </w:r>
      <w:r w:rsidDel="00000000" w:rsidR="00000000" w:rsidRPr="00000000">
        <w:rPr>
          <w:i w:val="1"/>
          <w:sz w:val="18"/>
          <w:szCs w:val="18"/>
          <w:rtl w:val="0"/>
        </w:rPr>
        <w:t xml:space="preserve">From the Poetry of Sumer</w:t>
      </w:r>
      <w:r w:rsidDel="00000000" w:rsidR="00000000" w:rsidRPr="00000000">
        <w:rPr>
          <w:sz w:val="18"/>
          <w:szCs w:val="18"/>
          <w:rtl w:val="0"/>
        </w:rPr>
        <w:t xml:space="preserve">, (Berkeley: University of Berkeley Press, 1979), p.71.</w:t>
      </w:r>
    </w:p>
  </w:footnote>
  <w:footnote w:id="14">
    <w:p w:rsidR="00000000" w:rsidDel="00000000" w:rsidP="00000000" w:rsidRDefault="00000000" w:rsidRPr="00000000" w14:paraId="000000E1">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highlight w:val="white"/>
          <w:rtl w:val="0"/>
        </w:rPr>
        <w:t xml:space="preserve"> Belden C. Lane, 'Stars: Cahokia Mounds and Origen of Alexandria', </w:t>
      </w:r>
      <w:r w:rsidDel="00000000" w:rsidR="00000000" w:rsidRPr="00000000">
        <w:rPr>
          <w:i w:val="1"/>
          <w:sz w:val="18"/>
          <w:szCs w:val="18"/>
          <w:highlight w:val="white"/>
          <w:rtl w:val="0"/>
        </w:rPr>
        <w:t xml:space="preserve">The Great Conversation: Nature and the Care of the Soul</w:t>
      </w:r>
      <w:r w:rsidDel="00000000" w:rsidR="00000000" w:rsidRPr="00000000">
        <w:rPr>
          <w:sz w:val="18"/>
          <w:szCs w:val="18"/>
          <w:highlight w:val="white"/>
          <w:rtl w:val="0"/>
        </w:rPr>
        <w:t xml:space="preserve"> (New York, 2019; online edn, Oxford Academic, 17 Apr. 2019), p.123.</w:t>
      </w:r>
      <w:r w:rsidDel="00000000" w:rsidR="00000000" w:rsidRPr="00000000">
        <w:rPr>
          <w:rtl w:val="0"/>
        </w:rPr>
      </w:r>
    </w:p>
  </w:footnote>
  <w:footnote w:id="17">
    <w:p w:rsidR="00000000" w:rsidDel="00000000" w:rsidP="00000000" w:rsidRDefault="00000000" w:rsidRPr="00000000" w14:paraId="000000E2">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8"/>
          <w:szCs w:val="18"/>
          <w:highlight w:val="white"/>
          <w:rtl w:val="0"/>
        </w:rPr>
        <w:t xml:space="preserve">Noah Kramer, in Diane Wolkstein, and Samuel Noah Kramer. Inanna, Queen of Heaven and Earth: Her Stories and Hymns from Sumer. (Harper &amp; Row: New York, 1983), </w:t>
      </w:r>
      <w:r w:rsidDel="00000000" w:rsidR="00000000" w:rsidRPr="00000000">
        <w:rPr>
          <w:sz w:val="18"/>
          <w:szCs w:val="18"/>
          <w:rtl w:val="0"/>
        </w:rPr>
        <w:t xml:space="preserve">p.128.</w:t>
      </w:r>
      <w:r w:rsidDel="00000000" w:rsidR="00000000" w:rsidRPr="00000000">
        <w:rPr>
          <w:rtl w:val="0"/>
        </w:rPr>
      </w:r>
    </w:p>
  </w:footnote>
  <w:footnote w:id="31">
    <w:p w:rsidR="00000000" w:rsidDel="00000000" w:rsidP="00000000" w:rsidRDefault="00000000" w:rsidRPr="00000000" w14:paraId="000000E3">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8"/>
          <w:szCs w:val="18"/>
          <w:highlight w:val="white"/>
          <w:rtl w:val="0"/>
        </w:rPr>
        <w:t xml:space="preserve">Belden C. Lane, 'Stars: Cahokia Mounds and Origen of Alexandria', </w:t>
      </w:r>
      <w:r w:rsidDel="00000000" w:rsidR="00000000" w:rsidRPr="00000000">
        <w:rPr>
          <w:i w:val="1"/>
          <w:sz w:val="18"/>
          <w:szCs w:val="18"/>
          <w:highlight w:val="white"/>
          <w:rtl w:val="0"/>
        </w:rPr>
        <w:t xml:space="preserve">The Great Conversation: Nature and the Care of the Soul</w:t>
      </w:r>
      <w:r w:rsidDel="00000000" w:rsidR="00000000" w:rsidRPr="00000000">
        <w:rPr>
          <w:sz w:val="18"/>
          <w:szCs w:val="18"/>
          <w:highlight w:val="white"/>
          <w:rtl w:val="0"/>
        </w:rPr>
        <w:t xml:space="preserve"> (New York, 2019; online edn, Oxford Academic, 17 Apr. 2019), p.128.</w:t>
      </w:r>
      <w:r w:rsidDel="00000000" w:rsidR="00000000" w:rsidRPr="00000000">
        <w:rPr>
          <w:rtl w:val="0"/>
        </w:rPr>
      </w:r>
    </w:p>
  </w:footnote>
  <w:footnote w:id="25">
    <w:p w:rsidR="00000000" w:rsidDel="00000000" w:rsidP="00000000" w:rsidRDefault="00000000" w:rsidRPr="00000000" w14:paraId="000000E4">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Sylvia Brinton Perera, </w:t>
      </w:r>
      <w:r w:rsidDel="00000000" w:rsidR="00000000" w:rsidRPr="00000000">
        <w:rPr>
          <w:i w:val="1"/>
          <w:sz w:val="18"/>
          <w:szCs w:val="18"/>
          <w:rtl w:val="0"/>
        </w:rPr>
        <w:t xml:space="preserve">Descent to the Goddess, </w:t>
      </w:r>
      <w:r w:rsidDel="00000000" w:rsidR="00000000" w:rsidRPr="00000000">
        <w:rPr>
          <w:sz w:val="18"/>
          <w:szCs w:val="18"/>
          <w:rtl w:val="0"/>
        </w:rPr>
        <w:t xml:space="preserve">p.11.</w:t>
      </w:r>
    </w:p>
  </w:footnote>
  <w:footnote w:id="29">
    <w:p w:rsidR="00000000" w:rsidDel="00000000" w:rsidP="00000000" w:rsidRDefault="00000000" w:rsidRPr="00000000" w14:paraId="000000E5">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Clive Ruggles, ‘Inaugural Lecture: Ancient Astronomies — Ancient Worlds’, Journal for the History of Astronomy, (2000)  31(25), p. S65.</w:t>
      </w:r>
    </w:p>
  </w:footnote>
  <w:footnote w:id="30">
    <w:p w:rsidR="00000000" w:rsidDel="00000000" w:rsidP="00000000" w:rsidRDefault="00000000" w:rsidRPr="00000000" w14:paraId="000000E6">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‘Star’ English Definition, </w:t>
      </w:r>
      <w:r w:rsidDel="00000000" w:rsidR="00000000" w:rsidRPr="00000000">
        <w:rPr>
          <w:i w:val="1"/>
          <w:sz w:val="18"/>
          <w:szCs w:val="18"/>
          <w:rtl w:val="0"/>
        </w:rPr>
        <w:t xml:space="preserve">Cambridge Online Dictionary</w:t>
      </w:r>
      <w:r w:rsidDel="00000000" w:rsidR="00000000" w:rsidRPr="00000000">
        <w:rPr>
          <w:sz w:val="18"/>
          <w:szCs w:val="18"/>
          <w:rtl w:val="0"/>
        </w:rPr>
        <w:t xml:space="preserve">, &lt;</w:t>
      </w:r>
      <w:hyperlink r:id="rId3">
        <w:r w:rsidDel="00000000" w:rsidR="00000000" w:rsidRPr="00000000">
          <w:rPr>
            <w:sz w:val="18"/>
            <w:szCs w:val="18"/>
            <w:u w:val="single"/>
            <w:rtl w:val="0"/>
          </w:rPr>
          <w:t xml:space="preserve">https://dictionary.cambridge.org/us/dictionary/english/star</w:t>
        </w:r>
      </w:hyperlink>
      <w:r w:rsidDel="00000000" w:rsidR="00000000" w:rsidRPr="00000000">
        <w:rPr>
          <w:sz w:val="18"/>
          <w:szCs w:val="18"/>
          <w:rtl w:val="0"/>
        </w:rPr>
        <w:t xml:space="preserve">&gt;,  [accessed 29 February, 2024] </w:t>
      </w:r>
    </w:p>
  </w:footnote>
  <w:footnote w:id="32">
    <w:p w:rsidR="00000000" w:rsidDel="00000000" w:rsidP="00000000" w:rsidRDefault="00000000" w:rsidRPr="00000000" w14:paraId="000000E7">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8"/>
          <w:szCs w:val="18"/>
          <w:highlight w:val="white"/>
          <w:rtl w:val="0"/>
        </w:rPr>
        <w:t xml:space="preserve">Robert A. Segal, </w:t>
      </w:r>
      <w:r w:rsidDel="00000000" w:rsidR="00000000" w:rsidRPr="00000000">
        <w:rPr>
          <w:i w:val="1"/>
          <w:sz w:val="18"/>
          <w:szCs w:val="18"/>
          <w:highlight w:val="white"/>
          <w:rtl w:val="0"/>
        </w:rPr>
        <w:t xml:space="preserve">Myth : A Very Short Introduction</w:t>
      </w:r>
      <w:r w:rsidDel="00000000" w:rsidR="00000000" w:rsidRPr="00000000">
        <w:rPr>
          <w:sz w:val="18"/>
          <w:szCs w:val="18"/>
          <w:highlight w:val="white"/>
          <w:rtl w:val="0"/>
        </w:rPr>
        <w:t xml:space="preserve"> (Oxford: Oxford University Press, 2004) p. 141.</w:t>
      </w:r>
      <w:r w:rsidDel="00000000" w:rsidR="00000000" w:rsidRPr="00000000">
        <w:rPr>
          <w:rtl w:val="0"/>
        </w:rPr>
      </w:r>
    </w:p>
  </w:footnote>
  <w:footnote w:id="9">
    <w:p w:rsidR="00000000" w:rsidDel="00000000" w:rsidP="00000000" w:rsidRDefault="00000000" w:rsidRPr="00000000" w14:paraId="000000E8">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8"/>
          <w:szCs w:val="18"/>
          <w:highlight w:val="white"/>
          <w:rtl w:val="0"/>
        </w:rPr>
        <w:t xml:space="preserve">Robert A. Segal, </w:t>
      </w:r>
      <w:r w:rsidDel="00000000" w:rsidR="00000000" w:rsidRPr="00000000">
        <w:rPr>
          <w:i w:val="1"/>
          <w:sz w:val="18"/>
          <w:szCs w:val="18"/>
          <w:highlight w:val="white"/>
          <w:rtl w:val="0"/>
        </w:rPr>
        <w:t xml:space="preserve">Myth : A Very Short Introduction</w:t>
      </w:r>
      <w:r w:rsidDel="00000000" w:rsidR="00000000" w:rsidRPr="00000000">
        <w:rPr>
          <w:sz w:val="18"/>
          <w:szCs w:val="18"/>
          <w:highlight w:val="white"/>
          <w:rtl w:val="0"/>
        </w:rPr>
        <w:t xml:space="preserve"> (Oxford: Oxford University Press, 2004), pp. 2, &amp; p.5.</w:t>
      </w:r>
      <w:r w:rsidDel="00000000" w:rsidR="00000000" w:rsidRPr="00000000">
        <w:rPr>
          <w:rtl w:val="0"/>
        </w:rPr>
      </w:r>
    </w:p>
  </w:footnote>
  <w:footnote w:id="11">
    <w:p w:rsidR="00000000" w:rsidDel="00000000" w:rsidP="00000000" w:rsidRDefault="00000000" w:rsidRPr="00000000" w14:paraId="000000E9">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C.G. Jung, </w:t>
      </w:r>
      <w:r w:rsidDel="00000000" w:rsidR="00000000" w:rsidRPr="00000000">
        <w:rPr>
          <w:i w:val="1"/>
          <w:sz w:val="18"/>
          <w:szCs w:val="18"/>
          <w:rtl w:val="0"/>
        </w:rPr>
        <w:t xml:space="preserve">Archetypes and the Collective Unconscious</w:t>
      </w:r>
      <w:r w:rsidDel="00000000" w:rsidR="00000000" w:rsidRPr="00000000">
        <w:rPr>
          <w:sz w:val="18"/>
          <w:szCs w:val="18"/>
          <w:rtl w:val="0"/>
        </w:rPr>
        <w:t xml:space="preserve">, eds. by Gerhard Adler and R. F. C. Hull, (Princeton, Princeton University Press, 1969), pp. 3-4.</w:t>
      </w:r>
    </w:p>
  </w:footnote>
  <w:footnote w:id="19">
    <w:p w:rsidR="00000000" w:rsidDel="00000000" w:rsidP="00000000" w:rsidRDefault="00000000" w:rsidRPr="00000000" w14:paraId="000000EA">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G. E. </w:t>
      </w:r>
      <w:r w:rsidDel="00000000" w:rsidR="00000000" w:rsidRPr="00000000">
        <w:rPr>
          <w:sz w:val="18"/>
          <w:szCs w:val="18"/>
          <w:highlight w:val="white"/>
          <w:rtl w:val="0"/>
        </w:rPr>
        <w:t xml:space="preserve">Kurtik, “The Identification of Inanna with the Planet Venus: A Criterion for the Time Determination of the Recognition of Constellations in Ancient Mesopotamia,” </w:t>
      </w:r>
      <w:r w:rsidDel="00000000" w:rsidR="00000000" w:rsidRPr="00000000">
        <w:rPr>
          <w:i w:val="1"/>
          <w:sz w:val="18"/>
          <w:szCs w:val="18"/>
          <w:highlight w:val="white"/>
          <w:rtl w:val="0"/>
        </w:rPr>
        <w:t xml:space="preserve">Astronomical and Astrophysical Transactions</w:t>
      </w:r>
      <w:r w:rsidDel="00000000" w:rsidR="00000000" w:rsidRPr="00000000">
        <w:rPr>
          <w:sz w:val="18"/>
          <w:szCs w:val="18"/>
          <w:highlight w:val="white"/>
          <w:rtl w:val="0"/>
        </w:rPr>
        <w:t xml:space="preserve">, 17.6 (1999), p. </w:t>
      </w:r>
      <w:r w:rsidDel="00000000" w:rsidR="00000000" w:rsidRPr="00000000">
        <w:rPr>
          <w:sz w:val="18"/>
          <w:szCs w:val="18"/>
          <w:rtl w:val="0"/>
        </w:rPr>
        <w:t xml:space="preserve">512.</w:t>
      </w:r>
    </w:p>
  </w:footnote>
  <w:footnote w:id="20">
    <w:p w:rsidR="00000000" w:rsidDel="00000000" w:rsidP="00000000" w:rsidRDefault="00000000" w:rsidRPr="00000000" w14:paraId="000000EB">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Franscesca Rochberg, </w:t>
      </w:r>
      <w:r w:rsidDel="00000000" w:rsidR="00000000" w:rsidRPr="00000000">
        <w:rPr>
          <w:i w:val="1"/>
          <w:sz w:val="18"/>
          <w:szCs w:val="18"/>
          <w:rtl w:val="0"/>
        </w:rPr>
        <w:t xml:space="preserve">In the Path of the Moon, Babylonian Celestial Divination and Its Legacy, </w:t>
      </w:r>
      <w:r w:rsidDel="00000000" w:rsidR="00000000" w:rsidRPr="00000000">
        <w:rPr>
          <w:sz w:val="18"/>
          <w:szCs w:val="18"/>
          <w:rtl w:val="0"/>
        </w:rPr>
        <w:t xml:space="preserve">(Leiden, Brill, 2019), p. 325.</w:t>
      </w:r>
    </w:p>
  </w:footnote>
  <w:footnote w:id="15">
    <w:p w:rsidR="00000000" w:rsidDel="00000000" w:rsidP="00000000" w:rsidRDefault="00000000" w:rsidRPr="00000000" w14:paraId="000000EC">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highlight w:val="white"/>
          <w:rtl w:val="0"/>
        </w:rPr>
        <w:t xml:space="preserve"> </w:t>
      </w:r>
      <w:r w:rsidDel="00000000" w:rsidR="00000000" w:rsidRPr="00000000">
        <w:rPr>
          <w:sz w:val="18"/>
          <w:szCs w:val="18"/>
          <w:highlight w:val="white"/>
          <w:rtl w:val="0"/>
        </w:rPr>
        <w:t xml:space="preserve">Nicholas Campion, </w:t>
      </w:r>
      <w:r w:rsidDel="00000000" w:rsidR="00000000" w:rsidRPr="00000000">
        <w:rPr>
          <w:i w:val="1"/>
          <w:sz w:val="18"/>
          <w:szCs w:val="18"/>
          <w:highlight w:val="white"/>
          <w:rtl w:val="0"/>
        </w:rPr>
        <w:t xml:space="preserve">The Dawn of Astrology : A Cultural History of Western Astrology. Vol. 1, the Ancient and Classical Worlds</w:t>
      </w:r>
      <w:r w:rsidDel="00000000" w:rsidR="00000000" w:rsidRPr="00000000">
        <w:rPr>
          <w:sz w:val="18"/>
          <w:szCs w:val="18"/>
          <w:highlight w:val="white"/>
          <w:rtl w:val="0"/>
        </w:rPr>
        <w:t xml:space="preserve"> (London: Continuum, 2008), p. 54.</w:t>
      </w:r>
      <w:r w:rsidDel="00000000" w:rsidR="00000000" w:rsidRPr="00000000">
        <w:rPr>
          <w:rtl w:val="0"/>
        </w:rPr>
      </w:r>
    </w:p>
  </w:footnote>
  <w:footnote w:id="46">
    <w:p w:rsidR="00000000" w:rsidDel="00000000" w:rsidP="00000000" w:rsidRDefault="00000000" w:rsidRPr="00000000" w14:paraId="000000ED">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8"/>
          <w:szCs w:val="18"/>
          <w:rtl w:val="0"/>
        </w:rPr>
        <w:t xml:space="preserve">What to Know About Britney Spears, Time.com, [accessed 22, March 2024] &lt;https://time.com/5921720/britney-spears-conservatorship-free-britney/&gt;</w:t>
      </w:r>
      <w:r w:rsidDel="00000000" w:rsidR="00000000" w:rsidRPr="00000000">
        <w:rPr>
          <w:rtl w:val="0"/>
        </w:rPr>
      </w:r>
    </w:p>
  </w:footnote>
  <w:footnote w:id="39">
    <w:p w:rsidR="00000000" w:rsidDel="00000000" w:rsidP="00000000" w:rsidRDefault="00000000" w:rsidRPr="00000000" w14:paraId="000000EE">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What to Know About Britney Spears, Her Conservatorship and the #FreeBritney Movement, Time.com, [accessed 22, March 2024] &lt;https://time.com/5921720/britney-spears-conservatorship-free-britney/&gt;</w:t>
      </w:r>
    </w:p>
  </w:footnote>
  <w:footnote w:id="13">
    <w:p w:rsidR="00000000" w:rsidDel="00000000" w:rsidP="00000000" w:rsidRDefault="00000000" w:rsidRPr="00000000" w14:paraId="000000EF">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highlight w:val="white"/>
          <w:rtl w:val="0"/>
        </w:rPr>
        <w:t xml:space="preserve"> Francesca Rochberg, </w:t>
      </w:r>
      <w:r w:rsidDel="00000000" w:rsidR="00000000" w:rsidRPr="00000000">
        <w:rPr>
          <w:i w:val="1"/>
          <w:sz w:val="18"/>
          <w:szCs w:val="18"/>
          <w:highlight w:val="white"/>
          <w:rtl w:val="0"/>
        </w:rPr>
        <w:t xml:space="preserve">The Heavenly Writing : Divination, Horoscopy, and Astronomy in Mesopotamian Culture</w:t>
      </w:r>
      <w:r w:rsidDel="00000000" w:rsidR="00000000" w:rsidRPr="00000000">
        <w:rPr>
          <w:sz w:val="18"/>
          <w:szCs w:val="18"/>
          <w:highlight w:val="white"/>
          <w:rtl w:val="0"/>
        </w:rPr>
        <w:t xml:space="preserve"> (Cambridge: Cambridge University Press, 2004), p. 46.</w:t>
      </w:r>
      <w:r w:rsidDel="00000000" w:rsidR="00000000" w:rsidRPr="00000000">
        <w:rPr>
          <w:rtl w:val="0"/>
        </w:rPr>
      </w:r>
    </w:p>
  </w:footnote>
  <w:footnote w:id="16">
    <w:p w:rsidR="00000000" w:rsidDel="00000000" w:rsidP="00000000" w:rsidRDefault="00000000" w:rsidRPr="00000000" w14:paraId="000000F0">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8"/>
          <w:szCs w:val="18"/>
          <w:highlight w:val="white"/>
          <w:rtl w:val="0"/>
        </w:rPr>
        <w:t xml:space="preserve">Francesca Rochberg, </w:t>
      </w:r>
      <w:r w:rsidDel="00000000" w:rsidR="00000000" w:rsidRPr="00000000">
        <w:rPr>
          <w:i w:val="1"/>
          <w:sz w:val="18"/>
          <w:szCs w:val="18"/>
          <w:highlight w:val="white"/>
          <w:rtl w:val="0"/>
        </w:rPr>
        <w:t xml:space="preserve">The Heavenly Writing : Divination, Horoscopy, and Astronomy in Mesopotamian Culture</w:t>
      </w:r>
      <w:r w:rsidDel="00000000" w:rsidR="00000000" w:rsidRPr="00000000">
        <w:rPr>
          <w:sz w:val="18"/>
          <w:szCs w:val="18"/>
          <w:highlight w:val="white"/>
          <w:rtl w:val="0"/>
        </w:rPr>
        <w:t xml:space="preserve"> (Cambridge: Cambridge University Press, 2004), p. 47.</w:t>
      </w:r>
      <w:r w:rsidDel="00000000" w:rsidR="00000000" w:rsidRPr="00000000">
        <w:rPr>
          <w:rtl w:val="0"/>
        </w:rPr>
      </w:r>
    </w:p>
  </w:footnote>
  <w:footnote w:id="12">
    <w:p w:rsidR="00000000" w:rsidDel="00000000" w:rsidP="00000000" w:rsidRDefault="00000000" w:rsidRPr="00000000" w14:paraId="000000F1">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highlight w:val="white"/>
          <w:rtl w:val="0"/>
        </w:rPr>
        <w:t xml:space="preserve"> </w:t>
      </w:r>
      <w:r w:rsidDel="00000000" w:rsidR="00000000" w:rsidRPr="00000000">
        <w:rPr>
          <w:sz w:val="18"/>
          <w:szCs w:val="18"/>
          <w:highlight w:val="white"/>
          <w:rtl w:val="0"/>
        </w:rPr>
        <w:t xml:space="preserve">Nicholas Campion, </w:t>
      </w:r>
      <w:r w:rsidDel="00000000" w:rsidR="00000000" w:rsidRPr="00000000">
        <w:rPr>
          <w:i w:val="1"/>
          <w:sz w:val="18"/>
          <w:szCs w:val="18"/>
          <w:highlight w:val="white"/>
          <w:rtl w:val="0"/>
        </w:rPr>
        <w:t xml:space="preserve">Astrology and Cosmology in the World’s Religions</w:t>
      </w:r>
      <w:r w:rsidDel="00000000" w:rsidR="00000000" w:rsidRPr="00000000">
        <w:rPr>
          <w:sz w:val="18"/>
          <w:szCs w:val="18"/>
          <w:highlight w:val="white"/>
          <w:rtl w:val="0"/>
        </w:rPr>
        <w:t xml:space="preserve"> (New York: New York University Press, 2012), p.7.</w:t>
      </w:r>
      <w:r w:rsidDel="00000000" w:rsidR="00000000" w:rsidRPr="00000000">
        <w:rPr>
          <w:rtl w:val="0"/>
        </w:rPr>
      </w:r>
    </w:p>
  </w:footnote>
  <w:footnote w:id="27">
    <w:p w:rsidR="00000000" w:rsidDel="00000000" w:rsidP="00000000" w:rsidRDefault="00000000" w:rsidRPr="00000000" w14:paraId="000000F2">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Rivkah </w:t>
      </w:r>
      <w:r w:rsidDel="00000000" w:rsidR="00000000" w:rsidRPr="00000000">
        <w:rPr>
          <w:rFonts w:ascii="Roboto" w:cs="Roboto" w:eastAsia="Roboto" w:hAnsi="Roboto"/>
          <w:color w:val="131313"/>
          <w:sz w:val="18"/>
          <w:szCs w:val="18"/>
          <w:rtl w:val="0"/>
        </w:rPr>
        <w:t xml:space="preserve">Harris,, ‘Inanna-Ishtar as Paradox, p. 263.</w:t>
      </w:r>
      <w:r w:rsidDel="00000000" w:rsidR="00000000" w:rsidRPr="00000000">
        <w:rPr>
          <w:rtl w:val="0"/>
        </w:rPr>
      </w:r>
    </w:p>
  </w:footnote>
  <w:footnote w:id="26">
    <w:p w:rsidR="00000000" w:rsidDel="00000000" w:rsidP="00000000" w:rsidRDefault="00000000" w:rsidRPr="00000000" w14:paraId="000000F3">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Rivkah </w:t>
      </w:r>
      <w:r w:rsidDel="00000000" w:rsidR="00000000" w:rsidRPr="00000000">
        <w:rPr>
          <w:rFonts w:ascii="Roboto" w:cs="Roboto" w:eastAsia="Roboto" w:hAnsi="Roboto"/>
          <w:sz w:val="18"/>
          <w:szCs w:val="18"/>
          <w:rtl w:val="0"/>
        </w:rPr>
        <w:t xml:space="preserve">Harris., ‘Inanna-Ishtar as Paradox and a Coincidence of Opposites’, History of Religions, (University of Chicago Press, vol. 30, no. 3, 1991), p. 270.</w:t>
      </w:r>
      <w:r w:rsidDel="00000000" w:rsidR="00000000" w:rsidRPr="00000000">
        <w:rPr>
          <w:rtl w:val="0"/>
        </w:rPr>
      </w:r>
    </w:p>
  </w:footnote>
  <w:footnote w:id="4">
    <w:p w:rsidR="00000000" w:rsidDel="00000000" w:rsidP="00000000" w:rsidRDefault="00000000" w:rsidRPr="00000000" w14:paraId="000000F4">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Raymond Williams, </w:t>
      </w:r>
      <w:r w:rsidDel="00000000" w:rsidR="00000000" w:rsidRPr="00000000">
        <w:rPr>
          <w:i w:val="1"/>
          <w:sz w:val="18"/>
          <w:szCs w:val="18"/>
          <w:rtl w:val="0"/>
        </w:rPr>
        <w:t xml:space="preserve">Keywords</w:t>
      </w:r>
      <w:r w:rsidDel="00000000" w:rsidR="00000000" w:rsidRPr="00000000">
        <w:rPr>
          <w:sz w:val="18"/>
          <w:szCs w:val="18"/>
          <w:rtl w:val="0"/>
        </w:rPr>
        <w:t xml:space="preserve">, 2nd ed. (London: Collins Fontana, 1983), p. 44.</w:t>
      </w:r>
    </w:p>
  </w:footnote>
  <w:footnote w:id="38">
    <w:p w:rsidR="00000000" w:rsidDel="00000000" w:rsidP="00000000" w:rsidRDefault="00000000" w:rsidRPr="00000000" w14:paraId="000000F5">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Britney Spears, </w:t>
      </w:r>
      <w:r w:rsidDel="00000000" w:rsidR="00000000" w:rsidRPr="00000000">
        <w:rPr>
          <w:i w:val="1"/>
          <w:sz w:val="18"/>
          <w:szCs w:val="18"/>
          <w:rtl w:val="0"/>
        </w:rPr>
        <w:t xml:space="preserve">The Woman in Me</w:t>
      </w:r>
      <w:r w:rsidDel="00000000" w:rsidR="00000000" w:rsidRPr="00000000">
        <w:rPr>
          <w:sz w:val="18"/>
          <w:szCs w:val="18"/>
          <w:rtl w:val="0"/>
        </w:rPr>
        <w:t xml:space="preserve">, p. 88.</w:t>
      </w:r>
    </w:p>
  </w:footnote>
  <w:footnote w:id="0">
    <w:p w:rsidR="00000000" w:rsidDel="00000000" w:rsidP="00000000" w:rsidRDefault="00000000" w:rsidRPr="00000000" w14:paraId="000000F6">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Darrelyn Gunzburg, ed. </w:t>
      </w:r>
      <w:r w:rsidDel="00000000" w:rsidR="00000000" w:rsidRPr="00000000">
        <w:rPr>
          <w:i w:val="1"/>
          <w:sz w:val="18"/>
          <w:szCs w:val="18"/>
          <w:rtl w:val="0"/>
        </w:rPr>
        <w:t xml:space="preserve">The Imagined Sky: Cultural Perspectives</w:t>
      </w:r>
      <w:r w:rsidDel="00000000" w:rsidR="00000000" w:rsidRPr="00000000">
        <w:rPr>
          <w:sz w:val="18"/>
          <w:szCs w:val="18"/>
          <w:rtl w:val="0"/>
        </w:rPr>
        <w:t xml:space="preserve"> (Sheffield: Equinox, 2013), p. ix.</w:t>
      </w:r>
    </w:p>
  </w:footnote>
  <w:footnote w:id="1">
    <w:p w:rsidR="00000000" w:rsidDel="00000000" w:rsidP="00000000" w:rsidRDefault="00000000" w:rsidRPr="00000000" w14:paraId="000000F7">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Clive Ruggles, ‘Pushing back the frontiers or still running around the same circles? ‘Interpretive archaeastronomy’; thirty years on’, in Clive Ruggles (ed.), </w:t>
      </w:r>
      <w:r w:rsidDel="00000000" w:rsidR="00000000" w:rsidRPr="00000000">
        <w:rPr>
          <w:i w:val="1"/>
          <w:sz w:val="18"/>
          <w:szCs w:val="18"/>
          <w:rtl w:val="0"/>
        </w:rPr>
        <w:t xml:space="preserve">Archeoastronomy and Ethnoastronomy: Building Bridges between Cultures, Proceedings of INternational Astronomy Union Symposium 278, </w:t>
      </w:r>
      <w:r w:rsidDel="00000000" w:rsidR="00000000" w:rsidRPr="00000000">
        <w:rPr>
          <w:sz w:val="18"/>
          <w:szCs w:val="18"/>
          <w:rtl w:val="0"/>
        </w:rPr>
        <w:t xml:space="preserve">(Cambridge: Cambridge University Press, 2011), p.15.</w:t>
      </w:r>
    </w:p>
  </w:footnote>
  <w:footnote w:id="2">
    <w:p w:rsidR="00000000" w:rsidDel="00000000" w:rsidP="00000000" w:rsidRDefault="00000000" w:rsidRPr="00000000" w14:paraId="000000F8">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Clive Ruggles and Gary Urton. “Introduction.” </w:t>
      </w:r>
      <w:r w:rsidDel="00000000" w:rsidR="00000000" w:rsidRPr="00000000">
        <w:rPr>
          <w:i w:val="1"/>
          <w:sz w:val="18"/>
          <w:szCs w:val="18"/>
          <w:rtl w:val="0"/>
        </w:rPr>
        <w:t xml:space="preserve">Skywatching in the Ancient World: New Perspectives in Cultural Astronomy</w:t>
      </w:r>
      <w:r w:rsidDel="00000000" w:rsidR="00000000" w:rsidRPr="00000000">
        <w:rPr>
          <w:sz w:val="18"/>
          <w:szCs w:val="18"/>
          <w:rtl w:val="0"/>
        </w:rPr>
        <w:t xml:space="preserve">, edited by Clive Ruggles and Gary Urton, (Colorado: University Press of Colorado, 2007), p 12.</w:t>
      </w:r>
    </w:p>
  </w:footnote>
  <w:footnote w:id="3">
    <w:p w:rsidR="00000000" w:rsidDel="00000000" w:rsidP="00000000" w:rsidRDefault="00000000" w:rsidRPr="00000000" w14:paraId="000000F9">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Fabio Silva, “The Role and Importance of the Sky in Archaeology: An Introduction.” </w:t>
      </w:r>
      <w:r w:rsidDel="00000000" w:rsidR="00000000" w:rsidRPr="00000000">
        <w:rPr>
          <w:i w:val="1"/>
          <w:sz w:val="18"/>
          <w:szCs w:val="18"/>
          <w:rtl w:val="0"/>
        </w:rPr>
        <w:t xml:space="preserve">Skyscapes: The Role and Importance of the Sky in Archaeology</w:t>
      </w:r>
      <w:r w:rsidDel="00000000" w:rsidR="00000000" w:rsidRPr="00000000">
        <w:rPr>
          <w:sz w:val="18"/>
          <w:szCs w:val="18"/>
          <w:rtl w:val="0"/>
        </w:rPr>
        <w:t xml:space="preserve">, edited by Fabio Silva and Nicholas Campion, Oxbow Books, 2015, p. 2. </w:t>
      </w:r>
    </w:p>
  </w:footnote>
  <w:footnote w:id="51">
    <w:p w:rsidR="00000000" w:rsidDel="00000000" w:rsidP="00000000" w:rsidRDefault="00000000" w:rsidRPr="00000000" w14:paraId="000000FA">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Darrlyn Gunzburg, ed. </w:t>
      </w:r>
      <w:r w:rsidDel="00000000" w:rsidR="00000000" w:rsidRPr="00000000">
        <w:rPr>
          <w:i w:val="1"/>
          <w:sz w:val="18"/>
          <w:szCs w:val="18"/>
          <w:rtl w:val="0"/>
        </w:rPr>
        <w:t xml:space="preserve">The Imagined Sky: Cultural Perspectives</w:t>
      </w:r>
      <w:r w:rsidDel="00000000" w:rsidR="00000000" w:rsidRPr="00000000">
        <w:rPr>
          <w:sz w:val="18"/>
          <w:szCs w:val="18"/>
          <w:rtl w:val="0"/>
        </w:rPr>
        <w:t xml:space="preserve"> (Sheffield: Equinox, 2013), p. ix.</w:t>
      </w:r>
    </w:p>
  </w:footnote>
  <w:footnote w:id="53">
    <w:p w:rsidR="00000000" w:rsidDel="00000000" w:rsidP="00000000" w:rsidRDefault="00000000" w:rsidRPr="00000000" w14:paraId="000000FB">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Sylvia Brinton Perera, </w:t>
      </w:r>
      <w:r w:rsidDel="00000000" w:rsidR="00000000" w:rsidRPr="00000000">
        <w:rPr>
          <w:i w:val="1"/>
          <w:sz w:val="18"/>
          <w:szCs w:val="18"/>
          <w:rtl w:val="0"/>
        </w:rPr>
        <w:t xml:space="preserve">Descent to the Goddess, </w:t>
      </w:r>
      <w:r w:rsidDel="00000000" w:rsidR="00000000" w:rsidRPr="00000000">
        <w:rPr>
          <w:sz w:val="18"/>
          <w:szCs w:val="18"/>
          <w:rtl w:val="0"/>
        </w:rPr>
        <w:t xml:space="preserve">p.11.</w:t>
      </w:r>
    </w:p>
  </w:footnote>
  <w:footnote w:id="35">
    <w:p w:rsidR="00000000" w:rsidDel="00000000" w:rsidP="00000000" w:rsidRDefault="00000000" w:rsidRPr="00000000" w14:paraId="000000FC">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Samuel N. Kramer, (trans), ‘Inanna’s Descent to the Nether World’ in ‘Sumerian Myth and Epic Tales’ in Pritchard, James B. (ed.), Ancient Near Eastern Texts Relating to the Old Testament, (Princeton: Princeton University Press, 1969), p. 52.</w:t>
      </w:r>
    </w:p>
  </w:footnote>
  <w:footnote w:id="52">
    <w:p w:rsidR="00000000" w:rsidDel="00000000" w:rsidP="00000000" w:rsidRDefault="00000000" w:rsidRPr="00000000" w14:paraId="000000FD">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Sherrie </w:t>
      </w:r>
      <w:r w:rsidDel="00000000" w:rsidR="00000000" w:rsidRPr="00000000">
        <w:rPr>
          <w:sz w:val="18"/>
          <w:szCs w:val="18"/>
          <w:highlight w:val="white"/>
          <w:rtl w:val="0"/>
        </w:rPr>
        <w:t xml:space="preserve">Inness, </w:t>
      </w:r>
      <w:r w:rsidDel="00000000" w:rsidR="00000000" w:rsidRPr="00000000">
        <w:rPr>
          <w:i w:val="1"/>
          <w:sz w:val="18"/>
          <w:szCs w:val="18"/>
          <w:highlight w:val="white"/>
          <w:rtl w:val="0"/>
        </w:rPr>
        <w:t xml:space="preserve">Tough Girls: Women Warriors and Wonder Women in Popular Culture</w:t>
      </w:r>
      <w:r w:rsidDel="00000000" w:rsidR="00000000" w:rsidRPr="00000000">
        <w:rPr>
          <w:sz w:val="18"/>
          <w:szCs w:val="18"/>
          <w:highlight w:val="white"/>
          <w:rtl w:val="0"/>
        </w:rPr>
        <w:t xml:space="preserve"> (Pennsylvania: University of Pennsylvania Press, Inc, 2018), p.6.</w:t>
      </w:r>
      <w:r w:rsidDel="00000000" w:rsidR="00000000" w:rsidRPr="00000000">
        <w:rPr>
          <w:rtl w:val="0"/>
        </w:rPr>
      </w:r>
    </w:p>
  </w:footnote>
  <w:footnote w:id="43">
    <w:p w:rsidR="00000000" w:rsidDel="00000000" w:rsidP="00000000" w:rsidRDefault="00000000" w:rsidRPr="00000000" w14:paraId="000000F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Samuel, N. Kramer, (trans), ‘Inanna’s Descent to the Underworld’, p.56.</w:t>
      </w:r>
      <w:r w:rsidDel="00000000" w:rsidR="00000000" w:rsidRPr="00000000">
        <w:rPr>
          <w:rtl w:val="0"/>
        </w:rPr>
      </w:r>
    </w:p>
  </w:footnote>
  <w:footnote w:id="48">
    <w:p w:rsidR="00000000" w:rsidDel="00000000" w:rsidP="00000000" w:rsidRDefault="00000000" w:rsidRPr="00000000" w14:paraId="000000F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Kramer, S.N. (trans), ‘Inanna’s Descent to the Underworld’, p.56.</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7">
    <w:pPr>
      <w:shd w:fill="ffffff" w:val="clear"/>
      <w:spacing w:after="240" w:line="360" w:lineRule="auto"/>
      <w:rPr>
        <w:b w:val="1"/>
        <w:color w:val="333333"/>
        <w:sz w:val="20"/>
        <w:szCs w:val="20"/>
      </w:rPr>
    </w:pPr>
    <w:r w:rsidDel="00000000" w:rsidR="00000000" w:rsidRPr="00000000">
      <w:rPr>
        <w:b w:val="1"/>
        <w:color w:val="333333"/>
        <w:sz w:val="20"/>
        <w:szCs w:val="20"/>
        <w:rtl w:val="0"/>
      </w:rPr>
      <w:t xml:space="preserve">Kat Azima – HPCA7028– Essay 1</w:t>
    </w:r>
  </w:p>
  <w:p w:rsidR="00000000" w:rsidDel="00000000" w:rsidP="00000000" w:rsidRDefault="00000000" w:rsidRPr="00000000" w14:paraId="000000C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businessinsider.com/inside-britney-spears-conservatorship-freebritney-movement-2020-12#this-tumultuous-period-led-to-spears-court-approved-conservatorship-which-was-implemented-in-2008-2" TargetMode="External"/><Relationship Id="rId11" Type="http://schemas.openxmlformats.org/officeDocument/2006/relationships/hyperlink" Target="https://dictionary.cambridge.org/us/dictionary/english/person" TargetMode="External"/><Relationship Id="rId22" Type="http://schemas.openxmlformats.org/officeDocument/2006/relationships/hyperlink" Target="https://dictionary.cambridge.org/us/dictionary/english/star" TargetMode="External"/><Relationship Id="rId10" Type="http://schemas.openxmlformats.org/officeDocument/2006/relationships/hyperlink" Target="https://dictionary.cambridge.org/us/dictionary/english/important" TargetMode="External"/><Relationship Id="rId21" Type="http://schemas.openxmlformats.org/officeDocument/2006/relationships/hyperlink" Target="https://time.com/5921720/britney-spears-conservatorship-free-britney/" TargetMode="External"/><Relationship Id="rId13" Type="http://schemas.openxmlformats.org/officeDocument/2006/relationships/hyperlink" Target="https://dictionary.cambridge.org/us/dictionary/english/performer" TargetMode="External"/><Relationship Id="rId24" Type="http://schemas.openxmlformats.org/officeDocument/2006/relationships/footer" Target="footer1.xml"/><Relationship Id="rId12" Type="http://schemas.openxmlformats.org/officeDocument/2006/relationships/hyperlink" Target="https://dictionary.cambridge.org/us/dictionary/english/especially" TargetMode="Externa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ictionary.cambridge.org/us/dictionary/english/successful" TargetMode="External"/><Relationship Id="rId15" Type="http://schemas.openxmlformats.org/officeDocument/2006/relationships/hyperlink" Target="https://dictionary.cambridge.org/us/dictionary/english/actor" TargetMode="External"/><Relationship Id="rId14" Type="http://schemas.openxmlformats.org/officeDocument/2006/relationships/hyperlink" Target="https://dictionary.cambridge.org/us/dictionary/english/musician" TargetMode="External"/><Relationship Id="rId17" Type="http://schemas.openxmlformats.org/officeDocument/2006/relationships/hyperlink" Target="https://dictionary.cambridge.org/us/dictionary/english/player" TargetMode="External"/><Relationship Id="rId16" Type="http://schemas.openxmlformats.org/officeDocument/2006/relationships/hyperlink" Target="https://dictionary.cambridge.org/us/dictionary/english/sports" TargetMode="External"/><Relationship Id="rId5" Type="http://schemas.openxmlformats.org/officeDocument/2006/relationships/numbering" Target="numbering.xml"/><Relationship Id="rId19" Type="http://schemas.openxmlformats.org/officeDocument/2006/relationships/hyperlink" Target="https://www.businessinsider.com/author/eve-crosbie" TargetMode="External"/><Relationship Id="rId6" Type="http://schemas.openxmlformats.org/officeDocument/2006/relationships/styles" Target="styles.xml"/><Relationship Id="rId18" Type="http://schemas.openxmlformats.org/officeDocument/2006/relationships/hyperlink" Target="https://www.businessinsider.com/author/hillary-hoffower" TargetMode="External"/><Relationship Id="rId7" Type="http://schemas.openxmlformats.org/officeDocument/2006/relationships/image" Target="media/image1.png"/><Relationship Id="rId8" Type="http://schemas.openxmlformats.org/officeDocument/2006/relationships/hyperlink" Target="https://dictionary.cambridge.org/us/dictionary/english/famou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Tahoma-regular.ttf"/><Relationship Id="rId6" Type="http://schemas.openxmlformats.org/officeDocument/2006/relationships/font" Target="fonts/Tahoma-bold.ttf"/></Relationships>
</file>

<file path=word/_rels/footnotes.xml.rels><?xml version="1.0" encoding="UTF-8" standalone="yes"?><Relationships xmlns="http://schemas.openxmlformats.org/package/2006/relationships"><Relationship Id="rId1" Type="http://schemas.openxmlformats.org/officeDocument/2006/relationships/hyperlink" Target="https://www.businessinsider.com/author/hillary-hoffower" TargetMode="External"/><Relationship Id="rId2" Type="http://schemas.openxmlformats.org/officeDocument/2006/relationships/hyperlink" Target="https://www.businessinsider.com/author/eve-crosbie" TargetMode="External"/><Relationship Id="rId3" Type="http://schemas.openxmlformats.org/officeDocument/2006/relationships/hyperlink" Target="https://dictionary.cambridge.org/us/dictionary/english/st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