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D24" w:rsidRPr="002550E8" w:rsidRDefault="00D85D24" w:rsidP="00D85D24">
      <w:pPr>
        <w:spacing w:before="30" w:after="30" w:line="360" w:lineRule="auto"/>
        <w:ind w:firstLine="720"/>
        <w:jc w:val="center"/>
        <w:rPr>
          <w:rFonts w:ascii="Times New Roman" w:hAnsi="Times New Roman"/>
          <w:b/>
          <w:bCs/>
          <w:sz w:val="40"/>
          <w:szCs w:val="40"/>
        </w:rPr>
      </w:pPr>
      <w:bookmarkStart w:id="0" w:name="_Hlk40104671"/>
      <w:bookmarkEnd w:id="0"/>
      <w:r w:rsidRPr="002550E8">
        <w:rPr>
          <w:rFonts w:ascii="Times New Roman" w:hAnsi="Times New Roman"/>
          <w:b/>
          <w:bCs/>
          <w:sz w:val="40"/>
          <w:szCs w:val="40"/>
        </w:rPr>
        <w:t xml:space="preserve">UNIVERSITY OF WALES </w:t>
      </w:r>
    </w:p>
    <w:p w:rsidR="00D85D24" w:rsidRPr="002550E8" w:rsidRDefault="00D85D24" w:rsidP="00D85D24">
      <w:pPr>
        <w:spacing w:before="30" w:after="30" w:line="360" w:lineRule="auto"/>
        <w:ind w:firstLine="720"/>
        <w:jc w:val="center"/>
        <w:rPr>
          <w:rFonts w:ascii="Times New Roman" w:hAnsi="Times New Roman"/>
          <w:b/>
          <w:bCs/>
          <w:sz w:val="40"/>
          <w:szCs w:val="40"/>
        </w:rPr>
      </w:pPr>
      <w:r w:rsidRPr="002550E8">
        <w:rPr>
          <w:rFonts w:ascii="Times New Roman" w:hAnsi="Times New Roman"/>
          <w:b/>
          <w:bCs/>
          <w:sz w:val="40"/>
          <w:szCs w:val="40"/>
        </w:rPr>
        <w:t>TRINITY SAINT DAVID</w:t>
      </w:r>
    </w:p>
    <w:p w:rsidR="00D85D24" w:rsidRPr="002550E8" w:rsidRDefault="00D85D24" w:rsidP="00D85D24">
      <w:pPr>
        <w:spacing w:before="30" w:after="30" w:line="360" w:lineRule="auto"/>
        <w:ind w:firstLine="720"/>
        <w:jc w:val="center"/>
        <w:rPr>
          <w:rFonts w:ascii="Times New Roman" w:hAnsi="Times New Roman"/>
          <w:b/>
          <w:bCs/>
          <w:sz w:val="32"/>
          <w:szCs w:val="32"/>
        </w:rPr>
      </w:pPr>
    </w:p>
    <w:p w:rsidR="00D85D24" w:rsidRDefault="00D85D24" w:rsidP="00D85D24">
      <w:pPr>
        <w:spacing w:before="30" w:after="30" w:line="360" w:lineRule="auto"/>
        <w:rPr>
          <w:rFonts w:ascii="Times New Roman" w:hAnsi="Times New Roman"/>
          <w:sz w:val="32"/>
          <w:szCs w:val="32"/>
        </w:rPr>
      </w:pPr>
    </w:p>
    <w:p w:rsidR="00D85D24" w:rsidRPr="007C04CD" w:rsidRDefault="00D85D24" w:rsidP="00D85D24">
      <w:pPr>
        <w:spacing w:before="30" w:after="30" w:line="360" w:lineRule="auto"/>
        <w:ind w:firstLine="720"/>
        <w:jc w:val="center"/>
        <w:rPr>
          <w:rFonts w:ascii="Times New Roman" w:hAnsi="Times New Roman"/>
          <w:sz w:val="32"/>
          <w:szCs w:val="32"/>
        </w:rPr>
      </w:pPr>
    </w:p>
    <w:p w:rsidR="00D85D24" w:rsidRPr="007C04CD" w:rsidRDefault="00D85D24" w:rsidP="00D85D24">
      <w:pPr>
        <w:spacing w:before="30" w:after="30" w:line="360" w:lineRule="auto"/>
        <w:ind w:firstLine="720"/>
        <w:jc w:val="center"/>
        <w:rPr>
          <w:rFonts w:ascii="Times New Roman" w:hAnsi="Times New Roman"/>
          <w:sz w:val="32"/>
          <w:szCs w:val="32"/>
        </w:rPr>
      </w:pPr>
    </w:p>
    <w:p w:rsidR="00D85D24" w:rsidRDefault="00D85D24" w:rsidP="00D85D24">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NAME</w:t>
      </w:r>
      <w:r w:rsidRPr="007C04CD">
        <w:rPr>
          <w:rFonts w:ascii="Times New Roman" w:hAnsi="Times New Roman"/>
          <w:sz w:val="32"/>
          <w:szCs w:val="32"/>
        </w:rPr>
        <w:t>: SABINA-ANDREEA SABAU</w:t>
      </w:r>
    </w:p>
    <w:p w:rsidR="00D85D24" w:rsidRPr="007C04CD" w:rsidRDefault="00D85D24" w:rsidP="00D85D24">
      <w:pPr>
        <w:spacing w:before="30" w:after="30" w:line="360" w:lineRule="auto"/>
        <w:ind w:firstLine="720"/>
        <w:jc w:val="center"/>
        <w:rPr>
          <w:rFonts w:ascii="Times New Roman" w:hAnsi="Times New Roman"/>
          <w:sz w:val="32"/>
          <w:szCs w:val="32"/>
        </w:rPr>
      </w:pPr>
    </w:p>
    <w:p w:rsidR="00D85D24" w:rsidRDefault="00D85D24" w:rsidP="00D85D24">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NUMBER</w:t>
      </w:r>
      <w:r w:rsidRPr="007C04CD">
        <w:rPr>
          <w:rFonts w:ascii="Times New Roman" w:hAnsi="Times New Roman"/>
          <w:sz w:val="32"/>
          <w:szCs w:val="32"/>
        </w:rPr>
        <w:t>: 1917334</w:t>
      </w:r>
    </w:p>
    <w:p w:rsidR="00D85D24" w:rsidRPr="007C04CD" w:rsidRDefault="00D85D24" w:rsidP="00D85D24">
      <w:pPr>
        <w:spacing w:before="30" w:after="30" w:line="360" w:lineRule="auto"/>
        <w:ind w:firstLine="720"/>
        <w:jc w:val="center"/>
        <w:rPr>
          <w:rFonts w:ascii="Times New Roman" w:hAnsi="Times New Roman"/>
          <w:sz w:val="32"/>
          <w:szCs w:val="32"/>
        </w:rPr>
      </w:pPr>
    </w:p>
    <w:p w:rsidR="00D85D24" w:rsidRPr="007C04CD" w:rsidRDefault="00D85D24" w:rsidP="00D85D24">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CODE</w:t>
      </w:r>
      <w:r w:rsidRPr="007C04CD">
        <w:rPr>
          <w:rFonts w:ascii="Times New Roman" w:hAnsi="Times New Roman"/>
          <w:sz w:val="32"/>
          <w:szCs w:val="32"/>
        </w:rPr>
        <w:t>: LCBB400</w:t>
      </w:r>
      <w:r>
        <w:rPr>
          <w:rFonts w:ascii="Times New Roman" w:hAnsi="Times New Roman"/>
          <w:sz w:val="32"/>
          <w:szCs w:val="32"/>
        </w:rPr>
        <w:t>5</w:t>
      </w:r>
    </w:p>
    <w:p w:rsidR="00D85D24" w:rsidRDefault="00D85D24" w:rsidP="00D85D24">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NAME:</w:t>
      </w:r>
      <w:r w:rsidRPr="007C04CD">
        <w:rPr>
          <w:rFonts w:ascii="Times New Roman" w:hAnsi="Times New Roman"/>
          <w:sz w:val="32"/>
          <w:szCs w:val="32"/>
        </w:rPr>
        <w:t xml:space="preserve"> </w:t>
      </w:r>
      <w:r w:rsidR="00A04C68">
        <w:rPr>
          <w:rFonts w:ascii="Times New Roman" w:hAnsi="Times New Roman"/>
          <w:sz w:val="32"/>
          <w:szCs w:val="32"/>
        </w:rPr>
        <w:t>THE GLOBAL BUSINESS ENVIRON</w:t>
      </w:r>
      <w:bookmarkStart w:id="1" w:name="_GoBack"/>
      <w:bookmarkEnd w:id="1"/>
      <w:r w:rsidR="00A04C68">
        <w:rPr>
          <w:rFonts w:ascii="Times New Roman" w:hAnsi="Times New Roman"/>
          <w:sz w:val="32"/>
          <w:szCs w:val="32"/>
        </w:rPr>
        <w:t>MENT</w:t>
      </w:r>
    </w:p>
    <w:p w:rsidR="00D85D24" w:rsidRPr="007C04CD" w:rsidRDefault="00D85D24" w:rsidP="00D85D24">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ASSIGNMENT TITLE:</w:t>
      </w:r>
      <w:r w:rsidR="000334CA">
        <w:rPr>
          <w:rFonts w:ascii="Times New Roman" w:hAnsi="Times New Roman"/>
          <w:sz w:val="32"/>
          <w:szCs w:val="32"/>
        </w:rPr>
        <w:t xml:space="preserve"> CAR MANUFACTURING INDUSTRY</w:t>
      </w:r>
    </w:p>
    <w:p w:rsidR="00D85D24" w:rsidRPr="002550E8" w:rsidRDefault="00D85D24" w:rsidP="00D85D24">
      <w:pPr>
        <w:spacing w:before="30" w:after="30" w:line="360" w:lineRule="auto"/>
        <w:ind w:firstLine="720"/>
        <w:jc w:val="center"/>
        <w:rPr>
          <w:rFonts w:ascii="Times New Roman" w:hAnsi="Times New Roman"/>
          <w:b/>
          <w:bCs/>
          <w:sz w:val="32"/>
          <w:szCs w:val="32"/>
        </w:rPr>
      </w:pPr>
      <w:r w:rsidRPr="002550E8">
        <w:rPr>
          <w:rFonts w:ascii="Times New Roman" w:hAnsi="Times New Roman"/>
          <w:b/>
          <w:bCs/>
          <w:sz w:val="32"/>
          <w:szCs w:val="32"/>
        </w:rPr>
        <w:t>ASSIGNMENT 1</w:t>
      </w:r>
    </w:p>
    <w:p w:rsidR="00D85D24" w:rsidRPr="007C04CD" w:rsidRDefault="00D85D24" w:rsidP="00D85D24">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PROGRAMME:</w:t>
      </w:r>
      <w:r>
        <w:rPr>
          <w:rFonts w:ascii="Times New Roman" w:hAnsi="Times New Roman"/>
          <w:sz w:val="32"/>
          <w:szCs w:val="32"/>
        </w:rPr>
        <w:t xml:space="preserve"> BA BUSINESS MANAGEMENT</w:t>
      </w:r>
    </w:p>
    <w:p w:rsidR="00D85D24" w:rsidRPr="0071242C" w:rsidRDefault="00D85D24" w:rsidP="00D85D24">
      <w:pPr>
        <w:spacing w:before="30" w:after="30" w:line="360" w:lineRule="auto"/>
        <w:ind w:firstLine="720"/>
        <w:jc w:val="center"/>
        <w:rPr>
          <w:rFonts w:ascii="Times New Roman" w:hAnsi="Times New Roman"/>
          <w:b/>
          <w:bCs/>
          <w:sz w:val="32"/>
          <w:szCs w:val="32"/>
        </w:rPr>
      </w:pPr>
      <w:r w:rsidRPr="0071242C">
        <w:rPr>
          <w:rFonts w:ascii="Times New Roman" w:hAnsi="Times New Roman"/>
          <w:b/>
          <w:bCs/>
          <w:sz w:val="32"/>
          <w:szCs w:val="32"/>
        </w:rPr>
        <w:t xml:space="preserve">LEVEL 4/ TERM </w:t>
      </w:r>
      <w:r>
        <w:rPr>
          <w:rFonts w:ascii="Times New Roman" w:hAnsi="Times New Roman"/>
          <w:b/>
          <w:bCs/>
          <w:sz w:val="32"/>
          <w:szCs w:val="32"/>
        </w:rPr>
        <w:t>2/</w:t>
      </w:r>
      <w:r w:rsidRPr="0071242C">
        <w:rPr>
          <w:rFonts w:ascii="Times New Roman" w:hAnsi="Times New Roman"/>
          <w:b/>
          <w:bCs/>
          <w:sz w:val="32"/>
          <w:szCs w:val="32"/>
        </w:rPr>
        <w:t xml:space="preserve"> GROUP </w:t>
      </w:r>
      <w:r>
        <w:rPr>
          <w:rFonts w:ascii="Times New Roman" w:hAnsi="Times New Roman"/>
          <w:b/>
          <w:bCs/>
          <w:sz w:val="32"/>
          <w:szCs w:val="32"/>
        </w:rPr>
        <w:t>1</w:t>
      </w:r>
    </w:p>
    <w:p w:rsidR="00D85D24" w:rsidRPr="007C04CD" w:rsidRDefault="00D85D24" w:rsidP="00D85D24">
      <w:pPr>
        <w:spacing w:before="30" w:after="30" w:line="360" w:lineRule="auto"/>
        <w:ind w:firstLine="720"/>
        <w:jc w:val="center"/>
        <w:rPr>
          <w:rFonts w:ascii="Times New Roman" w:hAnsi="Times New Roman"/>
          <w:sz w:val="32"/>
          <w:szCs w:val="32"/>
        </w:rPr>
      </w:pPr>
    </w:p>
    <w:p w:rsidR="00D85D24" w:rsidRPr="007C04CD" w:rsidRDefault="00D85D24" w:rsidP="00D85D24">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LECTURER NAME:</w:t>
      </w:r>
      <w:r w:rsidRPr="007C04CD">
        <w:rPr>
          <w:rFonts w:ascii="Times New Roman" w:hAnsi="Times New Roman"/>
          <w:sz w:val="32"/>
          <w:szCs w:val="32"/>
        </w:rPr>
        <w:t xml:space="preserve"> </w:t>
      </w:r>
      <w:r>
        <w:rPr>
          <w:rFonts w:ascii="Times New Roman" w:hAnsi="Times New Roman"/>
          <w:sz w:val="32"/>
          <w:szCs w:val="32"/>
        </w:rPr>
        <w:t>REXON NTING</w:t>
      </w:r>
    </w:p>
    <w:p w:rsidR="00D85D24" w:rsidRDefault="00D85D24" w:rsidP="00D85D24">
      <w:pPr>
        <w:ind w:left="720" w:hanging="360"/>
      </w:pPr>
    </w:p>
    <w:p w:rsidR="00D85D24" w:rsidRDefault="00D85D24" w:rsidP="00D85D24">
      <w:pPr>
        <w:ind w:left="720" w:hanging="360"/>
      </w:pPr>
    </w:p>
    <w:p w:rsidR="00D85D24" w:rsidRDefault="00D85D24" w:rsidP="00D85D24">
      <w:pPr>
        <w:ind w:left="720" w:hanging="360"/>
      </w:pPr>
    </w:p>
    <w:p w:rsidR="00D85D24" w:rsidRDefault="00D85D24" w:rsidP="00D85D24">
      <w:pPr>
        <w:ind w:left="720" w:hanging="360"/>
      </w:pPr>
    </w:p>
    <w:p w:rsidR="00D85D24" w:rsidRDefault="00D85D24" w:rsidP="00D85D24">
      <w:pPr>
        <w:ind w:left="720" w:hanging="360"/>
      </w:pPr>
    </w:p>
    <w:p w:rsidR="00D85D24" w:rsidRDefault="00D85D24" w:rsidP="00D85D24"/>
    <w:sdt>
      <w:sdtPr>
        <w:rPr>
          <w:rFonts w:asciiTheme="minorHAnsi" w:eastAsiaTheme="minorHAnsi" w:hAnsiTheme="minorHAnsi" w:cstheme="minorBidi"/>
          <w:b w:val="0"/>
          <w:bCs w:val="0"/>
          <w:color w:val="auto"/>
          <w:sz w:val="22"/>
          <w:szCs w:val="22"/>
          <w:lang w:val="ro-RO" w:eastAsia="en-US"/>
        </w:rPr>
        <w:id w:val="-976061534"/>
        <w:docPartObj>
          <w:docPartGallery w:val="Table of Contents"/>
          <w:docPartUnique/>
        </w:docPartObj>
      </w:sdtPr>
      <w:sdtEndPr/>
      <w:sdtContent>
        <w:p w:rsidR="002F7CA7" w:rsidRDefault="002F7CA7">
          <w:pPr>
            <w:pStyle w:val="Titlucuprins"/>
          </w:pPr>
          <w:r>
            <w:rPr>
              <w:lang w:val="ro-RO"/>
            </w:rPr>
            <w:t>Table of Content:</w:t>
          </w:r>
        </w:p>
        <w:p w:rsidR="002F7CA7" w:rsidRDefault="002F7CA7">
          <w:pPr>
            <w:pStyle w:val="Cuprins1"/>
            <w:tabs>
              <w:tab w:val="right" w:leader="dot" w:pos="9345"/>
            </w:tabs>
            <w:rPr>
              <w:rFonts w:eastAsiaTheme="minorEastAsia"/>
              <w:noProof/>
              <w:lang w:eastAsia="en-GB"/>
            </w:rPr>
          </w:pPr>
          <w:r>
            <w:fldChar w:fldCharType="begin"/>
          </w:r>
          <w:r>
            <w:instrText xml:space="preserve"> TOC \o "1-3" \h \z \u </w:instrText>
          </w:r>
          <w:r>
            <w:fldChar w:fldCharType="separate"/>
          </w:r>
          <w:hyperlink w:anchor="_Toc50034438" w:history="1">
            <w:r w:rsidRPr="0054756F">
              <w:rPr>
                <w:rStyle w:val="Hyperlink"/>
                <w:noProof/>
              </w:rPr>
              <w:t>CAR MANUFACTURING INDUSTRY</w:t>
            </w:r>
            <w:r>
              <w:rPr>
                <w:noProof/>
                <w:webHidden/>
              </w:rPr>
              <w:tab/>
            </w:r>
            <w:r>
              <w:rPr>
                <w:noProof/>
                <w:webHidden/>
              </w:rPr>
              <w:fldChar w:fldCharType="begin"/>
            </w:r>
            <w:r>
              <w:rPr>
                <w:noProof/>
                <w:webHidden/>
              </w:rPr>
              <w:instrText xml:space="preserve"> PAGEREF _Toc50034438 \h </w:instrText>
            </w:r>
            <w:r>
              <w:rPr>
                <w:noProof/>
                <w:webHidden/>
              </w:rPr>
            </w:r>
            <w:r>
              <w:rPr>
                <w:noProof/>
                <w:webHidden/>
              </w:rPr>
              <w:fldChar w:fldCharType="separate"/>
            </w:r>
            <w:r w:rsidR="0098033E">
              <w:rPr>
                <w:noProof/>
                <w:webHidden/>
              </w:rPr>
              <w:t>3</w:t>
            </w:r>
            <w:r>
              <w:rPr>
                <w:noProof/>
                <w:webHidden/>
              </w:rPr>
              <w:fldChar w:fldCharType="end"/>
            </w:r>
          </w:hyperlink>
        </w:p>
        <w:p w:rsidR="002F7CA7" w:rsidRDefault="005F6EC7">
          <w:pPr>
            <w:pStyle w:val="Cuprins1"/>
            <w:tabs>
              <w:tab w:val="right" w:leader="dot" w:pos="9345"/>
            </w:tabs>
            <w:rPr>
              <w:rFonts w:eastAsiaTheme="minorEastAsia"/>
              <w:noProof/>
              <w:lang w:eastAsia="en-GB"/>
            </w:rPr>
          </w:pPr>
          <w:hyperlink w:anchor="_Toc50034439" w:history="1">
            <w:r w:rsidR="002F7CA7" w:rsidRPr="0054756F">
              <w:rPr>
                <w:rStyle w:val="Hyperlink"/>
                <w:noProof/>
              </w:rPr>
              <w:t>Introduction</w:t>
            </w:r>
            <w:r w:rsidR="002F7CA7">
              <w:rPr>
                <w:noProof/>
                <w:webHidden/>
              </w:rPr>
              <w:tab/>
            </w:r>
            <w:r w:rsidR="002F7CA7">
              <w:rPr>
                <w:noProof/>
                <w:webHidden/>
              </w:rPr>
              <w:fldChar w:fldCharType="begin"/>
            </w:r>
            <w:r w:rsidR="002F7CA7">
              <w:rPr>
                <w:noProof/>
                <w:webHidden/>
              </w:rPr>
              <w:instrText xml:space="preserve"> PAGEREF _Toc50034439 \h </w:instrText>
            </w:r>
            <w:r w:rsidR="002F7CA7">
              <w:rPr>
                <w:noProof/>
                <w:webHidden/>
              </w:rPr>
            </w:r>
            <w:r w:rsidR="002F7CA7">
              <w:rPr>
                <w:noProof/>
                <w:webHidden/>
              </w:rPr>
              <w:fldChar w:fldCharType="separate"/>
            </w:r>
            <w:r w:rsidR="0098033E">
              <w:rPr>
                <w:noProof/>
                <w:webHidden/>
              </w:rPr>
              <w:t>3</w:t>
            </w:r>
            <w:r w:rsidR="002F7CA7">
              <w:rPr>
                <w:noProof/>
                <w:webHidden/>
              </w:rPr>
              <w:fldChar w:fldCharType="end"/>
            </w:r>
          </w:hyperlink>
        </w:p>
        <w:p w:rsidR="002F7CA7" w:rsidRDefault="005F6EC7">
          <w:pPr>
            <w:pStyle w:val="Cuprins1"/>
            <w:tabs>
              <w:tab w:val="right" w:leader="dot" w:pos="9345"/>
            </w:tabs>
            <w:rPr>
              <w:rFonts w:eastAsiaTheme="minorEastAsia"/>
              <w:noProof/>
              <w:lang w:eastAsia="en-GB"/>
            </w:rPr>
          </w:pPr>
          <w:hyperlink w:anchor="_Toc50034440" w:history="1">
            <w:r w:rsidR="002F7CA7" w:rsidRPr="0054756F">
              <w:rPr>
                <w:rStyle w:val="Hyperlink"/>
                <w:noProof/>
              </w:rPr>
              <w:t>A.Analysis of the business environment using PESTLE</w:t>
            </w:r>
            <w:r w:rsidR="002F7CA7">
              <w:rPr>
                <w:noProof/>
                <w:webHidden/>
              </w:rPr>
              <w:tab/>
            </w:r>
            <w:r w:rsidR="002F7CA7">
              <w:rPr>
                <w:noProof/>
                <w:webHidden/>
              </w:rPr>
              <w:fldChar w:fldCharType="begin"/>
            </w:r>
            <w:r w:rsidR="002F7CA7">
              <w:rPr>
                <w:noProof/>
                <w:webHidden/>
              </w:rPr>
              <w:instrText xml:space="preserve"> PAGEREF _Toc50034440 \h </w:instrText>
            </w:r>
            <w:r w:rsidR="002F7CA7">
              <w:rPr>
                <w:noProof/>
                <w:webHidden/>
              </w:rPr>
            </w:r>
            <w:r w:rsidR="002F7CA7">
              <w:rPr>
                <w:noProof/>
                <w:webHidden/>
              </w:rPr>
              <w:fldChar w:fldCharType="separate"/>
            </w:r>
            <w:r w:rsidR="0098033E">
              <w:rPr>
                <w:noProof/>
                <w:webHidden/>
              </w:rPr>
              <w:t>3</w:t>
            </w:r>
            <w:r w:rsidR="002F7CA7">
              <w:rPr>
                <w:noProof/>
                <w:webHidden/>
              </w:rPr>
              <w:fldChar w:fldCharType="end"/>
            </w:r>
          </w:hyperlink>
        </w:p>
        <w:p w:rsidR="002F7CA7" w:rsidRDefault="005F6EC7">
          <w:pPr>
            <w:pStyle w:val="Cuprins2"/>
            <w:tabs>
              <w:tab w:val="right" w:leader="dot" w:pos="9345"/>
            </w:tabs>
            <w:rPr>
              <w:rFonts w:eastAsiaTheme="minorEastAsia"/>
              <w:noProof/>
              <w:lang w:eastAsia="en-GB"/>
            </w:rPr>
          </w:pPr>
          <w:hyperlink w:anchor="_Toc50034441" w:history="1">
            <w:r w:rsidR="002F7CA7" w:rsidRPr="0054756F">
              <w:rPr>
                <w:rStyle w:val="Hyperlink"/>
                <w:noProof/>
              </w:rPr>
              <w:t>Pestle Analysis of the Car Industry</w:t>
            </w:r>
            <w:r w:rsidR="002F7CA7">
              <w:rPr>
                <w:noProof/>
                <w:webHidden/>
              </w:rPr>
              <w:tab/>
            </w:r>
            <w:r w:rsidR="002F7CA7">
              <w:rPr>
                <w:noProof/>
                <w:webHidden/>
              </w:rPr>
              <w:fldChar w:fldCharType="begin"/>
            </w:r>
            <w:r w:rsidR="002F7CA7">
              <w:rPr>
                <w:noProof/>
                <w:webHidden/>
              </w:rPr>
              <w:instrText xml:space="preserve"> PAGEREF _Toc50034441 \h </w:instrText>
            </w:r>
            <w:r w:rsidR="002F7CA7">
              <w:rPr>
                <w:noProof/>
                <w:webHidden/>
              </w:rPr>
            </w:r>
            <w:r w:rsidR="002F7CA7">
              <w:rPr>
                <w:noProof/>
                <w:webHidden/>
              </w:rPr>
              <w:fldChar w:fldCharType="separate"/>
            </w:r>
            <w:r w:rsidR="0098033E">
              <w:rPr>
                <w:noProof/>
                <w:webHidden/>
              </w:rPr>
              <w:t>4</w:t>
            </w:r>
            <w:r w:rsidR="002F7CA7">
              <w:rPr>
                <w:noProof/>
                <w:webHidden/>
              </w:rPr>
              <w:fldChar w:fldCharType="end"/>
            </w:r>
          </w:hyperlink>
        </w:p>
        <w:p w:rsidR="002F7CA7" w:rsidRDefault="005F6EC7">
          <w:pPr>
            <w:pStyle w:val="Cuprins1"/>
            <w:tabs>
              <w:tab w:val="right" w:leader="dot" w:pos="9345"/>
            </w:tabs>
            <w:rPr>
              <w:rFonts w:eastAsiaTheme="minorEastAsia"/>
              <w:noProof/>
              <w:lang w:eastAsia="en-GB"/>
            </w:rPr>
          </w:pPr>
          <w:hyperlink w:anchor="_Toc50034442" w:history="1">
            <w:r w:rsidR="002F7CA7" w:rsidRPr="0054756F">
              <w:rPr>
                <w:rStyle w:val="Hyperlink"/>
                <w:noProof/>
              </w:rPr>
              <w:t>B.Porter’s Five Forces</w:t>
            </w:r>
            <w:r w:rsidR="002F7CA7">
              <w:rPr>
                <w:noProof/>
                <w:webHidden/>
              </w:rPr>
              <w:tab/>
            </w:r>
            <w:r w:rsidR="002F7CA7">
              <w:rPr>
                <w:noProof/>
                <w:webHidden/>
              </w:rPr>
              <w:fldChar w:fldCharType="begin"/>
            </w:r>
            <w:r w:rsidR="002F7CA7">
              <w:rPr>
                <w:noProof/>
                <w:webHidden/>
              </w:rPr>
              <w:instrText xml:space="preserve"> PAGEREF _Toc50034442 \h </w:instrText>
            </w:r>
            <w:r w:rsidR="002F7CA7">
              <w:rPr>
                <w:noProof/>
                <w:webHidden/>
              </w:rPr>
            </w:r>
            <w:r w:rsidR="002F7CA7">
              <w:rPr>
                <w:noProof/>
                <w:webHidden/>
              </w:rPr>
              <w:fldChar w:fldCharType="separate"/>
            </w:r>
            <w:r w:rsidR="0098033E">
              <w:rPr>
                <w:noProof/>
                <w:webHidden/>
              </w:rPr>
              <w:t>8</w:t>
            </w:r>
            <w:r w:rsidR="002F7CA7">
              <w:rPr>
                <w:noProof/>
                <w:webHidden/>
              </w:rPr>
              <w:fldChar w:fldCharType="end"/>
            </w:r>
          </w:hyperlink>
        </w:p>
        <w:p w:rsidR="002F7CA7" w:rsidRDefault="005F6EC7">
          <w:pPr>
            <w:pStyle w:val="Cuprins2"/>
            <w:tabs>
              <w:tab w:val="right" w:leader="dot" w:pos="9345"/>
            </w:tabs>
            <w:rPr>
              <w:rFonts w:eastAsiaTheme="minorEastAsia"/>
              <w:noProof/>
              <w:lang w:eastAsia="en-GB"/>
            </w:rPr>
          </w:pPr>
          <w:hyperlink w:anchor="_Toc50034443" w:history="1">
            <w:r w:rsidR="002F7CA7" w:rsidRPr="0054756F">
              <w:rPr>
                <w:rStyle w:val="Hyperlink"/>
                <w:noProof/>
              </w:rPr>
              <w:t>Opportunities and Challenges</w:t>
            </w:r>
            <w:r w:rsidR="002F7CA7">
              <w:rPr>
                <w:noProof/>
                <w:webHidden/>
              </w:rPr>
              <w:tab/>
            </w:r>
            <w:r w:rsidR="002F7CA7">
              <w:rPr>
                <w:noProof/>
                <w:webHidden/>
              </w:rPr>
              <w:fldChar w:fldCharType="begin"/>
            </w:r>
            <w:r w:rsidR="002F7CA7">
              <w:rPr>
                <w:noProof/>
                <w:webHidden/>
              </w:rPr>
              <w:instrText xml:space="preserve"> PAGEREF _Toc50034443 \h </w:instrText>
            </w:r>
            <w:r w:rsidR="002F7CA7">
              <w:rPr>
                <w:noProof/>
                <w:webHidden/>
              </w:rPr>
            </w:r>
            <w:r w:rsidR="002F7CA7">
              <w:rPr>
                <w:noProof/>
                <w:webHidden/>
              </w:rPr>
              <w:fldChar w:fldCharType="separate"/>
            </w:r>
            <w:r w:rsidR="0098033E">
              <w:rPr>
                <w:noProof/>
                <w:webHidden/>
              </w:rPr>
              <w:t>9</w:t>
            </w:r>
            <w:r w:rsidR="002F7CA7">
              <w:rPr>
                <w:noProof/>
                <w:webHidden/>
              </w:rPr>
              <w:fldChar w:fldCharType="end"/>
            </w:r>
          </w:hyperlink>
        </w:p>
        <w:p w:rsidR="002F7CA7" w:rsidRDefault="005F6EC7">
          <w:pPr>
            <w:pStyle w:val="Cuprins1"/>
            <w:tabs>
              <w:tab w:val="right" w:leader="dot" w:pos="9345"/>
            </w:tabs>
            <w:rPr>
              <w:rFonts w:eastAsiaTheme="minorEastAsia"/>
              <w:noProof/>
              <w:lang w:eastAsia="en-GB"/>
            </w:rPr>
          </w:pPr>
          <w:hyperlink w:anchor="_Toc50034444" w:history="1">
            <w:r w:rsidR="002F7CA7" w:rsidRPr="0054756F">
              <w:rPr>
                <w:rStyle w:val="Hyperlink"/>
                <w:noProof/>
              </w:rPr>
              <w:t>Conclusion</w:t>
            </w:r>
            <w:r w:rsidR="002F7CA7">
              <w:rPr>
                <w:noProof/>
                <w:webHidden/>
              </w:rPr>
              <w:tab/>
            </w:r>
            <w:r w:rsidR="002F7CA7">
              <w:rPr>
                <w:noProof/>
                <w:webHidden/>
              </w:rPr>
              <w:fldChar w:fldCharType="begin"/>
            </w:r>
            <w:r w:rsidR="002F7CA7">
              <w:rPr>
                <w:noProof/>
                <w:webHidden/>
              </w:rPr>
              <w:instrText xml:space="preserve"> PAGEREF _Toc50034444 \h </w:instrText>
            </w:r>
            <w:r w:rsidR="002F7CA7">
              <w:rPr>
                <w:noProof/>
                <w:webHidden/>
              </w:rPr>
            </w:r>
            <w:r w:rsidR="002F7CA7">
              <w:rPr>
                <w:noProof/>
                <w:webHidden/>
              </w:rPr>
              <w:fldChar w:fldCharType="separate"/>
            </w:r>
            <w:r w:rsidR="0098033E">
              <w:rPr>
                <w:noProof/>
                <w:webHidden/>
              </w:rPr>
              <w:t>10</w:t>
            </w:r>
            <w:r w:rsidR="002F7CA7">
              <w:rPr>
                <w:noProof/>
                <w:webHidden/>
              </w:rPr>
              <w:fldChar w:fldCharType="end"/>
            </w:r>
          </w:hyperlink>
        </w:p>
        <w:p w:rsidR="002F7CA7" w:rsidRDefault="005F6EC7">
          <w:pPr>
            <w:pStyle w:val="Cuprins1"/>
            <w:tabs>
              <w:tab w:val="right" w:leader="dot" w:pos="9345"/>
            </w:tabs>
            <w:rPr>
              <w:rFonts w:eastAsiaTheme="minorEastAsia"/>
              <w:noProof/>
              <w:lang w:eastAsia="en-GB"/>
            </w:rPr>
          </w:pPr>
          <w:hyperlink w:anchor="_Toc50034445" w:history="1">
            <w:r w:rsidR="002F7CA7" w:rsidRPr="0054756F">
              <w:rPr>
                <w:rStyle w:val="Hyperlink"/>
                <w:noProof/>
              </w:rPr>
              <w:t>Reference List</w:t>
            </w:r>
            <w:r w:rsidR="002F7CA7">
              <w:rPr>
                <w:noProof/>
                <w:webHidden/>
              </w:rPr>
              <w:tab/>
            </w:r>
            <w:r w:rsidR="002F7CA7">
              <w:rPr>
                <w:noProof/>
                <w:webHidden/>
              </w:rPr>
              <w:fldChar w:fldCharType="begin"/>
            </w:r>
            <w:r w:rsidR="002F7CA7">
              <w:rPr>
                <w:noProof/>
                <w:webHidden/>
              </w:rPr>
              <w:instrText xml:space="preserve"> PAGEREF _Toc50034445 \h </w:instrText>
            </w:r>
            <w:r w:rsidR="002F7CA7">
              <w:rPr>
                <w:noProof/>
                <w:webHidden/>
              </w:rPr>
            </w:r>
            <w:r w:rsidR="002F7CA7">
              <w:rPr>
                <w:noProof/>
                <w:webHidden/>
              </w:rPr>
              <w:fldChar w:fldCharType="separate"/>
            </w:r>
            <w:r w:rsidR="0098033E">
              <w:rPr>
                <w:noProof/>
                <w:webHidden/>
              </w:rPr>
              <w:t>11</w:t>
            </w:r>
            <w:r w:rsidR="002F7CA7">
              <w:rPr>
                <w:noProof/>
                <w:webHidden/>
              </w:rPr>
              <w:fldChar w:fldCharType="end"/>
            </w:r>
          </w:hyperlink>
        </w:p>
        <w:p w:rsidR="002F7CA7" w:rsidRDefault="002F7CA7">
          <w:r>
            <w:rPr>
              <w:b/>
              <w:bCs/>
              <w:lang w:val="ro-RO"/>
            </w:rPr>
            <w:fldChar w:fldCharType="end"/>
          </w:r>
        </w:p>
      </w:sdtContent>
    </w:sdt>
    <w:p w:rsidR="00D85D24" w:rsidRDefault="00D85D24"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2F7CA7" w:rsidRDefault="002F7CA7" w:rsidP="00D85D24">
      <w:pPr>
        <w:shd w:val="clear" w:color="auto" w:fill="FFFFFF"/>
        <w:spacing w:after="240" w:line="480" w:lineRule="auto"/>
        <w:contextualSpacing/>
        <w:jc w:val="center"/>
        <w:rPr>
          <w:rFonts w:ascii="Times New Roman" w:eastAsia="Times New Roman" w:hAnsi="Times New Roman" w:cs="Times New Roman"/>
          <w:b/>
          <w:bCs/>
          <w:sz w:val="24"/>
          <w:szCs w:val="24"/>
        </w:rPr>
      </w:pPr>
    </w:p>
    <w:p w:rsidR="00844C2D" w:rsidRPr="002F7CA7" w:rsidRDefault="00844C2D" w:rsidP="0098033E">
      <w:pPr>
        <w:pStyle w:val="Titlu1"/>
        <w:jc w:val="center"/>
        <w:rPr>
          <w:b w:val="0"/>
          <w:bCs w:val="0"/>
          <w:sz w:val="32"/>
          <w:szCs w:val="32"/>
        </w:rPr>
      </w:pPr>
      <w:bookmarkStart w:id="2" w:name="_Toc50034438"/>
      <w:r w:rsidRPr="002F7CA7">
        <w:rPr>
          <w:b w:val="0"/>
          <w:bCs w:val="0"/>
          <w:sz w:val="32"/>
          <w:szCs w:val="32"/>
        </w:rPr>
        <w:lastRenderedPageBreak/>
        <w:t>CAR MANUFACTURING INDUSTRY</w:t>
      </w:r>
      <w:bookmarkEnd w:id="2"/>
    </w:p>
    <w:p w:rsidR="00844C2D" w:rsidRDefault="00844C2D" w:rsidP="00844C2D">
      <w:pPr>
        <w:shd w:val="clear" w:color="auto" w:fill="FFFFFF"/>
        <w:tabs>
          <w:tab w:val="center" w:pos="4677"/>
          <w:tab w:val="left" w:pos="7365"/>
        </w:tabs>
        <w:spacing w:after="240" w:line="480" w:lineRule="auto"/>
        <w:contextualSpacing/>
        <w:rPr>
          <w:rFonts w:ascii="Times New Roman" w:eastAsia="Times New Roman" w:hAnsi="Times New Roman" w:cs="Times New Roman"/>
          <w:b/>
          <w:bCs/>
          <w:sz w:val="24"/>
          <w:szCs w:val="24"/>
        </w:rPr>
      </w:pPr>
    </w:p>
    <w:p w:rsidR="00D85D24" w:rsidRPr="002F7CA7" w:rsidRDefault="00D85D24" w:rsidP="002F7CA7">
      <w:pPr>
        <w:pStyle w:val="Titlu1"/>
        <w:jc w:val="center"/>
        <w:rPr>
          <w:b w:val="0"/>
          <w:bCs w:val="0"/>
          <w:sz w:val="28"/>
          <w:szCs w:val="28"/>
        </w:rPr>
      </w:pPr>
      <w:bookmarkStart w:id="3" w:name="_Toc50034439"/>
      <w:r w:rsidRPr="002F7CA7">
        <w:rPr>
          <w:b w:val="0"/>
          <w:bCs w:val="0"/>
          <w:sz w:val="28"/>
          <w:szCs w:val="28"/>
        </w:rPr>
        <w:t>Introduction</w:t>
      </w:r>
      <w:bookmarkEnd w:id="3"/>
    </w:p>
    <w:p w:rsidR="00844C2D" w:rsidRPr="00D85D24" w:rsidRDefault="00844C2D" w:rsidP="00D85D24">
      <w:pPr>
        <w:shd w:val="clear" w:color="auto" w:fill="FFFFFF"/>
        <w:spacing w:after="240" w:line="480" w:lineRule="auto"/>
        <w:contextualSpacing/>
        <w:jc w:val="center"/>
        <w:rPr>
          <w:rFonts w:ascii="Times New Roman" w:eastAsia="Times New Roman" w:hAnsi="Times New Roman" w:cs="Times New Roman"/>
          <w:sz w:val="24"/>
          <w:szCs w:val="24"/>
        </w:rPr>
      </w:pP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Companies strive to take the largest share of the market possible. They try to be innovative and employ successful business strategies already used by competitors to stay ahead or even lead. They conduct external or macro analysis to identify opportunities and threats for a segment or whole industry. Their goals include profitability, growth, and the reduction of volatility. An industry's dynamics can change quickly, and businesses should pay attention to changes and respond strategically to benefit from them or avoid irrelevance or losses. When conducting market research, companies might go beyond business segments, have a narrower mindset, and check product quality, technological leadership, pricing, vertical integration, and distribution channels. Organisations also try to assess competition intensity by examining finer details such as brand loyalty, product homogeneity, and product switching costs. These factors can help determine the threat of substitute goods and services. Issues for new businesses and established businesses might also include the threat of new entrants, buyers and sellers' bargaining power, and the power of complementary products. When examining the internal or microenvironment, businesses might look into the company culture, employee treatment, hierarchy, and other factors. </w:t>
      </w:r>
    </w:p>
    <w:p w:rsid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Companies use a variety of methods to conduct external analysis. They may use PESTLE analysis, SWOT analysis, Porter’s Value Chain, Product Life Cycle. Companies can respond to various external factors. They can mostly capitalise on social and technological developments as these speak into consumer demand, consumer needs, fashion, and prestige. Businesses may not control some external factors but can respond quickly or gradually to them. The knowledge of the business environment can help managers make critical business decisions, such as regulating production, pricing and branding, relocating, transferring departmental or branch functions, motivating employees, focusing on new or additional segments, and marketing in a specific way. </w:t>
      </w:r>
    </w:p>
    <w:p w:rsidR="00844C2D" w:rsidRDefault="00844C2D" w:rsidP="00844C2D">
      <w:pPr>
        <w:spacing w:after="120" w:line="360" w:lineRule="auto"/>
        <w:contextualSpacing/>
        <w:jc w:val="both"/>
        <w:rPr>
          <w:rFonts w:ascii="Times New Roman" w:eastAsia="Times New Roman" w:hAnsi="Times New Roman" w:cs="Times New Roman"/>
          <w:color w:val="0E101A"/>
          <w:sz w:val="24"/>
          <w:szCs w:val="24"/>
        </w:rPr>
      </w:pPr>
    </w:p>
    <w:p w:rsidR="000334CA" w:rsidRPr="00D85D24" w:rsidRDefault="000334CA" w:rsidP="00844C2D">
      <w:pPr>
        <w:spacing w:after="120" w:line="360" w:lineRule="auto"/>
        <w:contextualSpacing/>
        <w:jc w:val="both"/>
        <w:rPr>
          <w:rFonts w:ascii="Times New Roman" w:eastAsia="Times New Roman" w:hAnsi="Times New Roman" w:cs="Times New Roman"/>
          <w:color w:val="0E101A"/>
          <w:sz w:val="24"/>
          <w:szCs w:val="24"/>
        </w:rPr>
      </w:pPr>
    </w:p>
    <w:p w:rsidR="00844C2D" w:rsidRPr="002F7CA7" w:rsidRDefault="002F7CA7" w:rsidP="002F7CA7">
      <w:pPr>
        <w:pStyle w:val="Titlu1"/>
        <w:jc w:val="center"/>
        <w:rPr>
          <w:b w:val="0"/>
          <w:bCs w:val="0"/>
          <w:sz w:val="28"/>
          <w:szCs w:val="28"/>
        </w:rPr>
      </w:pPr>
      <w:bookmarkStart w:id="4" w:name="_Toc50034440"/>
      <w:r w:rsidRPr="002F7CA7">
        <w:rPr>
          <w:b w:val="0"/>
          <w:bCs w:val="0"/>
          <w:sz w:val="28"/>
          <w:szCs w:val="28"/>
        </w:rPr>
        <w:t>A.</w:t>
      </w:r>
      <w:r w:rsidR="00D85D24" w:rsidRPr="002F7CA7">
        <w:rPr>
          <w:b w:val="0"/>
          <w:bCs w:val="0"/>
          <w:sz w:val="28"/>
          <w:szCs w:val="28"/>
        </w:rPr>
        <w:t>Analysis of the business environment using PESTLE</w:t>
      </w:r>
      <w:bookmarkEnd w:id="4"/>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 xml:space="preserve">One of the most popular methods of conducting external research is through PESTLE analysis. PESTLE analysis refers to assessing political, economic, social, technological, legal, and environmental factors (Strangmueller, 2018, p. 3). The model appraises external ecological factors </w:t>
      </w:r>
      <w:r w:rsidRPr="00D85D24">
        <w:rPr>
          <w:rFonts w:ascii="Times New Roman" w:eastAsia="Times New Roman" w:hAnsi="Times New Roman" w:cs="Times New Roman"/>
          <w:color w:val="0E101A"/>
          <w:sz w:val="24"/>
          <w:szCs w:val="24"/>
        </w:rPr>
        <w:lastRenderedPageBreak/>
        <w:t xml:space="preserve">to determine industrial effectiveness and attractiveness and market potential, among other success factors (Perera, 2017, p. 2). Political factors mostly touch on government action such as taxation policy, trade policy, fiscal environment, and general political atmosphere. According to Sammut-Bonnici and Galea, political factors touch on commercial restrictions and political instability (2015, p. 1). Political factors relate to national aspects, although nations can be characterised by geopolitical forces and nations' consolidation into political blocks (Sammut-Bonnici &amp; Galea, 2015, p. 1). Economic factors influence economic performance and "have the most obvious impact on profitability and the overall attractiveness of a market or industry" (Sammut-Bonnici &amp; Galea, 2015, p. 2). These factors include interest rates, exchange rates, inflation rates, and growth/GDP rate. Social factors touch on trends, demographics, and people practices. </w:t>
      </w: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Legal issues touch on legislation and regulation, while environmental factors might relate to sustainability, cleanness, and consciousness about the nature of energy. Sometimes, political factors affect economic factors significantly, and they may overlap. Legal and political elements also overlap. PESTLE analysis appears to be mostly an external analysis tool that might not help conduct internal assessment. Many researchers write about the significance and appropriate application of the PESTLE analysis method. Some people loosely focus on PEST analysis, which is essentially PESTLE analysis but without the focus on legal and environmental factors. </w:t>
      </w:r>
    </w:p>
    <w:p w:rsid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Internal or microenvironments affects companies in a significant way. Car manufacturers thrive on certain factors such as innovation, cost reduction, and treatment of employees. Indeed, car manufacturers can compete regarding how best to reward employees. Consequently, they might increasingly provide attractive benefits to employees. Other motivational tools include challenging work, engagement, independence, participation, responsibility, innovation, diversity, and growth opportunities (Elif, 2019, p.182). Companies might also re-evaluate their communication patterns, supply chain strategies, and culture to improve them. Ethical principles also translate into the right relationships with stakeholders such as the government and shareholders. </w:t>
      </w:r>
    </w:p>
    <w:p w:rsidR="00844C2D" w:rsidRPr="00D85D24" w:rsidRDefault="00844C2D" w:rsidP="00844C2D">
      <w:pPr>
        <w:spacing w:after="120" w:line="360" w:lineRule="auto"/>
        <w:contextualSpacing/>
        <w:jc w:val="both"/>
        <w:rPr>
          <w:rFonts w:ascii="Times New Roman" w:eastAsia="Times New Roman" w:hAnsi="Times New Roman" w:cs="Times New Roman"/>
          <w:color w:val="0E101A"/>
          <w:sz w:val="24"/>
          <w:szCs w:val="24"/>
        </w:rPr>
      </w:pPr>
    </w:p>
    <w:p w:rsidR="00D85D24" w:rsidRPr="0098033E" w:rsidRDefault="00D85D24" w:rsidP="002F7CA7">
      <w:pPr>
        <w:pStyle w:val="Titlu2"/>
        <w:rPr>
          <w:b w:val="0"/>
          <w:bCs w:val="0"/>
          <w:sz w:val="28"/>
          <w:szCs w:val="28"/>
        </w:rPr>
      </w:pPr>
      <w:bookmarkStart w:id="5" w:name="_Toc50034441"/>
      <w:r w:rsidRPr="0098033E">
        <w:rPr>
          <w:b w:val="0"/>
          <w:bCs w:val="0"/>
          <w:sz w:val="28"/>
          <w:szCs w:val="28"/>
        </w:rPr>
        <w:t>Pestle Analysis of the Car Industry</w:t>
      </w:r>
      <w:bookmarkEnd w:id="5"/>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 xml:space="preserve">The car industry has, in the past, benefited from political goodwill and government intervention. For instance, Europe introduced incentives in 2009 and increased the demand for small and medium-sized cars since it was after the Great Recession of 2008, which led to massive unemployment and reduced consumer spending. Car manufacturers took advantage of the incentives and performed well. However, incentive schemes lapsed by the end of 2009, and car manufacturers had to rely on consumer responses and economic outlook. Governments often </w:t>
      </w:r>
      <w:r w:rsidRPr="00D85D24">
        <w:rPr>
          <w:rFonts w:ascii="Times New Roman" w:eastAsia="Times New Roman" w:hAnsi="Times New Roman" w:cs="Times New Roman"/>
          <w:color w:val="0E101A"/>
          <w:sz w:val="24"/>
          <w:szCs w:val="24"/>
        </w:rPr>
        <w:lastRenderedPageBreak/>
        <w:t>impose taxes and car importation duties that encourage the consumption of national brands or vice versa. Economic factors that affected the car industry then included the recession, unemployment, and low consumer spending. Other factors that have traditionally affected Europe include pricing pressure and excess capacity. </w:t>
      </w: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In modern times, car manufacturers can benefit from growing political stability of nations and regions and open plants or begin operations in new areas. They can liaise with producers in developing countries or make pacts with governments there. Consequently, they might produce localised cars that meet needs while taking advantage of often high car importation duties that can discourage other brands' purchase. There can be political instability, such as Brexit in the United Kingdom. Companies can prepare to transfer significant operations or headquarters to neighbouring companies while maintaining production operations in the nation. Indeed, they can prepare to shift production operations when political-economic conditions become unbearable. Some companies have succeeded in terms of similar responses. For instance, Sony moved its headquarters from the United Kingdom to the Netherlands during Brexit but maintained a strategic presence in the UK (Laker &amp; Roulet, 2019). Indeed, organisations can learn from such moves and increase their strategic agility. </w:t>
      </w:r>
    </w:p>
    <w:p w:rsidR="00D85D24" w:rsidRPr="00D85D24" w:rsidRDefault="00D85D24" w:rsidP="00844C2D">
      <w:pPr>
        <w:spacing w:after="120" w:line="360" w:lineRule="auto"/>
        <w:ind w:firstLine="720"/>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An analysis of economic nations affecting companies and countries is vital for remarkable investment decisions. Emerging economies hold great promise just as developed economies and sometimes more than developed nations. They include China, India, Indonesia, Brazil, South Africa, South Korea, Egypt, and Brazil. Many multinationals succeed in home environments and often fail in these economies, revealing that there are ideal strategies for developing in emerging economies. Also, market infrastructure and contract-enforcing mechanisms are not effective in some of these nations, which might also not have seasoned market intermediaries compared to developed countries (Khanna, Palepu, &amp; Sinha, 2005). Some market nations such as India have since the early 1990s opened up to globalisation, privatisation, and liberalisation (Prakashan, 2008, 2.1). Thus, emerging countries have decades of favourable business outlook and too advanced technologically, economically, and culturally. </w:t>
      </w:r>
    </w:p>
    <w:p w:rsidR="00D85D24" w:rsidRDefault="00D85D24" w:rsidP="00844C2D">
      <w:pPr>
        <w:spacing w:after="120" w:line="360" w:lineRule="auto"/>
        <w:ind w:firstLine="720"/>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 xml:space="preserve">Car manufacturers can benefit from social trends and purchase patterns, respond to attitudes, and design market strategies to increase appeal to new segments. Families and individuals in Western nations and East Asia might perceive vehicles as an essential asset for convenience. The readiness to purchase might be low even with a significant purchasing power in some cultures. China has the largest car ownership in the world (Zhikang, 2017, p. 324). The Indian market has a luxury segment, the fastest-growing segment in India, about seven years ago (Verma &amp; Rathore, 2013, p.22). Some markets in developing nations increasingly accept personal cars as convenient means for getting from one place to another, and they readily purchase small, </w:t>
      </w:r>
      <w:r w:rsidRPr="00D85D24">
        <w:rPr>
          <w:rFonts w:ascii="Times New Roman" w:eastAsia="Times New Roman" w:hAnsi="Times New Roman" w:cs="Times New Roman"/>
          <w:color w:val="0E101A"/>
          <w:sz w:val="24"/>
          <w:szCs w:val="24"/>
        </w:rPr>
        <w:lastRenderedPageBreak/>
        <w:t>fuel-efficient vehicles. Higher taxes might also factor their purchasing decisions for vehicles, and higher fuel consumption attracts higher taxes. Car manufacturers can focus on such markets for both new and second-hand cars. Indeed, the second-hand car market is too big to ignore, and companies can maintain their good reputation by influencing importation standards. </w:t>
      </w:r>
    </w:p>
    <w:p w:rsidR="00844C2D" w:rsidRPr="00D85D24" w:rsidRDefault="00844C2D" w:rsidP="0098033E">
      <w:pPr>
        <w:spacing w:after="120" w:line="360" w:lineRule="auto"/>
        <w:contextualSpacing/>
        <w:jc w:val="both"/>
        <w:rPr>
          <w:rFonts w:ascii="Times New Roman" w:eastAsia="Times New Roman" w:hAnsi="Times New Roman" w:cs="Times New Roman"/>
          <w:color w:val="0E101A"/>
          <w:sz w:val="24"/>
          <w:szCs w:val="24"/>
        </w:rPr>
      </w:pPr>
    </w:p>
    <w:p w:rsidR="00D85D24" w:rsidRPr="00D85D24" w:rsidRDefault="00D85D24" w:rsidP="00844C2D">
      <w:pPr>
        <w:shd w:val="clear" w:color="auto" w:fill="FFFFFF"/>
        <w:spacing w:after="120" w:line="360" w:lineRule="auto"/>
        <w:ind w:firstLine="720"/>
        <w:contextualSpacing/>
        <w:jc w:val="both"/>
        <w:rPr>
          <w:rFonts w:ascii="Times New Roman" w:eastAsia="Calibri" w:hAnsi="Times New Roman" w:cs="Times New Roman"/>
          <w:sz w:val="24"/>
          <w:szCs w:val="24"/>
          <w:shd w:val="clear" w:color="auto" w:fill="FFFFFF"/>
        </w:rPr>
      </w:pPr>
      <w:r w:rsidRPr="00D85D24">
        <w:rPr>
          <w:rFonts w:ascii="Times New Roman" w:eastAsia="Calibri" w:hAnsi="Times New Roman" w:cs="Times New Roman"/>
          <w:sz w:val="24"/>
          <w:szCs w:val="24"/>
          <w:shd w:val="clear" w:color="auto" w:fill="FFFFFF"/>
        </w:rPr>
        <w:t xml:space="preserve">The following table shows top car sales by country in 2019. </w:t>
      </w:r>
    </w:p>
    <w:tbl>
      <w:tblPr>
        <w:tblStyle w:val="Tabelgril"/>
        <w:tblW w:w="0" w:type="auto"/>
        <w:tblInd w:w="0" w:type="dxa"/>
        <w:tblLook w:val="04A0" w:firstRow="1" w:lastRow="0" w:firstColumn="1" w:lastColumn="0" w:noHBand="0" w:noVBand="1"/>
      </w:tblPr>
      <w:tblGrid>
        <w:gridCol w:w="4673"/>
        <w:gridCol w:w="4672"/>
      </w:tblGrid>
      <w:tr w:rsidR="00D85D24" w:rsidRPr="00D85D24" w:rsidTr="00D85D24">
        <w:tc>
          <w:tcPr>
            <w:tcW w:w="9350" w:type="dxa"/>
            <w:gridSpan w:val="2"/>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b/>
                <w:sz w:val="24"/>
                <w:szCs w:val="24"/>
              </w:rPr>
            </w:pPr>
            <w:r w:rsidRPr="00D85D24">
              <w:rPr>
                <w:rFonts w:ascii="Times New Roman" w:eastAsia="Times New Roman" w:hAnsi="Times New Roman"/>
                <w:b/>
                <w:sz w:val="24"/>
                <w:szCs w:val="24"/>
              </w:rPr>
              <w:t>Car sales in 2019</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b/>
                <w:sz w:val="24"/>
                <w:szCs w:val="24"/>
              </w:rPr>
            </w:pPr>
            <w:r w:rsidRPr="00D85D24">
              <w:rPr>
                <w:rFonts w:ascii="Times New Roman" w:eastAsia="Times New Roman" w:hAnsi="Times New Roman"/>
                <w:b/>
                <w:sz w:val="24"/>
                <w:szCs w:val="24"/>
              </w:rPr>
              <w:t xml:space="preserve">Country </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b/>
                <w:sz w:val="24"/>
                <w:szCs w:val="24"/>
              </w:rPr>
            </w:pPr>
            <w:r w:rsidRPr="00D85D24">
              <w:rPr>
                <w:rFonts w:ascii="Times New Roman" w:eastAsia="Times New Roman" w:hAnsi="Times New Roman"/>
                <w:b/>
                <w:sz w:val="24"/>
                <w:szCs w:val="24"/>
              </w:rPr>
              <w:t>Number of cars sold</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 xml:space="preserve">China </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23, 754, 875</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United States</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sz w:val="24"/>
                <w:szCs w:val="24"/>
              </w:rPr>
            </w:pPr>
            <w:r w:rsidRPr="00D85D24">
              <w:rPr>
                <w:rFonts w:ascii="Times New Roman" w:hAnsi="Times New Roman"/>
                <w:sz w:val="24"/>
                <w:szCs w:val="24"/>
                <w:shd w:val="clear" w:color="auto" w:fill="FFFFFF"/>
              </w:rPr>
              <w:t>17,175,893</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Japan</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sz w:val="24"/>
                <w:szCs w:val="24"/>
              </w:rPr>
            </w:pPr>
            <w:r w:rsidRPr="00D85D24">
              <w:rPr>
                <w:rFonts w:ascii="Times New Roman" w:hAnsi="Times New Roman"/>
                <w:sz w:val="24"/>
                <w:szCs w:val="24"/>
                <w:shd w:val="clear" w:color="auto" w:fill="FFFFFF"/>
              </w:rPr>
              <w:t>5,271,985</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Germany</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sz w:val="24"/>
                <w:szCs w:val="24"/>
              </w:rPr>
            </w:pPr>
            <w:r w:rsidRPr="00D85D24">
              <w:rPr>
                <w:rFonts w:ascii="Times New Roman" w:hAnsi="Times New Roman"/>
                <w:sz w:val="24"/>
                <w:szCs w:val="24"/>
                <w:shd w:val="clear" w:color="auto" w:fill="FFFFFF"/>
              </w:rPr>
              <w:t>3,436,112</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India</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sz w:val="24"/>
                <w:szCs w:val="24"/>
              </w:rPr>
            </w:pPr>
            <w:r w:rsidRPr="00D85D24">
              <w:rPr>
                <w:rFonts w:ascii="Times New Roman" w:hAnsi="Times New Roman"/>
                <w:sz w:val="24"/>
                <w:szCs w:val="24"/>
                <w:shd w:val="clear" w:color="auto" w:fill="FFFFFF"/>
              </w:rPr>
              <w:t>3,382,453</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France</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eastAsia="Times New Roman" w:hAnsi="Times New Roman"/>
                <w:sz w:val="24"/>
                <w:szCs w:val="24"/>
              </w:rPr>
            </w:pPr>
            <w:r w:rsidRPr="00D85D24">
              <w:rPr>
                <w:rFonts w:ascii="Times New Roman" w:hAnsi="Times New Roman"/>
                <w:sz w:val="24"/>
                <w:szCs w:val="24"/>
                <w:shd w:val="clear" w:color="auto" w:fill="FFFFFF"/>
              </w:rPr>
              <w:t>2,633,231</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Brazil</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hAnsi="Times New Roman"/>
                <w:sz w:val="24"/>
                <w:szCs w:val="24"/>
                <w:shd w:val="clear" w:color="auto" w:fill="FFFFFF"/>
              </w:rPr>
            </w:pPr>
            <w:r w:rsidRPr="00D85D24">
              <w:rPr>
                <w:rFonts w:ascii="Times New Roman" w:hAnsi="Times New Roman"/>
                <w:sz w:val="24"/>
                <w:szCs w:val="24"/>
                <w:shd w:val="clear" w:color="auto" w:fill="FFFFFF"/>
              </w:rPr>
              <w:t>2,567,254</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United Kingdom</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hAnsi="Times New Roman"/>
                <w:sz w:val="24"/>
                <w:szCs w:val="24"/>
                <w:shd w:val="clear" w:color="auto" w:fill="FFFFFF"/>
              </w:rPr>
            </w:pPr>
            <w:r w:rsidRPr="00D85D24">
              <w:rPr>
                <w:rFonts w:ascii="Times New Roman" w:hAnsi="Times New Roman"/>
                <w:sz w:val="24"/>
                <w:szCs w:val="24"/>
                <w:shd w:val="clear" w:color="auto" w:fill="FFFFFF"/>
              </w:rPr>
              <w:t>2,366,976</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Canada</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hAnsi="Times New Roman"/>
                <w:sz w:val="24"/>
                <w:szCs w:val="24"/>
                <w:shd w:val="clear" w:color="auto" w:fill="FFFFFF"/>
              </w:rPr>
            </w:pPr>
            <w:r w:rsidRPr="00D85D24">
              <w:rPr>
                <w:rFonts w:ascii="Times New Roman" w:hAnsi="Times New Roman"/>
                <w:sz w:val="24"/>
                <w:szCs w:val="24"/>
                <w:shd w:val="clear" w:color="auto" w:fill="FFFFFF"/>
              </w:rPr>
              <w:t>1,985,053</w:t>
            </w:r>
          </w:p>
        </w:tc>
      </w:tr>
      <w:tr w:rsidR="00D85D24" w:rsidRPr="00D85D24" w:rsidTr="00D85D24">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numPr>
                <w:ilvl w:val="0"/>
                <w:numId w:val="1"/>
              </w:numPr>
              <w:spacing w:after="120" w:line="360" w:lineRule="auto"/>
              <w:contextualSpacing/>
              <w:jc w:val="both"/>
              <w:rPr>
                <w:rFonts w:ascii="Times New Roman" w:eastAsia="Times New Roman" w:hAnsi="Times New Roman"/>
                <w:sz w:val="24"/>
                <w:szCs w:val="24"/>
              </w:rPr>
            </w:pPr>
            <w:r w:rsidRPr="00D85D24">
              <w:rPr>
                <w:rFonts w:ascii="Times New Roman" w:eastAsia="Times New Roman" w:hAnsi="Times New Roman"/>
                <w:sz w:val="24"/>
                <w:szCs w:val="24"/>
              </w:rPr>
              <w:t>Italy</w:t>
            </w:r>
          </w:p>
        </w:tc>
        <w:tc>
          <w:tcPr>
            <w:tcW w:w="4675" w:type="dxa"/>
            <w:tcBorders>
              <w:top w:val="single" w:sz="4" w:space="0" w:color="auto"/>
              <w:left w:val="single" w:sz="4" w:space="0" w:color="auto"/>
              <w:bottom w:val="single" w:sz="4" w:space="0" w:color="auto"/>
              <w:right w:val="single" w:sz="4" w:space="0" w:color="auto"/>
            </w:tcBorders>
            <w:hideMark/>
          </w:tcPr>
          <w:p w:rsidR="00D85D24" w:rsidRPr="00D85D24" w:rsidRDefault="00D85D24" w:rsidP="00844C2D">
            <w:pPr>
              <w:spacing w:after="120" w:line="360" w:lineRule="auto"/>
              <w:contextualSpacing/>
              <w:jc w:val="both"/>
              <w:rPr>
                <w:rFonts w:ascii="Times New Roman" w:hAnsi="Times New Roman"/>
                <w:sz w:val="24"/>
                <w:szCs w:val="24"/>
                <w:shd w:val="clear" w:color="auto" w:fill="FFFFFF"/>
              </w:rPr>
            </w:pPr>
            <w:r w:rsidRPr="00D85D24">
              <w:rPr>
                <w:rFonts w:ascii="Times New Roman" w:hAnsi="Times New Roman"/>
                <w:sz w:val="24"/>
                <w:szCs w:val="24"/>
                <w:shd w:val="clear" w:color="auto" w:fill="FFFFFF"/>
              </w:rPr>
              <w:t>1,909,997</w:t>
            </w:r>
          </w:p>
        </w:tc>
      </w:tr>
    </w:tbl>
    <w:p w:rsidR="00D85D24" w:rsidRDefault="00D85D24" w:rsidP="00844C2D">
      <w:pPr>
        <w:shd w:val="clear" w:color="auto" w:fill="FFFFFF"/>
        <w:spacing w:after="120" w:line="360" w:lineRule="auto"/>
        <w:contextualSpacing/>
        <w:jc w:val="both"/>
        <w:rPr>
          <w:rFonts w:ascii="Times New Roman" w:eastAsia="Calibri" w:hAnsi="Times New Roman" w:cs="Times New Roman"/>
          <w:sz w:val="24"/>
          <w:szCs w:val="24"/>
        </w:rPr>
      </w:pPr>
      <w:r w:rsidRPr="00D85D24">
        <w:rPr>
          <w:rFonts w:ascii="Times New Roman" w:eastAsia="Times New Roman" w:hAnsi="Times New Roman" w:cs="Times New Roman"/>
          <w:sz w:val="24"/>
          <w:szCs w:val="24"/>
        </w:rPr>
        <w:t xml:space="preserve">Source: </w:t>
      </w:r>
      <w:r w:rsidRPr="00D85D24">
        <w:rPr>
          <w:rFonts w:ascii="Times New Roman" w:eastAsia="Calibri" w:hAnsi="Times New Roman" w:cs="Times New Roman"/>
          <w:sz w:val="24"/>
          <w:szCs w:val="24"/>
        </w:rPr>
        <w:t>Factory warranty list, 2019.</w:t>
      </w:r>
    </w:p>
    <w:p w:rsidR="0098033E" w:rsidRPr="00D85D24" w:rsidRDefault="0098033E" w:rsidP="00844C2D">
      <w:pPr>
        <w:shd w:val="clear" w:color="auto" w:fill="FFFFFF"/>
        <w:spacing w:after="120" w:line="360" w:lineRule="auto"/>
        <w:contextualSpacing/>
        <w:jc w:val="both"/>
        <w:rPr>
          <w:rFonts w:ascii="Times New Roman" w:eastAsia="Times New Roman" w:hAnsi="Times New Roman" w:cs="Times New Roman"/>
          <w:sz w:val="24"/>
          <w:szCs w:val="24"/>
        </w:rPr>
      </w:pP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The table reveals that people from Europe, North America, and East Asian nations are the major car buyers. Other countries in the top 20 are Russia, Iran, Turkey, Indonesia, Argentina, Spain, Mexico, Australia, Thailand, and South Korea. Further analysis reveals that the yearly increase or decrease in car consumption was between 2% and 7% for the top ten nations, except Brazil, which had a 15% increase in 2019 (“</w:t>
      </w:r>
      <w:r w:rsidRPr="00D85D24">
        <w:rPr>
          <w:rFonts w:ascii="Times New Roman" w:eastAsia="Times New Roman" w:hAnsi="Times New Roman" w:cs="Times New Roman"/>
          <w:sz w:val="24"/>
          <w:szCs w:val="24"/>
        </w:rPr>
        <w:t>Factory warranty list”, 2019)</w:t>
      </w:r>
      <w:r w:rsidRPr="00D85D24">
        <w:rPr>
          <w:rFonts w:ascii="Times New Roman" w:eastAsia="Times New Roman" w:hAnsi="Times New Roman" w:cs="Times New Roman"/>
          <w:color w:val="0E101A"/>
          <w:sz w:val="24"/>
          <w:szCs w:val="24"/>
        </w:rPr>
        <w:t>. Other countries in the top twenty experienced above 7% change, with Iran and Turkey experiencing a 36% and a 35% decrease (“</w:t>
      </w:r>
      <w:r w:rsidRPr="00D85D24">
        <w:rPr>
          <w:rFonts w:ascii="Times New Roman" w:eastAsia="Times New Roman" w:hAnsi="Times New Roman" w:cs="Times New Roman"/>
          <w:sz w:val="24"/>
          <w:szCs w:val="24"/>
        </w:rPr>
        <w:t>Factory warranty list”, 2019)</w:t>
      </w:r>
      <w:r w:rsidRPr="00D85D24">
        <w:rPr>
          <w:rFonts w:ascii="Times New Roman" w:eastAsia="Times New Roman" w:hAnsi="Times New Roman" w:cs="Times New Roman"/>
          <w:color w:val="0E101A"/>
          <w:sz w:val="24"/>
          <w:szCs w:val="24"/>
        </w:rPr>
        <w:t>. Such data would require further analysis to determine their influence on purchasing decisions or power. Further research can also help determine the type of cars purchased. Covarrubias and Perez (2019) examined the exports of automotive products by six central European nations from 1999 to 2017. They found out that the largest exports were passenger cars, parts and accessories, engines and spare parts, wiring sets, trucks, and busses, in that order (Covarrubias and Perez, 2019, p.383). They also realised that these exports were generally increasing during the period. </w:t>
      </w: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lastRenderedPageBreak/>
        <w:tab/>
        <w:t>Technological issues in the automobile industry might relate to energy use, vehicular design, and vehicle features, and companies tend to buy technology and designs and acquire whole companies. The purchase of technology helps acquire fuel-efficient knowhow and luxury and futuristic technologies that might include self-autonomous vehicles and electric vehicles. Companies that invest heavily in research and development and make milestones in inventing new technologies protect them legally through ownership rights. Other companies might find it expensive to purchase the technologies. A few decades ago, suppliers would pose improvements, and car manufacturers would launch competitions for new concepts (Preissl &amp; Solimene, 2013, p. 98). However, companies do not engage in such practices today and engage suppliers early in product development. Such tendencies reveal inclination towards automaker-driven innovation.</w:t>
      </w: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Legal issues affect car manufacturers, and they might touch on vehicle use and service life, among other factors. For instance, China scraps vehicles after 15 years (Zhikang, 2017, p. 324); such regulation might touch on pollution. Some African nations allow the importation of second-hand cars of up to eight years. Such regulation might show attempts to balance between pollution and the need to increase imported second-hand vehicles' affordability. </w:t>
      </w:r>
    </w:p>
    <w:p w:rsid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Environmental concerns increasingly play a role in determining what consumers will buy. Consumers in the Western part of the world tend to be more environmentally conscious. To this extent, they ask for more friendly energy sources and low emission technologies for vehicles. Customers increasingly have a preference for electricity-powered vehicles and make electric car manufacturers such as Tesla popular. Indeed, Elon Musk, Tesla's founder and CEO, has risen quickly to become the fourth richest person globally (Pendleton &amp; Bloomberg, 2018). There is an increasing demand for new energy vehicles (Wang et al., 2015, p. 1). They include pure electric vehicles, solar-powered cars, fuel cell electric vehicles, and plug-in electric vehicles (Wang et al., 2015, p. 2). Based on some estimates, electric vehicles will increase to 30 million by 2025 (Wang et al., 2015, p. 1). Electric cars will reduce the dependence on crude oil. China tops in the whole world in terms of the production of new energy vehicles. Since 2011, the number of vehicles increased by significant percentages, sometimes, by more than 200 percent; the increase in 2015 was five times, which led to the production of 379,000 units (Wang et al., 2015, p. 2). Car manufacturers can benefit from the strategic advantages of companies such as Tesla technologies from specific nations. They can collaborate and purchase technology or rights to technology. That way, they can increasingly make new energy vehicles and appeal to environmentally-conscious consumers. </w:t>
      </w:r>
    </w:p>
    <w:p w:rsidR="00844C2D" w:rsidRDefault="00844C2D" w:rsidP="00844C2D">
      <w:pPr>
        <w:spacing w:after="120" w:line="360" w:lineRule="auto"/>
        <w:contextualSpacing/>
        <w:jc w:val="both"/>
        <w:rPr>
          <w:rFonts w:ascii="Times New Roman" w:eastAsia="Times New Roman" w:hAnsi="Times New Roman" w:cs="Times New Roman"/>
          <w:color w:val="0E101A"/>
          <w:sz w:val="24"/>
          <w:szCs w:val="24"/>
        </w:rPr>
      </w:pPr>
    </w:p>
    <w:p w:rsidR="00844C2D" w:rsidRPr="00D85D24" w:rsidRDefault="00844C2D" w:rsidP="00844C2D">
      <w:pPr>
        <w:spacing w:after="120" w:line="360" w:lineRule="auto"/>
        <w:contextualSpacing/>
        <w:jc w:val="both"/>
        <w:rPr>
          <w:rFonts w:ascii="Times New Roman" w:eastAsia="Times New Roman" w:hAnsi="Times New Roman" w:cs="Times New Roman"/>
          <w:color w:val="0E101A"/>
          <w:sz w:val="24"/>
          <w:szCs w:val="24"/>
        </w:rPr>
      </w:pPr>
    </w:p>
    <w:p w:rsidR="000334CA" w:rsidRPr="0098033E" w:rsidRDefault="002F7CA7" w:rsidP="0098033E">
      <w:pPr>
        <w:pStyle w:val="Titlu1"/>
        <w:jc w:val="center"/>
        <w:rPr>
          <w:b w:val="0"/>
          <w:bCs w:val="0"/>
          <w:sz w:val="28"/>
          <w:szCs w:val="28"/>
        </w:rPr>
      </w:pPr>
      <w:bookmarkStart w:id="6" w:name="_Toc50034442"/>
      <w:r w:rsidRPr="0098033E">
        <w:rPr>
          <w:b w:val="0"/>
          <w:bCs w:val="0"/>
          <w:sz w:val="28"/>
          <w:szCs w:val="28"/>
        </w:rPr>
        <w:lastRenderedPageBreak/>
        <w:t>B.</w:t>
      </w:r>
      <w:r w:rsidR="000334CA" w:rsidRPr="0098033E">
        <w:rPr>
          <w:b w:val="0"/>
          <w:bCs w:val="0"/>
          <w:sz w:val="28"/>
          <w:szCs w:val="28"/>
        </w:rPr>
        <w:t>Porter’s Five Forces</w:t>
      </w:r>
      <w:bookmarkEnd w:id="6"/>
    </w:p>
    <w:p w:rsidR="00844C2D" w:rsidRPr="00844C2D" w:rsidRDefault="00844C2D" w:rsidP="00844C2D">
      <w:pPr>
        <w:pStyle w:val="Listparagraf"/>
        <w:spacing w:after="120" w:line="360" w:lineRule="auto"/>
        <w:rPr>
          <w:rFonts w:ascii="Times New Roman" w:eastAsia="Times New Roman" w:hAnsi="Times New Roman" w:cs="Times New Roman"/>
          <w:b/>
          <w:bCs/>
          <w:color w:val="0E101A"/>
          <w:sz w:val="24"/>
          <w:szCs w:val="24"/>
        </w:rPr>
      </w:pPr>
    </w:p>
    <w:p w:rsidR="009A17BF" w:rsidRDefault="000334CA" w:rsidP="00844C2D">
      <w:pPr>
        <w:spacing w:after="120" w:line="360" w:lineRule="auto"/>
        <w:contextualSpacing/>
        <w:jc w:val="both"/>
        <w:rPr>
          <w:rFonts w:ascii="Times New Roman" w:eastAsia="Times New Roman" w:hAnsi="Times New Roman" w:cs="Times New Roman"/>
          <w:b/>
          <w:bCs/>
          <w:color w:val="0E101A"/>
          <w:sz w:val="24"/>
          <w:szCs w:val="24"/>
        </w:rPr>
      </w:pPr>
      <w:r>
        <w:rPr>
          <w:rFonts w:ascii="Times New Roman" w:eastAsia="Times New Roman" w:hAnsi="Times New Roman" w:cs="Times New Roman"/>
          <w:b/>
          <w:bCs/>
          <w:noProof/>
          <w:color w:val="0E101A"/>
          <w:sz w:val="24"/>
          <w:szCs w:val="24"/>
        </w:rPr>
        <w:drawing>
          <wp:inline distT="0" distB="0" distL="0" distR="0">
            <wp:extent cx="5486400" cy="3200400"/>
            <wp:effectExtent l="0" t="0" r="0" b="19050"/>
            <wp:docPr id="1" name="Nomogramă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E2524" w:rsidRPr="005E2524" w:rsidRDefault="009A17BF" w:rsidP="00844C2D">
      <w:pPr>
        <w:spacing w:after="120" w:line="360" w:lineRule="auto"/>
        <w:contextualSpacing/>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Competitive Rivalry: </w:t>
      </w:r>
    </w:p>
    <w:p w:rsidR="005E2524" w:rsidRPr="005E2524"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So many car producing rivals, less trucks, two wheelers and tractors</w:t>
      </w:r>
    </w:p>
    <w:p w:rsidR="005E2524" w:rsidRPr="005E2524"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 xml:space="preserve">Loyalty to </w:t>
      </w:r>
      <w:r w:rsidR="00844C2D">
        <w:rPr>
          <w:rFonts w:ascii="Times New Roman" w:eastAsia="Times New Roman" w:hAnsi="Times New Roman" w:cs="Times New Roman"/>
          <w:color w:val="0E101A"/>
          <w:sz w:val="24"/>
          <w:szCs w:val="24"/>
        </w:rPr>
        <w:t>p</w:t>
      </w:r>
      <w:r w:rsidRPr="005E2524">
        <w:rPr>
          <w:rFonts w:ascii="Times New Roman" w:eastAsia="Times New Roman" w:hAnsi="Times New Roman" w:cs="Times New Roman"/>
          <w:color w:val="0E101A"/>
          <w:sz w:val="24"/>
          <w:szCs w:val="24"/>
        </w:rPr>
        <w:t xml:space="preserve">oor </w:t>
      </w:r>
      <w:r w:rsidR="00844C2D">
        <w:rPr>
          <w:rFonts w:ascii="Times New Roman" w:eastAsia="Times New Roman" w:hAnsi="Times New Roman" w:cs="Times New Roman"/>
          <w:color w:val="0E101A"/>
          <w:sz w:val="24"/>
          <w:szCs w:val="24"/>
        </w:rPr>
        <w:t>c</w:t>
      </w:r>
      <w:r w:rsidRPr="005E2524">
        <w:rPr>
          <w:rFonts w:ascii="Times New Roman" w:eastAsia="Times New Roman" w:hAnsi="Times New Roman" w:cs="Times New Roman"/>
          <w:color w:val="0E101A"/>
          <w:sz w:val="24"/>
          <w:szCs w:val="24"/>
        </w:rPr>
        <w:t>onsumers</w:t>
      </w:r>
    </w:p>
    <w:p w:rsidR="005E2524" w:rsidRPr="005E2524"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 xml:space="preserve">Certain </w:t>
      </w:r>
      <w:r>
        <w:rPr>
          <w:rFonts w:ascii="Times New Roman" w:eastAsia="Times New Roman" w:hAnsi="Times New Roman" w:cs="Times New Roman"/>
          <w:color w:val="0E101A"/>
          <w:sz w:val="24"/>
          <w:szCs w:val="24"/>
        </w:rPr>
        <w:t xml:space="preserve">brand </w:t>
      </w:r>
      <w:r w:rsidRPr="005E2524">
        <w:rPr>
          <w:rFonts w:ascii="Times New Roman" w:eastAsia="Times New Roman" w:hAnsi="Times New Roman" w:cs="Times New Roman"/>
          <w:color w:val="0E101A"/>
          <w:sz w:val="24"/>
          <w:szCs w:val="24"/>
        </w:rPr>
        <w:t>strength but no actual power to work as customers become price sensitive</w:t>
      </w:r>
    </w:p>
    <w:p w:rsidR="005E2524" w:rsidRPr="005E2524"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Cost of swapping low</w:t>
      </w:r>
    </w:p>
    <w:p w:rsidR="005E2524" w:rsidRPr="005E2524" w:rsidRDefault="005E2524" w:rsidP="00844C2D">
      <w:p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Buyer power:</w:t>
      </w:r>
    </w:p>
    <w:p w:rsidR="005E2524" w:rsidRPr="005E2524" w:rsidRDefault="005E2524" w:rsidP="00844C2D">
      <w:pPr>
        <w:pStyle w:val="Listparagraf"/>
        <w:numPr>
          <w:ilvl w:val="0"/>
          <w:numId w:val="8"/>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 xml:space="preserve">Limited </w:t>
      </w:r>
      <w:r w:rsidR="00844C2D">
        <w:rPr>
          <w:rFonts w:ascii="Times New Roman" w:eastAsia="Times New Roman" w:hAnsi="Times New Roman" w:cs="Times New Roman"/>
          <w:color w:val="0E101A"/>
          <w:sz w:val="24"/>
          <w:szCs w:val="24"/>
        </w:rPr>
        <w:t>b</w:t>
      </w:r>
      <w:r w:rsidRPr="005E2524">
        <w:rPr>
          <w:rFonts w:ascii="Times New Roman" w:eastAsia="Times New Roman" w:hAnsi="Times New Roman" w:cs="Times New Roman"/>
          <w:color w:val="0E101A"/>
          <w:sz w:val="24"/>
          <w:szCs w:val="24"/>
        </w:rPr>
        <w:t xml:space="preserve">uyer </w:t>
      </w:r>
      <w:r>
        <w:rPr>
          <w:rFonts w:ascii="Times New Roman" w:eastAsia="Times New Roman" w:hAnsi="Times New Roman" w:cs="Times New Roman"/>
          <w:color w:val="0E101A"/>
          <w:sz w:val="24"/>
          <w:szCs w:val="24"/>
        </w:rPr>
        <w:t>number</w:t>
      </w:r>
    </w:p>
    <w:p w:rsidR="005E2524" w:rsidRPr="005E2524"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Vulnerability to price spikes</w:t>
      </w:r>
    </w:p>
    <w:p w:rsidR="005E2524" w:rsidRPr="005E2524"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 xml:space="preserve">High </w:t>
      </w:r>
      <w:r>
        <w:rPr>
          <w:rFonts w:ascii="Times New Roman" w:eastAsia="Times New Roman" w:hAnsi="Times New Roman" w:cs="Times New Roman"/>
          <w:color w:val="0E101A"/>
          <w:sz w:val="24"/>
          <w:szCs w:val="24"/>
        </w:rPr>
        <w:t>r</w:t>
      </w:r>
      <w:r w:rsidRPr="005E2524">
        <w:rPr>
          <w:rFonts w:ascii="Times New Roman" w:eastAsia="Times New Roman" w:hAnsi="Times New Roman" w:cs="Times New Roman"/>
          <w:color w:val="0E101A"/>
          <w:sz w:val="24"/>
          <w:szCs w:val="24"/>
        </w:rPr>
        <w:t xml:space="preserve">eplacement </w:t>
      </w:r>
      <w:r>
        <w:rPr>
          <w:rFonts w:ascii="Times New Roman" w:eastAsia="Times New Roman" w:hAnsi="Times New Roman" w:cs="Times New Roman"/>
          <w:color w:val="0E101A"/>
          <w:sz w:val="24"/>
          <w:szCs w:val="24"/>
        </w:rPr>
        <w:t>c</w:t>
      </w:r>
      <w:r w:rsidRPr="005E2524">
        <w:rPr>
          <w:rFonts w:ascii="Times New Roman" w:eastAsia="Times New Roman" w:hAnsi="Times New Roman" w:cs="Times New Roman"/>
          <w:color w:val="0E101A"/>
          <w:sz w:val="24"/>
          <w:szCs w:val="24"/>
        </w:rPr>
        <w:t>apacity</w:t>
      </w:r>
    </w:p>
    <w:p w:rsidR="009A17BF" w:rsidRDefault="005E2524" w:rsidP="00844C2D">
      <w:pPr>
        <w:pStyle w:val="Listparagraf"/>
        <w:numPr>
          <w:ilvl w:val="0"/>
          <w:numId w:val="2"/>
        </w:numPr>
        <w:spacing w:after="120" w:line="360" w:lineRule="auto"/>
        <w:jc w:val="both"/>
        <w:rPr>
          <w:rFonts w:ascii="Times New Roman" w:eastAsia="Times New Roman" w:hAnsi="Times New Roman" w:cs="Times New Roman"/>
          <w:color w:val="0E101A"/>
          <w:sz w:val="24"/>
          <w:szCs w:val="24"/>
        </w:rPr>
      </w:pPr>
      <w:r w:rsidRPr="005E2524">
        <w:rPr>
          <w:rFonts w:ascii="Times New Roman" w:eastAsia="Times New Roman" w:hAnsi="Times New Roman" w:cs="Times New Roman"/>
          <w:color w:val="0E101A"/>
          <w:sz w:val="24"/>
          <w:szCs w:val="24"/>
        </w:rPr>
        <w:t xml:space="preserve">Limited </w:t>
      </w:r>
      <w:r>
        <w:rPr>
          <w:rFonts w:ascii="Times New Roman" w:eastAsia="Times New Roman" w:hAnsi="Times New Roman" w:cs="Times New Roman"/>
          <w:color w:val="0E101A"/>
          <w:sz w:val="24"/>
          <w:szCs w:val="24"/>
        </w:rPr>
        <w:t>b</w:t>
      </w:r>
      <w:r w:rsidRPr="005E2524">
        <w:rPr>
          <w:rFonts w:ascii="Times New Roman" w:eastAsia="Times New Roman" w:hAnsi="Times New Roman" w:cs="Times New Roman"/>
          <w:color w:val="0E101A"/>
          <w:sz w:val="24"/>
          <w:szCs w:val="24"/>
        </w:rPr>
        <w:t xml:space="preserve">uying </w:t>
      </w:r>
      <w:r>
        <w:rPr>
          <w:rFonts w:ascii="Times New Roman" w:eastAsia="Times New Roman" w:hAnsi="Times New Roman" w:cs="Times New Roman"/>
          <w:color w:val="0E101A"/>
          <w:sz w:val="24"/>
          <w:szCs w:val="24"/>
        </w:rPr>
        <w:t>p</w:t>
      </w:r>
      <w:r w:rsidRPr="005E2524">
        <w:rPr>
          <w:rFonts w:ascii="Times New Roman" w:eastAsia="Times New Roman" w:hAnsi="Times New Roman" w:cs="Times New Roman"/>
          <w:color w:val="0E101A"/>
          <w:sz w:val="24"/>
          <w:szCs w:val="24"/>
        </w:rPr>
        <w:t>ower</w:t>
      </w:r>
    </w:p>
    <w:p w:rsidR="00F41793" w:rsidRDefault="00F41793" w:rsidP="00844C2D">
      <w:p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Threat of substitution:</w:t>
      </w:r>
    </w:p>
    <w:p w:rsidR="00F41793" w:rsidRDefault="00F41793" w:rsidP="00844C2D">
      <w:pPr>
        <w:pStyle w:val="Listparagraf"/>
        <w:numPr>
          <w:ilvl w:val="0"/>
          <w:numId w:val="4"/>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Low cost of substitution</w:t>
      </w:r>
    </w:p>
    <w:p w:rsidR="00F41793" w:rsidRDefault="005E2524" w:rsidP="00844C2D">
      <w:pPr>
        <w:pStyle w:val="Listparagraf"/>
        <w:numPr>
          <w:ilvl w:val="0"/>
          <w:numId w:val="4"/>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So many different product choices</w:t>
      </w:r>
    </w:p>
    <w:p w:rsidR="00F41793" w:rsidRDefault="00F41793" w:rsidP="00844C2D">
      <w:p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Suppliers power:</w:t>
      </w:r>
    </w:p>
    <w:p w:rsidR="00F41793" w:rsidRDefault="00F41793" w:rsidP="00844C2D">
      <w:pPr>
        <w:pStyle w:val="Listparagraf"/>
        <w:numPr>
          <w:ilvl w:val="0"/>
          <w:numId w:val="5"/>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Fragmented suppliers of raw materials</w:t>
      </w:r>
    </w:p>
    <w:p w:rsidR="00F41793" w:rsidRDefault="00F41793" w:rsidP="00844C2D">
      <w:pPr>
        <w:pStyle w:val="Listparagraf"/>
        <w:numPr>
          <w:ilvl w:val="0"/>
          <w:numId w:val="5"/>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High </w:t>
      </w:r>
      <w:r w:rsidR="005E2524">
        <w:rPr>
          <w:rFonts w:ascii="Times New Roman" w:eastAsia="Times New Roman" w:hAnsi="Times New Roman" w:cs="Times New Roman"/>
          <w:color w:val="0E101A"/>
          <w:sz w:val="24"/>
          <w:szCs w:val="24"/>
        </w:rPr>
        <w:t>replecement</w:t>
      </w:r>
      <w:r>
        <w:rPr>
          <w:rFonts w:ascii="Times New Roman" w:eastAsia="Times New Roman" w:hAnsi="Times New Roman" w:cs="Times New Roman"/>
          <w:color w:val="0E101A"/>
          <w:sz w:val="24"/>
          <w:szCs w:val="24"/>
        </w:rPr>
        <w:t xml:space="preserve"> </w:t>
      </w:r>
      <w:r w:rsidR="005E2524">
        <w:rPr>
          <w:rFonts w:ascii="Times New Roman" w:eastAsia="Times New Roman" w:hAnsi="Times New Roman" w:cs="Times New Roman"/>
          <w:color w:val="0E101A"/>
          <w:sz w:val="24"/>
          <w:szCs w:val="24"/>
        </w:rPr>
        <w:t>power</w:t>
      </w:r>
    </w:p>
    <w:p w:rsidR="00F41793" w:rsidRDefault="00F41793" w:rsidP="00844C2D">
      <w:pPr>
        <w:pStyle w:val="Listparagraf"/>
        <w:numPr>
          <w:ilvl w:val="0"/>
          <w:numId w:val="5"/>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Low cost of substitution</w:t>
      </w:r>
    </w:p>
    <w:p w:rsidR="00F41793" w:rsidRDefault="00F41793" w:rsidP="00844C2D">
      <w:pPr>
        <w:pStyle w:val="Listparagraf"/>
        <w:numPr>
          <w:ilvl w:val="0"/>
          <w:numId w:val="5"/>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No real supplier power</w:t>
      </w:r>
    </w:p>
    <w:p w:rsidR="00F41793" w:rsidRDefault="00F41793" w:rsidP="00844C2D">
      <w:p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Threat of new entrats:</w:t>
      </w:r>
    </w:p>
    <w:p w:rsidR="00F41793" w:rsidRDefault="00F41793" w:rsidP="00844C2D">
      <w:pPr>
        <w:pStyle w:val="Listparagraf"/>
        <w:numPr>
          <w:ilvl w:val="0"/>
          <w:numId w:val="6"/>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Capital and labour intensive</w:t>
      </w:r>
    </w:p>
    <w:p w:rsidR="00F41793" w:rsidRDefault="00F41793" w:rsidP="00844C2D">
      <w:pPr>
        <w:pStyle w:val="Listparagraf"/>
        <w:numPr>
          <w:ilvl w:val="0"/>
          <w:numId w:val="6"/>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Trained manpower available, or can be trained</w:t>
      </w:r>
    </w:p>
    <w:p w:rsidR="00F41793" w:rsidRDefault="00F41793" w:rsidP="00844C2D">
      <w:pPr>
        <w:pStyle w:val="Listparagraf"/>
        <w:numPr>
          <w:ilvl w:val="0"/>
          <w:numId w:val="6"/>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Economies of scale large</w:t>
      </w:r>
    </w:p>
    <w:p w:rsidR="00F41793" w:rsidRDefault="00F41793" w:rsidP="00844C2D">
      <w:pPr>
        <w:pStyle w:val="Listparagraf"/>
        <w:numPr>
          <w:ilvl w:val="0"/>
          <w:numId w:val="6"/>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Economies of scale large manufacturers</w:t>
      </w:r>
    </w:p>
    <w:p w:rsidR="00F41793" w:rsidRPr="00F41793" w:rsidRDefault="00F41793" w:rsidP="00844C2D">
      <w:pPr>
        <w:pStyle w:val="Listparagraf"/>
        <w:numPr>
          <w:ilvl w:val="0"/>
          <w:numId w:val="6"/>
        </w:numPr>
        <w:spacing w:after="12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Some technology  protection</w:t>
      </w:r>
    </w:p>
    <w:p w:rsidR="00F41793" w:rsidRPr="009A17BF" w:rsidRDefault="00F41793" w:rsidP="00844C2D">
      <w:pPr>
        <w:pStyle w:val="Listparagraf"/>
        <w:spacing w:after="120" w:line="360" w:lineRule="auto"/>
        <w:jc w:val="both"/>
        <w:rPr>
          <w:rFonts w:ascii="Times New Roman" w:eastAsia="Times New Roman" w:hAnsi="Times New Roman" w:cs="Times New Roman"/>
          <w:color w:val="0E101A"/>
          <w:sz w:val="24"/>
          <w:szCs w:val="24"/>
        </w:rPr>
      </w:pPr>
    </w:p>
    <w:p w:rsidR="00D85D24" w:rsidRPr="0098033E" w:rsidRDefault="00D85D24" w:rsidP="002F7CA7">
      <w:pPr>
        <w:pStyle w:val="Titlu2"/>
        <w:rPr>
          <w:b w:val="0"/>
          <w:bCs w:val="0"/>
          <w:sz w:val="28"/>
          <w:szCs w:val="28"/>
        </w:rPr>
      </w:pPr>
      <w:bookmarkStart w:id="7" w:name="_Toc50034443"/>
      <w:r w:rsidRPr="0098033E">
        <w:rPr>
          <w:b w:val="0"/>
          <w:bCs w:val="0"/>
          <w:sz w:val="28"/>
          <w:szCs w:val="28"/>
        </w:rPr>
        <w:t>Opportunities and Challenges</w:t>
      </w:r>
      <w:bookmarkEnd w:id="7"/>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Car manufacturers thrive on competitive ability and the capacity to penetrate new markets. Increasing competitive ability might require internal changes such as prioritising innovation and external changes such as increased collaboration. Collaboration can help acquire new technology and reduce the risk of stagnation and eventual extinction. While cultural and political factors might present a challenge when doing business in emerging and developing nations, car multinationals can begin a cultural change, say, by demonstrating and teaching openness. </w:t>
      </w: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Social media integration in marketing can help assess the level of demand and desirability of unique and luxurious cars and increase appeal for such cars. Marketing initiatives in developing nations are likely to lead to more significant purchase even of second-hand cars if personal cars are marketed as convenience assets instead of prestige assets. In the past, U.S. companies had succeeded when they moved from a class-based approach to a personal one (Candelo, 2019, 41). Depending on the region, car manufacturers can liaise with other manufacturers to counter competition from threatening companies that continue to penetrate their area. Still, the fluidity of markets is desirable because it encourages the penetration of better technologies, which is beneficial to consumers and the environment in the long-run. </w:t>
      </w:r>
    </w:p>
    <w:p w:rsid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r w:rsidRPr="00D85D24">
        <w:rPr>
          <w:rFonts w:ascii="Times New Roman" w:eastAsia="Times New Roman" w:hAnsi="Times New Roman" w:cs="Times New Roman"/>
          <w:color w:val="0E101A"/>
          <w:sz w:val="24"/>
          <w:szCs w:val="24"/>
        </w:rPr>
        <w:tab/>
        <w:t>Car manufacturers are likely to face many impediments in emerging and developing nations because of cultural attitudes, business contexts, technology availability, and the absence of skilled labour. These nations can focus on low-cost technologies, cheap skilled labour in some nations, and utilise available infrastructure while bringing in technology. They can customize their approaches to "fit each nation's institutional context" (Khanna, Palepu, &amp; Sinha, 2005). Thus, car manufacturers can take advantage of current environments and shape according to their territories.  </w:t>
      </w:r>
    </w:p>
    <w:p w:rsidR="00844C2D" w:rsidRDefault="00844C2D" w:rsidP="00844C2D">
      <w:pPr>
        <w:spacing w:after="120" w:line="360" w:lineRule="auto"/>
        <w:contextualSpacing/>
        <w:jc w:val="both"/>
        <w:rPr>
          <w:rFonts w:ascii="Times New Roman" w:eastAsia="Times New Roman" w:hAnsi="Times New Roman" w:cs="Times New Roman"/>
          <w:color w:val="0E101A"/>
          <w:sz w:val="24"/>
          <w:szCs w:val="24"/>
        </w:rPr>
      </w:pPr>
    </w:p>
    <w:p w:rsidR="00844C2D" w:rsidRDefault="00844C2D" w:rsidP="00844C2D">
      <w:pPr>
        <w:spacing w:after="120" w:line="360" w:lineRule="auto"/>
        <w:contextualSpacing/>
        <w:jc w:val="both"/>
        <w:rPr>
          <w:rFonts w:ascii="Times New Roman" w:eastAsia="Times New Roman" w:hAnsi="Times New Roman" w:cs="Times New Roman"/>
          <w:color w:val="0E101A"/>
          <w:sz w:val="24"/>
          <w:szCs w:val="24"/>
        </w:rPr>
      </w:pPr>
    </w:p>
    <w:p w:rsidR="00844C2D" w:rsidRPr="0098033E" w:rsidRDefault="00844C2D" w:rsidP="0098033E">
      <w:pPr>
        <w:pStyle w:val="Titlu1"/>
        <w:jc w:val="center"/>
        <w:rPr>
          <w:b w:val="0"/>
          <w:bCs w:val="0"/>
          <w:sz w:val="28"/>
          <w:szCs w:val="28"/>
        </w:rPr>
      </w:pPr>
      <w:bookmarkStart w:id="8" w:name="_Toc50034444"/>
      <w:r w:rsidRPr="0098033E">
        <w:rPr>
          <w:b w:val="0"/>
          <w:bCs w:val="0"/>
          <w:sz w:val="28"/>
          <w:szCs w:val="28"/>
        </w:rPr>
        <w:lastRenderedPageBreak/>
        <w:t>Conclusion</w:t>
      </w:r>
      <w:bookmarkEnd w:id="8"/>
    </w:p>
    <w:p w:rsidR="00D85D24" w:rsidRPr="00D85D24" w:rsidRDefault="00D85D24" w:rsidP="00844C2D">
      <w:pPr>
        <w:spacing w:after="120" w:line="360" w:lineRule="auto"/>
        <w:ind w:firstLine="720"/>
        <w:jc w:val="both"/>
        <w:rPr>
          <w:rFonts w:ascii="Times New Roman" w:eastAsia="Calibri" w:hAnsi="Times New Roman" w:cs="Times New Roman"/>
          <w:sz w:val="24"/>
          <w:szCs w:val="24"/>
        </w:rPr>
      </w:pPr>
      <w:r w:rsidRPr="00D85D24">
        <w:rPr>
          <w:rFonts w:ascii="Times New Roman" w:eastAsia="Calibri" w:hAnsi="Times New Roman" w:cs="Times New Roman"/>
          <w:sz w:val="24"/>
          <w:szCs w:val="24"/>
        </w:rPr>
        <w:t xml:space="preserve">Conclusively, the assessment of the car industry reveals great viability in terms of growth and expansion in the future. The PESTLE analysis of this industry demonstrates that political shifts such as Brexit have compelled car manufactures to strategize their operations afresh to remain competitive. Technological advancements and shifts in social patterns have enabled car companies to improve their car designs. As a result, modern cars are more fuel-efficient and environmental friendly. Globalisation, privatisation, and liberalisation have also led to the opening of new car markets. Additional opportunities arise through the utilisation of social media to identify demand and preferences for car products. Nonetheless, car companies have to address challenges relating to cultural attitudes, technological availability, and absence of skilled labour in order to remain competitive. </w:t>
      </w:r>
    </w:p>
    <w:p w:rsidR="00D85D24" w:rsidRPr="00D85D24" w:rsidRDefault="00D85D24" w:rsidP="00844C2D">
      <w:pPr>
        <w:spacing w:after="120" w:line="360" w:lineRule="auto"/>
        <w:contextualSpacing/>
        <w:jc w:val="both"/>
        <w:rPr>
          <w:rFonts w:ascii="Times New Roman" w:eastAsia="Times New Roman" w:hAnsi="Times New Roman" w:cs="Times New Roman"/>
          <w:color w:val="0E101A"/>
          <w:sz w:val="24"/>
          <w:szCs w:val="24"/>
        </w:rPr>
      </w:pPr>
    </w:p>
    <w:p w:rsidR="00D85D24" w:rsidRPr="00D85D24" w:rsidRDefault="00D85D24" w:rsidP="00844C2D">
      <w:pPr>
        <w:shd w:val="clear" w:color="auto" w:fill="FFFFFF"/>
        <w:spacing w:after="120" w:line="360" w:lineRule="auto"/>
        <w:contextualSpacing/>
        <w:jc w:val="both"/>
        <w:rPr>
          <w:rFonts w:ascii="Times New Roman" w:eastAsia="Times New Roman" w:hAnsi="Times New Roman" w:cs="Times New Roman"/>
          <w:sz w:val="24"/>
          <w:szCs w:val="24"/>
        </w:rPr>
      </w:pPr>
    </w:p>
    <w:p w:rsidR="00D85D24" w:rsidRPr="00D85D24" w:rsidRDefault="00D85D24" w:rsidP="00844C2D">
      <w:pPr>
        <w:shd w:val="clear" w:color="auto" w:fill="FFFFFF"/>
        <w:spacing w:after="120" w:line="360" w:lineRule="auto"/>
        <w:contextualSpacing/>
        <w:jc w:val="both"/>
        <w:rPr>
          <w:rFonts w:ascii="Times New Roman" w:eastAsia="Times New Roman" w:hAnsi="Times New Roman" w:cs="Times New Roman"/>
          <w:b/>
          <w:bCs/>
          <w:sz w:val="24"/>
          <w:szCs w:val="24"/>
        </w:rPr>
      </w:pPr>
    </w:p>
    <w:p w:rsidR="00D85D24" w:rsidRPr="00D85D24" w:rsidRDefault="00D85D24" w:rsidP="00844C2D">
      <w:pPr>
        <w:spacing w:after="120" w:line="360" w:lineRule="auto"/>
        <w:jc w:val="both"/>
        <w:rPr>
          <w:rFonts w:ascii="Times New Roman" w:eastAsia="Times New Roman" w:hAnsi="Times New Roman" w:cs="Times New Roman"/>
          <w:b/>
          <w:bCs/>
          <w:sz w:val="24"/>
          <w:szCs w:val="24"/>
        </w:rPr>
      </w:pPr>
    </w:p>
    <w:p w:rsidR="00D85D24" w:rsidRPr="00D85D24" w:rsidRDefault="00D85D24" w:rsidP="00844C2D">
      <w:pPr>
        <w:spacing w:after="120" w:line="360" w:lineRule="auto"/>
        <w:jc w:val="both"/>
        <w:rPr>
          <w:rFonts w:ascii="Times New Roman" w:eastAsia="Calibri" w:hAnsi="Times New Roman" w:cs="Times New Roman"/>
          <w:sz w:val="24"/>
          <w:szCs w:val="24"/>
        </w:rPr>
      </w:pPr>
    </w:p>
    <w:p w:rsidR="00D85D24" w:rsidRDefault="00D85D24" w:rsidP="00844C2D">
      <w:pPr>
        <w:spacing w:after="120" w:line="360" w:lineRule="auto"/>
        <w:jc w:val="both"/>
        <w:rPr>
          <w:rFonts w:ascii="Times New Roman" w:eastAsia="Calibri" w:hAnsi="Times New Roman" w:cs="Times New Roman"/>
          <w:sz w:val="24"/>
          <w:szCs w:val="24"/>
        </w:rPr>
      </w:pPr>
    </w:p>
    <w:p w:rsidR="00844C2D" w:rsidRDefault="00844C2D"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Default="002F7CA7" w:rsidP="00844C2D">
      <w:pPr>
        <w:spacing w:after="120" w:line="360" w:lineRule="auto"/>
        <w:jc w:val="both"/>
        <w:rPr>
          <w:rFonts w:ascii="Times New Roman" w:eastAsia="Calibri" w:hAnsi="Times New Roman" w:cs="Times New Roman"/>
          <w:sz w:val="24"/>
          <w:szCs w:val="24"/>
        </w:rPr>
      </w:pPr>
    </w:p>
    <w:p w:rsidR="002F7CA7" w:rsidRPr="00D85D24" w:rsidRDefault="002F7CA7" w:rsidP="00844C2D">
      <w:pPr>
        <w:spacing w:after="120" w:line="360" w:lineRule="auto"/>
        <w:jc w:val="both"/>
        <w:rPr>
          <w:rFonts w:ascii="Times New Roman" w:eastAsia="Calibri" w:hAnsi="Times New Roman" w:cs="Times New Roman"/>
          <w:sz w:val="24"/>
          <w:szCs w:val="24"/>
        </w:rPr>
      </w:pPr>
    </w:p>
    <w:p w:rsidR="00D85D24" w:rsidRPr="0098033E" w:rsidRDefault="00D85D24" w:rsidP="0098033E">
      <w:pPr>
        <w:pStyle w:val="Titlu1"/>
        <w:jc w:val="center"/>
        <w:rPr>
          <w:b w:val="0"/>
          <w:bCs w:val="0"/>
          <w:sz w:val="28"/>
          <w:szCs w:val="28"/>
        </w:rPr>
      </w:pPr>
      <w:bookmarkStart w:id="9" w:name="_Toc50034445"/>
      <w:r w:rsidRPr="0098033E">
        <w:rPr>
          <w:b w:val="0"/>
          <w:bCs w:val="0"/>
          <w:sz w:val="28"/>
          <w:szCs w:val="28"/>
        </w:rPr>
        <w:t>Reference List</w:t>
      </w:r>
      <w:bookmarkEnd w:id="9"/>
    </w:p>
    <w:p w:rsidR="002F7CA7" w:rsidRPr="002F7CA7" w:rsidRDefault="002F7CA7" w:rsidP="002F7CA7"/>
    <w:p w:rsidR="00D85D24" w:rsidRPr="00D85D24" w:rsidRDefault="00D85D24" w:rsidP="00844C2D">
      <w:pPr>
        <w:shd w:val="clear" w:color="auto" w:fill="FFFFFF"/>
        <w:spacing w:after="120" w:line="360" w:lineRule="auto"/>
        <w:contextualSpacing/>
        <w:jc w:val="both"/>
        <w:outlineLvl w:val="0"/>
        <w:rPr>
          <w:rFonts w:ascii="Times New Roman" w:eastAsia="Times New Roman" w:hAnsi="Times New Roman" w:cs="Times New Roman"/>
          <w:sz w:val="24"/>
          <w:szCs w:val="24"/>
        </w:rPr>
      </w:pPr>
      <w:bookmarkStart w:id="10" w:name="_Toc50034446"/>
      <w:r w:rsidRPr="00D85D24">
        <w:rPr>
          <w:rFonts w:ascii="Times New Roman" w:eastAsia="Times New Roman" w:hAnsi="Times New Roman" w:cs="Times New Roman"/>
          <w:bCs/>
          <w:kern w:val="36"/>
          <w:sz w:val="24"/>
          <w:szCs w:val="24"/>
        </w:rPr>
        <w:t xml:space="preserve">Candelo, E., 2019. </w:t>
      </w:r>
      <w:r w:rsidRPr="00D85D24">
        <w:rPr>
          <w:rFonts w:ascii="Times New Roman" w:eastAsia="Times New Roman" w:hAnsi="Times New Roman" w:cs="Times New Roman"/>
          <w:bCs/>
          <w:i/>
          <w:kern w:val="36"/>
          <w:sz w:val="24"/>
          <w:szCs w:val="24"/>
        </w:rPr>
        <w:t>Marketing Innovations in the Automotive Industry:</w:t>
      </w:r>
      <w:r w:rsidRPr="00D85D24">
        <w:rPr>
          <w:rFonts w:ascii="Times New Roman" w:eastAsia="Times New Roman" w:hAnsi="Times New Roman" w:cs="Times New Roman"/>
          <w:b/>
          <w:bCs/>
          <w:i/>
          <w:kern w:val="36"/>
          <w:sz w:val="24"/>
          <w:szCs w:val="24"/>
        </w:rPr>
        <w:t> </w:t>
      </w:r>
      <w:r w:rsidRPr="00D85D24">
        <w:rPr>
          <w:rFonts w:ascii="Times New Roman" w:eastAsia="Times New Roman" w:hAnsi="Times New Roman" w:cs="Times New Roman"/>
          <w:i/>
          <w:kern w:val="36"/>
          <w:sz w:val="24"/>
          <w:szCs w:val="24"/>
        </w:rPr>
        <w:t xml:space="preserve">Meeting the Challenges of </w:t>
      </w:r>
      <w:r w:rsidRPr="00D85D24">
        <w:rPr>
          <w:rFonts w:ascii="Times New Roman" w:eastAsia="Times New Roman" w:hAnsi="Times New Roman" w:cs="Times New Roman"/>
          <w:i/>
          <w:kern w:val="36"/>
          <w:sz w:val="24"/>
          <w:szCs w:val="24"/>
        </w:rPr>
        <w:tab/>
        <w:t>the Digital Age</w:t>
      </w:r>
      <w:r w:rsidRPr="00D85D24">
        <w:rPr>
          <w:rFonts w:ascii="Times New Roman" w:eastAsia="Times New Roman" w:hAnsi="Times New Roman" w:cs="Times New Roman"/>
          <w:kern w:val="36"/>
          <w:sz w:val="24"/>
          <w:szCs w:val="24"/>
        </w:rPr>
        <w:t xml:space="preserve">. Cham: </w:t>
      </w:r>
      <w:r w:rsidRPr="00D85D24">
        <w:rPr>
          <w:rFonts w:ascii="Times New Roman" w:eastAsia="Times New Roman" w:hAnsi="Times New Roman" w:cs="Times New Roman"/>
          <w:sz w:val="24"/>
          <w:szCs w:val="24"/>
        </w:rPr>
        <w:t>Springer.</w:t>
      </w:r>
      <w:bookmarkEnd w:id="10"/>
    </w:p>
    <w:p w:rsidR="00D85D24" w:rsidRPr="00D85D24" w:rsidRDefault="00D85D24" w:rsidP="00844C2D">
      <w:pPr>
        <w:shd w:val="clear" w:color="auto" w:fill="FFFFFF"/>
        <w:spacing w:after="120" w:line="360" w:lineRule="auto"/>
        <w:contextualSpacing/>
        <w:jc w:val="both"/>
        <w:rPr>
          <w:rFonts w:ascii="Times New Roman" w:eastAsia="Times New Roman" w:hAnsi="Times New Roman" w:cs="Times New Roman"/>
          <w:sz w:val="24"/>
          <w:szCs w:val="24"/>
        </w:rPr>
      </w:pPr>
      <w:r w:rsidRPr="00D85D24">
        <w:rPr>
          <w:rFonts w:ascii="Times New Roman" w:eastAsia="Times New Roman" w:hAnsi="Times New Roman" w:cs="Times New Roman"/>
          <w:sz w:val="24"/>
          <w:szCs w:val="24"/>
        </w:rPr>
        <w:t xml:space="preserve">Covarrubias V. A. &amp; Perez, S. M. R., 2019. </w:t>
      </w:r>
      <w:r w:rsidRPr="00D85D24">
        <w:rPr>
          <w:rFonts w:ascii="Times New Roman" w:eastAsia="Times New Roman" w:hAnsi="Times New Roman" w:cs="Times New Roman"/>
          <w:bCs/>
          <w:kern w:val="36"/>
          <w:sz w:val="24"/>
          <w:szCs w:val="24"/>
        </w:rPr>
        <w:t xml:space="preserve">New Frontiers of the Automobile </w:t>
      </w:r>
      <w:r w:rsidRPr="00D85D24">
        <w:rPr>
          <w:rFonts w:ascii="Times New Roman" w:eastAsia="Times New Roman" w:hAnsi="Times New Roman" w:cs="Times New Roman"/>
          <w:bCs/>
          <w:kern w:val="36"/>
          <w:sz w:val="24"/>
          <w:szCs w:val="24"/>
        </w:rPr>
        <w:tab/>
        <w:t>Industry:</w:t>
      </w:r>
      <w:r w:rsidRPr="00D85D24">
        <w:rPr>
          <w:rFonts w:ascii="Times New Roman" w:eastAsia="Times New Roman" w:hAnsi="Times New Roman" w:cs="Times New Roman"/>
          <w:b/>
          <w:bCs/>
          <w:kern w:val="36"/>
          <w:sz w:val="24"/>
          <w:szCs w:val="24"/>
        </w:rPr>
        <w:t> </w:t>
      </w:r>
      <w:r w:rsidRPr="00D85D24">
        <w:rPr>
          <w:rFonts w:ascii="Times New Roman" w:eastAsia="Times New Roman" w:hAnsi="Times New Roman" w:cs="Times New Roman"/>
          <w:kern w:val="36"/>
          <w:sz w:val="24"/>
          <w:szCs w:val="24"/>
        </w:rPr>
        <w:t>Exploring Geographies, Technology, and Institutional Challenges.</w:t>
      </w:r>
    </w:p>
    <w:p w:rsidR="00D85D24" w:rsidRPr="00D85D24" w:rsidRDefault="00D85D24" w:rsidP="00844C2D">
      <w:pPr>
        <w:shd w:val="clear" w:color="auto" w:fill="FFFFFF"/>
        <w:spacing w:after="120" w:line="360" w:lineRule="auto"/>
        <w:contextualSpacing/>
        <w:jc w:val="both"/>
        <w:rPr>
          <w:rFonts w:ascii="Times New Roman" w:eastAsia="Times New Roman" w:hAnsi="Times New Roman" w:cs="Times New Roman"/>
          <w:sz w:val="24"/>
          <w:szCs w:val="24"/>
        </w:rPr>
      </w:pPr>
      <w:r w:rsidRPr="00D85D24">
        <w:rPr>
          <w:rFonts w:ascii="Times New Roman" w:eastAsia="Calibri" w:hAnsi="Times New Roman" w:cs="Times New Roman"/>
          <w:sz w:val="24"/>
          <w:szCs w:val="24"/>
          <w:shd w:val="clear" w:color="auto" w:fill="FFFFFF"/>
        </w:rPr>
        <w:tab/>
        <w:t>Springer International Publishing</w:t>
      </w:r>
      <w:r w:rsidRPr="00D85D24">
        <w:rPr>
          <w:rFonts w:ascii="Times New Roman" w:eastAsia="Times New Roman" w:hAnsi="Times New Roman" w:cs="Times New Roman"/>
          <w:sz w:val="24"/>
          <w:szCs w:val="24"/>
        </w:rPr>
        <w:t>.</w:t>
      </w:r>
    </w:p>
    <w:p w:rsidR="00D85D24" w:rsidRPr="00D85D24" w:rsidRDefault="00D85D24" w:rsidP="00844C2D">
      <w:pPr>
        <w:shd w:val="clear" w:color="auto" w:fill="FFFFFF"/>
        <w:spacing w:after="120" w:line="360" w:lineRule="auto"/>
        <w:contextualSpacing/>
        <w:jc w:val="both"/>
        <w:outlineLvl w:val="0"/>
        <w:rPr>
          <w:rFonts w:ascii="Times New Roman" w:eastAsia="Times New Roman" w:hAnsi="Times New Roman" w:cs="Times New Roman"/>
          <w:sz w:val="24"/>
          <w:szCs w:val="24"/>
        </w:rPr>
      </w:pPr>
      <w:bookmarkStart w:id="11" w:name="_Toc50034447"/>
      <w:r w:rsidRPr="00D85D24">
        <w:rPr>
          <w:rFonts w:ascii="Times New Roman" w:eastAsia="Times New Roman" w:hAnsi="Times New Roman" w:cs="Times New Roman"/>
          <w:bCs/>
          <w:kern w:val="36"/>
          <w:sz w:val="24"/>
          <w:szCs w:val="24"/>
        </w:rPr>
        <w:t xml:space="preserve">Elif, B., 2019. </w:t>
      </w:r>
      <w:r w:rsidRPr="00D85D24">
        <w:rPr>
          <w:rFonts w:ascii="Times New Roman" w:eastAsia="Times New Roman" w:hAnsi="Times New Roman" w:cs="Times New Roman"/>
          <w:bCs/>
          <w:i/>
          <w:kern w:val="36"/>
          <w:sz w:val="24"/>
          <w:szCs w:val="24"/>
        </w:rPr>
        <w:t xml:space="preserve">Handbook of Research on Positive Organisational Behaviour for Improved </w:t>
      </w:r>
      <w:r w:rsidRPr="00D85D24">
        <w:rPr>
          <w:rFonts w:ascii="Times New Roman" w:eastAsia="Times New Roman" w:hAnsi="Times New Roman" w:cs="Times New Roman"/>
          <w:bCs/>
          <w:i/>
          <w:kern w:val="36"/>
          <w:sz w:val="24"/>
          <w:szCs w:val="24"/>
        </w:rPr>
        <w:tab/>
        <w:t>Workplace Performance.</w:t>
      </w:r>
      <w:r w:rsidRPr="00D85D24">
        <w:rPr>
          <w:rFonts w:ascii="Times New Roman" w:eastAsia="Times New Roman" w:hAnsi="Times New Roman" w:cs="Times New Roman"/>
          <w:b/>
          <w:bCs/>
          <w:kern w:val="36"/>
          <w:sz w:val="24"/>
          <w:szCs w:val="24"/>
        </w:rPr>
        <w:t xml:space="preserve"> </w:t>
      </w:r>
      <w:r w:rsidRPr="00D85D24">
        <w:rPr>
          <w:rFonts w:ascii="Times New Roman" w:eastAsia="Times New Roman" w:hAnsi="Times New Roman" w:cs="Times New Roman"/>
          <w:bCs/>
          <w:kern w:val="36"/>
          <w:sz w:val="24"/>
          <w:szCs w:val="24"/>
        </w:rPr>
        <w:t>Hershey, PA:</w:t>
      </w:r>
      <w:r w:rsidRPr="00D85D24">
        <w:rPr>
          <w:rFonts w:ascii="Times New Roman" w:eastAsia="Times New Roman" w:hAnsi="Times New Roman" w:cs="Times New Roman"/>
          <w:b/>
          <w:bCs/>
          <w:kern w:val="36"/>
          <w:sz w:val="24"/>
          <w:szCs w:val="24"/>
        </w:rPr>
        <w:t xml:space="preserve"> </w:t>
      </w:r>
      <w:r w:rsidRPr="00D85D24">
        <w:rPr>
          <w:rFonts w:ascii="Times New Roman" w:eastAsia="Times New Roman" w:hAnsi="Times New Roman" w:cs="Times New Roman"/>
          <w:bCs/>
          <w:kern w:val="36"/>
          <w:sz w:val="24"/>
          <w:szCs w:val="24"/>
        </w:rPr>
        <w:t>I</w:t>
      </w:r>
      <w:r w:rsidRPr="00D85D24">
        <w:rPr>
          <w:rFonts w:ascii="Times New Roman" w:eastAsia="Times New Roman" w:hAnsi="Times New Roman" w:cs="Times New Roman"/>
          <w:sz w:val="24"/>
          <w:szCs w:val="24"/>
        </w:rPr>
        <w:t>GI Global.</w:t>
      </w:r>
      <w:bookmarkEnd w:id="11"/>
    </w:p>
    <w:p w:rsidR="00D85D24" w:rsidRPr="00D85D24" w:rsidRDefault="00D85D24" w:rsidP="00844C2D">
      <w:pPr>
        <w:shd w:val="clear" w:color="auto" w:fill="FFFFFF"/>
        <w:spacing w:after="120" w:line="360" w:lineRule="auto"/>
        <w:contextualSpacing/>
        <w:jc w:val="both"/>
        <w:outlineLvl w:val="0"/>
        <w:rPr>
          <w:rFonts w:ascii="Times New Roman" w:eastAsia="Times New Roman" w:hAnsi="Times New Roman" w:cs="Times New Roman"/>
          <w:sz w:val="24"/>
          <w:szCs w:val="24"/>
        </w:rPr>
      </w:pPr>
      <w:bookmarkStart w:id="12" w:name="_Toc50034448"/>
      <w:r w:rsidRPr="00D85D24">
        <w:rPr>
          <w:rFonts w:ascii="Times New Roman" w:eastAsia="Calibri" w:hAnsi="Times New Roman" w:cs="Times New Roman"/>
          <w:sz w:val="24"/>
          <w:szCs w:val="24"/>
        </w:rPr>
        <w:t xml:space="preserve">Factory warranty list, 2019. </w:t>
      </w:r>
      <w:r w:rsidRPr="00D85D24">
        <w:rPr>
          <w:rFonts w:ascii="Times New Roman" w:eastAsia="Times New Roman" w:hAnsi="Times New Roman" w:cs="Times New Roman"/>
          <w:bCs/>
          <w:spacing w:val="15"/>
          <w:kern w:val="36"/>
          <w:sz w:val="24"/>
          <w:szCs w:val="24"/>
        </w:rPr>
        <w:t>Car Sales by Country</w:t>
      </w:r>
      <w:bookmarkEnd w:id="12"/>
    </w:p>
    <w:p w:rsidR="00D85D24" w:rsidRPr="00D85D24" w:rsidRDefault="00D85D24" w:rsidP="00844C2D">
      <w:pPr>
        <w:spacing w:after="120" w:line="360" w:lineRule="auto"/>
        <w:jc w:val="both"/>
        <w:rPr>
          <w:rFonts w:ascii="Times New Roman" w:eastAsia="Calibri" w:hAnsi="Times New Roman" w:cs="Times New Roman"/>
          <w:sz w:val="24"/>
          <w:szCs w:val="24"/>
        </w:rPr>
      </w:pPr>
      <w:r w:rsidRPr="00D85D24">
        <w:rPr>
          <w:rFonts w:ascii="Times New Roman" w:eastAsia="Calibri" w:hAnsi="Times New Roman" w:cs="Times New Roman"/>
          <w:sz w:val="24"/>
          <w:szCs w:val="24"/>
        </w:rPr>
        <w:tab/>
      </w:r>
      <w:hyperlink r:id="rId12" w:history="1">
        <w:r w:rsidRPr="00D85D24">
          <w:rPr>
            <w:rFonts w:ascii="Times New Roman" w:eastAsia="Calibri" w:hAnsi="Times New Roman" w:cs="Times New Roman"/>
            <w:sz w:val="24"/>
            <w:szCs w:val="24"/>
            <w:u w:val="single"/>
          </w:rPr>
          <w:t>https://www.factorywarrantylist.com/car-sales-by-country.html</w:t>
        </w:r>
      </w:hyperlink>
    </w:p>
    <w:p w:rsidR="00D85D24" w:rsidRPr="00D85D24" w:rsidRDefault="00D85D24" w:rsidP="00844C2D">
      <w:pPr>
        <w:shd w:val="clear" w:color="auto" w:fill="FFFFFF"/>
        <w:spacing w:before="100" w:beforeAutospacing="1" w:after="120" w:line="360" w:lineRule="auto"/>
        <w:contextualSpacing/>
        <w:jc w:val="both"/>
        <w:outlineLvl w:val="0"/>
        <w:rPr>
          <w:rFonts w:ascii="Times New Roman" w:eastAsia="Times New Roman" w:hAnsi="Times New Roman" w:cs="Times New Roman"/>
          <w:bCs/>
          <w:i/>
          <w:spacing w:val="-4"/>
          <w:kern w:val="36"/>
          <w:sz w:val="24"/>
          <w:szCs w:val="24"/>
        </w:rPr>
      </w:pPr>
      <w:bookmarkStart w:id="13" w:name="_Toc50034449"/>
      <w:r w:rsidRPr="00D85D24">
        <w:rPr>
          <w:rFonts w:ascii="Times New Roman" w:eastAsia="Calibri" w:hAnsi="Times New Roman" w:cs="Times New Roman"/>
          <w:spacing w:val="-3"/>
          <w:sz w:val="24"/>
          <w:szCs w:val="24"/>
          <w:shd w:val="clear" w:color="auto" w:fill="FFFFFF"/>
        </w:rPr>
        <w:t xml:space="preserve">Khanna, T. Palepu, K. G. &amp; Sinha, J., 2005. </w:t>
      </w:r>
      <w:r w:rsidRPr="00D85D24">
        <w:rPr>
          <w:rFonts w:ascii="Times New Roman" w:eastAsia="Times New Roman" w:hAnsi="Times New Roman" w:cs="Times New Roman"/>
          <w:bCs/>
          <w:spacing w:val="-4"/>
          <w:kern w:val="36"/>
          <w:sz w:val="24"/>
          <w:szCs w:val="24"/>
        </w:rPr>
        <w:t xml:space="preserve">Strategies That Fit Emerging Markets. </w:t>
      </w:r>
      <w:r w:rsidRPr="00D85D24">
        <w:rPr>
          <w:rFonts w:ascii="Times New Roman" w:eastAsia="Times New Roman" w:hAnsi="Times New Roman" w:cs="Times New Roman"/>
          <w:bCs/>
          <w:i/>
          <w:spacing w:val="-4"/>
          <w:kern w:val="36"/>
          <w:sz w:val="24"/>
          <w:szCs w:val="24"/>
        </w:rPr>
        <w:t xml:space="preserve">Harvard </w:t>
      </w:r>
      <w:r w:rsidRPr="00D85D24">
        <w:rPr>
          <w:rFonts w:ascii="Times New Roman" w:eastAsia="Times New Roman" w:hAnsi="Times New Roman" w:cs="Times New Roman"/>
          <w:bCs/>
          <w:i/>
          <w:spacing w:val="-4"/>
          <w:kern w:val="36"/>
          <w:sz w:val="24"/>
          <w:szCs w:val="24"/>
        </w:rPr>
        <w:tab/>
        <w:t>Business Review.</w:t>
      </w:r>
      <w:bookmarkEnd w:id="13"/>
      <w:r w:rsidRPr="00D85D24">
        <w:rPr>
          <w:rFonts w:ascii="Times New Roman" w:eastAsia="Times New Roman" w:hAnsi="Times New Roman" w:cs="Times New Roman"/>
          <w:bCs/>
          <w:i/>
          <w:spacing w:val="-4"/>
          <w:kern w:val="36"/>
          <w:sz w:val="24"/>
          <w:szCs w:val="24"/>
        </w:rPr>
        <w:t xml:space="preserve"> </w:t>
      </w:r>
    </w:p>
    <w:p w:rsidR="00D85D24" w:rsidRPr="00D85D24" w:rsidRDefault="00D85D24" w:rsidP="00844C2D">
      <w:pPr>
        <w:shd w:val="clear" w:color="auto" w:fill="FFFFFF"/>
        <w:spacing w:before="100" w:beforeAutospacing="1" w:after="120" w:line="360" w:lineRule="auto"/>
        <w:contextualSpacing/>
        <w:jc w:val="both"/>
        <w:outlineLvl w:val="0"/>
        <w:rPr>
          <w:rFonts w:ascii="Times New Roman" w:eastAsia="Times New Roman" w:hAnsi="Times New Roman" w:cs="Times New Roman"/>
          <w:spacing w:val="-4"/>
          <w:kern w:val="36"/>
          <w:sz w:val="24"/>
          <w:szCs w:val="24"/>
        </w:rPr>
      </w:pPr>
      <w:bookmarkStart w:id="14" w:name="_Toc50034450"/>
      <w:r w:rsidRPr="00D85D24">
        <w:rPr>
          <w:rFonts w:ascii="Times New Roman" w:eastAsia="Times New Roman" w:hAnsi="Times New Roman" w:cs="Times New Roman"/>
          <w:kern w:val="36"/>
          <w:sz w:val="24"/>
          <w:szCs w:val="24"/>
        </w:rPr>
        <w:t xml:space="preserve">Laker, B. &amp; Roulet, T. (2019). </w:t>
      </w:r>
      <w:r w:rsidRPr="00D85D24">
        <w:rPr>
          <w:rFonts w:ascii="Times New Roman" w:eastAsia="Times New Roman" w:hAnsi="Times New Roman" w:cs="Times New Roman"/>
          <w:spacing w:val="-4"/>
          <w:kern w:val="36"/>
          <w:sz w:val="24"/>
          <w:szCs w:val="24"/>
        </w:rPr>
        <w:t xml:space="preserve">How Companies Can Adapt During Times of Political Uncertainty. </w:t>
      </w:r>
      <w:r w:rsidRPr="00D85D24">
        <w:rPr>
          <w:rFonts w:ascii="Times New Roman" w:eastAsia="Times New Roman" w:hAnsi="Times New Roman" w:cs="Times New Roman"/>
          <w:spacing w:val="-4"/>
          <w:kern w:val="36"/>
          <w:sz w:val="24"/>
          <w:szCs w:val="24"/>
        </w:rPr>
        <w:tab/>
      </w:r>
      <w:r w:rsidRPr="00D85D24">
        <w:rPr>
          <w:rFonts w:ascii="Times New Roman" w:eastAsia="Times New Roman" w:hAnsi="Times New Roman" w:cs="Times New Roman"/>
          <w:i/>
          <w:iCs/>
          <w:spacing w:val="-4"/>
          <w:kern w:val="36"/>
          <w:sz w:val="24"/>
          <w:szCs w:val="24"/>
        </w:rPr>
        <w:t>Harvard Business Review</w:t>
      </w:r>
      <w:r w:rsidRPr="00D85D24">
        <w:rPr>
          <w:rFonts w:ascii="Times New Roman" w:eastAsia="Times New Roman" w:hAnsi="Times New Roman" w:cs="Times New Roman"/>
          <w:spacing w:val="-4"/>
          <w:kern w:val="36"/>
          <w:sz w:val="24"/>
          <w:szCs w:val="24"/>
        </w:rPr>
        <w:t>.</w:t>
      </w:r>
      <w:bookmarkEnd w:id="14"/>
      <w:r w:rsidRPr="00D85D24">
        <w:rPr>
          <w:rFonts w:ascii="Times New Roman" w:eastAsia="Times New Roman" w:hAnsi="Times New Roman" w:cs="Times New Roman"/>
          <w:spacing w:val="-4"/>
          <w:kern w:val="36"/>
          <w:sz w:val="24"/>
          <w:szCs w:val="24"/>
        </w:rPr>
        <w:t xml:space="preserve"> </w:t>
      </w:r>
    </w:p>
    <w:p w:rsidR="00D85D24" w:rsidRPr="00D85D24" w:rsidRDefault="00D85D24" w:rsidP="00844C2D">
      <w:pPr>
        <w:spacing w:after="120" w:line="360" w:lineRule="auto"/>
        <w:ind w:left="720" w:hanging="720"/>
        <w:contextualSpacing/>
        <w:jc w:val="both"/>
        <w:rPr>
          <w:rFonts w:ascii="Times New Roman" w:eastAsia="Calibri" w:hAnsi="Times New Roman" w:cs="Times New Roman"/>
          <w:sz w:val="24"/>
          <w:szCs w:val="24"/>
          <w:shd w:val="clear" w:color="auto" w:fill="FFFFFF"/>
        </w:rPr>
      </w:pPr>
      <w:r w:rsidRPr="00D85D24">
        <w:rPr>
          <w:rFonts w:ascii="Times New Roman" w:eastAsia="Calibri" w:hAnsi="Times New Roman" w:cs="Times New Roman"/>
          <w:sz w:val="24"/>
          <w:szCs w:val="24"/>
          <w:shd w:val="clear" w:color="auto" w:fill="FFFFFF"/>
        </w:rPr>
        <w:t>Sammut-Bonnici, T., &amp; Galea, D., 2015. </w:t>
      </w:r>
      <w:r w:rsidRPr="00D85D24">
        <w:rPr>
          <w:rFonts w:ascii="Times New Roman" w:eastAsia="Calibri" w:hAnsi="Times New Roman" w:cs="Times New Roman"/>
          <w:i/>
          <w:iCs/>
          <w:sz w:val="24"/>
          <w:szCs w:val="24"/>
          <w:shd w:val="clear" w:color="auto" w:fill="FFFFFF"/>
        </w:rPr>
        <w:t>PEST analysis. Wiley Encyclopaedia of Management, 1–1.</w:t>
      </w:r>
      <w:r w:rsidRPr="00D85D24">
        <w:rPr>
          <w:rFonts w:ascii="Times New Roman" w:eastAsia="Calibri" w:hAnsi="Times New Roman" w:cs="Times New Roman"/>
          <w:sz w:val="24"/>
          <w:szCs w:val="24"/>
          <w:shd w:val="clear" w:color="auto" w:fill="FFFFFF"/>
        </w:rPr>
        <w:t xml:space="preserve"> doi:10.1002/9781118785317.weom120113. </w:t>
      </w:r>
    </w:p>
    <w:p w:rsidR="00D85D24" w:rsidRPr="00D85D24" w:rsidRDefault="00D85D24" w:rsidP="00844C2D">
      <w:pPr>
        <w:spacing w:after="120" w:line="360" w:lineRule="auto"/>
        <w:jc w:val="both"/>
        <w:rPr>
          <w:rFonts w:ascii="Times New Roman" w:eastAsia="Calibri" w:hAnsi="Times New Roman" w:cs="Times New Roman"/>
          <w:sz w:val="24"/>
          <w:szCs w:val="24"/>
        </w:rPr>
      </w:pPr>
      <w:r w:rsidRPr="00D85D24">
        <w:rPr>
          <w:rFonts w:ascii="Times New Roman" w:eastAsia="Calibri" w:hAnsi="Times New Roman" w:cs="Times New Roman"/>
          <w:sz w:val="24"/>
          <w:szCs w:val="24"/>
          <w:shd w:val="clear" w:color="auto" w:fill="FFFFFF"/>
        </w:rPr>
        <w:t xml:space="preserve">Prakashan, N., 2008. </w:t>
      </w:r>
      <w:r w:rsidRPr="00D85D24">
        <w:rPr>
          <w:rFonts w:ascii="Times New Roman" w:eastAsia="Calibri" w:hAnsi="Times New Roman" w:cs="Times New Roman"/>
          <w:i/>
          <w:sz w:val="24"/>
          <w:szCs w:val="24"/>
        </w:rPr>
        <w:t>Economic Environment of Business and Environmental Management.</w:t>
      </w:r>
      <w:r w:rsidRPr="00D85D24">
        <w:rPr>
          <w:rFonts w:ascii="Times New Roman" w:eastAsia="Calibri" w:hAnsi="Times New Roman" w:cs="Times New Roman"/>
          <w:sz w:val="24"/>
          <w:szCs w:val="24"/>
        </w:rPr>
        <w:t xml:space="preserve"> </w:t>
      </w:r>
      <w:r w:rsidRPr="00D85D24">
        <w:rPr>
          <w:rFonts w:ascii="Times New Roman" w:eastAsia="Calibri" w:hAnsi="Times New Roman" w:cs="Times New Roman"/>
          <w:sz w:val="24"/>
          <w:szCs w:val="24"/>
        </w:rPr>
        <w:tab/>
        <w:t xml:space="preserve">Chennai: Nirali Prakashanarihant Printers. </w:t>
      </w:r>
    </w:p>
    <w:p w:rsidR="00D85D24" w:rsidRPr="00D85D24" w:rsidRDefault="00D85D24" w:rsidP="00844C2D">
      <w:pPr>
        <w:spacing w:after="120" w:line="360" w:lineRule="auto"/>
        <w:jc w:val="both"/>
        <w:rPr>
          <w:rFonts w:ascii="Times New Roman" w:eastAsia="Calibri" w:hAnsi="Times New Roman" w:cs="Times New Roman"/>
          <w:sz w:val="24"/>
          <w:szCs w:val="24"/>
        </w:rPr>
      </w:pPr>
      <w:r w:rsidRPr="00D85D24">
        <w:rPr>
          <w:rFonts w:ascii="Times New Roman" w:eastAsia="Calibri" w:hAnsi="Times New Roman" w:cs="Times New Roman"/>
          <w:sz w:val="24"/>
          <w:szCs w:val="24"/>
          <w:shd w:val="clear" w:color="auto" w:fill="FFFFFF"/>
        </w:rPr>
        <w:t xml:space="preserve">Pendeton, D. &amp; Bloomberg, </w:t>
      </w:r>
      <w:r w:rsidRPr="00D85D24">
        <w:rPr>
          <w:rFonts w:ascii="Times New Roman" w:eastAsia="Calibri" w:hAnsi="Times New Roman" w:cs="Times New Roman"/>
          <w:sz w:val="24"/>
          <w:szCs w:val="24"/>
        </w:rPr>
        <w:t xml:space="preserve">2020. </w:t>
      </w:r>
      <w:r w:rsidRPr="00D85D24">
        <w:rPr>
          <w:rFonts w:ascii="Times New Roman" w:eastAsia="Times New Roman" w:hAnsi="Times New Roman" w:cs="Times New Roman"/>
          <w:bCs/>
          <w:kern w:val="36"/>
          <w:sz w:val="24"/>
          <w:szCs w:val="24"/>
          <w:bdr w:val="none" w:sz="0" w:space="0" w:color="auto" w:frame="1"/>
        </w:rPr>
        <w:t>Elon Musk adds another $8 billion to become world’s fourth-</w:t>
      </w:r>
      <w:r w:rsidRPr="00D85D24">
        <w:rPr>
          <w:rFonts w:ascii="Times New Roman" w:eastAsia="Times New Roman" w:hAnsi="Times New Roman" w:cs="Times New Roman"/>
          <w:bCs/>
          <w:kern w:val="36"/>
          <w:sz w:val="24"/>
          <w:szCs w:val="24"/>
          <w:bdr w:val="none" w:sz="0" w:space="0" w:color="auto" w:frame="1"/>
        </w:rPr>
        <w:tab/>
        <w:t xml:space="preserve">richest person. </w:t>
      </w:r>
      <w:r w:rsidRPr="00D85D24">
        <w:rPr>
          <w:rFonts w:ascii="Times New Roman" w:eastAsia="Calibri" w:hAnsi="Times New Roman" w:cs="Times New Roman"/>
          <w:sz w:val="24"/>
          <w:szCs w:val="24"/>
        </w:rPr>
        <w:t xml:space="preserve">[Online] (updated 18 August 2020) Available at: </w:t>
      </w:r>
      <w:r w:rsidRPr="00D85D24">
        <w:rPr>
          <w:rFonts w:ascii="Times New Roman" w:eastAsia="Calibri" w:hAnsi="Times New Roman" w:cs="Times New Roman"/>
          <w:sz w:val="24"/>
          <w:szCs w:val="24"/>
        </w:rPr>
        <w:tab/>
        <w:t>&lt;https://fortune.com/2020/08/18/elon-musk-worlds-fourth-richest-</w:t>
      </w:r>
      <w:r w:rsidRPr="00D85D24">
        <w:rPr>
          <w:rFonts w:ascii="Times New Roman" w:eastAsia="Calibri" w:hAnsi="Times New Roman" w:cs="Times New Roman"/>
          <w:sz w:val="24"/>
          <w:szCs w:val="24"/>
        </w:rPr>
        <w:tab/>
        <w:t>person/#:~:text=Elon%20Musk's%20financial%20upswing%20shows,net%20worth%20</w:t>
      </w:r>
      <w:r w:rsidRPr="00D85D24">
        <w:rPr>
          <w:rFonts w:ascii="Times New Roman" w:eastAsia="Calibri" w:hAnsi="Times New Roman" w:cs="Times New Roman"/>
          <w:sz w:val="24"/>
          <w:szCs w:val="24"/>
        </w:rPr>
        <w:tab/>
        <w:t>by%20%247.8%20billion.&gt; [Accessed 26 August. 2020].</w:t>
      </w:r>
    </w:p>
    <w:p w:rsidR="00D85D24" w:rsidRPr="00D85D24" w:rsidRDefault="00D85D24" w:rsidP="00844C2D">
      <w:pPr>
        <w:shd w:val="clear" w:color="auto" w:fill="FFFFFF"/>
        <w:spacing w:after="120" w:line="360" w:lineRule="auto"/>
        <w:contextualSpacing/>
        <w:jc w:val="both"/>
        <w:outlineLvl w:val="0"/>
        <w:rPr>
          <w:rFonts w:ascii="Times New Roman" w:eastAsia="Times New Roman" w:hAnsi="Times New Roman" w:cs="Times New Roman"/>
          <w:sz w:val="24"/>
          <w:szCs w:val="24"/>
        </w:rPr>
      </w:pPr>
      <w:bookmarkStart w:id="15" w:name="_Toc50034451"/>
      <w:r w:rsidRPr="00D85D24">
        <w:rPr>
          <w:rFonts w:ascii="Times New Roman" w:eastAsia="Times New Roman" w:hAnsi="Times New Roman" w:cs="Times New Roman"/>
          <w:bCs/>
          <w:kern w:val="36"/>
          <w:sz w:val="24"/>
          <w:szCs w:val="24"/>
        </w:rPr>
        <w:t>Perera, R. 2017. The PESTLE Analysis.</w:t>
      </w:r>
      <w:r w:rsidRPr="00D85D24">
        <w:rPr>
          <w:rFonts w:ascii="Times New Roman" w:eastAsia="Times New Roman" w:hAnsi="Times New Roman" w:cs="Times New Roman"/>
          <w:b/>
          <w:bCs/>
          <w:kern w:val="36"/>
          <w:sz w:val="24"/>
          <w:szCs w:val="24"/>
        </w:rPr>
        <w:t xml:space="preserve"> </w:t>
      </w:r>
      <w:r w:rsidRPr="00D85D24">
        <w:rPr>
          <w:rFonts w:ascii="Times New Roman" w:eastAsia="Times New Roman" w:hAnsi="Times New Roman" w:cs="Times New Roman"/>
          <w:sz w:val="24"/>
          <w:szCs w:val="24"/>
        </w:rPr>
        <w:t>Nerdynaut.</w:t>
      </w:r>
      <w:bookmarkEnd w:id="15"/>
      <w:r w:rsidRPr="00D85D24">
        <w:rPr>
          <w:rFonts w:ascii="Times New Roman" w:eastAsia="Times New Roman" w:hAnsi="Times New Roman" w:cs="Times New Roman"/>
          <w:sz w:val="24"/>
          <w:szCs w:val="24"/>
        </w:rPr>
        <w:t> </w:t>
      </w:r>
    </w:p>
    <w:p w:rsidR="00D85D24" w:rsidRPr="00D85D24" w:rsidRDefault="00D85D24" w:rsidP="00844C2D">
      <w:pPr>
        <w:shd w:val="clear" w:color="auto" w:fill="FFFFFF"/>
        <w:spacing w:after="120" w:line="360" w:lineRule="auto"/>
        <w:contextualSpacing/>
        <w:jc w:val="both"/>
        <w:outlineLvl w:val="0"/>
        <w:rPr>
          <w:rFonts w:ascii="Times New Roman" w:eastAsia="Times New Roman" w:hAnsi="Times New Roman" w:cs="Times New Roman"/>
          <w:sz w:val="24"/>
          <w:szCs w:val="24"/>
        </w:rPr>
      </w:pPr>
      <w:bookmarkStart w:id="16" w:name="_Toc50034452"/>
      <w:r w:rsidRPr="00D85D24">
        <w:rPr>
          <w:rFonts w:ascii="Times New Roman" w:eastAsia="Calibri" w:hAnsi="Times New Roman" w:cs="Times New Roman"/>
          <w:sz w:val="24"/>
          <w:szCs w:val="24"/>
          <w:shd w:val="clear" w:color="auto" w:fill="FFFFFF"/>
        </w:rPr>
        <w:t xml:space="preserve">Preissl, B. &amp; Solimene, L., 2013. </w:t>
      </w:r>
      <w:r w:rsidRPr="00D85D24">
        <w:rPr>
          <w:rFonts w:ascii="Times New Roman" w:eastAsia="Times New Roman" w:hAnsi="Times New Roman" w:cs="Times New Roman"/>
          <w:bCs/>
          <w:kern w:val="36"/>
          <w:sz w:val="24"/>
          <w:szCs w:val="24"/>
        </w:rPr>
        <w:t>The Dynamics of Clusters and Innovation: </w:t>
      </w:r>
      <w:r w:rsidRPr="00D85D24">
        <w:rPr>
          <w:rFonts w:ascii="Times New Roman" w:eastAsia="Times New Roman" w:hAnsi="Times New Roman" w:cs="Times New Roman"/>
          <w:kern w:val="36"/>
          <w:sz w:val="24"/>
          <w:szCs w:val="24"/>
        </w:rPr>
        <w:t xml:space="preserve">Beyond Systems </w:t>
      </w:r>
      <w:r w:rsidRPr="00D85D24">
        <w:rPr>
          <w:rFonts w:ascii="Times New Roman" w:eastAsia="Times New Roman" w:hAnsi="Times New Roman" w:cs="Times New Roman"/>
          <w:kern w:val="36"/>
          <w:sz w:val="24"/>
          <w:szCs w:val="24"/>
        </w:rPr>
        <w:tab/>
        <w:t xml:space="preserve">and Networks. New York: </w:t>
      </w:r>
      <w:r w:rsidRPr="00D85D24">
        <w:rPr>
          <w:rFonts w:ascii="Times New Roman" w:eastAsia="Times New Roman" w:hAnsi="Times New Roman" w:cs="Times New Roman"/>
          <w:sz w:val="24"/>
          <w:szCs w:val="24"/>
        </w:rPr>
        <w:t>Springer Science &amp; Business Media.</w:t>
      </w:r>
      <w:bookmarkEnd w:id="16"/>
    </w:p>
    <w:p w:rsidR="00D85D24" w:rsidRPr="00D85D24" w:rsidRDefault="00D85D24" w:rsidP="00844C2D">
      <w:pPr>
        <w:shd w:val="clear" w:color="auto" w:fill="FFFFFF"/>
        <w:spacing w:after="120" w:line="360" w:lineRule="auto"/>
        <w:contextualSpacing/>
        <w:jc w:val="both"/>
        <w:outlineLvl w:val="0"/>
        <w:rPr>
          <w:rFonts w:ascii="Times New Roman" w:eastAsia="Times New Roman" w:hAnsi="Times New Roman" w:cs="Times New Roman"/>
          <w:sz w:val="24"/>
          <w:szCs w:val="24"/>
        </w:rPr>
      </w:pPr>
      <w:bookmarkStart w:id="17" w:name="_Toc50034453"/>
      <w:r w:rsidRPr="00D85D24">
        <w:rPr>
          <w:rFonts w:ascii="Times New Roman" w:eastAsia="Calibri" w:hAnsi="Times New Roman" w:cs="Times New Roman"/>
          <w:sz w:val="24"/>
          <w:szCs w:val="24"/>
          <w:shd w:val="clear" w:color="auto" w:fill="FFFFFF"/>
        </w:rPr>
        <w:t xml:space="preserve">Strangmueller, M., </w:t>
      </w:r>
      <w:r w:rsidRPr="00D85D24">
        <w:rPr>
          <w:rFonts w:ascii="Times New Roman" w:eastAsia="Times New Roman" w:hAnsi="Times New Roman" w:cs="Times New Roman"/>
          <w:sz w:val="24"/>
          <w:szCs w:val="24"/>
        </w:rPr>
        <w:t xml:space="preserve">2018. </w:t>
      </w:r>
      <w:r w:rsidRPr="00D85D24">
        <w:rPr>
          <w:rFonts w:ascii="Times New Roman" w:eastAsia="Times New Roman" w:hAnsi="Times New Roman" w:cs="Times New Roman"/>
          <w:bCs/>
          <w:kern w:val="36"/>
          <w:sz w:val="24"/>
          <w:szCs w:val="24"/>
        </w:rPr>
        <w:t xml:space="preserve">A PESTEL Analysis of the company Siemens. </w:t>
      </w:r>
      <w:r w:rsidRPr="00D85D24">
        <w:rPr>
          <w:rFonts w:ascii="Times New Roman" w:eastAsia="Times New Roman" w:hAnsi="Times New Roman" w:cs="Times New Roman"/>
          <w:sz w:val="24"/>
          <w:szCs w:val="24"/>
        </w:rPr>
        <w:t>GRIN Verlag.</w:t>
      </w:r>
      <w:bookmarkEnd w:id="17"/>
    </w:p>
    <w:p w:rsidR="00D85D24" w:rsidRPr="00D85D24" w:rsidRDefault="00D85D24" w:rsidP="00844C2D">
      <w:pPr>
        <w:spacing w:after="120" w:line="360" w:lineRule="auto"/>
        <w:jc w:val="both"/>
        <w:rPr>
          <w:rFonts w:ascii="Times New Roman" w:eastAsia="Calibri" w:hAnsi="Times New Roman" w:cs="Times New Roman"/>
          <w:sz w:val="24"/>
          <w:szCs w:val="24"/>
          <w:shd w:val="clear" w:color="auto" w:fill="FFFFFF"/>
        </w:rPr>
      </w:pPr>
      <w:r w:rsidRPr="00D85D24">
        <w:rPr>
          <w:rFonts w:ascii="Times New Roman" w:eastAsia="Calibri" w:hAnsi="Times New Roman" w:cs="Times New Roman"/>
          <w:sz w:val="24"/>
          <w:szCs w:val="24"/>
          <w:shd w:val="clear" w:color="auto" w:fill="FFFFFF"/>
        </w:rPr>
        <w:t xml:space="preserve">Verma, R., &amp; Rathore, S., 2013. </w:t>
      </w:r>
      <w:r w:rsidRPr="00D85D24">
        <w:rPr>
          <w:rFonts w:ascii="Times New Roman" w:eastAsia="Calibri" w:hAnsi="Times New Roman" w:cs="Times New Roman"/>
          <w:sz w:val="24"/>
          <w:szCs w:val="24"/>
        </w:rPr>
        <w:t xml:space="preserve">PEST Analysis for Indian Luxurious Car Market. </w:t>
      </w:r>
      <w:r w:rsidRPr="00D85D24">
        <w:rPr>
          <w:rFonts w:ascii="Times New Roman" w:eastAsia="Calibri" w:hAnsi="Times New Roman" w:cs="Times New Roman"/>
          <w:i/>
          <w:sz w:val="24"/>
          <w:szCs w:val="24"/>
        </w:rPr>
        <w:t xml:space="preserve">International </w:t>
      </w:r>
      <w:r w:rsidRPr="00D85D24">
        <w:rPr>
          <w:rFonts w:ascii="Times New Roman" w:eastAsia="Calibri" w:hAnsi="Times New Roman" w:cs="Times New Roman"/>
          <w:i/>
          <w:sz w:val="24"/>
          <w:szCs w:val="24"/>
        </w:rPr>
        <w:tab/>
        <w:t>Journal of Management and Social Sciences Research, 2</w:t>
      </w:r>
      <w:r w:rsidRPr="00D85D24">
        <w:rPr>
          <w:rFonts w:ascii="Times New Roman" w:eastAsia="Calibri" w:hAnsi="Times New Roman" w:cs="Times New Roman"/>
          <w:sz w:val="24"/>
          <w:szCs w:val="24"/>
        </w:rPr>
        <w:t xml:space="preserve">(1), pp. 22-26. </w:t>
      </w:r>
    </w:p>
    <w:p w:rsidR="00D85D24" w:rsidRPr="00D85D24" w:rsidRDefault="00D85D24" w:rsidP="00844C2D">
      <w:pPr>
        <w:spacing w:after="120" w:line="360" w:lineRule="auto"/>
        <w:jc w:val="both"/>
        <w:rPr>
          <w:rFonts w:ascii="Times New Roman" w:eastAsia="Calibri" w:hAnsi="Times New Roman" w:cs="Times New Roman"/>
          <w:sz w:val="24"/>
          <w:szCs w:val="24"/>
        </w:rPr>
      </w:pPr>
      <w:r w:rsidRPr="00D85D24">
        <w:rPr>
          <w:rFonts w:ascii="Times New Roman" w:eastAsia="Calibri" w:hAnsi="Times New Roman" w:cs="Times New Roman"/>
          <w:sz w:val="24"/>
          <w:szCs w:val="24"/>
        </w:rPr>
        <w:lastRenderedPageBreak/>
        <w:t xml:space="preserve">Wang, X., Chenggong, L., Shang, J., Yang, C., Zhang, B. &amp; Ke, X. 2015. Strategic Choices of </w:t>
      </w:r>
      <w:r w:rsidRPr="00D85D24">
        <w:rPr>
          <w:rFonts w:ascii="Times New Roman" w:eastAsia="Calibri" w:hAnsi="Times New Roman" w:cs="Times New Roman"/>
          <w:sz w:val="24"/>
          <w:szCs w:val="24"/>
        </w:rPr>
        <w:tab/>
        <w:t xml:space="preserve">China’s New Energy Vehicle Industry: An Analysis Based on ANP and SWOT. </w:t>
      </w:r>
      <w:r w:rsidRPr="00D85D24">
        <w:rPr>
          <w:rFonts w:ascii="Times New Roman" w:eastAsia="Calibri" w:hAnsi="Times New Roman" w:cs="Times New Roman"/>
          <w:sz w:val="24"/>
          <w:szCs w:val="24"/>
        </w:rPr>
        <w:tab/>
      </w:r>
      <w:r w:rsidRPr="00D85D24">
        <w:rPr>
          <w:rFonts w:ascii="Times New Roman" w:eastAsia="Calibri" w:hAnsi="Times New Roman" w:cs="Times New Roman"/>
          <w:i/>
          <w:sz w:val="24"/>
          <w:szCs w:val="24"/>
        </w:rPr>
        <w:t>Energies, 10</w:t>
      </w:r>
      <w:r w:rsidRPr="00D85D24">
        <w:rPr>
          <w:rFonts w:ascii="Times New Roman" w:eastAsia="Calibri" w:hAnsi="Times New Roman" w:cs="Times New Roman"/>
          <w:sz w:val="24"/>
          <w:szCs w:val="24"/>
        </w:rPr>
        <w:t xml:space="preserve">(537), pp. 1-27.  </w:t>
      </w:r>
    </w:p>
    <w:p w:rsidR="00D85D24" w:rsidRPr="00D85D24" w:rsidRDefault="00D85D24" w:rsidP="00844C2D">
      <w:pPr>
        <w:spacing w:after="120" w:line="360" w:lineRule="auto"/>
        <w:jc w:val="both"/>
        <w:rPr>
          <w:rFonts w:ascii="Times New Roman" w:eastAsia="Times New Roman" w:hAnsi="Times New Roman" w:cs="Times New Roman"/>
          <w:b/>
          <w:bCs/>
          <w:kern w:val="36"/>
          <w:sz w:val="24"/>
          <w:szCs w:val="24"/>
        </w:rPr>
      </w:pPr>
      <w:r w:rsidRPr="00D85D24">
        <w:rPr>
          <w:rFonts w:ascii="Times New Roman" w:eastAsia="Calibri" w:hAnsi="Times New Roman" w:cs="Times New Roman"/>
          <w:sz w:val="24"/>
          <w:szCs w:val="24"/>
          <w:shd w:val="clear" w:color="auto" w:fill="FFFFFF"/>
        </w:rPr>
        <w:t>Zhikang, L. (2017). </w:t>
      </w:r>
      <w:r w:rsidRPr="00D85D24">
        <w:rPr>
          <w:rFonts w:ascii="Times New Roman" w:eastAsia="Calibri" w:hAnsi="Times New Roman" w:cs="Times New Roman"/>
          <w:iCs/>
          <w:sz w:val="24"/>
          <w:szCs w:val="24"/>
          <w:shd w:val="clear" w:color="auto" w:fill="FFFFFF"/>
        </w:rPr>
        <w:t xml:space="preserve">Research on Development Strategy of Automobile Reverse Logistics Based </w:t>
      </w:r>
      <w:r w:rsidRPr="00D85D24">
        <w:rPr>
          <w:rFonts w:ascii="Times New Roman" w:eastAsia="Calibri" w:hAnsi="Times New Roman" w:cs="Times New Roman"/>
          <w:iCs/>
          <w:sz w:val="24"/>
          <w:szCs w:val="24"/>
          <w:shd w:val="clear" w:color="auto" w:fill="FFFFFF"/>
        </w:rPr>
        <w:tab/>
        <w:t>on SWOT Analysis.</w:t>
      </w:r>
      <w:r w:rsidRPr="00D85D24">
        <w:rPr>
          <w:rFonts w:ascii="Times New Roman" w:eastAsia="Calibri" w:hAnsi="Times New Roman" w:cs="Times New Roman"/>
          <w:i/>
          <w:iCs/>
          <w:sz w:val="24"/>
          <w:szCs w:val="24"/>
          <w:shd w:val="clear" w:color="auto" w:fill="FFFFFF"/>
        </w:rPr>
        <w:t xml:space="preserve"> Procedia Engineering, 174. </w:t>
      </w:r>
      <w:r w:rsidRPr="00D85D24">
        <w:rPr>
          <w:rFonts w:ascii="Times New Roman" w:eastAsia="Calibri" w:hAnsi="Times New Roman" w:cs="Times New Roman"/>
          <w:iCs/>
          <w:sz w:val="24"/>
          <w:szCs w:val="24"/>
          <w:shd w:val="clear" w:color="auto" w:fill="FFFFFF"/>
        </w:rPr>
        <w:t>pp.</w:t>
      </w:r>
      <w:r w:rsidRPr="00D85D24">
        <w:rPr>
          <w:rFonts w:ascii="Times New Roman" w:eastAsia="Calibri" w:hAnsi="Times New Roman" w:cs="Times New Roman"/>
          <w:i/>
          <w:iCs/>
          <w:sz w:val="24"/>
          <w:szCs w:val="24"/>
          <w:shd w:val="clear" w:color="auto" w:fill="FFFFFF"/>
        </w:rPr>
        <w:t xml:space="preserve"> </w:t>
      </w:r>
      <w:r w:rsidRPr="00D85D24">
        <w:rPr>
          <w:rFonts w:ascii="Times New Roman" w:eastAsia="Calibri" w:hAnsi="Times New Roman" w:cs="Times New Roman"/>
          <w:iCs/>
          <w:sz w:val="24"/>
          <w:szCs w:val="24"/>
          <w:shd w:val="clear" w:color="auto" w:fill="FFFFFF"/>
        </w:rPr>
        <w:t>324–</w:t>
      </w:r>
      <w:r w:rsidRPr="00D85D24">
        <w:rPr>
          <w:rFonts w:ascii="Times New Roman" w:eastAsia="Calibri" w:hAnsi="Times New Roman" w:cs="Times New Roman"/>
          <w:iCs/>
          <w:sz w:val="24"/>
          <w:szCs w:val="24"/>
          <w:shd w:val="clear" w:color="auto" w:fill="FFFFFF"/>
        </w:rPr>
        <w:tab/>
        <w:t>330.</w:t>
      </w:r>
      <w:r w:rsidRPr="00D85D24">
        <w:rPr>
          <w:rFonts w:ascii="Times New Roman" w:eastAsia="Calibri" w:hAnsi="Times New Roman" w:cs="Times New Roman"/>
          <w:sz w:val="24"/>
          <w:szCs w:val="24"/>
          <w:shd w:val="clear" w:color="auto" w:fill="FFFFFF"/>
        </w:rPr>
        <w:t> doi:10.1016/j.proeng.2017.01.147 </w:t>
      </w:r>
    </w:p>
    <w:p w:rsidR="00D85D24" w:rsidRPr="00D85D24" w:rsidRDefault="00D85D24" w:rsidP="00844C2D">
      <w:pPr>
        <w:spacing w:after="120" w:line="360" w:lineRule="auto"/>
        <w:jc w:val="both"/>
        <w:rPr>
          <w:rFonts w:ascii="Times New Roman" w:eastAsia="Calibri" w:hAnsi="Times New Roman" w:cs="Times New Roman"/>
          <w:sz w:val="24"/>
          <w:szCs w:val="24"/>
          <w:shd w:val="clear" w:color="auto" w:fill="FFFFFF"/>
        </w:rPr>
      </w:pPr>
    </w:p>
    <w:p w:rsidR="00D85D24" w:rsidRPr="00D85D24" w:rsidRDefault="00D85D24" w:rsidP="00844C2D">
      <w:pPr>
        <w:spacing w:after="120" w:line="360" w:lineRule="auto"/>
        <w:jc w:val="both"/>
        <w:rPr>
          <w:rFonts w:ascii="Times New Roman" w:eastAsia="Calibri" w:hAnsi="Times New Roman" w:cs="Times New Roman"/>
          <w:sz w:val="24"/>
          <w:szCs w:val="24"/>
        </w:rPr>
      </w:pPr>
    </w:p>
    <w:p w:rsidR="00D75D08" w:rsidRDefault="00D75D08" w:rsidP="00844C2D">
      <w:pPr>
        <w:spacing w:after="120" w:line="360" w:lineRule="auto"/>
        <w:jc w:val="both"/>
      </w:pPr>
    </w:p>
    <w:sectPr w:rsidR="00D75D08">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EC7" w:rsidRDefault="005F6EC7" w:rsidP="00844C2D">
      <w:pPr>
        <w:spacing w:after="0" w:line="240" w:lineRule="auto"/>
      </w:pPr>
      <w:r>
        <w:separator/>
      </w:r>
    </w:p>
  </w:endnote>
  <w:endnote w:type="continuationSeparator" w:id="0">
    <w:p w:rsidR="005F6EC7" w:rsidRDefault="005F6EC7" w:rsidP="00844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399972"/>
      <w:docPartObj>
        <w:docPartGallery w:val="Page Numbers (Bottom of Page)"/>
        <w:docPartUnique/>
      </w:docPartObj>
    </w:sdtPr>
    <w:sdtEndPr/>
    <w:sdtContent>
      <w:p w:rsidR="00844C2D" w:rsidRDefault="00844C2D">
        <w:pPr>
          <w:pStyle w:val="Subsol"/>
          <w:jc w:val="right"/>
        </w:pPr>
        <w:r>
          <w:fldChar w:fldCharType="begin"/>
        </w:r>
        <w:r>
          <w:instrText>PAGE   \* MERGEFORMAT</w:instrText>
        </w:r>
        <w:r>
          <w:fldChar w:fldCharType="separate"/>
        </w:r>
        <w:r>
          <w:rPr>
            <w:lang w:val="ro-RO"/>
          </w:rPr>
          <w:t>2</w:t>
        </w:r>
        <w:r>
          <w:fldChar w:fldCharType="end"/>
        </w:r>
      </w:p>
    </w:sdtContent>
  </w:sdt>
  <w:p w:rsidR="00844C2D" w:rsidRDefault="00844C2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EC7" w:rsidRDefault="005F6EC7" w:rsidP="00844C2D">
      <w:pPr>
        <w:spacing w:after="0" w:line="240" w:lineRule="auto"/>
      </w:pPr>
      <w:r>
        <w:separator/>
      </w:r>
    </w:p>
  </w:footnote>
  <w:footnote w:type="continuationSeparator" w:id="0">
    <w:p w:rsidR="005F6EC7" w:rsidRDefault="005F6EC7" w:rsidP="00844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40C7B"/>
    <w:multiLevelType w:val="hybridMultilevel"/>
    <w:tmpl w:val="8E968E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C95918"/>
    <w:multiLevelType w:val="hybridMultilevel"/>
    <w:tmpl w:val="51688A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B8634F"/>
    <w:multiLevelType w:val="hybridMultilevel"/>
    <w:tmpl w:val="51689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364D2"/>
    <w:multiLevelType w:val="hybridMultilevel"/>
    <w:tmpl w:val="325423F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3669281B"/>
    <w:multiLevelType w:val="hybridMultilevel"/>
    <w:tmpl w:val="B494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66D4E"/>
    <w:multiLevelType w:val="hybridMultilevel"/>
    <w:tmpl w:val="2B08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A7794"/>
    <w:multiLevelType w:val="hybridMultilevel"/>
    <w:tmpl w:val="9672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217A2C"/>
    <w:multiLevelType w:val="hybridMultilevel"/>
    <w:tmpl w:val="7B60A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134DE1"/>
    <w:multiLevelType w:val="hybridMultilevel"/>
    <w:tmpl w:val="EAA8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4"/>
  </w:num>
  <w:num w:numId="5">
    <w:abstractNumId w:val="7"/>
  </w:num>
  <w:num w:numId="6">
    <w:abstractNumId w:val="2"/>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D24"/>
    <w:rsid w:val="000334CA"/>
    <w:rsid w:val="002F7CA7"/>
    <w:rsid w:val="005E2524"/>
    <w:rsid w:val="005F6EC7"/>
    <w:rsid w:val="00675D7A"/>
    <w:rsid w:val="00844C2D"/>
    <w:rsid w:val="0098033E"/>
    <w:rsid w:val="009A17BF"/>
    <w:rsid w:val="00A04C68"/>
    <w:rsid w:val="00D75D08"/>
    <w:rsid w:val="00D85D24"/>
    <w:rsid w:val="00F4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1AFC0"/>
  <w15:chartTrackingRefBased/>
  <w15:docId w15:val="{EBE097DB-4ED6-4491-BAA6-F71B39C86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F7CA7"/>
    <w:pPr>
      <w:spacing w:after="120" w:line="360" w:lineRule="auto"/>
      <w:outlineLvl w:val="0"/>
    </w:pPr>
    <w:rPr>
      <w:rFonts w:ascii="Times New Roman" w:eastAsia="Times New Roman" w:hAnsi="Times New Roman" w:cs="Times New Roman"/>
      <w:b/>
      <w:bCs/>
      <w:color w:val="0E101A"/>
      <w:sz w:val="24"/>
      <w:szCs w:val="24"/>
    </w:rPr>
  </w:style>
  <w:style w:type="paragraph" w:styleId="Titlu2">
    <w:name w:val="heading 2"/>
    <w:basedOn w:val="Normal"/>
    <w:next w:val="Normal"/>
    <w:link w:val="Titlu2Caracter"/>
    <w:uiPriority w:val="9"/>
    <w:unhideWhenUsed/>
    <w:qFormat/>
    <w:rsid w:val="002F7CA7"/>
    <w:pPr>
      <w:spacing w:after="120" w:line="360" w:lineRule="auto"/>
      <w:contextualSpacing/>
      <w:jc w:val="center"/>
      <w:outlineLvl w:val="1"/>
    </w:pPr>
    <w:rPr>
      <w:rFonts w:ascii="Times New Roman" w:eastAsia="Times New Roman" w:hAnsi="Times New Roman" w:cs="Times New Roman"/>
      <w:b/>
      <w:bCs/>
      <w:color w:val="0E101A"/>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85D24"/>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9A17BF"/>
    <w:pPr>
      <w:ind w:left="720"/>
      <w:contextualSpacing/>
    </w:pPr>
  </w:style>
  <w:style w:type="paragraph" w:styleId="Antet">
    <w:name w:val="header"/>
    <w:basedOn w:val="Normal"/>
    <w:link w:val="AntetCaracter"/>
    <w:uiPriority w:val="99"/>
    <w:unhideWhenUsed/>
    <w:rsid w:val="00844C2D"/>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44C2D"/>
  </w:style>
  <w:style w:type="paragraph" w:styleId="Subsol">
    <w:name w:val="footer"/>
    <w:basedOn w:val="Normal"/>
    <w:link w:val="SubsolCaracter"/>
    <w:uiPriority w:val="99"/>
    <w:unhideWhenUsed/>
    <w:rsid w:val="00844C2D"/>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844C2D"/>
  </w:style>
  <w:style w:type="character" w:customStyle="1" w:styleId="Titlu1Caracter">
    <w:name w:val="Titlu 1 Caracter"/>
    <w:basedOn w:val="Fontdeparagrafimplicit"/>
    <w:link w:val="Titlu1"/>
    <w:uiPriority w:val="9"/>
    <w:rsid w:val="002F7CA7"/>
    <w:rPr>
      <w:rFonts w:ascii="Times New Roman" w:eastAsia="Times New Roman" w:hAnsi="Times New Roman" w:cs="Times New Roman"/>
      <w:b/>
      <w:bCs/>
      <w:color w:val="0E101A"/>
      <w:sz w:val="24"/>
      <w:szCs w:val="24"/>
    </w:rPr>
  </w:style>
  <w:style w:type="character" w:customStyle="1" w:styleId="Titlu2Caracter">
    <w:name w:val="Titlu 2 Caracter"/>
    <w:basedOn w:val="Fontdeparagrafimplicit"/>
    <w:link w:val="Titlu2"/>
    <w:uiPriority w:val="9"/>
    <w:rsid w:val="002F7CA7"/>
    <w:rPr>
      <w:rFonts w:ascii="Times New Roman" w:eastAsia="Times New Roman" w:hAnsi="Times New Roman" w:cs="Times New Roman"/>
      <w:b/>
      <w:bCs/>
      <w:color w:val="0E101A"/>
      <w:sz w:val="24"/>
      <w:szCs w:val="24"/>
    </w:rPr>
  </w:style>
  <w:style w:type="paragraph" w:styleId="Titlucuprins">
    <w:name w:val="TOC Heading"/>
    <w:basedOn w:val="Titlu1"/>
    <w:next w:val="Normal"/>
    <w:uiPriority w:val="39"/>
    <w:unhideWhenUsed/>
    <w:qFormat/>
    <w:rsid w:val="002F7CA7"/>
    <w:pPr>
      <w:keepNext/>
      <w:keepLines/>
      <w:spacing w:before="240" w:after="0" w:line="259" w:lineRule="auto"/>
      <w:outlineLvl w:val="9"/>
    </w:pPr>
    <w:rPr>
      <w:rFonts w:asciiTheme="majorHAnsi" w:eastAsiaTheme="majorEastAsia" w:hAnsiTheme="majorHAnsi" w:cstheme="majorBidi"/>
      <w:color w:val="2F5496" w:themeColor="accent1" w:themeShade="BF"/>
      <w:sz w:val="32"/>
      <w:szCs w:val="32"/>
      <w:lang w:eastAsia="en-GB"/>
    </w:rPr>
  </w:style>
  <w:style w:type="paragraph" w:styleId="Cuprins1">
    <w:name w:val="toc 1"/>
    <w:basedOn w:val="Normal"/>
    <w:next w:val="Normal"/>
    <w:autoRedefine/>
    <w:uiPriority w:val="39"/>
    <w:unhideWhenUsed/>
    <w:rsid w:val="002F7CA7"/>
    <w:pPr>
      <w:spacing w:after="100"/>
    </w:pPr>
  </w:style>
  <w:style w:type="paragraph" w:styleId="Cuprins2">
    <w:name w:val="toc 2"/>
    <w:basedOn w:val="Normal"/>
    <w:next w:val="Normal"/>
    <w:autoRedefine/>
    <w:uiPriority w:val="39"/>
    <w:unhideWhenUsed/>
    <w:rsid w:val="002F7CA7"/>
    <w:pPr>
      <w:spacing w:after="100"/>
      <w:ind w:left="220"/>
    </w:pPr>
  </w:style>
  <w:style w:type="character" w:styleId="Hyperlink">
    <w:name w:val="Hyperlink"/>
    <w:basedOn w:val="Fontdeparagrafimplicit"/>
    <w:uiPriority w:val="99"/>
    <w:unhideWhenUsed/>
    <w:rsid w:val="002F7C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69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factorywarrantylist.com/car-sales-by-count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D18694-A4D5-4A53-9EBE-6C9EB8CD84E4}"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GB"/>
        </a:p>
      </dgm:t>
    </dgm:pt>
    <dgm:pt modelId="{DAB9B3AB-7BB8-4ECC-9C1E-2A19C39F7F87}">
      <dgm:prSet phldrT="[Text]"/>
      <dgm:spPr/>
      <dgm:t>
        <a:bodyPr/>
        <a:lstStyle/>
        <a:p>
          <a:r>
            <a:rPr lang="en-GB"/>
            <a:t>Competitive Rivalry</a:t>
          </a:r>
        </a:p>
      </dgm:t>
    </dgm:pt>
    <dgm:pt modelId="{AEF25400-34AB-4810-9FED-3B7B3BA1682A}" type="parTrans" cxnId="{AA581509-3CDF-410B-A1E5-058B4A78441F}">
      <dgm:prSet/>
      <dgm:spPr/>
      <dgm:t>
        <a:bodyPr/>
        <a:lstStyle/>
        <a:p>
          <a:endParaRPr lang="en-GB"/>
        </a:p>
      </dgm:t>
    </dgm:pt>
    <dgm:pt modelId="{C86619E9-1BAA-44F6-A245-3CB9A4332B53}" type="sibTrans" cxnId="{AA581509-3CDF-410B-A1E5-058B4A78441F}">
      <dgm:prSet/>
      <dgm:spPr/>
      <dgm:t>
        <a:bodyPr/>
        <a:lstStyle/>
        <a:p>
          <a:endParaRPr lang="en-GB"/>
        </a:p>
      </dgm:t>
    </dgm:pt>
    <dgm:pt modelId="{63E9232E-66E2-4901-B2EC-9F3C252269EC}">
      <dgm:prSet phldrT="[Text]"/>
      <dgm:spPr/>
      <dgm:t>
        <a:bodyPr/>
        <a:lstStyle/>
        <a:p>
          <a:r>
            <a:rPr lang="en-GB"/>
            <a:t>Threat of New Entrants</a:t>
          </a:r>
        </a:p>
      </dgm:t>
    </dgm:pt>
    <dgm:pt modelId="{8E97B117-6891-4864-96BA-1047BB8366D7}" type="parTrans" cxnId="{2968304E-56BC-46E9-A6F7-C47A13DF2FD3}">
      <dgm:prSet/>
      <dgm:spPr/>
      <dgm:t>
        <a:bodyPr/>
        <a:lstStyle/>
        <a:p>
          <a:endParaRPr lang="en-GB"/>
        </a:p>
      </dgm:t>
    </dgm:pt>
    <dgm:pt modelId="{E921D53B-11D7-426E-9E34-C329188592D2}" type="sibTrans" cxnId="{2968304E-56BC-46E9-A6F7-C47A13DF2FD3}">
      <dgm:prSet/>
      <dgm:spPr/>
      <dgm:t>
        <a:bodyPr/>
        <a:lstStyle/>
        <a:p>
          <a:endParaRPr lang="en-GB"/>
        </a:p>
      </dgm:t>
    </dgm:pt>
    <dgm:pt modelId="{AB8A68C9-7AD5-4CFF-A0C0-574107C351E9}">
      <dgm:prSet phldrT="[Text]"/>
      <dgm:spPr/>
      <dgm:t>
        <a:bodyPr/>
        <a:lstStyle/>
        <a:p>
          <a:r>
            <a:rPr lang="en-GB"/>
            <a:t>Bargaining Power of Buyers</a:t>
          </a:r>
        </a:p>
      </dgm:t>
    </dgm:pt>
    <dgm:pt modelId="{D3E9EE62-BD66-44D7-B43F-DAA9EC9A9906}" type="parTrans" cxnId="{6FBD32CB-8749-41EC-9BD5-07D8F0704E1B}">
      <dgm:prSet/>
      <dgm:spPr/>
      <dgm:t>
        <a:bodyPr/>
        <a:lstStyle/>
        <a:p>
          <a:endParaRPr lang="en-GB"/>
        </a:p>
      </dgm:t>
    </dgm:pt>
    <dgm:pt modelId="{B58E88D9-DA6A-4A36-9855-1A3119FBBBFB}" type="sibTrans" cxnId="{6FBD32CB-8749-41EC-9BD5-07D8F0704E1B}">
      <dgm:prSet/>
      <dgm:spPr/>
      <dgm:t>
        <a:bodyPr/>
        <a:lstStyle/>
        <a:p>
          <a:endParaRPr lang="en-GB"/>
        </a:p>
      </dgm:t>
    </dgm:pt>
    <dgm:pt modelId="{44AC2526-D9FA-4C92-B912-04089A3813BA}">
      <dgm:prSet phldrT="[Text]"/>
      <dgm:spPr/>
      <dgm:t>
        <a:bodyPr/>
        <a:lstStyle/>
        <a:p>
          <a:r>
            <a:rPr lang="en-GB"/>
            <a:t>Threat of Substitutes</a:t>
          </a:r>
        </a:p>
      </dgm:t>
    </dgm:pt>
    <dgm:pt modelId="{9589BDC4-73E5-4C93-810B-ECDA421403E9}" type="parTrans" cxnId="{A59BE5EC-2A47-470B-AE1C-8E938C52943A}">
      <dgm:prSet/>
      <dgm:spPr/>
      <dgm:t>
        <a:bodyPr/>
        <a:lstStyle/>
        <a:p>
          <a:endParaRPr lang="en-GB"/>
        </a:p>
      </dgm:t>
    </dgm:pt>
    <dgm:pt modelId="{5EDF8161-18BC-483E-8A1E-3CD7A10ACBBB}" type="sibTrans" cxnId="{A59BE5EC-2A47-470B-AE1C-8E938C52943A}">
      <dgm:prSet/>
      <dgm:spPr/>
      <dgm:t>
        <a:bodyPr/>
        <a:lstStyle/>
        <a:p>
          <a:endParaRPr lang="en-GB"/>
        </a:p>
      </dgm:t>
    </dgm:pt>
    <dgm:pt modelId="{08B9C5AA-D5B2-4697-AFCB-C757C47DD00A}">
      <dgm:prSet phldrT="[Text]"/>
      <dgm:spPr/>
      <dgm:t>
        <a:bodyPr/>
        <a:lstStyle/>
        <a:p>
          <a:r>
            <a:rPr lang="en-GB"/>
            <a:t>Bargaining Power of Suppliers</a:t>
          </a:r>
        </a:p>
      </dgm:t>
    </dgm:pt>
    <dgm:pt modelId="{E0A531AF-6C03-4E0C-B795-BC725149A19E}" type="parTrans" cxnId="{511363F2-73F3-4562-B22D-C697DAFE3340}">
      <dgm:prSet/>
      <dgm:spPr/>
      <dgm:t>
        <a:bodyPr/>
        <a:lstStyle/>
        <a:p>
          <a:endParaRPr lang="en-GB"/>
        </a:p>
      </dgm:t>
    </dgm:pt>
    <dgm:pt modelId="{865B7A7F-36FC-4C1A-BADE-210AE43BE8A7}" type="sibTrans" cxnId="{511363F2-73F3-4562-B22D-C697DAFE3340}">
      <dgm:prSet/>
      <dgm:spPr/>
      <dgm:t>
        <a:bodyPr/>
        <a:lstStyle/>
        <a:p>
          <a:endParaRPr lang="en-GB"/>
        </a:p>
      </dgm:t>
    </dgm:pt>
    <dgm:pt modelId="{98828721-2E6D-4C5F-A403-7AAD4E8644AE}" type="pres">
      <dgm:prSet presAssocID="{5BD18694-A4D5-4A53-9EBE-6C9EB8CD84E4}" presName="Name0" presStyleCnt="0">
        <dgm:presLayoutVars>
          <dgm:chMax val="1"/>
          <dgm:dir/>
          <dgm:animLvl val="ctr"/>
          <dgm:resizeHandles val="exact"/>
        </dgm:presLayoutVars>
      </dgm:prSet>
      <dgm:spPr/>
    </dgm:pt>
    <dgm:pt modelId="{C33794DC-38DE-4F61-BB7B-5D7AAEFA02F2}" type="pres">
      <dgm:prSet presAssocID="{DAB9B3AB-7BB8-4ECC-9C1E-2A19C39F7F87}" presName="centerShape" presStyleLbl="node0" presStyleIdx="0" presStyleCnt="1"/>
      <dgm:spPr/>
    </dgm:pt>
    <dgm:pt modelId="{1EF68392-EB39-4BCF-98EC-FD45F8679310}" type="pres">
      <dgm:prSet presAssocID="{8E97B117-6891-4864-96BA-1047BB8366D7}" presName="parTrans" presStyleLbl="sibTrans2D1" presStyleIdx="0" presStyleCnt="4"/>
      <dgm:spPr/>
    </dgm:pt>
    <dgm:pt modelId="{1F3F3365-3ECF-4383-BE46-D5969EF72449}" type="pres">
      <dgm:prSet presAssocID="{8E97B117-6891-4864-96BA-1047BB8366D7}" presName="connectorText" presStyleLbl="sibTrans2D1" presStyleIdx="0" presStyleCnt="4"/>
      <dgm:spPr/>
    </dgm:pt>
    <dgm:pt modelId="{71EDE36B-84FC-4473-B72F-D9600A9070BC}" type="pres">
      <dgm:prSet presAssocID="{63E9232E-66E2-4901-B2EC-9F3C252269EC}" presName="node" presStyleLbl="node1" presStyleIdx="0" presStyleCnt="4">
        <dgm:presLayoutVars>
          <dgm:bulletEnabled val="1"/>
        </dgm:presLayoutVars>
      </dgm:prSet>
      <dgm:spPr/>
    </dgm:pt>
    <dgm:pt modelId="{D9374712-FE0D-4D62-B7FA-2F52500EEEE3}" type="pres">
      <dgm:prSet presAssocID="{D3E9EE62-BD66-44D7-B43F-DAA9EC9A9906}" presName="parTrans" presStyleLbl="sibTrans2D1" presStyleIdx="1" presStyleCnt="4"/>
      <dgm:spPr/>
    </dgm:pt>
    <dgm:pt modelId="{39CD6D30-3CB5-4961-9799-4459084FB618}" type="pres">
      <dgm:prSet presAssocID="{D3E9EE62-BD66-44D7-B43F-DAA9EC9A9906}" presName="connectorText" presStyleLbl="sibTrans2D1" presStyleIdx="1" presStyleCnt="4"/>
      <dgm:spPr/>
    </dgm:pt>
    <dgm:pt modelId="{B97A344F-5503-4149-9177-D7690DD4ABB1}" type="pres">
      <dgm:prSet presAssocID="{AB8A68C9-7AD5-4CFF-A0C0-574107C351E9}" presName="node" presStyleLbl="node1" presStyleIdx="1" presStyleCnt="4">
        <dgm:presLayoutVars>
          <dgm:bulletEnabled val="1"/>
        </dgm:presLayoutVars>
      </dgm:prSet>
      <dgm:spPr/>
    </dgm:pt>
    <dgm:pt modelId="{2744638C-87FF-414B-ACCB-BE614490A3A2}" type="pres">
      <dgm:prSet presAssocID="{9589BDC4-73E5-4C93-810B-ECDA421403E9}" presName="parTrans" presStyleLbl="sibTrans2D1" presStyleIdx="2" presStyleCnt="4"/>
      <dgm:spPr/>
    </dgm:pt>
    <dgm:pt modelId="{1C2EA547-F292-40E9-BBDC-4D5966222BE1}" type="pres">
      <dgm:prSet presAssocID="{9589BDC4-73E5-4C93-810B-ECDA421403E9}" presName="connectorText" presStyleLbl="sibTrans2D1" presStyleIdx="2" presStyleCnt="4"/>
      <dgm:spPr/>
    </dgm:pt>
    <dgm:pt modelId="{EDF27C6F-5AAD-434A-A317-510354F5C306}" type="pres">
      <dgm:prSet presAssocID="{44AC2526-D9FA-4C92-B912-04089A3813BA}" presName="node" presStyleLbl="node1" presStyleIdx="2" presStyleCnt="4">
        <dgm:presLayoutVars>
          <dgm:bulletEnabled val="1"/>
        </dgm:presLayoutVars>
      </dgm:prSet>
      <dgm:spPr/>
    </dgm:pt>
    <dgm:pt modelId="{D7B34F16-E205-47AB-8BEA-141191FA6433}" type="pres">
      <dgm:prSet presAssocID="{E0A531AF-6C03-4E0C-B795-BC725149A19E}" presName="parTrans" presStyleLbl="sibTrans2D1" presStyleIdx="3" presStyleCnt="4"/>
      <dgm:spPr/>
    </dgm:pt>
    <dgm:pt modelId="{2E4F330B-B724-4B11-B1CF-D3752F02720F}" type="pres">
      <dgm:prSet presAssocID="{E0A531AF-6C03-4E0C-B795-BC725149A19E}" presName="connectorText" presStyleLbl="sibTrans2D1" presStyleIdx="3" presStyleCnt="4"/>
      <dgm:spPr/>
    </dgm:pt>
    <dgm:pt modelId="{AEAC89E3-2765-46CA-8AF2-434B132D923B}" type="pres">
      <dgm:prSet presAssocID="{08B9C5AA-D5B2-4697-AFCB-C757C47DD00A}" presName="node" presStyleLbl="node1" presStyleIdx="3" presStyleCnt="4">
        <dgm:presLayoutVars>
          <dgm:bulletEnabled val="1"/>
        </dgm:presLayoutVars>
      </dgm:prSet>
      <dgm:spPr/>
    </dgm:pt>
  </dgm:ptLst>
  <dgm:cxnLst>
    <dgm:cxn modelId="{29226200-6142-4767-B8E4-C8A4316DF36E}" type="presOf" srcId="{9589BDC4-73E5-4C93-810B-ECDA421403E9}" destId="{1C2EA547-F292-40E9-BBDC-4D5966222BE1}" srcOrd="1" destOrd="0" presId="urn:microsoft.com/office/officeart/2005/8/layout/radial5"/>
    <dgm:cxn modelId="{AA581509-3CDF-410B-A1E5-058B4A78441F}" srcId="{5BD18694-A4D5-4A53-9EBE-6C9EB8CD84E4}" destId="{DAB9B3AB-7BB8-4ECC-9C1E-2A19C39F7F87}" srcOrd="0" destOrd="0" parTransId="{AEF25400-34AB-4810-9FED-3B7B3BA1682A}" sibTransId="{C86619E9-1BAA-44F6-A245-3CB9A4332B53}"/>
    <dgm:cxn modelId="{B649121C-A7D1-4635-8598-D658FDA79DF3}" type="presOf" srcId="{8E97B117-6891-4864-96BA-1047BB8366D7}" destId="{1EF68392-EB39-4BCF-98EC-FD45F8679310}" srcOrd="0" destOrd="0" presId="urn:microsoft.com/office/officeart/2005/8/layout/radial5"/>
    <dgm:cxn modelId="{8DAD822A-0EE6-4948-9994-788166F72025}" type="presOf" srcId="{63E9232E-66E2-4901-B2EC-9F3C252269EC}" destId="{71EDE36B-84FC-4473-B72F-D9600A9070BC}" srcOrd="0" destOrd="0" presId="urn:microsoft.com/office/officeart/2005/8/layout/radial5"/>
    <dgm:cxn modelId="{060D6339-CFB9-412F-9A2E-CCF4A14E99C9}" type="presOf" srcId="{E0A531AF-6C03-4E0C-B795-BC725149A19E}" destId="{D7B34F16-E205-47AB-8BEA-141191FA6433}" srcOrd="0" destOrd="0" presId="urn:microsoft.com/office/officeart/2005/8/layout/radial5"/>
    <dgm:cxn modelId="{2968304E-56BC-46E9-A6F7-C47A13DF2FD3}" srcId="{DAB9B3AB-7BB8-4ECC-9C1E-2A19C39F7F87}" destId="{63E9232E-66E2-4901-B2EC-9F3C252269EC}" srcOrd="0" destOrd="0" parTransId="{8E97B117-6891-4864-96BA-1047BB8366D7}" sibTransId="{E921D53B-11D7-426E-9E34-C329188592D2}"/>
    <dgm:cxn modelId="{59B0816F-6F5E-42D1-9262-7CE6528A5D6F}" type="presOf" srcId="{8E97B117-6891-4864-96BA-1047BB8366D7}" destId="{1F3F3365-3ECF-4383-BE46-D5969EF72449}" srcOrd="1" destOrd="0" presId="urn:microsoft.com/office/officeart/2005/8/layout/radial5"/>
    <dgm:cxn modelId="{8E810C70-6C0B-46CD-A9F7-E214DD5DF15F}" type="presOf" srcId="{D3E9EE62-BD66-44D7-B43F-DAA9EC9A9906}" destId="{D9374712-FE0D-4D62-B7FA-2F52500EEEE3}" srcOrd="0" destOrd="0" presId="urn:microsoft.com/office/officeart/2005/8/layout/radial5"/>
    <dgm:cxn modelId="{4B552798-23BF-4749-B35E-9AB92295E89A}" type="presOf" srcId="{D3E9EE62-BD66-44D7-B43F-DAA9EC9A9906}" destId="{39CD6D30-3CB5-4961-9799-4459084FB618}" srcOrd="1" destOrd="0" presId="urn:microsoft.com/office/officeart/2005/8/layout/radial5"/>
    <dgm:cxn modelId="{0FEA3FB3-F48C-4348-B2F3-A4747116361D}" type="presOf" srcId="{5BD18694-A4D5-4A53-9EBE-6C9EB8CD84E4}" destId="{98828721-2E6D-4C5F-A403-7AAD4E8644AE}" srcOrd="0" destOrd="0" presId="urn:microsoft.com/office/officeart/2005/8/layout/radial5"/>
    <dgm:cxn modelId="{EF2BB2B5-0BC9-430E-805C-BDFAEE505020}" type="presOf" srcId="{44AC2526-D9FA-4C92-B912-04089A3813BA}" destId="{EDF27C6F-5AAD-434A-A317-510354F5C306}" srcOrd="0" destOrd="0" presId="urn:microsoft.com/office/officeart/2005/8/layout/radial5"/>
    <dgm:cxn modelId="{C4F037B7-75D9-413A-AB11-396D7FFCA43D}" type="presOf" srcId="{DAB9B3AB-7BB8-4ECC-9C1E-2A19C39F7F87}" destId="{C33794DC-38DE-4F61-BB7B-5D7AAEFA02F2}" srcOrd="0" destOrd="0" presId="urn:microsoft.com/office/officeart/2005/8/layout/radial5"/>
    <dgm:cxn modelId="{EE33B6C5-0B05-471F-BB9A-CF21204D860D}" type="presOf" srcId="{AB8A68C9-7AD5-4CFF-A0C0-574107C351E9}" destId="{B97A344F-5503-4149-9177-D7690DD4ABB1}" srcOrd="0" destOrd="0" presId="urn:microsoft.com/office/officeart/2005/8/layout/radial5"/>
    <dgm:cxn modelId="{6FBD32CB-8749-41EC-9BD5-07D8F0704E1B}" srcId="{DAB9B3AB-7BB8-4ECC-9C1E-2A19C39F7F87}" destId="{AB8A68C9-7AD5-4CFF-A0C0-574107C351E9}" srcOrd="1" destOrd="0" parTransId="{D3E9EE62-BD66-44D7-B43F-DAA9EC9A9906}" sibTransId="{B58E88D9-DA6A-4A36-9855-1A3119FBBBFB}"/>
    <dgm:cxn modelId="{8BA8DECF-AE67-408F-A127-1820D8CD82B4}" type="presOf" srcId="{08B9C5AA-D5B2-4697-AFCB-C757C47DD00A}" destId="{AEAC89E3-2765-46CA-8AF2-434B132D923B}" srcOrd="0" destOrd="0" presId="urn:microsoft.com/office/officeart/2005/8/layout/radial5"/>
    <dgm:cxn modelId="{A62784E3-81D8-432B-A552-FB5BFE27C55C}" type="presOf" srcId="{E0A531AF-6C03-4E0C-B795-BC725149A19E}" destId="{2E4F330B-B724-4B11-B1CF-D3752F02720F}" srcOrd="1" destOrd="0" presId="urn:microsoft.com/office/officeart/2005/8/layout/radial5"/>
    <dgm:cxn modelId="{A59BE5EC-2A47-470B-AE1C-8E938C52943A}" srcId="{DAB9B3AB-7BB8-4ECC-9C1E-2A19C39F7F87}" destId="{44AC2526-D9FA-4C92-B912-04089A3813BA}" srcOrd="2" destOrd="0" parTransId="{9589BDC4-73E5-4C93-810B-ECDA421403E9}" sibTransId="{5EDF8161-18BC-483E-8A1E-3CD7A10ACBBB}"/>
    <dgm:cxn modelId="{511363F2-73F3-4562-B22D-C697DAFE3340}" srcId="{DAB9B3AB-7BB8-4ECC-9C1E-2A19C39F7F87}" destId="{08B9C5AA-D5B2-4697-AFCB-C757C47DD00A}" srcOrd="3" destOrd="0" parTransId="{E0A531AF-6C03-4E0C-B795-BC725149A19E}" sibTransId="{865B7A7F-36FC-4C1A-BADE-210AE43BE8A7}"/>
    <dgm:cxn modelId="{DAF70DF4-A259-4E04-814E-439921C4A4A1}" type="presOf" srcId="{9589BDC4-73E5-4C93-810B-ECDA421403E9}" destId="{2744638C-87FF-414B-ACCB-BE614490A3A2}" srcOrd="0" destOrd="0" presId="urn:microsoft.com/office/officeart/2005/8/layout/radial5"/>
    <dgm:cxn modelId="{44669DD4-BE3F-4592-9C15-1772B90165D5}" type="presParOf" srcId="{98828721-2E6D-4C5F-A403-7AAD4E8644AE}" destId="{C33794DC-38DE-4F61-BB7B-5D7AAEFA02F2}" srcOrd="0" destOrd="0" presId="urn:microsoft.com/office/officeart/2005/8/layout/radial5"/>
    <dgm:cxn modelId="{6822D1C1-C238-4256-B406-FD38628AC132}" type="presParOf" srcId="{98828721-2E6D-4C5F-A403-7AAD4E8644AE}" destId="{1EF68392-EB39-4BCF-98EC-FD45F8679310}" srcOrd="1" destOrd="0" presId="urn:microsoft.com/office/officeart/2005/8/layout/radial5"/>
    <dgm:cxn modelId="{9E050071-8598-487B-AC83-A162795EF8F8}" type="presParOf" srcId="{1EF68392-EB39-4BCF-98EC-FD45F8679310}" destId="{1F3F3365-3ECF-4383-BE46-D5969EF72449}" srcOrd="0" destOrd="0" presId="urn:microsoft.com/office/officeart/2005/8/layout/radial5"/>
    <dgm:cxn modelId="{EC429259-77A1-42F8-BA82-69EDA69C3453}" type="presParOf" srcId="{98828721-2E6D-4C5F-A403-7AAD4E8644AE}" destId="{71EDE36B-84FC-4473-B72F-D9600A9070BC}" srcOrd="2" destOrd="0" presId="urn:microsoft.com/office/officeart/2005/8/layout/radial5"/>
    <dgm:cxn modelId="{3E4A0D8D-191B-4E23-9569-A20B0B93B402}" type="presParOf" srcId="{98828721-2E6D-4C5F-A403-7AAD4E8644AE}" destId="{D9374712-FE0D-4D62-B7FA-2F52500EEEE3}" srcOrd="3" destOrd="0" presId="urn:microsoft.com/office/officeart/2005/8/layout/radial5"/>
    <dgm:cxn modelId="{5C2DC567-FAF7-4BEB-AAC6-C37C3878D624}" type="presParOf" srcId="{D9374712-FE0D-4D62-B7FA-2F52500EEEE3}" destId="{39CD6D30-3CB5-4961-9799-4459084FB618}" srcOrd="0" destOrd="0" presId="urn:microsoft.com/office/officeart/2005/8/layout/radial5"/>
    <dgm:cxn modelId="{4AB9CBFE-094C-4184-A190-58F9E6CEE358}" type="presParOf" srcId="{98828721-2E6D-4C5F-A403-7AAD4E8644AE}" destId="{B97A344F-5503-4149-9177-D7690DD4ABB1}" srcOrd="4" destOrd="0" presId="urn:microsoft.com/office/officeart/2005/8/layout/radial5"/>
    <dgm:cxn modelId="{4ACDD957-5BAA-4960-97D9-0623820641D4}" type="presParOf" srcId="{98828721-2E6D-4C5F-A403-7AAD4E8644AE}" destId="{2744638C-87FF-414B-ACCB-BE614490A3A2}" srcOrd="5" destOrd="0" presId="urn:microsoft.com/office/officeart/2005/8/layout/radial5"/>
    <dgm:cxn modelId="{4D54AA07-7489-4C9C-86B7-36FA525A656B}" type="presParOf" srcId="{2744638C-87FF-414B-ACCB-BE614490A3A2}" destId="{1C2EA547-F292-40E9-BBDC-4D5966222BE1}" srcOrd="0" destOrd="0" presId="urn:microsoft.com/office/officeart/2005/8/layout/radial5"/>
    <dgm:cxn modelId="{35B72A7A-64B6-4040-9614-F06D890E63BF}" type="presParOf" srcId="{98828721-2E6D-4C5F-A403-7AAD4E8644AE}" destId="{EDF27C6F-5AAD-434A-A317-510354F5C306}" srcOrd="6" destOrd="0" presId="urn:microsoft.com/office/officeart/2005/8/layout/radial5"/>
    <dgm:cxn modelId="{EBFF5502-9033-47AF-A4EC-F4EE9C1FF85D}" type="presParOf" srcId="{98828721-2E6D-4C5F-A403-7AAD4E8644AE}" destId="{D7B34F16-E205-47AB-8BEA-141191FA6433}" srcOrd="7" destOrd="0" presId="urn:microsoft.com/office/officeart/2005/8/layout/radial5"/>
    <dgm:cxn modelId="{124A43E7-46E6-4AE1-972D-E54BACD5FB07}" type="presParOf" srcId="{D7B34F16-E205-47AB-8BEA-141191FA6433}" destId="{2E4F330B-B724-4B11-B1CF-D3752F02720F}" srcOrd="0" destOrd="0" presId="urn:microsoft.com/office/officeart/2005/8/layout/radial5"/>
    <dgm:cxn modelId="{663C956B-8B29-490F-B0D4-7EE022891994}" type="presParOf" srcId="{98828721-2E6D-4C5F-A403-7AAD4E8644AE}" destId="{AEAC89E3-2765-46CA-8AF2-434B132D923B}" srcOrd="8" destOrd="0" presId="urn:microsoft.com/office/officeart/2005/8/layout/radial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3794DC-38DE-4F61-BB7B-5D7AAEFA02F2}">
      <dsp:nvSpPr>
        <dsp:cNvPr id="0" name=""/>
        <dsp:cNvSpPr/>
      </dsp:nvSpPr>
      <dsp:spPr>
        <a:xfrm>
          <a:off x="2322611" y="1179611"/>
          <a:ext cx="841176" cy="84117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Competitive Rivalry</a:t>
          </a:r>
        </a:p>
      </dsp:txBody>
      <dsp:txXfrm>
        <a:off x="2445798" y="1302798"/>
        <a:ext cx="594802" cy="594802"/>
      </dsp:txXfrm>
    </dsp:sp>
    <dsp:sp modelId="{1EF68392-EB39-4BCF-98EC-FD45F8679310}">
      <dsp:nvSpPr>
        <dsp:cNvPr id="0" name=""/>
        <dsp:cNvSpPr/>
      </dsp:nvSpPr>
      <dsp:spPr>
        <a:xfrm rot="16200000">
          <a:off x="2653889" y="873157"/>
          <a:ext cx="178620" cy="28600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0682" y="957150"/>
        <a:ext cx="125034" cy="171600"/>
      </dsp:txXfrm>
    </dsp:sp>
    <dsp:sp modelId="{71EDE36B-84FC-4473-B72F-D9600A9070BC}">
      <dsp:nvSpPr>
        <dsp:cNvPr id="0" name=""/>
        <dsp:cNvSpPr/>
      </dsp:nvSpPr>
      <dsp:spPr>
        <a:xfrm>
          <a:off x="2322611" y="1416"/>
          <a:ext cx="841176" cy="84117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Threat of New Entrants</a:t>
          </a:r>
        </a:p>
      </dsp:txBody>
      <dsp:txXfrm>
        <a:off x="2445798" y="124603"/>
        <a:ext cx="594802" cy="594802"/>
      </dsp:txXfrm>
    </dsp:sp>
    <dsp:sp modelId="{D9374712-FE0D-4D62-B7FA-2F52500EEEE3}">
      <dsp:nvSpPr>
        <dsp:cNvPr id="0" name=""/>
        <dsp:cNvSpPr/>
      </dsp:nvSpPr>
      <dsp:spPr>
        <a:xfrm>
          <a:off x="3237932" y="1457199"/>
          <a:ext cx="178620" cy="286000"/>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237932" y="1514399"/>
        <a:ext cx="125034" cy="171600"/>
      </dsp:txXfrm>
    </dsp:sp>
    <dsp:sp modelId="{B97A344F-5503-4149-9177-D7690DD4ABB1}">
      <dsp:nvSpPr>
        <dsp:cNvPr id="0" name=""/>
        <dsp:cNvSpPr/>
      </dsp:nvSpPr>
      <dsp:spPr>
        <a:xfrm>
          <a:off x="3500807" y="1179611"/>
          <a:ext cx="841176" cy="841176"/>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Bargaining Power of Buyers</a:t>
          </a:r>
        </a:p>
      </dsp:txBody>
      <dsp:txXfrm>
        <a:off x="3623994" y="1302798"/>
        <a:ext cx="594802" cy="594802"/>
      </dsp:txXfrm>
    </dsp:sp>
    <dsp:sp modelId="{2744638C-87FF-414B-ACCB-BE614490A3A2}">
      <dsp:nvSpPr>
        <dsp:cNvPr id="0" name=""/>
        <dsp:cNvSpPr/>
      </dsp:nvSpPr>
      <dsp:spPr>
        <a:xfrm rot="5400000">
          <a:off x="2653889" y="2041242"/>
          <a:ext cx="178620" cy="286000"/>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80682" y="2071649"/>
        <a:ext cx="125034" cy="171600"/>
      </dsp:txXfrm>
    </dsp:sp>
    <dsp:sp modelId="{EDF27C6F-5AAD-434A-A317-510354F5C306}">
      <dsp:nvSpPr>
        <dsp:cNvPr id="0" name=""/>
        <dsp:cNvSpPr/>
      </dsp:nvSpPr>
      <dsp:spPr>
        <a:xfrm>
          <a:off x="2322611" y="2357807"/>
          <a:ext cx="841176" cy="841176"/>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Threat of Substitutes</a:t>
          </a:r>
        </a:p>
      </dsp:txBody>
      <dsp:txXfrm>
        <a:off x="2445798" y="2480994"/>
        <a:ext cx="594802" cy="594802"/>
      </dsp:txXfrm>
    </dsp:sp>
    <dsp:sp modelId="{D7B34F16-E205-47AB-8BEA-141191FA6433}">
      <dsp:nvSpPr>
        <dsp:cNvPr id="0" name=""/>
        <dsp:cNvSpPr/>
      </dsp:nvSpPr>
      <dsp:spPr>
        <a:xfrm rot="10800000">
          <a:off x="2069847" y="1457199"/>
          <a:ext cx="178620" cy="28600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23433" y="1514399"/>
        <a:ext cx="125034" cy="171600"/>
      </dsp:txXfrm>
    </dsp:sp>
    <dsp:sp modelId="{AEAC89E3-2765-46CA-8AF2-434B132D923B}">
      <dsp:nvSpPr>
        <dsp:cNvPr id="0" name=""/>
        <dsp:cNvSpPr/>
      </dsp:nvSpPr>
      <dsp:spPr>
        <a:xfrm>
          <a:off x="1144416" y="1179611"/>
          <a:ext cx="841176" cy="841176"/>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Bargaining Power of Suppliers</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12</Pages>
  <Words>3049</Words>
  <Characters>17381</Characters>
  <Application>Microsoft Office Word</Application>
  <DocSecurity>0</DocSecurity>
  <Lines>144</Lines>
  <Paragraphs>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Sabau (1917334)</dc:creator>
  <cp:keywords/>
  <dc:description/>
  <cp:lastModifiedBy>Sabina Sabau (1917334)</cp:lastModifiedBy>
  <cp:revision>2</cp:revision>
  <dcterms:created xsi:type="dcterms:W3CDTF">2020-09-03T11:56:00Z</dcterms:created>
  <dcterms:modified xsi:type="dcterms:W3CDTF">2020-09-03T13:16:00Z</dcterms:modified>
</cp:coreProperties>
</file>