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28B117" w14:textId="77777777" w:rsidR="00F726BF" w:rsidRDefault="00F726BF" w:rsidP="00F726BF">
      <w:pPr>
        <w:spacing w:line="360" w:lineRule="auto"/>
        <w:jc w:val="center"/>
        <w:rPr>
          <w:rFonts w:ascii="Times New Roman" w:hAnsi="Times New Roman" w:cs="Times New Roman"/>
          <w:b/>
          <w:sz w:val="36"/>
        </w:rPr>
      </w:pPr>
    </w:p>
    <w:p w14:paraId="1F751C01" w14:textId="3F46E76A" w:rsidR="00546EFA" w:rsidRDefault="00000000" w:rsidP="00F726BF">
      <w:pPr>
        <w:spacing w:line="360" w:lineRule="auto"/>
        <w:jc w:val="center"/>
        <w:rPr>
          <w:rFonts w:ascii="Times New Roman" w:hAnsi="Times New Roman" w:cs="Times New Roman"/>
          <w:b/>
          <w:sz w:val="36"/>
        </w:rPr>
      </w:pPr>
      <w:r w:rsidRPr="00F726BF">
        <w:rPr>
          <w:rFonts w:ascii="Times New Roman" w:hAnsi="Times New Roman" w:cs="Times New Roman"/>
          <w:b/>
          <w:sz w:val="36"/>
        </w:rPr>
        <w:br/>
      </w:r>
      <w:r w:rsidR="00F726BF">
        <w:rPr>
          <w:rFonts w:ascii="Times New Roman" w:hAnsi="Times New Roman" w:cs="Times New Roman"/>
          <w:b/>
          <w:sz w:val="36"/>
        </w:rPr>
        <w:t xml:space="preserve">Evaluating </w:t>
      </w:r>
      <w:r w:rsidRPr="00F726BF">
        <w:rPr>
          <w:rFonts w:ascii="Times New Roman" w:hAnsi="Times New Roman" w:cs="Times New Roman"/>
          <w:b/>
          <w:sz w:val="36"/>
        </w:rPr>
        <w:t xml:space="preserve">Nike’s Competitive Positioning and </w:t>
      </w:r>
      <w:r w:rsidR="00F726BF">
        <w:rPr>
          <w:rFonts w:ascii="Times New Roman" w:hAnsi="Times New Roman" w:cs="Times New Roman"/>
          <w:b/>
          <w:sz w:val="36"/>
        </w:rPr>
        <w:t xml:space="preserve">Future </w:t>
      </w:r>
      <w:r w:rsidRPr="00F726BF">
        <w:rPr>
          <w:rFonts w:ascii="Times New Roman" w:hAnsi="Times New Roman" w:cs="Times New Roman"/>
          <w:b/>
          <w:sz w:val="36"/>
        </w:rPr>
        <w:t>Marketing Strategy in the Performance Sportswear Market</w:t>
      </w:r>
      <w:r w:rsidR="00F726BF">
        <w:rPr>
          <w:rFonts w:ascii="Times New Roman" w:hAnsi="Times New Roman" w:cs="Times New Roman"/>
          <w:b/>
          <w:sz w:val="36"/>
        </w:rPr>
        <w:t>.</w:t>
      </w:r>
    </w:p>
    <w:p w14:paraId="48642B01" w14:textId="77777777" w:rsidR="00F726BF" w:rsidRDefault="00F726BF" w:rsidP="00F726BF">
      <w:pPr>
        <w:spacing w:line="360" w:lineRule="auto"/>
        <w:jc w:val="center"/>
        <w:rPr>
          <w:rFonts w:ascii="Times New Roman" w:hAnsi="Times New Roman" w:cs="Times New Roman"/>
          <w:b/>
          <w:sz w:val="36"/>
        </w:rPr>
      </w:pPr>
    </w:p>
    <w:p w14:paraId="3ADF2ED3" w14:textId="77777777" w:rsidR="00F726BF" w:rsidRDefault="00F726BF" w:rsidP="00F726BF">
      <w:pPr>
        <w:spacing w:line="360" w:lineRule="auto"/>
        <w:jc w:val="center"/>
        <w:rPr>
          <w:rFonts w:ascii="Times New Roman" w:hAnsi="Times New Roman" w:cs="Times New Roman"/>
          <w:b/>
          <w:sz w:val="36"/>
        </w:rPr>
      </w:pPr>
    </w:p>
    <w:p w14:paraId="1250B23D" w14:textId="77777777" w:rsidR="00F726BF" w:rsidRPr="00F726BF" w:rsidRDefault="00F726BF" w:rsidP="00F726BF">
      <w:pPr>
        <w:spacing w:line="360" w:lineRule="auto"/>
        <w:jc w:val="center"/>
        <w:rPr>
          <w:rFonts w:ascii="Times New Roman" w:hAnsi="Times New Roman" w:cs="Times New Roman"/>
        </w:rPr>
      </w:pPr>
    </w:p>
    <w:p w14:paraId="2ACC7E46" w14:textId="77777777" w:rsidR="00F726BF" w:rsidRPr="00C43F98" w:rsidRDefault="00F726BF" w:rsidP="00F726BF">
      <w:pPr>
        <w:spacing w:after="200"/>
        <w:jc w:val="center"/>
        <w:rPr>
          <w:rFonts w:ascii="Times New Roman" w:hAnsi="Times New Roman" w:cs="Times New Roman"/>
          <w:b/>
          <w:bCs/>
          <w:szCs w:val="24"/>
        </w:rPr>
      </w:pPr>
      <w:r w:rsidRPr="00C43F98">
        <w:rPr>
          <w:rFonts w:ascii="Times New Roman" w:hAnsi="Times New Roman" w:cs="Times New Roman"/>
          <w:b/>
          <w:bCs/>
          <w:szCs w:val="24"/>
        </w:rPr>
        <w:t>Name: Katukam Laxmi Krushika</w:t>
      </w:r>
    </w:p>
    <w:p w14:paraId="02150DFD" w14:textId="77777777" w:rsidR="00F726BF" w:rsidRDefault="00F726BF" w:rsidP="00F726BF">
      <w:pPr>
        <w:spacing w:after="200"/>
        <w:jc w:val="center"/>
        <w:rPr>
          <w:rFonts w:ascii="Times New Roman" w:hAnsi="Times New Roman" w:cs="Times New Roman"/>
          <w:b/>
          <w:bCs/>
          <w:szCs w:val="24"/>
        </w:rPr>
      </w:pPr>
      <w:r w:rsidRPr="00C43F98">
        <w:rPr>
          <w:rFonts w:ascii="Times New Roman" w:hAnsi="Times New Roman" w:cs="Times New Roman"/>
          <w:b/>
          <w:bCs/>
          <w:szCs w:val="24"/>
        </w:rPr>
        <w:t>Student Number: 2510032</w:t>
      </w:r>
    </w:p>
    <w:p w14:paraId="0F359A4B" w14:textId="41F43FCC" w:rsidR="00F726BF" w:rsidRDefault="00F726BF" w:rsidP="00F726BF">
      <w:pPr>
        <w:spacing w:after="200"/>
        <w:jc w:val="center"/>
        <w:rPr>
          <w:rFonts w:ascii="Times New Roman" w:hAnsi="Times New Roman" w:cs="Times New Roman"/>
          <w:b/>
          <w:bCs/>
          <w:szCs w:val="24"/>
        </w:rPr>
      </w:pPr>
      <w:r>
        <w:rPr>
          <w:rFonts w:ascii="Times New Roman" w:hAnsi="Times New Roman" w:cs="Times New Roman"/>
          <w:b/>
          <w:bCs/>
          <w:szCs w:val="24"/>
        </w:rPr>
        <w:t>Module Code: BMMB7026</w:t>
      </w:r>
    </w:p>
    <w:p w14:paraId="057B3079" w14:textId="62E6274F" w:rsidR="00F726BF" w:rsidRDefault="00F726BF" w:rsidP="00F726BF">
      <w:pPr>
        <w:spacing w:after="200"/>
        <w:jc w:val="center"/>
        <w:rPr>
          <w:rFonts w:ascii="Times New Roman" w:hAnsi="Times New Roman" w:cs="Times New Roman"/>
          <w:b/>
          <w:bCs/>
          <w:szCs w:val="24"/>
        </w:rPr>
      </w:pPr>
      <w:r>
        <w:rPr>
          <w:rFonts w:ascii="Times New Roman" w:hAnsi="Times New Roman" w:cs="Times New Roman"/>
          <w:b/>
          <w:bCs/>
          <w:szCs w:val="24"/>
        </w:rPr>
        <w:t>Module Name: Managing Marketing Change</w:t>
      </w:r>
    </w:p>
    <w:p w14:paraId="767688A7" w14:textId="77777777" w:rsidR="00F726BF" w:rsidRPr="00C43F98" w:rsidRDefault="00F726BF" w:rsidP="00F726BF">
      <w:pPr>
        <w:spacing w:after="200"/>
        <w:jc w:val="center"/>
        <w:rPr>
          <w:rFonts w:ascii="Times New Roman" w:hAnsi="Times New Roman" w:cs="Times New Roman"/>
          <w:b/>
          <w:bCs/>
          <w:szCs w:val="24"/>
        </w:rPr>
      </w:pPr>
    </w:p>
    <w:p w14:paraId="7B6AFE72" w14:textId="77777777" w:rsidR="00546EFA" w:rsidRPr="00F726BF" w:rsidRDefault="00000000" w:rsidP="00F726BF">
      <w:pPr>
        <w:spacing w:line="360" w:lineRule="auto"/>
        <w:jc w:val="center"/>
        <w:rPr>
          <w:rFonts w:ascii="Times New Roman" w:hAnsi="Times New Roman" w:cs="Times New Roman"/>
        </w:rPr>
      </w:pPr>
      <w:r w:rsidRPr="00F726BF">
        <w:rPr>
          <w:rFonts w:ascii="Times New Roman" w:hAnsi="Times New Roman" w:cs="Times New Roman"/>
        </w:rPr>
        <w:br w:type="page"/>
      </w:r>
    </w:p>
    <w:p w14:paraId="79F65246" w14:textId="77777777" w:rsidR="00F726BF" w:rsidRDefault="00F726BF" w:rsidP="00F726BF">
      <w:pPr>
        <w:spacing w:line="360" w:lineRule="auto"/>
        <w:rPr>
          <w:rFonts w:ascii="Times New Roman" w:hAnsi="Times New Roman" w:cs="Times New Roman"/>
          <w:sz w:val="28"/>
          <w:szCs w:val="28"/>
        </w:rPr>
      </w:pPr>
    </w:p>
    <w:sdt>
      <w:sdtPr>
        <w:id w:val="-582141260"/>
        <w:docPartObj>
          <w:docPartGallery w:val="Table of Contents"/>
          <w:docPartUnique/>
        </w:docPartObj>
      </w:sdtPr>
      <w:sdtEndPr>
        <w:rPr>
          <w:rFonts w:ascii="Calibri" w:eastAsia="Calibri" w:hAnsi="Calibri" w:cstheme="minorBidi"/>
          <w:noProof/>
          <w:color w:val="auto"/>
          <w:sz w:val="24"/>
          <w:szCs w:val="22"/>
        </w:rPr>
      </w:sdtEndPr>
      <w:sdtContent>
        <w:p w14:paraId="18249DBA" w14:textId="689D1E7A" w:rsidR="00F726BF" w:rsidRDefault="00F726BF">
          <w:pPr>
            <w:pStyle w:val="TOCHeading"/>
          </w:pPr>
          <w:r>
            <w:t>Table of Contents</w:t>
          </w:r>
        </w:p>
        <w:p w14:paraId="4B5F5743" w14:textId="65F28543"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r>
            <w:rPr>
              <w:b w:val="0"/>
              <w:bCs w:val="0"/>
            </w:rPr>
            <w:fldChar w:fldCharType="begin"/>
          </w:r>
          <w:r>
            <w:instrText xml:space="preserve"> TOC \o "1-3" \h \z \u </w:instrText>
          </w:r>
          <w:r>
            <w:rPr>
              <w:b w:val="0"/>
              <w:bCs w:val="0"/>
            </w:rPr>
            <w:fldChar w:fldCharType="separate"/>
          </w:r>
          <w:hyperlink w:anchor="_Toc234597162" w:history="1">
            <w:r w:rsidRPr="00A67E53">
              <w:rPr>
                <w:rStyle w:val="Hyperlink"/>
                <w:noProof/>
              </w:rPr>
              <w:t>Executive Summary</w:t>
            </w:r>
            <w:r>
              <w:rPr>
                <w:noProof/>
                <w:webHidden/>
              </w:rPr>
              <w:tab/>
            </w:r>
            <w:r>
              <w:rPr>
                <w:noProof/>
                <w:webHidden/>
              </w:rPr>
              <w:fldChar w:fldCharType="begin"/>
            </w:r>
            <w:r>
              <w:rPr>
                <w:noProof/>
                <w:webHidden/>
              </w:rPr>
              <w:instrText xml:space="preserve"> PAGEREF _Toc234597162 \h </w:instrText>
            </w:r>
            <w:r>
              <w:rPr>
                <w:noProof/>
                <w:webHidden/>
              </w:rPr>
            </w:r>
            <w:r>
              <w:rPr>
                <w:noProof/>
                <w:webHidden/>
              </w:rPr>
              <w:fldChar w:fldCharType="separate"/>
            </w:r>
            <w:r>
              <w:rPr>
                <w:noProof/>
                <w:webHidden/>
              </w:rPr>
              <w:t>3</w:t>
            </w:r>
            <w:r>
              <w:rPr>
                <w:noProof/>
                <w:webHidden/>
              </w:rPr>
              <w:fldChar w:fldCharType="end"/>
            </w:r>
          </w:hyperlink>
        </w:p>
        <w:p w14:paraId="23A39150" w14:textId="2AFA75D5"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63" w:history="1">
            <w:r w:rsidRPr="00A67E53">
              <w:rPr>
                <w:rStyle w:val="Hyperlink"/>
                <w:noProof/>
              </w:rPr>
              <w:t>1. Introduction</w:t>
            </w:r>
            <w:r>
              <w:rPr>
                <w:noProof/>
                <w:webHidden/>
              </w:rPr>
              <w:tab/>
            </w:r>
            <w:r>
              <w:rPr>
                <w:noProof/>
                <w:webHidden/>
              </w:rPr>
              <w:fldChar w:fldCharType="begin"/>
            </w:r>
            <w:r>
              <w:rPr>
                <w:noProof/>
                <w:webHidden/>
              </w:rPr>
              <w:instrText xml:space="preserve"> PAGEREF _Toc234597163 \h </w:instrText>
            </w:r>
            <w:r>
              <w:rPr>
                <w:noProof/>
                <w:webHidden/>
              </w:rPr>
            </w:r>
            <w:r>
              <w:rPr>
                <w:noProof/>
                <w:webHidden/>
              </w:rPr>
              <w:fldChar w:fldCharType="separate"/>
            </w:r>
            <w:r>
              <w:rPr>
                <w:noProof/>
                <w:webHidden/>
              </w:rPr>
              <w:t>4</w:t>
            </w:r>
            <w:r>
              <w:rPr>
                <w:noProof/>
                <w:webHidden/>
              </w:rPr>
              <w:fldChar w:fldCharType="end"/>
            </w:r>
          </w:hyperlink>
        </w:p>
        <w:p w14:paraId="550A7A16" w14:textId="0FE2F7EF"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64" w:history="1">
            <w:r w:rsidRPr="00A67E53">
              <w:rPr>
                <w:rStyle w:val="Hyperlink"/>
                <w:noProof/>
              </w:rPr>
              <w:t>2. Main Findings</w:t>
            </w:r>
            <w:r>
              <w:rPr>
                <w:noProof/>
                <w:webHidden/>
              </w:rPr>
              <w:tab/>
            </w:r>
            <w:r>
              <w:rPr>
                <w:noProof/>
                <w:webHidden/>
              </w:rPr>
              <w:fldChar w:fldCharType="begin"/>
            </w:r>
            <w:r>
              <w:rPr>
                <w:noProof/>
                <w:webHidden/>
              </w:rPr>
              <w:instrText xml:space="preserve"> PAGEREF _Toc234597164 \h </w:instrText>
            </w:r>
            <w:r>
              <w:rPr>
                <w:noProof/>
                <w:webHidden/>
              </w:rPr>
            </w:r>
            <w:r>
              <w:rPr>
                <w:noProof/>
                <w:webHidden/>
              </w:rPr>
              <w:fldChar w:fldCharType="separate"/>
            </w:r>
            <w:r>
              <w:rPr>
                <w:noProof/>
                <w:webHidden/>
              </w:rPr>
              <w:t>5</w:t>
            </w:r>
            <w:r>
              <w:rPr>
                <w:noProof/>
                <w:webHidden/>
              </w:rPr>
              <w:fldChar w:fldCharType="end"/>
            </w:r>
          </w:hyperlink>
        </w:p>
        <w:p w14:paraId="0DFA7789" w14:textId="04ED1B79"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65" w:history="1">
            <w:r w:rsidRPr="00A67E53">
              <w:rPr>
                <w:rStyle w:val="Hyperlink"/>
                <w:noProof/>
              </w:rPr>
              <w:t>2.1 Nike’s Competitive Context and Marketing Change Driver</w:t>
            </w:r>
            <w:r>
              <w:rPr>
                <w:noProof/>
                <w:webHidden/>
              </w:rPr>
              <w:tab/>
            </w:r>
            <w:r>
              <w:rPr>
                <w:noProof/>
                <w:webHidden/>
              </w:rPr>
              <w:fldChar w:fldCharType="begin"/>
            </w:r>
            <w:r>
              <w:rPr>
                <w:noProof/>
                <w:webHidden/>
              </w:rPr>
              <w:instrText xml:space="preserve"> PAGEREF _Toc234597165 \h </w:instrText>
            </w:r>
            <w:r>
              <w:rPr>
                <w:noProof/>
                <w:webHidden/>
              </w:rPr>
            </w:r>
            <w:r>
              <w:rPr>
                <w:noProof/>
                <w:webHidden/>
              </w:rPr>
              <w:fldChar w:fldCharType="separate"/>
            </w:r>
            <w:r>
              <w:rPr>
                <w:noProof/>
                <w:webHidden/>
              </w:rPr>
              <w:t>5</w:t>
            </w:r>
            <w:r>
              <w:rPr>
                <w:noProof/>
                <w:webHidden/>
              </w:rPr>
              <w:fldChar w:fldCharType="end"/>
            </w:r>
          </w:hyperlink>
        </w:p>
        <w:p w14:paraId="5CC87891" w14:textId="17B4D742"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66" w:history="1">
            <w:r w:rsidRPr="00A67E53">
              <w:rPr>
                <w:rStyle w:val="Hyperlink"/>
                <w:noProof/>
              </w:rPr>
              <w:t>2.2 Macro and Micro Marketing Environment</w:t>
            </w:r>
            <w:r>
              <w:rPr>
                <w:noProof/>
                <w:webHidden/>
              </w:rPr>
              <w:tab/>
            </w:r>
            <w:r>
              <w:rPr>
                <w:noProof/>
                <w:webHidden/>
              </w:rPr>
              <w:fldChar w:fldCharType="begin"/>
            </w:r>
            <w:r>
              <w:rPr>
                <w:noProof/>
                <w:webHidden/>
              </w:rPr>
              <w:instrText xml:space="preserve"> PAGEREF _Toc234597166 \h </w:instrText>
            </w:r>
            <w:r>
              <w:rPr>
                <w:noProof/>
                <w:webHidden/>
              </w:rPr>
            </w:r>
            <w:r>
              <w:rPr>
                <w:noProof/>
                <w:webHidden/>
              </w:rPr>
              <w:fldChar w:fldCharType="separate"/>
            </w:r>
            <w:r>
              <w:rPr>
                <w:noProof/>
                <w:webHidden/>
              </w:rPr>
              <w:t>6</w:t>
            </w:r>
            <w:r>
              <w:rPr>
                <w:noProof/>
                <w:webHidden/>
              </w:rPr>
              <w:fldChar w:fldCharType="end"/>
            </w:r>
          </w:hyperlink>
        </w:p>
        <w:p w14:paraId="11C63C8D" w14:textId="594631D7"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67" w:history="1">
            <w:r w:rsidRPr="00A67E53">
              <w:rPr>
                <w:rStyle w:val="Hyperlink"/>
                <w:noProof/>
              </w:rPr>
              <w:t>2.3 Target Market, Segmentation and Positioning</w:t>
            </w:r>
            <w:r>
              <w:rPr>
                <w:noProof/>
                <w:webHidden/>
              </w:rPr>
              <w:tab/>
            </w:r>
            <w:r>
              <w:rPr>
                <w:noProof/>
                <w:webHidden/>
              </w:rPr>
              <w:fldChar w:fldCharType="begin"/>
            </w:r>
            <w:r>
              <w:rPr>
                <w:noProof/>
                <w:webHidden/>
              </w:rPr>
              <w:instrText xml:space="preserve"> PAGEREF _Toc234597167 \h </w:instrText>
            </w:r>
            <w:r>
              <w:rPr>
                <w:noProof/>
                <w:webHidden/>
              </w:rPr>
            </w:r>
            <w:r>
              <w:rPr>
                <w:noProof/>
                <w:webHidden/>
              </w:rPr>
              <w:fldChar w:fldCharType="separate"/>
            </w:r>
            <w:r>
              <w:rPr>
                <w:noProof/>
                <w:webHidden/>
              </w:rPr>
              <w:t>7</w:t>
            </w:r>
            <w:r>
              <w:rPr>
                <w:noProof/>
                <w:webHidden/>
              </w:rPr>
              <w:fldChar w:fldCharType="end"/>
            </w:r>
          </w:hyperlink>
        </w:p>
        <w:p w14:paraId="7D0DB9F2" w14:textId="270BDCCF"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68" w:history="1">
            <w:r w:rsidRPr="00A67E53">
              <w:rPr>
                <w:rStyle w:val="Hyperlink"/>
                <w:noProof/>
              </w:rPr>
              <w:t>2.4 Evaluation of Nike’s Competitive Marketing Mix</w:t>
            </w:r>
            <w:r>
              <w:rPr>
                <w:noProof/>
                <w:webHidden/>
              </w:rPr>
              <w:tab/>
            </w:r>
            <w:r>
              <w:rPr>
                <w:noProof/>
                <w:webHidden/>
              </w:rPr>
              <w:fldChar w:fldCharType="begin"/>
            </w:r>
            <w:r>
              <w:rPr>
                <w:noProof/>
                <w:webHidden/>
              </w:rPr>
              <w:instrText xml:space="preserve"> PAGEREF _Toc234597168 \h </w:instrText>
            </w:r>
            <w:r>
              <w:rPr>
                <w:noProof/>
                <w:webHidden/>
              </w:rPr>
            </w:r>
            <w:r>
              <w:rPr>
                <w:noProof/>
                <w:webHidden/>
              </w:rPr>
              <w:fldChar w:fldCharType="separate"/>
            </w:r>
            <w:r>
              <w:rPr>
                <w:noProof/>
                <w:webHidden/>
              </w:rPr>
              <w:t>9</w:t>
            </w:r>
            <w:r>
              <w:rPr>
                <w:noProof/>
                <w:webHidden/>
              </w:rPr>
              <w:fldChar w:fldCharType="end"/>
            </w:r>
          </w:hyperlink>
        </w:p>
        <w:p w14:paraId="12A3791F" w14:textId="07813697"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69" w:history="1">
            <w:r w:rsidRPr="00A67E53">
              <w:rPr>
                <w:rStyle w:val="Hyperlink"/>
                <w:noProof/>
              </w:rPr>
              <w:t>2.5 Media Selection, Customer Journey and Campaign Effectiveness</w:t>
            </w:r>
            <w:r>
              <w:rPr>
                <w:noProof/>
                <w:webHidden/>
              </w:rPr>
              <w:tab/>
            </w:r>
            <w:r>
              <w:rPr>
                <w:noProof/>
                <w:webHidden/>
              </w:rPr>
              <w:fldChar w:fldCharType="begin"/>
            </w:r>
            <w:r>
              <w:rPr>
                <w:noProof/>
                <w:webHidden/>
              </w:rPr>
              <w:instrText xml:space="preserve"> PAGEREF _Toc234597169 \h </w:instrText>
            </w:r>
            <w:r>
              <w:rPr>
                <w:noProof/>
                <w:webHidden/>
              </w:rPr>
            </w:r>
            <w:r>
              <w:rPr>
                <w:noProof/>
                <w:webHidden/>
              </w:rPr>
              <w:fldChar w:fldCharType="separate"/>
            </w:r>
            <w:r>
              <w:rPr>
                <w:noProof/>
                <w:webHidden/>
              </w:rPr>
              <w:t>10</w:t>
            </w:r>
            <w:r>
              <w:rPr>
                <w:noProof/>
                <w:webHidden/>
              </w:rPr>
              <w:fldChar w:fldCharType="end"/>
            </w:r>
          </w:hyperlink>
        </w:p>
        <w:p w14:paraId="246A45A6" w14:textId="477C46C7"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70" w:history="1">
            <w:r w:rsidRPr="00A67E53">
              <w:rPr>
                <w:rStyle w:val="Hyperlink"/>
                <w:noProof/>
              </w:rPr>
              <w:t>2.6 Marketing Control, Metrics and Evidence Limitations</w:t>
            </w:r>
            <w:r>
              <w:rPr>
                <w:noProof/>
                <w:webHidden/>
              </w:rPr>
              <w:tab/>
            </w:r>
            <w:r>
              <w:rPr>
                <w:noProof/>
                <w:webHidden/>
              </w:rPr>
              <w:fldChar w:fldCharType="begin"/>
            </w:r>
            <w:r>
              <w:rPr>
                <w:noProof/>
                <w:webHidden/>
              </w:rPr>
              <w:instrText xml:space="preserve"> PAGEREF _Toc234597170 \h </w:instrText>
            </w:r>
            <w:r>
              <w:rPr>
                <w:noProof/>
                <w:webHidden/>
              </w:rPr>
            </w:r>
            <w:r>
              <w:rPr>
                <w:noProof/>
                <w:webHidden/>
              </w:rPr>
              <w:fldChar w:fldCharType="separate"/>
            </w:r>
            <w:r>
              <w:rPr>
                <w:noProof/>
                <w:webHidden/>
              </w:rPr>
              <w:t>11</w:t>
            </w:r>
            <w:r>
              <w:rPr>
                <w:noProof/>
                <w:webHidden/>
              </w:rPr>
              <w:fldChar w:fldCharType="end"/>
            </w:r>
          </w:hyperlink>
        </w:p>
        <w:p w14:paraId="1BFEAB4D" w14:textId="683BFFF5"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71" w:history="1">
            <w:r w:rsidRPr="00A67E53">
              <w:rPr>
                <w:rStyle w:val="Hyperlink"/>
                <w:noProof/>
              </w:rPr>
              <w:t>3. Conclusion</w:t>
            </w:r>
            <w:r>
              <w:rPr>
                <w:noProof/>
                <w:webHidden/>
              </w:rPr>
              <w:tab/>
            </w:r>
            <w:r>
              <w:rPr>
                <w:noProof/>
                <w:webHidden/>
              </w:rPr>
              <w:fldChar w:fldCharType="begin"/>
            </w:r>
            <w:r>
              <w:rPr>
                <w:noProof/>
                <w:webHidden/>
              </w:rPr>
              <w:instrText xml:space="preserve"> PAGEREF _Toc234597171 \h </w:instrText>
            </w:r>
            <w:r>
              <w:rPr>
                <w:noProof/>
                <w:webHidden/>
              </w:rPr>
            </w:r>
            <w:r>
              <w:rPr>
                <w:noProof/>
                <w:webHidden/>
              </w:rPr>
              <w:fldChar w:fldCharType="separate"/>
            </w:r>
            <w:r>
              <w:rPr>
                <w:noProof/>
                <w:webHidden/>
              </w:rPr>
              <w:t>12</w:t>
            </w:r>
            <w:r>
              <w:rPr>
                <w:noProof/>
                <w:webHidden/>
              </w:rPr>
              <w:fldChar w:fldCharType="end"/>
            </w:r>
          </w:hyperlink>
        </w:p>
        <w:p w14:paraId="13FE7314" w14:textId="3DC3F66C"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72" w:history="1">
            <w:r w:rsidRPr="00A67E53">
              <w:rPr>
                <w:rStyle w:val="Hyperlink"/>
                <w:noProof/>
              </w:rPr>
              <w:t>4. Recommendations</w:t>
            </w:r>
            <w:r>
              <w:rPr>
                <w:noProof/>
                <w:webHidden/>
              </w:rPr>
              <w:tab/>
            </w:r>
            <w:r>
              <w:rPr>
                <w:noProof/>
                <w:webHidden/>
              </w:rPr>
              <w:fldChar w:fldCharType="begin"/>
            </w:r>
            <w:r>
              <w:rPr>
                <w:noProof/>
                <w:webHidden/>
              </w:rPr>
              <w:instrText xml:space="preserve"> PAGEREF _Toc234597172 \h </w:instrText>
            </w:r>
            <w:r>
              <w:rPr>
                <w:noProof/>
                <w:webHidden/>
              </w:rPr>
            </w:r>
            <w:r>
              <w:rPr>
                <w:noProof/>
                <w:webHidden/>
              </w:rPr>
              <w:fldChar w:fldCharType="separate"/>
            </w:r>
            <w:r>
              <w:rPr>
                <w:noProof/>
                <w:webHidden/>
              </w:rPr>
              <w:t>13</w:t>
            </w:r>
            <w:r>
              <w:rPr>
                <w:noProof/>
                <w:webHidden/>
              </w:rPr>
              <w:fldChar w:fldCharType="end"/>
            </w:r>
          </w:hyperlink>
        </w:p>
        <w:p w14:paraId="23919265" w14:textId="7855421E"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73" w:history="1">
            <w:r w:rsidRPr="00A67E53">
              <w:rPr>
                <w:rStyle w:val="Hyperlink"/>
                <w:noProof/>
              </w:rPr>
              <w:t>4.1 Build a Performance-First Running and Training Positioning Platform</w:t>
            </w:r>
            <w:r>
              <w:rPr>
                <w:noProof/>
                <w:webHidden/>
              </w:rPr>
              <w:tab/>
            </w:r>
            <w:r>
              <w:rPr>
                <w:noProof/>
                <w:webHidden/>
              </w:rPr>
              <w:fldChar w:fldCharType="begin"/>
            </w:r>
            <w:r>
              <w:rPr>
                <w:noProof/>
                <w:webHidden/>
              </w:rPr>
              <w:instrText xml:space="preserve"> PAGEREF _Toc234597173 \h </w:instrText>
            </w:r>
            <w:r>
              <w:rPr>
                <w:noProof/>
                <w:webHidden/>
              </w:rPr>
            </w:r>
            <w:r>
              <w:rPr>
                <w:noProof/>
                <w:webHidden/>
              </w:rPr>
              <w:fldChar w:fldCharType="separate"/>
            </w:r>
            <w:r>
              <w:rPr>
                <w:noProof/>
                <w:webHidden/>
              </w:rPr>
              <w:t>13</w:t>
            </w:r>
            <w:r>
              <w:rPr>
                <w:noProof/>
                <w:webHidden/>
              </w:rPr>
              <w:fldChar w:fldCharType="end"/>
            </w:r>
          </w:hyperlink>
        </w:p>
        <w:p w14:paraId="22A9F526" w14:textId="3089B34E"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74" w:history="1">
            <w:r w:rsidRPr="00A67E53">
              <w:rPr>
                <w:rStyle w:val="Hyperlink"/>
                <w:noProof/>
              </w:rPr>
              <w:t>4.2 Strengthen Omnichannel Partnerships with Specialist Retailers</w:t>
            </w:r>
            <w:r>
              <w:rPr>
                <w:noProof/>
                <w:webHidden/>
              </w:rPr>
              <w:tab/>
            </w:r>
            <w:r>
              <w:rPr>
                <w:noProof/>
                <w:webHidden/>
              </w:rPr>
              <w:fldChar w:fldCharType="begin"/>
            </w:r>
            <w:r>
              <w:rPr>
                <w:noProof/>
                <w:webHidden/>
              </w:rPr>
              <w:instrText xml:space="preserve"> PAGEREF _Toc234597174 \h </w:instrText>
            </w:r>
            <w:r>
              <w:rPr>
                <w:noProof/>
                <w:webHidden/>
              </w:rPr>
            </w:r>
            <w:r>
              <w:rPr>
                <w:noProof/>
                <w:webHidden/>
              </w:rPr>
              <w:fldChar w:fldCharType="separate"/>
            </w:r>
            <w:r>
              <w:rPr>
                <w:noProof/>
                <w:webHidden/>
              </w:rPr>
              <w:t>14</w:t>
            </w:r>
            <w:r>
              <w:rPr>
                <w:noProof/>
                <w:webHidden/>
              </w:rPr>
              <w:fldChar w:fldCharType="end"/>
            </w:r>
          </w:hyperlink>
        </w:p>
        <w:p w14:paraId="6D2E7F14" w14:textId="6717DB8A"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75" w:history="1">
            <w:r w:rsidRPr="00A67E53">
              <w:rPr>
                <w:rStyle w:val="Hyperlink"/>
                <w:noProof/>
              </w:rPr>
              <w:t>4.3 Create Evidence-Led Product Storytelling</w:t>
            </w:r>
            <w:r>
              <w:rPr>
                <w:noProof/>
                <w:webHidden/>
              </w:rPr>
              <w:tab/>
            </w:r>
            <w:r>
              <w:rPr>
                <w:noProof/>
                <w:webHidden/>
              </w:rPr>
              <w:fldChar w:fldCharType="begin"/>
            </w:r>
            <w:r>
              <w:rPr>
                <w:noProof/>
                <w:webHidden/>
              </w:rPr>
              <w:instrText xml:space="preserve"> PAGEREF _Toc234597175 \h </w:instrText>
            </w:r>
            <w:r>
              <w:rPr>
                <w:noProof/>
                <w:webHidden/>
              </w:rPr>
            </w:r>
            <w:r>
              <w:rPr>
                <w:noProof/>
                <w:webHidden/>
              </w:rPr>
              <w:fldChar w:fldCharType="separate"/>
            </w:r>
            <w:r>
              <w:rPr>
                <w:noProof/>
                <w:webHidden/>
              </w:rPr>
              <w:t>14</w:t>
            </w:r>
            <w:r>
              <w:rPr>
                <w:noProof/>
                <w:webHidden/>
              </w:rPr>
              <w:fldChar w:fldCharType="end"/>
            </w:r>
          </w:hyperlink>
        </w:p>
        <w:p w14:paraId="2BCE1F06" w14:textId="65C849A0"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76" w:history="1">
            <w:r w:rsidRPr="00A67E53">
              <w:rPr>
                <w:rStyle w:val="Hyperlink"/>
                <w:noProof/>
              </w:rPr>
              <w:t>4.4 Develop Local Sport Communities as Competitive Proof</w:t>
            </w:r>
            <w:r>
              <w:rPr>
                <w:noProof/>
                <w:webHidden/>
              </w:rPr>
              <w:tab/>
            </w:r>
            <w:r>
              <w:rPr>
                <w:noProof/>
                <w:webHidden/>
              </w:rPr>
              <w:fldChar w:fldCharType="begin"/>
            </w:r>
            <w:r>
              <w:rPr>
                <w:noProof/>
                <w:webHidden/>
              </w:rPr>
              <w:instrText xml:space="preserve"> PAGEREF _Toc234597176 \h </w:instrText>
            </w:r>
            <w:r>
              <w:rPr>
                <w:noProof/>
                <w:webHidden/>
              </w:rPr>
            </w:r>
            <w:r>
              <w:rPr>
                <w:noProof/>
                <w:webHidden/>
              </w:rPr>
              <w:fldChar w:fldCharType="separate"/>
            </w:r>
            <w:r>
              <w:rPr>
                <w:noProof/>
                <w:webHidden/>
              </w:rPr>
              <w:t>15</w:t>
            </w:r>
            <w:r>
              <w:rPr>
                <w:noProof/>
                <w:webHidden/>
              </w:rPr>
              <w:fldChar w:fldCharType="end"/>
            </w:r>
          </w:hyperlink>
        </w:p>
        <w:p w14:paraId="1D88ED4B" w14:textId="2FBFB9BF"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77" w:history="1">
            <w:r w:rsidRPr="00A67E53">
              <w:rPr>
                <w:rStyle w:val="Hyperlink"/>
                <w:noProof/>
              </w:rPr>
              <w:t>4.5 Introduce a Competitive Positioning Dashboard</w:t>
            </w:r>
            <w:r>
              <w:rPr>
                <w:noProof/>
                <w:webHidden/>
              </w:rPr>
              <w:tab/>
            </w:r>
            <w:r>
              <w:rPr>
                <w:noProof/>
                <w:webHidden/>
              </w:rPr>
              <w:fldChar w:fldCharType="begin"/>
            </w:r>
            <w:r>
              <w:rPr>
                <w:noProof/>
                <w:webHidden/>
              </w:rPr>
              <w:instrText xml:space="preserve"> PAGEREF _Toc234597177 \h </w:instrText>
            </w:r>
            <w:r>
              <w:rPr>
                <w:noProof/>
                <w:webHidden/>
              </w:rPr>
            </w:r>
            <w:r>
              <w:rPr>
                <w:noProof/>
                <w:webHidden/>
              </w:rPr>
              <w:fldChar w:fldCharType="separate"/>
            </w:r>
            <w:r>
              <w:rPr>
                <w:noProof/>
                <w:webHidden/>
              </w:rPr>
              <w:t>15</w:t>
            </w:r>
            <w:r>
              <w:rPr>
                <w:noProof/>
                <w:webHidden/>
              </w:rPr>
              <w:fldChar w:fldCharType="end"/>
            </w:r>
          </w:hyperlink>
        </w:p>
        <w:p w14:paraId="29040DFF" w14:textId="2F458F3F"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78" w:history="1">
            <w:r w:rsidRPr="00A67E53">
              <w:rPr>
                <w:rStyle w:val="Hyperlink"/>
                <w:noProof/>
              </w:rPr>
              <w:t>References</w:t>
            </w:r>
            <w:r>
              <w:rPr>
                <w:noProof/>
                <w:webHidden/>
              </w:rPr>
              <w:tab/>
            </w:r>
            <w:r>
              <w:rPr>
                <w:noProof/>
                <w:webHidden/>
              </w:rPr>
              <w:fldChar w:fldCharType="begin"/>
            </w:r>
            <w:r>
              <w:rPr>
                <w:noProof/>
                <w:webHidden/>
              </w:rPr>
              <w:instrText xml:space="preserve"> PAGEREF _Toc234597178 \h </w:instrText>
            </w:r>
            <w:r>
              <w:rPr>
                <w:noProof/>
                <w:webHidden/>
              </w:rPr>
            </w:r>
            <w:r>
              <w:rPr>
                <w:noProof/>
                <w:webHidden/>
              </w:rPr>
              <w:fldChar w:fldCharType="separate"/>
            </w:r>
            <w:r>
              <w:rPr>
                <w:noProof/>
                <w:webHidden/>
              </w:rPr>
              <w:t>16</w:t>
            </w:r>
            <w:r>
              <w:rPr>
                <w:noProof/>
                <w:webHidden/>
              </w:rPr>
              <w:fldChar w:fldCharType="end"/>
            </w:r>
          </w:hyperlink>
        </w:p>
        <w:p w14:paraId="1B99A883" w14:textId="68966F73"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79" w:history="1">
            <w:r w:rsidRPr="00A67E53">
              <w:rPr>
                <w:rStyle w:val="Hyperlink"/>
                <w:noProof/>
              </w:rPr>
              <w:t>Appendices</w:t>
            </w:r>
            <w:r>
              <w:rPr>
                <w:noProof/>
                <w:webHidden/>
              </w:rPr>
              <w:tab/>
            </w:r>
            <w:r>
              <w:rPr>
                <w:noProof/>
                <w:webHidden/>
              </w:rPr>
              <w:fldChar w:fldCharType="begin"/>
            </w:r>
            <w:r>
              <w:rPr>
                <w:noProof/>
                <w:webHidden/>
              </w:rPr>
              <w:instrText xml:space="preserve"> PAGEREF _Toc234597179 \h </w:instrText>
            </w:r>
            <w:r>
              <w:rPr>
                <w:noProof/>
                <w:webHidden/>
              </w:rPr>
            </w:r>
            <w:r>
              <w:rPr>
                <w:noProof/>
                <w:webHidden/>
              </w:rPr>
              <w:fldChar w:fldCharType="separate"/>
            </w:r>
            <w:r>
              <w:rPr>
                <w:noProof/>
                <w:webHidden/>
              </w:rPr>
              <w:t>20</w:t>
            </w:r>
            <w:r>
              <w:rPr>
                <w:noProof/>
                <w:webHidden/>
              </w:rPr>
              <w:fldChar w:fldCharType="end"/>
            </w:r>
          </w:hyperlink>
        </w:p>
        <w:p w14:paraId="70E257E5" w14:textId="6EBB5EFA"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80" w:history="1">
            <w:r w:rsidRPr="00A67E53">
              <w:rPr>
                <w:rStyle w:val="Hyperlink"/>
                <w:noProof/>
              </w:rPr>
              <w:t>Appendix A: Suggested Competitive Positioning Dashboard</w:t>
            </w:r>
            <w:r>
              <w:rPr>
                <w:noProof/>
                <w:webHidden/>
              </w:rPr>
              <w:tab/>
            </w:r>
            <w:r>
              <w:rPr>
                <w:noProof/>
                <w:webHidden/>
              </w:rPr>
              <w:fldChar w:fldCharType="begin"/>
            </w:r>
            <w:r>
              <w:rPr>
                <w:noProof/>
                <w:webHidden/>
              </w:rPr>
              <w:instrText xml:space="preserve"> PAGEREF _Toc234597180 \h </w:instrText>
            </w:r>
            <w:r>
              <w:rPr>
                <w:noProof/>
                <w:webHidden/>
              </w:rPr>
            </w:r>
            <w:r>
              <w:rPr>
                <w:noProof/>
                <w:webHidden/>
              </w:rPr>
              <w:fldChar w:fldCharType="separate"/>
            </w:r>
            <w:r>
              <w:rPr>
                <w:noProof/>
                <w:webHidden/>
              </w:rPr>
              <w:t>20</w:t>
            </w:r>
            <w:r>
              <w:rPr>
                <w:noProof/>
                <w:webHidden/>
              </w:rPr>
              <w:fldChar w:fldCharType="end"/>
            </w:r>
          </w:hyperlink>
        </w:p>
        <w:p w14:paraId="3652CFC6" w14:textId="5FC3D59E"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81" w:history="1">
            <w:r w:rsidRPr="00A67E53">
              <w:rPr>
                <w:rStyle w:val="Hyperlink"/>
                <w:noProof/>
              </w:rPr>
              <w:t>Appendix B: Example Product Storytelling Template</w:t>
            </w:r>
            <w:r>
              <w:rPr>
                <w:noProof/>
                <w:webHidden/>
              </w:rPr>
              <w:tab/>
            </w:r>
            <w:r>
              <w:rPr>
                <w:noProof/>
                <w:webHidden/>
              </w:rPr>
              <w:fldChar w:fldCharType="begin"/>
            </w:r>
            <w:r>
              <w:rPr>
                <w:noProof/>
                <w:webHidden/>
              </w:rPr>
              <w:instrText xml:space="preserve"> PAGEREF _Toc234597181 \h </w:instrText>
            </w:r>
            <w:r>
              <w:rPr>
                <w:noProof/>
                <w:webHidden/>
              </w:rPr>
            </w:r>
            <w:r>
              <w:rPr>
                <w:noProof/>
                <w:webHidden/>
              </w:rPr>
              <w:fldChar w:fldCharType="separate"/>
            </w:r>
            <w:r>
              <w:rPr>
                <w:noProof/>
                <w:webHidden/>
              </w:rPr>
              <w:t>20</w:t>
            </w:r>
            <w:r>
              <w:rPr>
                <w:noProof/>
                <w:webHidden/>
              </w:rPr>
              <w:fldChar w:fldCharType="end"/>
            </w:r>
          </w:hyperlink>
        </w:p>
        <w:p w14:paraId="21F9A1D8" w14:textId="1576462B" w:rsidR="00F726BF" w:rsidRDefault="00F726BF">
          <w:pPr>
            <w:pStyle w:val="TOC1"/>
            <w:tabs>
              <w:tab w:val="right" w:leader="dot" w:pos="9350"/>
            </w:tabs>
            <w:rPr>
              <w:rFonts w:eastAsiaTheme="minorEastAsia"/>
              <w:b w:val="0"/>
              <w:bCs w:val="0"/>
              <w:i w:val="0"/>
              <w:iCs w:val="0"/>
              <w:noProof/>
              <w:kern w:val="2"/>
              <w:lang w:val="en-IN" w:eastAsia="en-GB"/>
              <w14:ligatures w14:val="standardContextual"/>
            </w:rPr>
          </w:pPr>
          <w:hyperlink w:anchor="_Toc234597182" w:history="1">
            <w:r w:rsidRPr="00A67E53">
              <w:rPr>
                <w:rStyle w:val="Hyperlink"/>
                <w:noProof/>
              </w:rPr>
              <w:t>Appendix C: Omnichannel Implementation Priorities</w:t>
            </w:r>
            <w:r>
              <w:rPr>
                <w:noProof/>
                <w:webHidden/>
              </w:rPr>
              <w:tab/>
            </w:r>
            <w:r>
              <w:rPr>
                <w:noProof/>
                <w:webHidden/>
              </w:rPr>
              <w:fldChar w:fldCharType="begin"/>
            </w:r>
            <w:r>
              <w:rPr>
                <w:noProof/>
                <w:webHidden/>
              </w:rPr>
              <w:instrText xml:space="preserve"> PAGEREF _Toc234597182 \h </w:instrText>
            </w:r>
            <w:r>
              <w:rPr>
                <w:noProof/>
                <w:webHidden/>
              </w:rPr>
            </w:r>
            <w:r>
              <w:rPr>
                <w:noProof/>
                <w:webHidden/>
              </w:rPr>
              <w:fldChar w:fldCharType="separate"/>
            </w:r>
            <w:r>
              <w:rPr>
                <w:noProof/>
                <w:webHidden/>
              </w:rPr>
              <w:t>20</w:t>
            </w:r>
            <w:r>
              <w:rPr>
                <w:noProof/>
                <w:webHidden/>
              </w:rPr>
              <w:fldChar w:fldCharType="end"/>
            </w:r>
          </w:hyperlink>
        </w:p>
        <w:p w14:paraId="4FC39E41" w14:textId="00C296D1" w:rsidR="00F726BF" w:rsidRDefault="00F726BF">
          <w:r>
            <w:rPr>
              <w:b/>
              <w:bCs/>
              <w:noProof/>
            </w:rPr>
            <w:fldChar w:fldCharType="end"/>
          </w:r>
        </w:p>
      </w:sdtContent>
    </w:sdt>
    <w:p w14:paraId="381AFB65" w14:textId="77777777" w:rsidR="00F726BF" w:rsidRDefault="00F726BF">
      <w:pPr>
        <w:spacing w:after="200"/>
        <w:rPr>
          <w:rFonts w:ascii="Times New Roman" w:hAnsi="Times New Roman" w:cs="Times New Roman"/>
          <w:sz w:val="28"/>
          <w:szCs w:val="28"/>
        </w:rPr>
      </w:pPr>
      <w:r>
        <w:rPr>
          <w:rFonts w:ascii="Times New Roman" w:hAnsi="Times New Roman" w:cs="Times New Roman"/>
          <w:sz w:val="28"/>
          <w:szCs w:val="28"/>
        </w:rPr>
        <w:br w:type="page"/>
      </w:r>
    </w:p>
    <w:p w14:paraId="6392D07C" w14:textId="79BF39D8" w:rsidR="00546EFA" w:rsidRPr="00F726BF" w:rsidRDefault="00000000" w:rsidP="00F726BF">
      <w:pPr>
        <w:pStyle w:val="Heading1"/>
      </w:pPr>
      <w:bookmarkStart w:id="0" w:name="_Toc234597162"/>
      <w:r w:rsidRPr="00F726BF">
        <w:lastRenderedPageBreak/>
        <w:t>Executive Summary</w:t>
      </w:r>
      <w:bookmarkEnd w:id="0"/>
    </w:p>
    <w:p w14:paraId="12550F73"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This report critically evaluates Nike’s competitive positioning and future marketing development in the performance sportswear market. The report focuses on the marketing challenge created by competitive disruption from specialist running and performance brands, including On and HOKA, alongside pressure from Adidas, Lululemon and other sportswear competitors. Nike remains the largest and most culturally powerful sportswear brand, but recent financial performance and channel shifts indicate that the company needs to strengthen its performance credibility, rebuild market momentum and improve the integration of product innovation, storytelling and omnichannel customer experience.</w:t>
      </w:r>
    </w:p>
    <w:p w14:paraId="643E5F8E"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The analysis finds that Nike’s marketing activities remain strong in brand salience, athlete endorsement, global reach and emotional storytelling. However, the current strategy has weaknesses. First, Nike’s performance positioning has been diluted by over-reliance on lifestyle products and digital commerce growth. Secondly, challenger brands have used focused running communities, specialist product credibility and selective distribution to gain momentum. Thirdly, Nike’s customer journey is not always sufficiently integrated across direct-to-consumer channels, wholesale partners, physical retail and community experiences. Although Nike’s “Win Now” and “Sport Offense” actions indicate a return to sport-led positioning, the marketing department must translate this into clearer category narratives, sharper differentiation and measurable customer value.</w:t>
      </w:r>
    </w:p>
    <w:p w14:paraId="47E4ADF1"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The report recommends that Nike develops a performance-first running and training positioning platform, strengthens omnichannel partnerships with specialist retailers, creates evidence-led product storytelling, builds local sport communities, and introduces a competitive positioning dashboard. These recommendations are designed to be realistic within Nike’s existing brand, product, retail and digital capabilities.</w:t>
      </w:r>
    </w:p>
    <w:p w14:paraId="2AF1CAD9"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br w:type="page"/>
      </w:r>
    </w:p>
    <w:p w14:paraId="18FFA793" w14:textId="77777777" w:rsidR="00546EFA" w:rsidRPr="00F726BF" w:rsidRDefault="00000000" w:rsidP="00F726BF">
      <w:pPr>
        <w:pStyle w:val="Heading1"/>
      </w:pPr>
      <w:bookmarkStart w:id="1" w:name="_Toc234597163"/>
      <w:r w:rsidRPr="00F726BF">
        <w:lastRenderedPageBreak/>
        <w:t>1. Introduction</w:t>
      </w:r>
      <w:bookmarkEnd w:id="1"/>
    </w:p>
    <w:p w14:paraId="22CC637C"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Nike, Inc. is one of the world’s most recognisable sportswear companies, with a brand built around athletic performance, emotional storytelling, elite sport, innovation and cultural influence. For decades, Nike has held a powerful competitive position because it has combined product credibility with symbolic brand meaning. However, the sportswear market has changed. Challenger brands such as On and HOKA have gained momentum by focusing on specialist running products, premium comfort, local communities and clear technical positioning. At the same time, Nike has faced pressure from weaker revenue performance, digital decline, marketplace complexity and criticism that the brand moved too far towards lifestyle-led volume rather than athlete-led product distinction.</w:t>
      </w:r>
    </w:p>
    <w:p w14:paraId="16113E8D"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This report focuses on competitive positioning as the key driver of marketing change for Nike. Competitive positioning refers to how a brand creates a distinctive and valued place in the mind of its target customers relative to competitors (Ries and Trout, 2001). For Nike, the current marketing challenge is not simply to remain famous. Nike is already highly salient. The deeper issue is whether the brand is still perceived as the most credible and desirable performance sportswear brand in categories such as running, training and specialist footwear. This issue is especially important for the marketing department because positioning affects target market selection, product communication, channel strategy, customer experience, campaign effectiveness and future growth.</w:t>
      </w:r>
    </w:p>
    <w:p w14:paraId="2E996B09"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The report critically evaluates Nike’s current marketing activity and considers how its future marketing plan could address competitive disruption. It applies relevant marketing and strategic concepts, including Porter’s Five Forces, resource-based view, differentiation, STP, brand equity, customer journey, omnichannel marketing and dynamic capabilities. These frameworks judge how effectively Nike’s marketing department supports the wider organisation, rather than merely describing Nike’s promotional campaigns.</w:t>
      </w:r>
    </w:p>
    <w:p w14:paraId="4EABFA81"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The analysis uses publicly available sources, including Nike’s annual and quarterly reporting, competitor statements, official innovation releases, industry reports and academic literature. A limitation is that Nike does not publish full internal category-level metrics, such as share of search, campaign conversion, community participation or customer perception data. Therefore, the report uses available evidence and reasoned judgement.</w:t>
      </w:r>
    </w:p>
    <w:p w14:paraId="36B61695" w14:textId="77777777" w:rsidR="00546EFA" w:rsidRPr="00F726BF" w:rsidRDefault="00000000" w:rsidP="00F726BF">
      <w:pPr>
        <w:pStyle w:val="Heading1"/>
      </w:pPr>
      <w:bookmarkStart w:id="2" w:name="_Toc234597164"/>
      <w:r w:rsidRPr="00F726BF">
        <w:lastRenderedPageBreak/>
        <w:t>2. Main Findings</w:t>
      </w:r>
      <w:bookmarkEnd w:id="2"/>
    </w:p>
    <w:p w14:paraId="028D254E" w14:textId="77777777" w:rsidR="00546EFA" w:rsidRPr="00F726BF" w:rsidRDefault="00000000" w:rsidP="00F726BF">
      <w:pPr>
        <w:pStyle w:val="Heading1"/>
      </w:pPr>
      <w:bookmarkStart w:id="3" w:name="_Toc234597165"/>
      <w:r w:rsidRPr="00F726BF">
        <w:t>2.1 Nike’s Competitive Context and Marketing Change Driver</w:t>
      </w:r>
      <w:bookmarkEnd w:id="3"/>
    </w:p>
    <w:p w14:paraId="7BDCC646"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Nike’s competitive positioning must be evaluated within a period of business reset. In fiscal 2025, Nike reported revenue of $46.3 billion, down 10 per cent on a reported basis. Nike Direct revenue declined by 13 per cent, Nike Brand Digital declined by 20 per cent, and demand creation expense increased by 9 per cent to $4.7 billion (Nike, Inc., 2025a). These figures indicate that Nike was spending more on brand and sports marketing while facing declining commercial performance. This creates a clear marketing problem: stronger spending alone does not guarantee stronger positioning if the brand narrative, product offer and marketplace experience are not sufficiently distinctive.</w:t>
      </w:r>
    </w:p>
    <w:p w14:paraId="5FAF5A53"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Nike’s management has recognised this issue through its “Win Now” actions and the later “Sport Offense”. In its FY2025 results, Nike stated that the next step was to align teams to “lead with sport” through the sport offense (Nike, Inc., 2025a). In 2025, Nike also announced a new innovation engine intended to accelerate athlete-centred innovation across Nike, Jordan Brand and Converse (Nike, Inc., 2025e). This suggests that Nike understands the need to return to product and sport credibility. From a change management perspective, this is a repositioning effort as much as an operational reset.</w:t>
      </w:r>
    </w:p>
    <w:p w14:paraId="65290C53"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The competitive pressure is visible in the growth of specialist brands. On reported 2024 net sales of CHF 2,318.3 million, representing 29.4 per cent growth on a reported basis and 33.2 per cent on a constant currency basis (On Holding AG, 2025). Deckers reported that HOKA net sales increased 23.6 per cent to $2.233 billion in fiscal 2025 (Deckers Brands, 2025). Although both brands remain much smaller than Nike, their growth is strategically important because they are competing in categories that Nike historically used to reinforce performance authority. They are not only selling shoes; they are reshaping customer expectations around comfort, technical focus and running community identity.</w:t>
      </w:r>
    </w:p>
    <w:p w14:paraId="72CAB4C0"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 xml:space="preserve">Porter’s (1980) framework suggests that industry rivalry increases when competitors differentiate strongly and target attractive segments. In Nike’s case, the threat is not that On or HOKA will immediately overtake Nike’s global scale. The threat is that they can capture cultural credibility in specific performance niches. This matters because performance credibility often functions as </w:t>
      </w:r>
      <w:r w:rsidRPr="00F726BF">
        <w:rPr>
          <w:rFonts w:ascii="Times New Roman" w:hAnsi="Times New Roman" w:cs="Times New Roman"/>
        </w:rPr>
        <w:lastRenderedPageBreak/>
        <w:t>the foundation for broader sportswear demand. If Nike loses perceived technical leadership in running or training, its wider lifestyle appeal may also weaken over time.</w:t>
      </w:r>
    </w:p>
    <w:p w14:paraId="65851977"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From a change management perspective, Nike’s sport-led reset requires both planned and emergent change. Kotter’s model is useful for creating urgency around digital decline, building cross-functional alignment and communicating a clear sport-first vision. However, Kotter alone is insufficient because competitor movement, channel performance and customer perceptions change continuously. Nike’s marketing department therefore also needs dynamic capabilities: ongoing market sensing, rapid learning and adjustment of category messaging, channel priorities and community activity.</w:t>
      </w:r>
    </w:p>
    <w:p w14:paraId="3E2EE3D7" w14:textId="77777777" w:rsidR="00546EFA" w:rsidRPr="00F726BF" w:rsidRDefault="00000000" w:rsidP="00F726BF">
      <w:pPr>
        <w:pStyle w:val="Heading1"/>
      </w:pPr>
      <w:bookmarkStart w:id="4" w:name="_Toc234597166"/>
      <w:r w:rsidRPr="00F726BF">
        <w:t>2.2 Macro and Micro Marketing Environment</w:t>
      </w:r>
      <w:bookmarkEnd w:id="4"/>
    </w:p>
    <w:p w14:paraId="27E78161"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Nike operates in a macro-environment shaped by economic uncertainty, changing consumer behaviour, digital channel pressure and rising expectations for product authenticity. The sporting goods industry is still attractive, but growth is uneven. McKinsey and the World Federation of the Sporting Goods Industry argue that sporting goods companies in 2025 face a “new balancing act”, including uncertain demand, polarised consumers and the need to find growth through sharper consumer understanding and operational discipline (McKinsey and WFSGI, 2025). This is relevant to Nike because broad brand awareness is no longer enough. Consumers increasingly compare performance claims, reviews, specialist communities and retail experiences before purchase.</w:t>
      </w:r>
    </w:p>
    <w:p w14:paraId="775B2AA5"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The micro-environment is especially challenging in performance footwear. Porter’s Five Forces can be applied here. Rivalry is high because Nike competes with global incumbents such as Adidas and Puma and fast-growing challengers such as On and HOKA. Buyer power is also increasing because consumers can compare prices, product reviews and expert running-shoe assessments online. The threat of substitutes is present through lifestyle footwear, gym-specific brands and wellness-oriented apparel. Supplier power is moderate because Nike has scale but also depends on complex manufacturing networks. Barriers to entry are relatively high in global sport, but challenger brands can still enter specific niches by focusing on design, community and premium pricing.</w:t>
      </w:r>
    </w:p>
    <w:p w14:paraId="7F7FF5EC"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lastRenderedPageBreak/>
        <w:t>Nike’s financial results show the importance of channel change. In Q1 fiscal 2026, Nike Direct revenue was down 4 per cent, while wholesale revenue increased by 7 per cent (Nike, Inc., 2025c). In Q2 fiscal 2026, Nike reported revenue of $12.4 billion, up 1 per cent on a reported basis, with wholesale revenue up 8 per cent and Nike Direct down 8 per cent (Nike, Inc., 2025d). In Q3 fiscal 2026, wholesale revenue was up 5 per cent, while Nike Direct was down 4 per cent and Nike Brand Digital was down 9 per cent (Nike, Inc., 2026a). These figures suggest that Nike’s earlier emphasis on direct-to-consumer and digital channels requires adjustment. A competitive positioning strategy must therefore consider not only messaging, but also where customers encounter, test and buy Nike products.</w:t>
      </w:r>
    </w:p>
    <w:p w14:paraId="6B0A53D8"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Omnichannel marketing is important because performance sportswear is both functional and experiential. Customers may discover products on social media, research expert reviews, try them in specialist stores, purchase through Nike.com or a retailer, and join sport communities after purchase. Verhoef et al. (2009) and Lemon and Verhoef (2016) show that customer experience is shaped across the whole journey. Nike’s weakness is not a lack of touchpoints, but inconsistency in expertise, convenience and sport authenticity.</w:t>
      </w:r>
    </w:p>
    <w:p w14:paraId="063F8214"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Nike’s environment therefore creates a strategic paradox. The company has enormous brand resources, but challengers can appear more focused and specialist. Aaker (1996) argues that strong brands require clear identity and consistent associations. Nike’s future marketing development should clarify the sport categories, customer segments and product benefits that will anchor competitive advantage.</w:t>
      </w:r>
    </w:p>
    <w:p w14:paraId="4D6DEF70" w14:textId="77777777" w:rsidR="00546EFA" w:rsidRPr="00F726BF" w:rsidRDefault="00000000" w:rsidP="00F726BF">
      <w:pPr>
        <w:pStyle w:val="Heading1"/>
      </w:pPr>
      <w:bookmarkStart w:id="5" w:name="_Toc234597167"/>
      <w:r w:rsidRPr="00F726BF">
        <w:t>2.3 Target Market, Segmentation and Positioning</w:t>
      </w:r>
      <w:bookmarkEnd w:id="5"/>
    </w:p>
    <w:p w14:paraId="0D87820B"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Nike’s target market is broad, but competitive positioning requires sharper segmentation. The company serves elite athletes, everyday runners, gym users, sneaker consumers, young lifestyle customers, women’s sport participants and global sports fans. From an STP perspective, the danger of such breadth is that Nike’s positioning can become too general. Kotler, Keller and Chernev (2022) argue that effective positioning depends on meaningful differentiation for selected target customers. If Nike’s marketing speaks mainly in broad emotional language, it may fail to answer the practical question that performance consumers ask: why is this Nike product better for this sport or this training need than competing alternatives?</w:t>
      </w:r>
    </w:p>
    <w:p w14:paraId="2294981F"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lastRenderedPageBreak/>
        <w:t>Running provides a useful example. Nike’s road running footwear lineup has been simplified around three benefit-led categories: Pegasus for responsive cushioning, Structure for supportive cushioning and Vomero for maximum cushioning (Nike, Inc., 2024). This is a positive marketing activity because it helps customers understand product choice more easily. It also responds to challenger brands that have built clear product associations around comfort, speed, cushioning and specialist running identity. However, simplification must be supported by credible evidence and repeated across channels. If consumers encounter strong technical explanation on one page but lifestyle-led messaging elsewhere, the positioning may become diluted.</w:t>
      </w:r>
    </w:p>
    <w:p w14:paraId="399C929D"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Nike’s performance target market should be divided into three groups: committed athletes who value credibility and marginal gains; serious everyday athletes who value comfort, durability and guidance; and sport-inspired lifestyle consumers who buy performance products partly for identity. These groups should be connected through sport credibility rather than treated as one broad audience.</w:t>
      </w:r>
    </w:p>
    <w:p w14:paraId="46B15119"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Keller’s (2013) customer-based brand equity model helps explain Nike’s challenge. Nike has exceptional brand salience and strong imagery, but performance positioning depends on maintaining product judgements and credibility. If consumers believe Nike is culturally powerful but technically less focused than On or HOKA, brand equity may remain high while purchase preference in performance categories weakens. This distinction is crucial. Nike does not have a brand awareness problem; it has a performance distinctiveness problem in selected categories.</w:t>
      </w:r>
    </w:p>
    <w:p w14:paraId="1B81118A"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The resource-based view also helps explain Nike’s potential advantage. Barney (1991) argues that sustainable competitive advantage depends on valuable, rare, imperfectly imitable and organised resources. Nike’s athlete relationships, sports research capability, brand heritage, global marketing reach and retail ecosystem are valuable resources. However, these resources must be organised effectively. Teece, Pisano and Shuen (1997) emphasise dynamic capabilities: the ability to integrate, build and reconfigure competences in changing environments. Nike’s “Sport Offense” can be interpreted as an attempt to reconfigure internal resources around athlete-centred innovation. Its success will depend on whether marketing turns this internal change into a visible customer value proposition.</w:t>
      </w:r>
    </w:p>
    <w:p w14:paraId="418A8C5C" w14:textId="77777777" w:rsidR="00546EFA" w:rsidRPr="00F726BF" w:rsidRDefault="00000000" w:rsidP="00F726BF">
      <w:pPr>
        <w:pStyle w:val="Heading1"/>
      </w:pPr>
      <w:bookmarkStart w:id="6" w:name="_Toc234597168"/>
      <w:r w:rsidRPr="00F726BF">
        <w:lastRenderedPageBreak/>
        <w:t>2.4 Evaluation of Nike’s Competitive Marketing Mix</w:t>
      </w:r>
      <w:bookmarkEnd w:id="6"/>
    </w:p>
    <w:p w14:paraId="7B378C38"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Nike’s product strategy remains a major source of strength. The company has a deep portfolio across running, basketball, football, training, sportswear and Jordan. Its innovation capability includes the Nike Sport Research Lab, performance materials, cushioning systems and athlete testing. Recent innovation announcements, including Project Amplify and the Nike Mind platform, show that Nike continues to explore advanced product concepts (Nike, Inc., 2025f; Nike, Inc., 2025g). These initiatives can support a performance-first marketing narrative. However, the marketing department must ensure that innovation stories are connected to current consumer needs rather than presented as distant technology spectacles.</w:t>
      </w:r>
    </w:p>
    <w:p w14:paraId="1D0B48A4"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The product weakness is not necessarily the absence of innovation, but the clarity of market translation. Prahalad and Hamel (1990) argue that core competences create advantage when they open access to markets and contribute to customer-perceived benefits. Nike’s research and athlete insight are core competences, but consumers need to understand their practical relevance. In running, for instance, Nike should explain how cushioning, stability, responsiveness and durability fit different runners rather than relying mainly on hero imagery or athlete association.</w:t>
      </w:r>
    </w:p>
    <w:p w14:paraId="54EE7EA3"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Price also affects competitive positioning. Nike’s premium pricing supports a high-value brand image, but premium positioning requires strong perceived superiority. Challenger brands such as On and HOKA also operate at premium price points, which means Nike cannot rely on premium price as a differentiator. Instead, Nike must justify price through performance proof, product experience and service. If customers perceive comparable or superior comfort from competitors, Nike’s premium may become less defensible.</w:t>
      </w:r>
    </w:p>
    <w:p w14:paraId="5C7D22DB"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Place is currently one of the most important elements of Nike’s marketing mix. Nike previously moved strongly towards direct-to-consumer channels, but recent results show renewed wholesale strength. This does not mean the DTC strategy was wrong. Direct channels give Nike data, margin and brand control. However, performance footwear often benefits from specialist retail advice, physical trial and trusted third-party recommendation. Nike’s future marketplace strategy should therefore move from a DTC-versus-wholesale mindset to an omnichannel value system. Chaffey and Ellis-Chadwick (2022) argue that digital marketing should integrate channels around customer needs. For Nike, this means using Nike-owned platforms for membership and storytelling while using specialist retail partners for trial, advice and community reach.</w:t>
      </w:r>
    </w:p>
    <w:p w14:paraId="47AF1E20"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lastRenderedPageBreak/>
        <w:t>Promotion remains Nike’s strongest marketing activity. Nike’s campaigns are emotionally powerful and often culturally distinctive. Fill and Turnbull (2019) note that effective marketing communications create meaning across paid, owned and earned touchpoints. Nike is highly capable in this respect. However, competitive positioning in performance categories requires more than emotional inspiration. It requires evidence-led product storytelling. The marketing department should combine athlete stories with product proof, expert testing, community participation and everyday athlete outcomes.</w:t>
      </w:r>
    </w:p>
    <w:p w14:paraId="2423810D"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The extended marketing mix also reveals improvement areas. Store staff, coaches, retail partners and digital service teams influence whether Nike feels credible to performance consumers. Product recommendation tools, fitting processes, returns, app interfaces and community events should all reinforce the same sport-centred positioning. Nike has the assets to lead across these touchpoints, but the experience must be more consistent.</w:t>
      </w:r>
    </w:p>
    <w:p w14:paraId="011A97E2" w14:textId="77777777" w:rsidR="00546EFA" w:rsidRPr="00F726BF" w:rsidRDefault="00000000" w:rsidP="00F726BF">
      <w:pPr>
        <w:pStyle w:val="Heading1"/>
      </w:pPr>
      <w:bookmarkStart w:id="7" w:name="_Toc234597169"/>
      <w:r w:rsidRPr="00F726BF">
        <w:t>2.5 Media Selection, Customer Journey and Campaign Effectiveness</w:t>
      </w:r>
      <w:bookmarkEnd w:id="7"/>
    </w:p>
    <w:p w14:paraId="74416981"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Nike’s media selection is broad and sophisticated. It uses global advertising, athlete partnerships, social media, Nike.com, Nike App, SNKRS, email, retail displays, events and earned media. This gives Nike enormous reach. However, competitive positioning is not determined by reach alone. Day (1994) argues that market-driven organisations need capabilities that link customer sensing, customer bonding and channel relationships. Nike has strong customer bonding through brand emotion, but its current challenge is to improve category-specific sensing and channel alignment.</w:t>
      </w:r>
    </w:p>
    <w:p w14:paraId="0C7960BF"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For performance sportswear, the customer journey is information-rich. A runner may see a Nike campaign, compare Nike shoes with On and HOKA through reviews, ask a local running shop for advice, try products in-store, check Nike’s app or website, and then join a running community. Each stage affects competitive perception. At the awareness stage, Nike’s emotional storytelling works well. At the consideration stage, the customer needs comparison, fit guidance and evidence. At the purchase stage, the customer needs confidence in channel availability and service. At the post-purchase stage, the customer needs community, support and reinforcement. Nike’s marketing activity should therefore be judged by journey coherence, not only campaign visibility.</w:t>
      </w:r>
    </w:p>
    <w:p w14:paraId="27812707"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lastRenderedPageBreak/>
        <w:t>Nike’s owned digital ecosystem is a strength, but recent digital decline indicates that digital channels need a clearer role. Nike Brand Digital declined by 20 per cent in fiscal 2025 (Nike, Inc., 2025a), and continued to decline in the first three quarters of fiscal 2026 (Nike, Inc., 2025c; Nike, Inc., 2025d; Nike, Inc., 2026a). This suggests that digital commerce should not be treated simply as a growth engine. It should be repositioned as a performance service platform. For example, Nike.com and the Nike App could provide shoe comparison, runner profiling, training plans, local event discovery and post-purchase support. This would turn digital from a transaction channel into a performance relationship channel.</w:t>
      </w:r>
    </w:p>
    <w:p w14:paraId="20C2EE65"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Wholesale and specialist retail partners also need renewed attention because performance customers often want physical product advice and trial. If Nike reduces wholesale too aggressively, it risks losing visibility where key decisions are made. If it relies too heavily on wholesale, it risks weakening direct relationships. The future plan should connect the two: customers should discover products through Nike content, try them through partners, register through membership and receive ongoing support.</w:t>
      </w:r>
    </w:p>
    <w:p w14:paraId="71404AAA"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Campaign effectiveness should also be measured differently. Nike should still track sales, traffic, conversion and engagement, but competitive positioning requires additional metrics. These include share of search in key sport categories, product consideration against On and HOKA, technical credibility scores, running community participation, specialist retailer feedback, product review sentiment and repeat purchase by sport segment. Without these measures, Nike may overestimate campaign success because broad brand engagement can hide weaker category preference.</w:t>
      </w:r>
    </w:p>
    <w:p w14:paraId="4A7D61E1" w14:textId="77777777" w:rsidR="00546EFA" w:rsidRPr="00F726BF" w:rsidRDefault="00000000" w:rsidP="00F726BF">
      <w:pPr>
        <w:pStyle w:val="Heading1"/>
      </w:pPr>
      <w:bookmarkStart w:id="8" w:name="_Toc234597170"/>
      <w:r w:rsidRPr="00F726BF">
        <w:t>2.6 Marketing Control, Metrics and Evidence Limitations</w:t>
      </w:r>
      <w:bookmarkEnd w:id="8"/>
    </w:p>
    <w:p w14:paraId="4720D3D2"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Marketing control is central to Nike’s future competitive positioning. Nike’s scale means that marketing activity occurs across regions, categories, channels and partners. This creates a risk of strategic inconsistency. A global brand campaign may emphasise sport, while some retail channels may still push discounts or lifestyle products. A product page may explain performance benefits, while social content may prioritise style. A wholesale partner may present Nike differently from Nike’s own channels. These differences are not always negative, but they must be governed by a clear positioning architecture.</w:t>
      </w:r>
    </w:p>
    <w:p w14:paraId="516B0C62"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lastRenderedPageBreak/>
        <w:t>Nike’s future marketing control should separate three levels of measurement. The first level is commercial performance, including revenue, margin, sell-through, inventory health and channel growth. The second is customer behaviour, including traffic, conversion, membership activity, repeat purchase and community participation. The third is positioning strength, including technical credibility, product consideration, brand distinctiveness and competitor comparison. This third level is hardest to measure but crucial for competitive positioning.</w:t>
      </w:r>
    </w:p>
    <w:p w14:paraId="12C6F76D"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There are limitations in the evidence available for this report. Publicly available sources show financial results, broad strategic statements and some innovation activity, but they do not reveal Nike’s internal customer perception data, category-level campaign ROI, product trial conversion or full wholesale partner feedback. Therefore, the report cannot prove exactly how Nike’s competitive positioning is changing in consumers’ minds. However, the combination of Nike’s revenue decline, digital weakness, wholesale recovery, challenger growth and sport-led strategic reset provides enough evidence to support a reasoned judgement: Nike’s marketing department needs to sharpen its performance positioning and rebuild category-level credibility through integrated omnichannel execution.</w:t>
      </w:r>
    </w:p>
    <w:p w14:paraId="760ED2AE"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The key issue is not that Nike lacks resources. It has brand power, product capability, athlete relationships, digital platforms and retail reach. The issue is whether these resources are aligned around a clear, customer-facing proposition when performance consumers compare products.</w:t>
      </w:r>
    </w:p>
    <w:p w14:paraId="31B5655B" w14:textId="77777777" w:rsidR="00546EFA" w:rsidRPr="00F726BF" w:rsidRDefault="00000000" w:rsidP="00F726BF">
      <w:pPr>
        <w:pStyle w:val="Heading1"/>
      </w:pPr>
      <w:bookmarkStart w:id="9" w:name="_Toc234597171"/>
      <w:r w:rsidRPr="00F726BF">
        <w:t>3. Conclusion</w:t>
      </w:r>
      <w:bookmarkEnd w:id="9"/>
    </w:p>
    <w:p w14:paraId="16FE2F8D"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Nike’s competitive positioning remains powerful but under pressure. The company continues to benefit from extraordinary brand salience, athlete endorsement, emotional storytelling, product heritage and global reach. Its marketing department has strong capabilities and significant resources. However, the analysis shows that Nike’s current marketing strategy has several shortcomings that must be addressed if the company is to defend its leadership in the performance sportswear market.</w:t>
      </w:r>
    </w:p>
    <w:p w14:paraId="3072DF62"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 xml:space="preserve">The first shortcoming is that Nike’s performance positioning has become less sharply differentiated in selected categories. Challenger brands such as On and HOKA are smaller, but they have built strong associations around running, comfort, premium performance and specialist credibility. Nike’s brand remains much larger, but size alone does not guarantee category </w:t>
      </w:r>
      <w:r w:rsidRPr="00F726BF">
        <w:rPr>
          <w:rFonts w:ascii="Times New Roman" w:hAnsi="Times New Roman" w:cs="Times New Roman"/>
        </w:rPr>
        <w:lastRenderedPageBreak/>
        <w:t>preference. The second shortcoming is that Nike’s channel strategy requires better balance. Recent results show weakness in Nike Direct and digital revenue alongside renewed wholesale strength. This suggests that customers still value physical retail, specialist advice and partner-led discovery. Nike’s future strategy should integrate direct and wholesale channels rather than treating them as competing routes to market.</w:t>
      </w:r>
    </w:p>
    <w:p w14:paraId="41F07E0E"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The third shortcoming is that Nike’s product innovation is not always translated into clear customer value. Nike has strong innovation capabilities, but performance consumers need practical evidence, comparison and guidance. A further weakness is that local sport community is not used strongly enough as competitive proof, while challenger brands can appear closer to specialist running communities. The fourth shortcoming is measurement. Nike’s marketing success should not be evaluated only through broad engagement or global sales. Competitive positioning requires specific measures of sport credibility, product consideration, share of search, specialist retail performance and customer journey quality.</w:t>
      </w:r>
    </w:p>
    <w:p w14:paraId="4220B58E"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Overall, Nike should not respond to competitive disruption by simply increasing advertising. The more appropriate response is to rebuild a sport-first positioning system that connects innovation, product storytelling, omnichannel experience and community participation, making performance expertise more visible to specific customer segments.</w:t>
      </w:r>
    </w:p>
    <w:p w14:paraId="7BE1D396" w14:textId="77777777" w:rsidR="00546EFA" w:rsidRPr="00F726BF" w:rsidRDefault="00000000" w:rsidP="00F726BF">
      <w:pPr>
        <w:pStyle w:val="Heading1"/>
      </w:pPr>
      <w:bookmarkStart w:id="10" w:name="_Toc234597172"/>
      <w:r w:rsidRPr="00F726BF">
        <w:t>4. Recommendations</w:t>
      </w:r>
      <w:bookmarkEnd w:id="10"/>
    </w:p>
    <w:p w14:paraId="217F1AE1" w14:textId="77777777" w:rsidR="00546EFA" w:rsidRPr="00F726BF" w:rsidRDefault="00000000" w:rsidP="00F726BF">
      <w:pPr>
        <w:pStyle w:val="Heading1"/>
      </w:pPr>
      <w:bookmarkStart w:id="11" w:name="_Toc234597173"/>
      <w:r w:rsidRPr="00F726BF">
        <w:t>4.1 Build a Performance-First Running and Training Positioning Platform</w:t>
      </w:r>
      <w:bookmarkEnd w:id="11"/>
    </w:p>
    <w:p w14:paraId="2436E71B"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Nike should develop a clearer performance-first positioning platform for running and training. This platform should focus on specific customer problems, such as cushioning, support, speed, durability, comfort and injury confidence. Instead of relying mainly on broad inspirational storytelling, Nike should combine athlete stories with product evidence and everyday athlete use cases. The existing Pegasus, Structure and Vomero categorisation provides a useful foundation, but it should be extended across product pages, retail displays, specialist retailer training, social content and Nike App guidance.</w:t>
      </w:r>
    </w:p>
    <w:p w14:paraId="694CC794"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 xml:space="preserve">This recommendation responds directly to the competitive threat from focused running brands. It is feasible because Nike already has product lines, athlete relationships and research capability. The main risk is that more technical communication could reduce Nike’s emotional simplicity. </w:t>
      </w:r>
      <w:r w:rsidRPr="00F726BF">
        <w:rPr>
          <w:rFonts w:ascii="Times New Roman" w:hAnsi="Times New Roman" w:cs="Times New Roman"/>
        </w:rPr>
        <w:lastRenderedPageBreak/>
        <w:t>This can be managed through a layered approach: simple benefit-led headlines for general consumers and deeper technical evidence for committed athletes. Suggested KPIs include running category consideration, share of search, product comparison conversion, review sentiment and sell-through of key performance franchises.</w:t>
      </w:r>
    </w:p>
    <w:p w14:paraId="419171A0" w14:textId="77777777" w:rsidR="00546EFA" w:rsidRPr="00F726BF" w:rsidRDefault="00000000" w:rsidP="00F726BF">
      <w:pPr>
        <w:pStyle w:val="Heading1"/>
      </w:pPr>
      <w:bookmarkStart w:id="12" w:name="_Toc234597174"/>
      <w:r w:rsidRPr="00F726BF">
        <w:t>4.2 Strengthen Omnichannel Partnerships with Specialist Retailers</w:t>
      </w:r>
      <w:bookmarkEnd w:id="12"/>
    </w:p>
    <w:p w14:paraId="03C0E072"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Nike should strengthen its omnichannel strategy by treating selected wholesale and specialist retail partners as positioning partners, not merely sales outlets. This means providing better staff training, exclusive product education, in-store trial events, local running activations and digital integration with Nike membership. A customer who tries a Nike shoe in a specialist store should be able to connect that experience to Nike’s digital ecosystem through product registration, training plans or local community invitations.</w:t>
      </w:r>
    </w:p>
    <w:p w14:paraId="196F164F"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This recommendation is commercially realistic because recent Nike results show renewed wholesale strength. It also recognises that performance customers often want advice and physical trial before purchase. The risk is reduced control over brand presentation, but this can be managed through partner guidelines, training and shared performance metrics. KPIs should include specialist retailer sell-through, trial-to-purchase conversion, partner satisfaction, membership sign-ups through retail partners and repeat purchase by sport category.</w:t>
      </w:r>
    </w:p>
    <w:p w14:paraId="55B7A492" w14:textId="77777777" w:rsidR="00546EFA" w:rsidRPr="00F726BF" w:rsidRDefault="00000000" w:rsidP="00F726BF">
      <w:pPr>
        <w:pStyle w:val="Heading1"/>
      </w:pPr>
      <w:bookmarkStart w:id="13" w:name="_Toc234597175"/>
      <w:r w:rsidRPr="00F726BF">
        <w:t>4.3 Create Evidence-Led Product Storytelling</w:t>
      </w:r>
      <w:bookmarkEnd w:id="13"/>
    </w:p>
    <w:p w14:paraId="01316702"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Nike should build a stronger evidence-led product storytelling system. Every major performance product launch should communicate three elements: the athlete problem, the technical solution and the customer proof. For example, a running shoe launch should explain which runner need it addresses, what technology supports the benefit and how the product was tested. This would make Nike’s innovation more understandable and more defensible against specialist competitors.</w:t>
      </w:r>
    </w:p>
    <w:p w14:paraId="5F4975C4"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The recommendation is feasible because Nike already has the Nike Sport Research Lab and athlete testing resources. The main change is marketing translation. Technical information should be simplified without becoming vague. This could be implemented through product comparison tools, short technical videos, retail cards, app-based fitting questions and expert content. KPIs should include product page dwell time, technical content engagement, comparison-tool conversion, return rate and customer confidence scores.</w:t>
      </w:r>
    </w:p>
    <w:p w14:paraId="2037C955" w14:textId="77777777" w:rsidR="00546EFA" w:rsidRPr="00F726BF" w:rsidRDefault="00000000" w:rsidP="00F726BF">
      <w:pPr>
        <w:pStyle w:val="Heading1"/>
      </w:pPr>
      <w:bookmarkStart w:id="14" w:name="_Toc234597176"/>
      <w:r w:rsidRPr="00F726BF">
        <w:lastRenderedPageBreak/>
        <w:t>4.4 Develop Local Sport Communities as Competitive Proof</w:t>
      </w:r>
      <w:bookmarkEnd w:id="14"/>
    </w:p>
    <w:p w14:paraId="17337AC1"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Nike should make local sport communities a more central part of competitive positioning. Running clubs, training sessions, women’s sport events, youth sport partnerships and race preparation programmes can turn brand claims into lived experience. This is important because On and HOKA have gained credibility partly through community presence and specialist sport identity. Nike has the scale to do this globally, but it should avoid a purely top-down campaign approach.</w:t>
      </w:r>
    </w:p>
    <w:p w14:paraId="2CF8EC6C"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This recommendation is feasible if Nike begins with priority cities and key sport categories. It could use Nike stores, wholesale partners, coaches and Nike Run Club infrastructure. The main risk is cost and inconsistent local execution. Nike should therefore set clear community standards and measure participation quality rather than only event numbers. KPIs should include attendance, repeat participation, community-led referrals, local market share, Nike membership growth and post-event purchase behaviour.</w:t>
      </w:r>
    </w:p>
    <w:p w14:paraId="6492A873" w14:textId="77777777" w:rsidR="00546EFA" w:rsidRPr="00F726BF" w:rsidRDefault="00000000" w:rsidP="00F726BF">
      <w:pPr>
        <w:pStyle w:val="Heading1"/>
      </w:pPr>
      <w:bookmarkStart w:id="15" w:name="_Toc234597177"/>
      <w:r w:rsidRPr="00F726BF">
        <w:t>4.5 Introduce a Competitive Positioning Dashboard</w:t>
      </w:r>
      <w:bookmarkEnd w:id="15"/>
    </w:p>
    <w:p w14:paraId="69552CF9"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Nike should create a competitive positioning dashboard for key performance categories. This dashboard should combine commercial, digital, retail and perception metrics. It should track revenue, margin, sell-through, share of search, product consideration against On and HOKA, technical credibility, specialist retail feedback, social review sentiment and community participation. The purpose is to show whether Nike is winning in the consumer’s mind, not only whether it is spending more on marketing.</w:t>
      </w:r>
    </w:p>
    <w:p w14:paraId="03AB4D90"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This recommendation is feasible because Nike already has advanced analytics and digital data capabilities. The main challenge is integrating data from wholesale partners and qualitative perception research. Nike can begin with pilot categories such as running and training before expanding the dashboard. The dashboard should be reviewed by marketing, product, retail and finance teams so that decisions are cross-functional. This would support dynamic capability by allowing Nike to sense market changes, respond quickly and reconfigure marketing activity where competitors are gaining credibility.</w:t>
      </w:r>
    </w:p>
    <w:p w14:paraId="5DCB3F83"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 xml:space="preserve">Implementation should be phased to protect feasibility. In the first six months, Nike should prioritise running and training, define the positioning architecture and create dashboard metrics. </w:t>
      </w:r>
      <w:r w:rsidRPr="00F726BF">
        <w:rPr>
          <w:rFonts w:ascii="Times New Roman" w:hAnsi="Times New Roman" w:cs="Times New Roman"/>
        </w:rPr>
        <w:lastRenderedPageBreak/>
        <w:t>In months 6-12, specialist retailer partnerships and local running events should be piloted in selected cities. From year two, successful pilots could be scaled using dashboard evidence to decide where investment should increase, change or stop.</w:t>
      </w:r>
    </w:p>
    <w:p w14:paraId="59507941" w14:textId="77777777" w:rsidR="00546EFA" w:rsidRPr="00F726BF" w:rsidRDefault="00000000" w:rsidP="00F726BF">
      <w:pPr>
        <w:pStyle w:val="Heading1"/>
      </w:pPr>
      <w:bookmarkStart w:id="16" w:name="_Toc234597178"/>
      <w:r w:rsidRPr="00F726BF">
        <w:t>References</w:t>
      </w:r>
      <w:bookmarkEnd w:id="16"/>
    </w:p>
    <w:p w14:paraId="7F488555" w14:textId="77777777"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Aaker, D.A. (1996) Building Strong Brands. New York: Free Press. URL: Not applicable. Accessed: Not applicable. DOI: Not applicable.</w:t>
      </w:r>
    </w:p>
    <w:p w14:paraId="6EBC6617" w14:textId="46B4DDD9" w:rsidR="00F726BF"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Barney, J. (1991) ‘Firm resources and sustained competitive advantage’, Journal of Management, 17(1), pp. 99-120. Available at: https://doi.org/10.1177/014920639101700108 </w:t>
      </w:r>
    </w:p>
    <w:p w14:paraId="77E72C69" w14:textId="4CA57851" w:rsidR="00546EFA"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Brodie, R.J., Hollebeek, L.D., Juric, B. and Ilic, A. (2011) ‘Customer engagement: Conceptual domain, fundamental propositions, and implications for research’, Journal of Service Research, 14(3), pp. 252-271. Available at: https://doi.org/10.1177/1094670511411703 </w:t>
      </w:r>
    </w:p>
    <w:p w14:paraId="7B513155" w14:textId="23AFB8FB" w:rsidR="00F726BF"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 xml:space="preserve">Cameron, E. and Green, M. (2015) Making Sense of Change Management: A Complete Guide to the Models, Tools and Techniques of Organisational Change. 4th edn. London: Kogan Page. </w:t>
      </w:r>
    </w:p>
    <w:p w14:paraId="5C28233C" w14:textId="74DE935F"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Chaffey, D. and Ellis-Chadwick, F. (2022) Digital Marketing: Strategy, Implementation and Practice. 8th edn. Harlow: Pearson. </w:t>
      </w:r>
    </w:p>
    <w:p w14:paraId="0ADCA891" w14:textId="19C88958"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Christensen, C.M., Raynor, M.E. and McDonald, R. (2015) ‘What is disruptive innovation?’, Harvard Business Review, 93(12), pp. 44-53. Available at: https://hbr.org/2015/12/what-is-disruptive-innovation </w:t>
      </w:r>
    </w:p>
    <w:p w14:paraId="4E3B6824" w14:textId="4CF578EA"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Day, G.S. (1994) ‘The capabilities of market-driven organizations’, Journal of Marketing, 58(4), pp. 37-52. Available at: https://doi.org/10.1177/002224299405800404 </w:t>
      </w:r>
    </w:p>
    <w:p w14:paraId="58170006" w14:textId="002C88B2"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Deckers Brands (2025) Deckers Brands reports fourth quarter and full fiscal year 2025 financial results. Available at: https://ir.deckers.com/news-events/press-releases/detail/229/deckers-brands-reports-fourth-quarter-and-full-fiscal-year-2025-financial-results </w:t>
      </w:r>
    </w:p>
    <w:p w14:paraId="0568C2F2" w14:textId="4784C66B"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Deloitte (2026) 2026 Global Sports Industry Outlook. Available at: https://www.deloitte.com/us/en/insights/industry/technology/technology-media-telecom-outlooks/sports-industry-outlook.html </w:t>
      </w:r>
    </w:p>
    <w:p w14:paraId="1F0B6C72" w14:textId="4BBCC1BA"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lastRenderedPageBreak/>
        <w:t xml:space="preserve">Edelman, D.C. and Singer, M. (2015) ‘Competing on customer journeys’, Harvard Business Review, 93(11), pp. 88-100. Available at: https://hbr.org/2015/11/competing-on-customer-journeys </w:t>
      </w:r>
    </w:p>
    <w:p w14:paraId="144C238A" w14:textId="5419F6CF"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Euromonitor International (2025) Nike Inc in Apparel and Footwear. Available at: https://www.euromonitor.com/nike-inc-in-apparel-and-footwear/report </w:t>
      </w:r>
    </w:p>
    <w:p w14:paraId="47FC1B9B" w14:textId="031E419D"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Fill, C. and Turnbull, S. (2019) Marketing Communications: Touchpoints, Sharing and Disruption. 8th edn. Harlow: Pearson. URL: Not applicable. </w:t>
      </w:r>
    </w:p>
    <w:p w14:paraId="2DBBE52C" w14:textId="3AC7D26B"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Hooley, G., Piercy, N., Nicoulaud, B. and Rudd, J. (2020) Marketing Strategy and Competitive Positioning. 7th edn. Harlow: Pearson. URL: Not applicable. </w:t>
      </w:r>
    </w:p>
    <w:p w14:paraId="1C5396FD" w14:textId="1EE0170F"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Keller, K.L. (2013) Strategic Brand Management: Building, Measuring, and Managing Brand Equity. 4th edn. Harlow: Pearson. URL: Not applicable. </w:t>
      </w:r>
    </w:p>
    <w:p w14:paraId="4DD41EC2" w14:textId="15E1702C"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Kotler, P., Keller, K.L. and Chernev, A. (2022) Marketing Management. 16th edn. Harlow: Pearson. URL: Not applicable. </w:t>
      </w:r>
    </w:p>
    <w:p w14:paraId="5DACD0D1" w14:textId="7AC8BCFC"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Lemon, K.N. and Verhoef, P.C. (2016) ‘Understanding customer experience throughout the customer journey’, Journal of Marketing, 80(6), pp. 69-96. Available at: https://doi.org/10.1509/jm.15.0420 </w:t>
      </w:r>
    </w:p>
    <w:p w14:paraId="49D3C1AF" w14:textId="020715E6"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Levitt, T. (1960) ‘Marketing myopia’, Harvard Business Review, 38(4), pp. 45-56. Available at: https://hbr.org/2004/07/marketing-myopia </w:t>
      </w:r>
    </w:p>
    <w:p w14:paraId="5BBA35A8" w14:textId="64DFBFE4"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McKinsey and World Federation of the Sporting Goods Industry (WFSGI) (2025) Sporting Goods 2025: The New Balancing Act - Turning Uncertainty into Opportunity. Available at: https://www.mckinsey.com/industries/retail/our-insights/sporting-goods-industry-trends </w:t>
      </w:r>
    </w:p>
    <w:p w14:paraId="11A95B21" w14:textId="76D17587"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Nike, Inc. (2024) Nike’s new road running footwear lineup delivers cushioning for every runner. Available at: https://about.nike.com/en/newsroom/releases/nike-road-running-footwear-lineup </w:t>
      </w:r>
    </w:p>
    <w:p w14:paraId="2919C673" w14:textId="5C96BBDF"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Nike, Inc. (2025a) NIKE, Inc. reports fiscal 2025 fourth quarter and full year results. Available at: https://investors.nike.com/investors/news-events-and-reports/investor-news/investor-news-details/2025/NIKE-Inc--Reports-Fiscal-2025-Fourth-Quarter-and-Full-Year-Results/default.aspx </w:t>
      </w:r>
    </w:p>
    <w:p w14:paraId="5CDEEBDD" w14:textId="1DB22F35"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lastRenderedPageBreak/>
        <w:t xml:space="preserve">Nike, Inc. (2025b) Form 10-K Annual Report 2025. Available at: https://www.sec.gov/Archives/edgar/data/320187/000032018725000047/nke-20250531.htm </w:t>
      </w:r>
    </w:p>
    <w:p w14:paraId="6F0B5F10" w14:textId="739F8FD0"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Nike, Inc. (2025c) NIKE, Inc. reports fiscal 2026 first quarter results. Available at: https://investors.nike.com/investors/news-events-and-reports/investor-news/investor-news-details/2025/NIKE-Inc--Reports-Fiscal-2026-First-Quarter-Results/default.aspx </w:t>
      </w:r>
    </w:p>
    <w:p w14:paraId="224AEA97" w14:textId="4B5D2249"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Nike, Inc. (2025d) NIKE, Inc. reports fiscal 2026 second quarter results. Available at: https://investors.nike.com/investors/news-events-and-reports/investor-news/investor-news-details/2025/NIKE-Inc--Reports-Fiscal-2026-Second-Quarter-Results/default.aspx </w:t>
      </w:r>
    </w:p>
    <w:p w14:paraId="2F166D69" w14:textId="4EF930CC"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Nike, Inc. (2025e) Nike creates </w:t>
      </w:r>
      <w:proofErr w:type="gramStart"/>
      <w:r w:rsidRPr="00F726BF">
        <w:rPr>
          <w:rFonts w:ascii="Times New Roman" w:hAnsi="Times New Roman" w:cs="Times New Roman"/>
        </w:rPr>
        <w:t>new innovation</w:t>
      </w:r>
      <w:proofErr w:type="gramEnd"/>
      <w:r w:rsidRPr="00F726BF">
        <w:rPr>
          <w:rFonts w:ascii="Times New Roman" w:hAnsi="Times New Roman" w:cs="Times New Roman"/>
        </w:rPr>
        <w:t xml:space="preserve"> engine to power athletes everywhere. Available at: https://about.nike.com/en/newsroom/releases/nike-new-innovation-engine-announcement.</w:t>
      </w:r>
    </w:p>
    <w:p w14:paraId="0A7024B9" w14:textId="48D1D9A0"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Nike, Inc. (2025f) Nike unveils Project Amplify, the world’s first powered footwear system for running and walking. Available at: https://about.nike.com/en/newsroom/releases/nike-project-amplify-official-images </w:t>
      </w:r>
    </w:p>
    <w:p w14:paraId="0B3D7CF1" w14:textId="3596AEF6"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Nike, Inc. (2025g) Nike debuts its first neuroscience-based footwear to help athletes feel calm, focused and present. Available at: https://about.nike.com/en-GB/newsroom/releases/nike-debuts-its-first-neuroscience-based-footwear-to-help-athletes-feel-calm-focused-and-present </w:t>
      </w:r>
    </w:p>
    <w:p w14:paraId="50EED1B6" w14:textId="7D27A90F"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Nike, Inc. (2026a) NIKE, Inc. reports fiscal 2026 third quarter results. Available at: https://investors.nike.com/investors/news-events-and-reports/investor-news/investor-news-details/2026/NIKE-Inc--Reports-Fiscal-2026-Third-Quarter-Results/default.aspx </w:t>
      </w:r>
    </w:p>
    <w:p w14:paraId="74F01ABD" w14:textId="758D90B8"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On Holding AG (2025) On announces fourth quarter and full year results and the filing of its annual report on Form 20-F for 2024. Available at: https://press.on-running.com/on-announces-fourth-quarter-and-full-year-results-and-the-filing-of-its-annual-report-on-form-20-f-for-2024 </w:t>
      </w:r>
    </w:p>
    <w:p w14:paraId="3A3ECCE1" w14:textId="3B0BF806"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Porter, M.E. (1980) Competitive Strategy: Techniques for Analysing Industries and Competitors. New York: Free Press. </w:t>
      </w:r>
    </w:p>
    <w:p w14:paraId="1646B61F" w14:textId="5536DEB0"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Porter, M.E. (1985) Competitive Advantage: Creating and Sustaining Superior Performance. New York: Free Press. </w:t>
      </w:r>
    </w:p>
    <w:p w14:paraId="31C589B2" w14:textId="3509DDFB"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lastRenderedPageBreak/>
        <w:t xml:space="preserve">Prahalad, C.K. and Hamel, G. (1990) ‘The core competence of the corporation’, Harvard Business Review, 68(3), pp. 79-91. Available at: https://hbr.org/1990/05/the-core-competence-of-the-corporation </w:t>
      </w:r>
    </w:p>
    <w:p w14:paraId="0240419E" w14:textId="5695AA11"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Ries, A. and Trout, J. (2001) Positioning: The Battle for Your Mind. 20th anniversary edn. New York: McGraw-Hill. </w:t>
      </w:r>
    </w:p>
    <w:p w14:paraId="7621F69A" w14:textId="0C0F8DA0"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Teece, D.J., Pisano, G. and Shuen, A. (1997) ‘Dynamic capabilities and strategic management’, Strategic Management Journal, 18(7), pp. 509-533. Available at: https://doi.org/10.1002/(SICI)1097-0266(199708)18:7%3C509::AID-SMJ882%3E3.0.CO;2-Z </w:t>
      </w:r>
    </w:p>
    <w:p w14:paraId="0FFE7899" w14:textId="4BB8E04E" w:rsidR="00546EFA" w:rsidRPr="00F726BF" w:rsidRDefault="00000000" w:rsidP="00F726BF">
      <w:pPr>
        <w:spacing w:line="360" w:lineRule="auto"/>
        <w:ind w:left="432" w:hanging="432"/>
        <w:rPr>
          <w:rFonts w:ascii="Times New Roman" w:hAnsi="Times New Roman" w:cs="Times New Roman"/>
        </w:rPr>
      </w:pPr>
      <w:r w:rsidRPr="00F726BF">
        <w:rPr>
          <w:rFonts w:ascii="Times New Roman" w:hAnsi="Times New Roman" w:cs="Times New Roman"/>
        </w:rPr>
        <w:t xml:space="preserve">Verhoef, P.C., Lemon, K.N., Parasuraman, A., Roggeveen, A., Tsiros, M. and Schlesinger, L.A. (2009) ‘Customer experience creation: determinants, dynamics and management strategies’, Journal of Retailing, 85(1), pp. 31-41. Available at: https://doi.org/10.1016/j.jretai.2008.11.001 </w:t>
      </w:r>
    </w:p>
    <w:p w14:paraId="3065395C"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br w:type="page"/>
      </w:r>
    </w:p>
    <w:p w14:paraId="3656459B" w14:textId="77777777" w:rsidR="00546EFA" w:rsidRPr="00F726BF" w:rsidRDefault="00000000" w:rsidP="00F726BF">
      <w:pPr>
        <w:pStyle w:val="Heading1"/>
      </w:pPr>
      <w:bookmarkStart w:id="17" w:name="_Toc234597179"/>
      <w:r w:rsidRPr="00F726BF">
        <w:lastRenderedPageBreak/>
        <w:t>Appendices</w:t>
      </w:r>
      <w:bookmarkEnd w:id="17"/>
    </w:p>
    <w:p w14:paraId="26B91437" w14:textId="77777777" w:rsidR="00546EFA" w:rsidRPr="00F726BF" w:rsidRDefault="00000000" w:rsidP="00F726BF">
      <w:pPr>
        <w:pStyle w:val="Heading1"/>
      </w:pPr>
      <w:bookmarkStart w:id="18" w:name="_Toc234597180"/>
      <w:r w:rsidRPr="00F726BF">
        <w:t>Appendix A: Suggested Competitive Positioning Dashboard</w:t>
      </w:r>
      <w:bookmarkEnd w:id="18"/>
    </w:p>
    <w:p w14:paraId="254951B5"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Commercial metrics: revenue, gross margin, category sell-through, inventory health and channel mix. Customer metrics: repeat purchase, product comparison conversion, Nike membership growth and community participation. Positioning metrics: share of search, technical credibility score, product consideration against On and HOKA, specialist retailer feedback and review sentiment.</w:t>
      </w:r>
    </w:p>
    <w:p w14:paraId="08D04A6C" w14:textId="77777777" w:rsidR="00546EFA" w:rsidRPr="00F726BF" w:rsidRDefault="00000000" w:rsidP="00F726BF">
      <w:pPr>
        <w:pStyle w:val="Heading1"/>
      </w:pPr>
      <w:bookmarkStart w:id="19" w:name="_Toc234597181"/>
      <w:r w:rsidRPr="00F726BF">
        <w:t>Appendix B: Example Product Storytelling Template</w:t>
      </w:r>
      <w:bookmarkEnd w:id="19"/>
    </w:p>
    <w:p w14:paraId="39C3D785"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1. Athlete problem: identify the sport-specific need. 2. Technical solution: explain the product technology in simple language. 3. Proof: provide testing evidence, athlete validation or customer-use evidence. 4. Journey link: connect the product to Nike App, retail trial and post-purchase support.</w:t>
      </w:r>
    </w:p>
    <w:p w14:paraId="292FCB54" w14:textId="77777777" w:rsidR="00546EFA" w:rsidRPr="00F726BF" w:rsidRDefault="00000000" w:rsidP="00F726BF">
      <w:pPr>
        <w:pStyle w:val="Heading1"/>
      </w:pPr>
      <w:bookmarkStart w:id="20" w:name="_Toc234597182"/>
      <w:r w:rsidRPr="00F726BF">
        <w:t>Appendix C: Omnichannel Implementation Priorities</w:t>
      </w:r>
      <w:bookmarkEnd w:id="20"/>
    </w:p>
    <w:p w14:paraId="29983055" w14:textId="77777777" w:rsidR="00546EFA" w:rsidRPr="00F726BF" w:rsidRDefault="00000000" w:rsidP="00F726BF">
      <w:pPr>
        <w:spacing w:line="360" w:lineRule="auto"/>
        <w:rPr>
          <w:rFonts w:ascii="Times New Roman" w:hAnsi="Times New Roman" w:cs="Times New Roman"/>
        </w:rPr>
      </w:pPr>
      <w:r w:rsidRPr="00F726BF">
        <w:rPr>
          <w:rFonts w:ascii="Times New Roman" w:hAnsi="Times New Roman" w:cs="Times New Roman"/>
        </w:rPr>
        <w:t>Priority 1: running and training categories. Priority 2: specialist retail and flagship store pilots. Priority 3: integration with Nike membership. Priority 4: measurement through a shared dashboard used by marketing, product, retail and finance teams.</w:t>
      </w:r>
    </w:p>
    <w:sectPr w:rsidR="00546EFA" w:rsidRPr="00F726BF" w:rsidSect="0003461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0FDF9F" w14:textId="77777777" w:rsidR="00B812D7" w:rsidRDefault="00B812D7">
      <w:pPr>
        <w:spacing w:after="0" w:line="240" w:lineRule="auto"/>
      </w:pPr>
      <w:r>
        <w:separator/>
      </w:r>
    </w:p>
  </w:endnote>
  <w:endnote w:type="continuationSeparator" w:id="0">
    <w:p w14:paraId="27E9744F" w14:textId="77777777" w:rsidR="00B812D7" w:rsidRDefault="00B81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altName w:val="Courier New"/>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87E385" w14:textId="77777777" w:rsidR="00546EFA" w:rsidRDefault="00000000">
    <w:pPr>
      <w:pStyle w:val="Footer"/>
      <w:jc w:val="center"/>
    </w:pPr>
    <w:r>
      <w:fldChar w:fldCharType="begin"/>
    </w:r>
    <w:r>
      <w:instrText>PAGE</w:instrText>
    </w:r>
    <w:r w:rsidR="00F726BF">
      <w:fldChar w:fldCharType="separate"/>
    </w:r>
    <w:r w:rsidR="00F726B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4A37C9" w14:textId="77777777" w:rsidR="00B812D7" w:rsidRDefault="00B812D7">
      <w:pPr>
        <w:spacing w:after="0" w:line="240" w:lineRule="auto"/>
      </w:pPr>
      <w:r>
        <w:separator/>
      </w:r>
    </w:p>
  </w:footnote>
  <w:footnote w:type="continuationSeparator" w:id="0">
    <w:p w14:paraId="5BEC31DF" w14:textId="77777777" w:rsidR="00B812D7" w:rsidRDefault="00B812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504276">
    <w:abstractNumId w:val="8"/>
  </w:num>
  <w:num w:numId="2" w16cid:durableId="2142922071">
    <w:abstractNumId w:val="6"/>
  </w:num>
  <w:num w:numId="3" w16cid:durableId="1727801781">
    <w:abstractNumId w:val="5"/>
  </w:num>
  <w:num w:numId="4" w16cid:durableId="2054117806">
    <w:abstractNumId w:val="4"/>
  </w:num>
  <w:num w:numId="5" w16cid:durableId="1497375564">
    <w:abstractNumId w:val="7"/>
  </w:num>
  <w:num w:numId="6" w16cid:durableId="491606141">
    <w:abstractNumId w:val="3"/>
  </w:num>
  <w:num w:numId="7" w16cid:durableId="1341859923">
    <w:abstractNumId w:val="2"/>
  </w:num>
  <w:num w:numId="8" w16cid:durableId="1310477166">
    <w:abstractNumId w:val="1"/>
  </w:num>
  <w:num w:numId="9" w16cid:durableId="1513564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546EFA"/>
    <w:rsid w:val="00AA1D8D"/>
    <w:rsid w:val="00B47730"/>
    <w:rsid w:val="00B812D7"/>
    <w:rsid w:val="00CB0664"/>
    <w:rsid w:val="00F726BF"/>
    <w:rsid w:val="00F84D2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6C49DE"/>
  <w14:defaultImageDpi w14:val="300"/>
  <w15:docId w15:val="{FB423DAB-CCE4-294F-B453-16F7D1C22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Calibri" w:eastAsia="Calibri" w:hAnsi="Calibri"/>
      <w:sz w:val="24"/>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4F81BD" w:themeColor="accent1"/>
      <w:sz w:val="28"/>
      <w:szCs w:val="26"/>
    </w:rPr>
  </w:style>
  <w:style w:type="paragraph" w:styleId="Heading3">
    <w:name w:val="heading 3"/>
    <w:basedOn w:val="Normal"/>
    <w:next w:val="Normal"/>
    <w:link w:val="Heading3Char"/>
    <w:uiPriority w:val="9"/>
    <w:unhideWhenUsed/>
    <w:qFormat/>
    <w:rsid w:val="00FC693F"/>
    <w:pPr>
      <w:keepNext/>
      <w:keepLines/>
      <w:spacing w:before="240"/>
      <w:outlineLvl w:val="2"/>
    </w:pPr>
    <w:rPr>
      <w:rFonts w:asciiTheme="majorHAnsi" w:eastAsiaTheme="majorEastAsia" w:hAnsiTheme="majorHAnsi" w:cstheme="majorBidi"/>
      <w:b/>
      <w:bCs/>
      <w:color w:val="4F81BD" w:themeColor="accent1"/>
      <w:sz w:val="28"/>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2">
    <w:name w:val="toc 2"/>
    <w:basedOn w:val="Normal"/>
    <w:next w:val="Normal"/>
    <w:autoRedefine/>
    <w:uiPriority w:val="39"/>
    <w:unhideWhenUsed/>
    <w:rsid w:val="00F726BF"/>
    <w:pPr>
      <w:spacing w:before="120" w:after="0"/>
      <w:ind w:left="240"/>
    </w:pPr>
    <w:rPr>
      <w:rFonts w:asciiTheme="minorHAnsi" w:hAnsiTheme="minorHAnsi"/>
      <w:b/>
      <w:bCs/>
      <w:sz w:val="22"/>
    </w:rPr>
  </w:style>
  <w:style w:type="paragraph" w:styleId="TOC1">
    <w:name w:val="toc 1"/>
    <w:basedOn w:val="Normal"/>
    <w:next w:val="Normal"/>
    <w:autoRedefine/>
    <w:uiPriority w:val="39"/>
    <w:unhideWhenUsed/>
    <w:rsid w:val="00F726BF"/>
    <w:pPr>
      <w:spacing w:before="120" w:after="0"/>
    </w:pPr>
    <w:rPr>
      <w:rFonts w:asciiTheme="minorHAnsi" w:hAnsiTheme="minorHAnsi"/>
      <w:b/>
      <w:bCs/>
      <w:i/>
      <w:iCs/>
      <w:szCs w:val="24"/>
    </w:rPr>
  </w:style>
  <w:style w:type="character" w:styleId="Hyperlink">
    <w:name w:val="Hyperlink"/>
    <w:basedOn w:val="DefaultParagraphFont"/>
    <w:uiPriority w:val="99"/>
    <w:unhideWhenUsed/>
    <w:rsid w:val="00F726BF"/>
    <w:rPr>
      <w:color w:val="0000FF" w:themeColor="hyperlink"/>
      <w:u w:val="single"/>
    </w:rPr>
  </w:style>
  <w:style w:type="paragraph" w:styleId="TOC3">
    <w:name w:val="toc 3"/>
    <w:basedOn w:val="Normal"/>
    <w:next w:val="Normal"/>
    <w:autoRedefine/>
    <w:uiPriority w:val="39"/>
    <w:semiHidden/>
    <w:unhideWhenUsed/>
    <w:rsid w:val="00F726BF"/>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F726BF"/>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F726BF"/>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F726BF"/>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F726BF"/>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F726BF"/>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F726BF"/>
    <w:pPr>
      <w:spacing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6288</Words>
  <Characters>35848</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42052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Laxmi Krushika Katukam (2510032)</cp:lastModifiedBy>
  <cp:revision>2</cp:revision>
  <dcterms:created xsi:type="dcterms:W3CDTF">2026-07-10T16:43:00Z</dcterms:created>
  <dcterms:modified xsi:type="dcterms:W3CDTF">2026-07-10T16:43:00Z</dcterms:modified>
  <cp:category/>
</cp:coreProperties>
</file>