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790DE6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90139">
              <w:rPr>
                <w:rFonts w:ascii="Times New Roman" w:hAnsi="Times New Roman" w:cs="Times New Roman"/>
                <w:b/>
                <w:color w:val="auto"/>
                <w:sz w:val="48"/>
              </w:rPr>
              <w:t>Carolanne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925D9F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490139">
              <w:rPr>
                <w:rFonts w:ascii="Times New Roman" w:hAnsi="Times New Roman" w:cs="Times New Roman"/>
                <w:b/>
                <w:color w:val="auto"/>
                <w:sz w:val="48"/>
              </w:rPr>
              <w:t>carolannejns@googlemail.com</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3E20440" w14:textId="77777777" w:rsidR="00490139"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490139">
              <w:rPr>
                <w:rFonts w:ascii="Times New Roman" w:hAnsi="Times New Roman" w:cs="Times New Roman"/>
                <w:b/>
                <w:color w:val="auto"/>
                <w:sz w:val="48"/>
              </w:rPr>
              <w:t xml:space="preserve"> </w:t>
            </w:r>
          </w:p>
          <w:p w14:paraId="0DE696B2" w14:textId="34C0CF6B" w:rsidR="00F927A1" w:rsidRPr="005D3F07" w:rsidRDefault="00490139"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2416352</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7E164774" w14:textId="4258270C" w:rsidR="00A22AF4" w:rsidRPr="00A22AF4" w:rsidRDefault="002A1A44" w:rsidP="00A22AF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01197E3" w14:textId="043364E5" w:rsidR="00A22AF4" w:rsidRPr="00A22AF4" w:rsidRDefault="00A22AF4" w:rsidP="0045055A">
      <w:pPr>
        <w:spacing w:before="240" w:after="60"/>
        <w:rPr>
          <w:sz w:val="24"/>
          <w:szCs w:val="24"/>
        </w:rPr>
      </w:pPr>
      <w:bookmarkStart w:id="0" w:name="_Hlk222830876"/>
      <w:r w:rsidRPr="00A22AF4">
        <w:rPr>
          <w:sz w:val="24"/>
          <w:szCs w:val="24"/>
        </w:rPr>
        <w:t xml:space="preserve">39 Essex Chambers (2024) </w:t>
      </w:r>
      <w:r w:rsidRPr="00A22AF4">
        <w:rPr>
          <w:i/>
          <w:iCs/>
          <w:sz w:val="24"/>
          <w:szCs w:val="24"/>
        </w:rPr>
        <w:t>Guidance Note: Using the Inherent Jurisdiction in Relation to Adults</w:t>
      </w:r>
      <w:r w:rsidRPr="00A22AF4">
        <w:rPr>
          <w:sz w:val="24"/>
          <w:szCs w:val="24"/>
        </w:rPr>
        <w:t>. May 2024. Available at: https://www.39essex.com/wp-content/uploads/2024/05/Mental-Capacity-Guidance-Note-Inherent-Jurisdiction-May-2024.pdf (Accessed: 23 February 2026).</w:t>
      </w:r>
    </w:p>
    <w:p w14:paraId="065D347B" w14:textId="3D65F6F7" w:rsidR="00A22AF4" w:rsidRPr="00A22AF4" w:rsidRDefault="00A22AF4" w:rsidP="0045055A">
      <w:pPr>
        <w:spacing w:before="240" w:after="60"/>
        <w:rPr>
          <w:sz w:val="24"/>
          <w:szCs w:val="24"/>
        </w:rPr>
      </w:pPr>
      <w:r w:rsidRPr="00A22AF4">
        <w:rPr>
          <w:sz w:val="24"/>
          <w:szCs w:val="24"/>
        </w:rPr>
        <w:t>Adult Support and Protection (Scotland) Act 2007, asp 10. Scottish Parliament. Available at: https://www.legislation.gov.uk/asp/2007/10/contents (Accessed: 24 February 2026).</w:t>
      </w:r>
    </w:p>
    <w:p w14:paraId="30C37043" w14:textId="22A21114" w:rsidR="00A22AF4" w:rsidRPr="00A22AF4" w:rsidRDefault="00A22AF4" w:rsidP="0045055A">
      <w:pPr>
        <w:spacing w:before="240" w:after="60"/>
        <w:rPr>
          <w:sz w:val="24"/>
          <w:szCs w:val="24"/>
        </w:rPr>
      </w:pPr>
      <w:r w:rsidRPr="00A22AF4">
        <w:rPr>
          <w:sz w:val="24"/>
          <w:szCs w:val="24"/>
        </w:rPr>
        <w:t xml:space="preserve">Age International (2023) </w:t>
      </w:r>
      <w:r w:rsidRPr="00A22AF4">
        <w:rPr>
          <w:i/>
          <w:iCs/>
          <w:sz w:val="24"/>
          <w:szCs w:val="24"/>
        </w:rPr>
        <w:t>A UN Convention on the Rights of Older People: Time for the UK to Lead</w:t>
      </w:r>
      <w:r w:rsidRPr="00A22AF4">
        <w:rPr>
          <w:sz w:val="24"/>
          <w:szCs w:val="24"/>
        </w:rPr>
        <w:t>. Available at: https://www.ageinternational.org.uk/siteassets/documents/a-un-convention-on-the-rights-of-older-people-time-for-the-UK-to-lead.pdf (Accessed: 24 February 2026).</w:t>
      </w:r>
    </w:p>
    <w:p w14:paraId="7C14923B" w14:textId="01F538D3" w:rsidR="00A22AF4" w:rsidRDefault="00A22AF4" w:rsidP="0045055A">
      <w:pPr>
        <w:spacing w:before="240" w:after="60"/>
        <w:rPr>
          <w:sz w:val="24"/>
          <w:szCs w:val="24"/>
        </w:rPr>
      </w:pPr>
      <w:proofErr w:type="spellStart"/>
      <w:r w:rsidRPr="00A22AF4">
        <w:rPr>
          <w:sz w:val="24"/>
          <w:szCs w:val="24"/>
        </w:rPr>
        <w:t>Alfandari</w:t>
      </w:r>
      <w:proofErr w:type="spellEnd"/>
      <w:r w:rsidRPr="00A22AF4">
        <w:rPr>
          <w:sz w:val="24"/>
          <w:szCs w:val="24"/>
        </w:rPr>
        <w:t xml:space="preserve">, R., et al. (2023) ‘Making sense of risk: Social work at the boundary between care and control’, </w:t>
      </w:r>
      <w:r w:rsidRPr="00A22AF4">
        <w:rPr>
          <w:i/>
          <w:iCs/>
          <w:sz w:val="24"/>
          <w:szCs w:val="24"/>
        </w:rPr>
        <w:t>Health, Risk &amp; Society</w:t>
      </w:r>
      <w:r w:rsidRPr="00A22AF4">
        <w:rPr>
          <w:sz w:val="24"/>
          <w:szCs w:val="24"/>
        </w:rPr>
        <w:t>, 25(1–2), pp. 75–92. doi:10.1080/13698575.2022.2147904.</w:t>
      </w:r>
    </w:p>
    <w:p w14:paraId="67AA475F" w14:textId="167C59CC" w:rsidR="0048640D" w:rsidRPr="00A22AF4" w:rsidRDefault="0048640D" w:rsidP="0045055A">
      <w:pPr>
        <w:spacing w:before="240" w:after="60"/>
        <w:rPr>
          <w:sz w:val="24"/>
          <w:szCs w:val="24"/>
        </w:rPr>
      </w:pPr>
      <w:r w:rsidRPr="00A22AF4">
        <w:rPr>
          <w:sz w:val="24"/>
          <w:szCs w:val="24"/>
        </w:rPr>
        <w:t xml:space="preserve">Allen, R., Carr, S., Linde, K. and Sewell, H. (2016) </w:t>
      </w:r>
      <w:r w:rsidRPr="00A22AF4">
        <w:rPr>
          <w:i/>
          <w:iCs/>
          <w:sz w:val="24"/>
          <w:szCs w:val="24"/>
        </w:rPr>
        <w:t>Making the difference together: Guidance on gathering and using feedback about the experience of social work from people who us</w:t>
      </w:r>
      <w:r w:rsidR="007F1199">
        <w:rPr>
          <w:i/>
          <w:iCs/>
          <w:sz w:val="24"/>
          <w:szCs w:val="24"/>
        </w:rPr>
        <w:t xml:space="preserve">ers </w:t>
      </w:r>
      <w:proofErr w:type="spellStart"/>
      <w:r w:rsidRPr="00A22AF4">
        <w:rPr>
          <w:i/>
          <w:iCs/>
          <w:sz w:val="24"/>
          <w:szCs w:val="24"/>
        </w:rPr>
        <w:t>servicesand</w:t>
      </w:r>
      <w:proofErr w:type="spellEnd"/>
      <w:r w:rsidRPr="00A22AF4">
        <w:rPr>
          <w:i/>
          <w:iCs/>
          <w:sz w:val="24"/>
          <w:szCs w:val="24"/>
        </w:rPr>
        <w:t xml:space="preserve"> their </w:t>
      </w:r>
      <w:proofErr w:type="spellStart"/>
      <w:r w:rsidRPr="00A22AF4">
        <w:rPr>
          <w:i/>
          <w:iCs/>
          <w:sz w:val="24"/>
          <w:szCs w:val="24"/>
        </w:rPr>
        <w:t>carers</w:t>
      </w:r>
      <w:proofErr w:type="spellEnd"/>
      <w:r w:rsidRPr="00A22AF4">
        <w:rPr>
          <w:i/>
          <w:iCs/>
          <w:sz w:val="24"/>
          <w:szCs w:val="24"/>
        </w:rPr>
        <w:t>.</w:t>
      </w:r>
      <w:r w:rsidRPr="00A22AF4">
        <w:rPr>
          <w:sz w:val="24"/>
          <w:szCs w:val="24"/>
        </w:rPr>
        <w:t xml:space="preserve"> Department of Health. Available at: [no URL supplied] (Accessed: 22 December 2025).</w:t>
      </w:r>
    </w:p>
    <w:p w14:paraId="3B33CD46" w14:textId="72C85AFD" w:rsidR="00A22AF4" w:rsidRPr="00A22AF4" w:rsidRDefault="00A22AF4" w:rsidP="0045055A">
      <w:pPr>
        <w:spacing w:before="240" w:after="60"/>
        <w:rPr>
          <w:b/>
          <w:bCs/>
          <w:sz w:val="24"/>
          <w:szCs w:val="24"/>
        </w:rPr>
      </w:pPr>
    </w:p>
    <w:p w14:paraId="4D56CA80" w14:textId="77777777" w:rsidR="00A22AF4" w:rsidRPr="00A22AF4" w:rsidRDefault="00A22AF4" w:rsidP="0045055A">
      <w:pPr>
        <w:spacing w:before="240" w:after="60"/>
        <w:rPr>
          <w:sz w:val="24"/>
          <w:szCs w:val="24"/>
        </w:rPr>
      </w:pPr>
      <w:r w:rsidRPr="00A22AF4">
        <w:rPr>
          <w:sz w:val="24"/>
          <w:szCs w:val="24"/>
        </w:rPr>
        <w:t>Bailey, A.W., Johann, J. and Kang, H.K. (2017) ‘Cognitive and physiological impacts of adventure activities: Beyond self</w:t>
      </w:r>
      <w:r w:rsidRPr="00A22AF4">
        <w:rPr>
          <w:sz w:val="24"/>
          <w:szCs w:val="24"/>
        </w:rPr>
        <w:noBreakHyphen/>
        <w:t xml:space="preserve">report data’, </w:t>
      </w:r>
      <w:r w:rsidRPr="00A22AF4">
        <w:rPr>
          <w:i/>
          <w:iCs/>
          <w:sz w:val="24"/>
          <w:szCs w:val="24"/>
        </w:rPr>
        <w:t>Journal of Experiential Education</w:t>
      </w:r>
      <w:r w:rsidRPr="00A22AF4">
        <w:rPr>
          <w:sz w:val="24"/>
          <w:szCs w:val="24"/>
        </w:rPr>
        <w:t>, 40(2), pp. 153–169. doi:10.1177/1053825917701250.</w:t>
      </w:r>
    </w:p>
    <w:p w14:paraId="15A362B3" w14:textId="3600A736" w:rsidR="00A22AF4" w:rsidRPr="00A22AF4" w:rsidRDefault="00A22AF4" w:rsidP="0045055A">
      <w:pPr>
        <w:spacing w:before="240" w:after="60"/>
        <w:rPr>
          <w:b/>
          <w:bCs/>
          <w:sz w:val="24"/>
          <w:szCs w:val="24"/>
        </w:rPr>
      </w:pPr>
    </w:p>
    <w:p w14:paraId="12801556" w14:textId="6BC1E99F" w:rsidR="00A22AF4" w:rsidRPr="00A22AF4" w:rsidRDefault="00A22AF4" w:rsidP="0045055A">
      <w:pPr>
        <w:spacing w:before="240" w:after="60"/>
        <w:rPr>
          <w:sz w:val="24"/>
          <w:szCs w:val="24"/>
        </w:rPr>
      </w:pPr>
      <w:r w:rsidRPr="00A22AF4">
        <w:rPr>
          <w:sz w:val="24"/>
          <w:szCs w:val="24"/>
        </w:rPr>
        <w:t xml:space="preserve">Banks, S. (2020) </w:t>
      </w:r>
      <w:r w:rsidRPr="00A22AF4">
        <w:rPr>
          <w:i/>
          <w:iCs/>
          <w:sz w:val="24"/>
          <w:szCs w:val="24"/>
        </w:rPr>
        <w:t>Ethics and values in social work</w:t>
      </w:r>
      <w:r w:rsidRPr="00A22AF4">
        <w:rPr>
          <w:sz w:val="24"/>
          <w:szCs w:val="24"/>
        </w:rPr>
        <w:t>. London: Bloomsbury Publishing.</w:t>
      </w:r>
    </w:p>
    <w:p w14:paraId="04D15117" w14:textId="55747076" w:rsidR="00A22AF4" w:rsidRPr="00A22AF4" w:rsidRDefault="00A22AF4" w:rsidP="0045055A">
      <w:pPr>
        <w:spacing w:before="240" w:after="60"/>
        <w:rPr>
          <w:sz w:val="24"/>
          <w:szCs w:val="24"/>
        </w:rPr>
      </w:pPr>
      <w:proofErr w:type="spellStart"/>
      <w:r w:rsidRPr="00A22AF4">
        <w:rPr>
          <w:sz w:val="24"/>
          <w:szCs w:val="24"/>
        </w:rPr>
        <w:t>Basseot</w:t>
      </w:r>
      <w:proofErr w:type="spellEnd"/>
      <w:r w:rsidRPr="00A22AF4">
        <w:rPr>
          <w:sz w:val="24"/>
          <w:szCs w:val="24"/>
        </w:rPr>
        <w:t xml:space="preserve">, B. (2024) </w:t>
      </w:r>
      <w:r w:rsidRPr="00A22AF4">
        <w:rPr>
          <w:i/>
          <w:iCs/>
          <w:sz w:val="24"/>
          <w:szCs w:val="24"/>
        </w:rPr>
        <w:t>The Reflective Journal</w:t>
      </w:r>
      <w:r w:rsidRPr="00A22AF4">
        <w:rPr>
          <w:sz w:val="24"/>
          <w:szCs w:val="24"/>
        </w:rPr>
        <w:t>. London: Bloomsbury Publishing.</w:t>
      </w:r>
    </w:p>
    <w:p w14:paraId="181D8AFD" w14:textId="51164B0B" w:rsidR="00A22AF4" w:rsidRPr="00A22AF4" w:rsidRDefault="00A22AF4" w:rsidP="0045055A">
      <w:pPr>
        <w:spacing w:before="240" w:after="60"/>
        <w:rPr>
          <w:sz w:val="24"/>
          <w:szCs w:val="24"/>
        </w:rPr>
      </w:pPr>
      <w:r w:rsidRPr="00A22AF4">
        <w:rPr>
          <w:sz w:val="24"/>
          <w:szCs w:val="24"/>
        </w:rPr>
        <w:t xml:space="preserve">British Association of Social Workers (2021) </w:t>
      </w:r>
      <w:r w:rsidRPr="00A22AF4">
        <w:rPr>
          <w:i/>
          <w:iCs/>
          <w:sz w:val="24"/>
          <w:szCs w:val="24"/>
        </w:rPr>
        <w:t>The BASW Code of Ethics for Social Work</w:t>
      </w:r>
      <w:r w:rsidRPr="00A22AF4">
        <w:rPr>
          <w:sz w:val="24"/>
          <w:szCs w:val="24"/>
        </w:rPr>
        <w:t>. Available at: https://new.basw.co.uk/sites/default/files/2024-04/basw-code-of-ethics.pdf (Accessed: 8 December 2025).</w:t>
      </w:r>
    </w:p>
    <w:p w14:paraId="37C85DA2" w14:textId="4FD2D0BB" w:rsidR="00A22AF4" w:rsidRPr="00A22AF4" w:rsidRDefault="00A22AF4" w:rsidP="0045055A">
      <w:pPr>
        <w:spacing w:before="240" w:after="60"/>
        <w:rPr>
          <w:sz w:val="24"/>
          <w:szCs w:val="24"/>
        </w:rPr>
      </w:pPr>
      <w:r w:rsidRPr="00A22AF4">
        <w:rPr>
          <w:sz w:val="24"/>
          <w:szCs w:val="24"/>
        </w:rPr>
        <w:t xml:space="preserve">British Association of Social Workers (2024) </w:t>
      </w:r>
      <w:r w:rsidRPr="00A22AF4">
        <w:rPr>
          <w:i/>
          <w:iCs/>
          <w:sz w:val="24"/>
          <w:szCs w:val="24"/>
        </w:rPr>
        <w:t>The BASW Code of Ethics for Social Work</w:t>
      </w:r>
      <w:r w:rsidRPr="00A22AF4">
        <w:rPr>
          <w:sz w:val="24"/>
          <w:szCs w:val="24"/>
        </w:rPr>
        <w:t>. Available at: https://basw.co.uk/sites/default/files/2024-04/basw-code-of-ethics.pdf (Accessed: 18 December 2025).</w:t>
      </w:r>
    </w:p>
    <w:p w14:paraId="1CBCDA8F" w14:textId="77777777" w:rsidR="00A22AF4" w:rsidRPr="00A22AF4" w:rsidRDefault="00A22AF4" w:rsidP="0045055A">
      <w:pPr>
        <w:spacing w:before="240" w:after="60"/>
        <w:rPr>
          <w:sz w:val="24"/>
          <w:szCs w:val="24"/>
        </w:rPr>
      </w:pPr>
      <w:r w:rsidRPr="00A22AF4">
        <w:rPr>
          <w:sz w:val="24"/>
          <w:szCs w:val="24"/>
        </w:rPr>
        <w:lastRenderedPageBreak/>
        <w:t xml:space="preserve">Bates, E.A., Taylor, J.C. and Harper, E.I. (2022) ‘Post separation experiences of abuse’, in Bates, E.A. and Taylor, J.C. (eds.) </w:t>
      </w:r>
      <w:r w:rsidRPr="00A22AF4">
        <w:rPr>
          <w:i/>
          <w:iCs/>
          <w:sz w:val="24"/>
          <w:szCs w:val="24"/>
        </w:rPr>
        <w:t>Domestic Violence Against Men and Boys: Experiences of Male Victims of Intimate Partner Violence</w:t>
      </w:r>
      <w:r w:rsidRPr="00A22AF4">
        <w:rPr>
          <w:sz w:val="24"/>
          <w:szCs w:val="24"/>
        </w:rPr>
        <w:t>. London: Routledge, chapter 6. Available at: https://doi.org/10.4324/9781003089612-7 (Accessed: 23 February 2026).</w:t>
      </w:r>
    </w:p>
    <w:p w14:paraId="2B2F27EF" w14:textId="77777777" w:rsidR="00A22AF4" w:rsidRPr="00A22AF4" w:rsidRDefault="00A22AF4" w:rsidP="0045055A">
      <w:pPr>
        <w:spacing w:before="240" w:after="60"/>
        <w:rPr>
          <w:sz w:val="24"/>
          <w:szCs w:val="24"/>
        </w:rPr>
      </w:pPr>
      <w:r w:rsidRPr="00A22AF4">
        <w:rPr>
          <w:sz w:val="24"/>
          <w:szCs w:val="24"/>
        </w:rPr>
        <w:t xml:space="preserve">Bodie, G.D., Vickery, A.J., Cannava, K. and Jones, S.M. (2015) ‘The role of “active listening” in informal helping conversations’, </w:t>
      </w:r>
      <w:r w:rsidRPr="00A22AF4">
        <w:rPr>
          <w:i/>
          <w:iCs/>
          <w:sz w:val="24"/>
          <w:szCs w:val="24"/>
        </w:rPr>
        <w:t>Western Journal of Communication</w:t>
      </w:r>
      <w:r w:rsidRPr="00A22AF4">
        <w:rPr>
          <w:sz w:val="24"/>
          <w:szCs w:val="24"/>
        </w:rPr>
        <w:t>, 79(2), pp. 151–173. doi:10.1080/10570314.2014.943429.</w:t>
      </w:r>
    </w:p>
    <w:p w14:paraId="044B5EAB" w14:textId="77777777" w:rsidR="00A22AF4" w:rsidRPr="00A22AF4" w:rsidRDefault="00A22AF4" w:rsidP="0045055A">
      <w:pPr>
        <w:spacing w:before="240" w:after="60"/>
        <w:rPr>
          <w:sz w:val="24"/>
          <w:szCs w:val="24"/>
        </w:rPr>
      </w:pPr>
      <w:r w:rsidRPr="00A22AF4">
        <w:rPr>
          <w:sz w:val="24"/>
          <w:szCs w:val="24"/>
        </w:rPr>
        <w:t xml:space="preserve">Bronfenbrenner, U. (1979) </w:t>
      </w:r>
      <w:r w:rsidRPr="00A22AF4">
        <w:rPr>
          <w:i/>
          <w:iCs/>
          <w:sz w:val="24"/>
          <w:szCs w:val="24"/>
        </w:rPr>
        <w:t>The ecology of human development: Experiments by nature and design</w:t>
      </w:r>
      <w:r w:rsidRPr="00A22AF4">
        <w:rPr>
          <w:sz w:val="24"/>
          <w:szCs w:val="24"/>
        </w:rPr>
        <w:t>. Cambridge, MA: Harvard University Press.</w:t>
      </w:r>
    </w:p>
    <w:p w14:paraId="4EBB0B54" w14:textId="77777777" w:rsidR="00A22AF4" w:rsidRPr="00A22AF4" w:rsidRDefault="00A22AF4" w:rsidP="0045055A">
      <w:pPr>
        <w:spacing w:before="240" w:after="60"/>
        <w:rPr>
          <w:sz w:val="24"/>
          <w:szCs w:val="24"/>
        </w:rPr>
      </w:pPr>
      <w:proofErr w:type="spellStart"/>
      <w:r w:rsidRPr="00A22AF4">
        <w:rPr>
          <w:sz w:val="24"/>
          <w:szCs w:val="24"/>
        </w:rPr>
        <w:t>Caiels</w:t>
      </w:r>
      <w:proofErr w:type="spellEnd"/>
      <w:r w:rsidRPr="00A22AF4">
        <w:rPr>
          <w:sz w:val="24"/>
          <w:szCs w:val="24"/>
        </w:rPr>
        <w:t xml:space="preserve">, J., </w:t>
      </w:r>
      <w:proofErr w:type="spellStart"/>
      <w:r w:rsidRPr="00A22AF4">
        <w:rPr>
          <w:sz w:val="24"/>
          <w:szCs w:val="24"/>
        </w:rPr>
        <w:t>Silarova</w:t>
      </w:r>
      <w:proofErr w:type="spellEnd"/>
      <w:r w:rsidRPr="00A22AF4">
        <w:rPr>
          <w:sz w:val="24"/>
          <w:szCs w:val="24"/>
        </w:rPr>
        <w:t>, B., Milne, A.J. and Beadle</w:t>
      </w:r>
      <w:r w:rsidRPr="00A22AF4">
        <w:rPr>
          <w:sz w:val="24"/>
          <w:szCs w:val="24"/>
        </w:rPr>
        <w:noBreakHyphen/>
        <w:t>Brown, J. (2024) ‘Strengths</w:t>
      </w:r>
      <w:r w:rsidRPr="00A22AF4">
        <w:rPr>
          <w:sz w:val="24"/>
          <w:szCs w:val="24"/>
        </w:rPr>
        <w:noBreakHyphen/>
        <w:t xml:space="preserve">based approaches—Perspectives from practitioners’, </w:t>
      </w:r>
      <w:r w:rsidRPr="00A22AF4">
        <w:rPr>
          <w:i/>
          <w:iCs/>
          <w:sz w:val="24"/>
          <w:szCs w:val="24"/>
        </w:rPr>
        <w:t>The British Journal of Social Work</w:t>
      </w:r>
      <w:r w:rsidRPr="00A22AF4">
        <w:rPr>
          <w:sz w:val="24"/>
          <w:szCs w:val="24"/>
        </w:rPr>
        <w:t>, 54(1), pp. 168–188. doi:10.1093/</w:t>
      </w:r>
      <w:proofErr w:type="spellStart"/>
      <w:r w:rsidRPr="00A22AF4">
        <w:rPr>
          <w:sz w:val="24"/>
          <w:szCs w:val="24"/>
        </w:rPr>
        <w:t>bjsw</w:t>
      </w:r>
      <w:proofErr w:type="spellEnd"/>
      <w:r w:rsidRPr="00A22AF4">
        <w:rPr>
          <w:sz w:val="24"/>
          <w:szCs w:val="24"/>
        </w:rPr>
        <w:t>/bcad186.</w:t>
      </w:r>
    </w:p>
    <w:p w14:paraId="5A42C194" w14:textId="77777777" w:rsidR="00A22AF4" w:rsidRPr="00A22AF4" w:rsidRDefault="00A22AF4" w:rsidP="0045055A">
      <w:pPr>
        <w:spacing w:before="240" w:after="60"/>
        <w:rPr>
          <w:sz w:val="24"/>
          <w:szCs w:val="24"/>
        </w:rPr>
      </w:pPr>
      <w:r w:rsidRPr="00A22AF4">
        <w:rPr>
          <w:sz w:val="24"/>
          <w:szCs w:val="24"/>
        </w:rPr>
        <w:t>Care Act 2014, c.23. United Kingdom: Parliament. Available at: https://www.legislation.gov.uk/ukpga/2014/23/contents (Accessed: 24 February 2026).</w:t>
      </w:r>
    </w:p>
    <w:p w14:paraId="5188CC10" w14:textId="77777777" w:rsidR="00A22AF4" w:rsidRPr="00A22AF4" w:rsidRDefault="00A22AF4" w:rsidP="0045055A">
      <w:pPr>
        <w:spacing w:before="240" w:after="60"/>
        <w:rPr>
          <w:sz w:val="24"/>
          <w:szCs w:val="24"/>
        </w:rPr>
      </w:pPr>
      <w:r w:rsidRPr="00A22AF4">
        <w:rPr>
          <w:sz w:val="24"/>
          <w:szCs w:val="24"/>
        </w:rPr>
        <w:t>Casey, S. and Powell, M.B. (2022) ‘Usefulness of an e</w:t>
      </w:r>
      <w:r w:rsidRPr="00A22AF4">
        <w:rPr>
          <w:sz w:val="24"/>
          <w:szCs w:val="24"/>
        </w:rPr>
        <w:noBreakHyphen/>
        <w:t xml:space="preserve">simulation in improving social work student knowledge’, </w:t>
      </w:r>
      <w:r w:rsidRPr="00A22AF4">
        <w:rPr>
          <w:i/>
          <w:iCs/>
          <w:sz w:val="24"/>
          <w:szCs w:val="24"/>
        </w:rPr>
        <w:t>Social Work Education</w:t>
      </w:r>
      <w:r w:rsidRPr="00A22AF4">
        <w:rPr>
          <w:sz w:val="24"/>
          <w:szCs w:val="24"/>
        </w:rPr>
        <w:t>, 41(6), pp. 1253–1271. doi:10.1080/02615479.2021.1948002.</w:t>
      </w:r>
    </w:p>
    <w:p w14:paraId="6C9D49DA" w14:textId="77777777" w:rsidR="00A22AF4" w:rsidRPr="00A22AF4" w:rsidRDefault="00A22AF4" w:rsidP="0045055A">
      <w:pPr>
        <w:spacing w:before="240" w:after="60"/>
        <w:rPr>
          <w:sz w:val="24"/>
          <w:szCs w:val="24"/>
        </w:rPr>
      </w:pPr>
      <w:proofErr w:type="spellStart"/>
      <w:r w:rsidRPr="00A22AF4">
        <w:rPr>
          <w:sz w:val="24"/>
          <w:szCs w:val="24"/>
        </w:rPr>
        <w:t>Coulshed</w:t>
      </w:r>
      <w:proofErr w:type="spellEnd"/>
      <w:r w:rsidRPr="00A22AF4">
        <w:rPr>
          <w:sz w:val="24"/>
          <w:szCs w:val="24"/>
        </w:rPr>
        <w:t xml:space="preserve">, V. and Orme, J. (2012) </w:t>
      </w:r>
      <w:r w:rsidRPr="00A22AF4">
        <w:rPr>
          <w:i/>
          <w:iCs/>
          <w:sz w:val="24"/>
          <w:szCs w:val="24"/>
        </w:rPr>
        <w:t>Social Work Practice</w:t>
      </w:r>
      <w:r w:rsidRPr="00A22AF4">
        <w:rPr>
          <w:sz w:val="24"/>
          <w:szCs w:val="24"/>
        </w:rPr>
        <w:t xml:space="preserve">. 5th </w:t>
      </w:r>
      <w:proofErr w:type="spellStart"/>
      <w:r w:rsidRPr="00A22AF4">
        <w:rPr>
          <w:sz w:val="24"/>
          <w:szCs w:val="24"/>
        </w:rPr>
        <w:t>edn</w:t>
      </w:r>
      <w:proofErr w:type="spellEnd"/>
      <w:r w:rsidRPr="00A22AF4">
        <w:rPr>
          <w:sz w:val="24"/>
          <w:szCs w:val="24"/>
        </w:rPr>
        <w:t>. Basingstoke: Palgrave Macmillan.</w:t>
      </w:r>
    </w:p>
    <w:p w14:paraId="1C92EC2C" w14:textId="77777777" w:rsidR="00A22AF4" w:rsidRPr="00A22AF4" w:rsidRDefault="00A22AF4" w:rsidP="0045055A">
      <w:pPr>
        <w:spacing w:before="240" w:after="60"/>
        <w:rPr>
          <w:sz w:val="24"/>
          <w:szCs w:val="24"/>
        </w:rPr>
      </w:pPr>
      <w:r w:rsidRPr="00A22AF4">
        <w:rPr>
          <w:sz w:val="24"/>
          <w:szCs w:val="24"/>
        </w:rPr>
        <w:t xml:space="preserve">Council of Europe (1950) </w:t>
      </w:r>
      <w:r w:rsidRPr="00A22AF4">
        <w:rPr>
          <w:i/>
          <w:iCs/>
          <w:sz w:val="24"/>
          <w:szCs w:val="24"/>
        </w:rPr>
        <w:t>European Convention on Human Rights (ETS No. 005)</w:t>
      </w:r>
      <w:r w:rsidRPr="00A22AF4">
        <w:rPr>
          <w:sz w:val="24"/>
          <w:szCs w:val="24"/>
        </w:rPr>
        <w:t>. Available at: https://www.refworld.org/legal/agreements/coe/1950/en/18688 (Accessed: 24 February 2026).</w:t>
      </w:r>
    </w:p>
    <w:p w14:paraId="677AE3A8" w14:textId="77777777" w:rsidR="00CA77AB" w:rsidRDefault="00CA77AB" w:rsidP="0045055A">
      <w:pPr>
        <w:spacing w:before="240" w:after="60"/>
        <w:rPr>
          <w:sz w:val="24"/>
          <w:szCs w:val="24"/>
        </w:rPr>
      </w:pPr>
      <w:r w:rsidRPr="00CA77AB">
        <w:rPr>
          <w:sz w:val="24"/>
          <w:szCs w:val="24"/>
        </w:rPr>
        <w:t xml:space="preserve">Dalrymple, J. and Boylan, J. (2013) </w:t>
      </w:r>
      <w:r w:rsidRPr="00CA77AB">
        <w:rPr>
          <w:i/>
          <w:iCs/>
          <w:sz w:val="24"/>
          <w:szCs w:val="24"/>
        </w:rPr>
        <w:t>Effective Advocacy in Social Work</w:t>
      </w:r>
      <w:r w:rsidRPr="00CA77AB">
        <w:rPr>
          <w:sz w:val="24"/>
          <w:szCs w:val="24"/>
        </w:rPr>
        <w:t>. London: Sage.</w:t>
      </w:r>
    </w:p>
    <w:p w14:paraId="4EC687E4" w14:textId="77777777" w:rsidR="00326D13" w:rsidRPr="00326D13" w:rsidRDefault="00326D13" w:rsidP="0045055A">
      <w:pPr>
        <w:rPr>
          <w:sz w:val="24"/>
          <w:szCs w:val="24"/>
        </w:rPr>
      </w:pPr>
      <w:r w:rsidRPr="00326D13">
        <w:rPr>
          <w:sz w:val="24"/>
          <w:szCs w:val="24"/>
        </w:rPr>
        <w:t>Department of Families, Fairness and Housing (DFFH) (2022) Framework for Trauma Informed Practice: Supporting Children, Young People and Their Families. Victorian Government, Melbourne. Available   at: https://www.dffh.vic.gov.au/sites/default/files/documents/202302/Framework-for-trauma-informed-practice.pdf (Accessed: 24 February 2026).</w:t>
      </w:r>
    </w:p>
    <w:p w14:paraId="0CC29A99" w14:textId="77777777" w:rsidR="00326D13" w:rsidRPr="00CA77AB" w:rsidRDefault="00326D13" w:rsidP="0045055A">
      <w:pPr>
        <w:spacing w:before="240" w:after="60"/>
        <w:rPr>
          <w:sz w:val="24"/>
          <w:szCs w:val="24"/>
        </w:rPr>
      </w:pPr>
    </w:p>
    <w:p w14:paraId="76AFFABF" w14:textId="77777777" w:rsidR="00CA77AB" w:rsidRPr="00CA77AB" w:rsidRDefault="00CA77AB" w:rsidP="0045055A">
      <w:pPr>
        <w:spacing w:before="240" w:after="60"/>
        <w:rPr>
          <w:sz w:val="24"/>
          <w:szCs w:val="24"/>
        </w:rPr>
      </w:pPr>
      <w:r w:rsidRPr="00CA77AB">
        <w:rPr>
          <w:sz w:val="24"/>
          <w:szCs w:val="24"/>
        </w:rPr>
        <w:t xml:space="preserve">Dixon, J. (2023) </w:t>
      </w:r>
      <w:r w:rsidRPr="00CA77AB">
        <w:rPr>
          <w:i/>
          <w:iCs/>
          <w:sz w:val="24"/>
          <w:szCs w:val="24"/>
        </w:rPr>
        <w:t>Adult Safeguarding Observed: How Social Workers Assess and Manage Risk and Uncertainty</w:t>
      </w:r>
      <w:r w:rsidRPr="00CA77AB">
        <w:rPr>
          <w:sz w:val="24"/>
          <w:szCs w:val="24"/>
        </w:rPr>
        <w:t>. Bristol: Policy Press.</w:t>
      </w:r>
    </w:p>
    <w:p w14:paraId="583357D0" w14:textId="77777777" w:rsidR="00CA77AB" w:rsidRPr="00CA77AB" w:rsidRDefault="00CA77AB" w:rsidP="0045055A">
      <w:pPr>
        <w:spacing w:before="240" w:after="60"/>
        <w:rPr>
          <w:sz w:val="24"/>
          <w:szCs w:val="24"/>
        </w:rPr>
      </w:pPr>
      <w:r w:rsidRPr="00CA77AB">
        <w:rPr>
          <w:sz w:val="24"/>
          <w:szCs w:val="24"/>
        </w:rPr>
        <w:t>Domestic Abuse Act 2021, c.17. United Kingdom: Parliament. Available at: https://www.legislation.gov.uk/ukpga/2021/17/contents (Accessed: 24 February 2026).</w:t>
      </w:r>
    </w:p>
    <w:p w14:paraId="44BCAC17" w14:textId="77777777" w:rsidR="00CA77AB" w:rsidRPr="00CA77AB" w:rsidRDefault="00CA77AB" w:rsidP="0045055A">
      <w:pPr>
        <w:spacing w:before="240" w:after="60"/>
        <w:rPr>
          <w:sz w:val="24"/>
          <w:szCs w:val="24"/>
        </w:rPr>
      </w:pPr>
      <w:r w:rsidRPr="00CA77AB">
        <w:rPr>
          <w:sz w:val="24"/>
          <w:szCs w:val="24"/>
        </w:rPr>
        <w:lastRenderedPageBreak/>
        <w:t xml:space="preserve">Fitzgerald, P. and </w:t>
      </w:r>
      <w:proofErr w:type="spellStart"/>
      <w:r w:rsidRPr="00CA77AB">
        <w:rPr>
          <w:sz w:val="24"/>
          <w:szCs w:val="24"/>
        </w:rPr>
        <w:t>Leudar</w:t>
      </w:r>
      <w:proofErr w:type="spellEnd"/>
      <w:r w:rsidRPr="00CA77AB">
        <w:rPr>
          <w:sz w:val="24"/>
          <w:szCs w:val="24"/>
        </w:rPr>
        <w:t>, I. (2010) ‘On active listening in person</w:t>
      </w:r>
      <w:r w:rsidRPr="00CA77AB">
        <w:rPr>
          <w:sz w:val="24"/>
          <w:szCs w:val="24"/>
        </w:rPr>
        <w:noBreakHyphen/>
        <w:t>centred, solution</w:t>
      </w:r>
      <w:r w:rsidRPr="00CA77AB">
        <w:rPr>
          <w:sz w:val="24"/>
          <w:szCs w:val="24"/>
        </w:rPr>
        <w:noBreakHyphen/>
        <w:t xml:space="preserve">focused psychotherapy’, </w:t>
      </w:r>
      <w:r w:rsidRPr="00CA77AB">
        <w:rPr>
          <w:i/>
          <w:iCs/>
          <w:sz w:val="24"/>
          <w:szCs w:val="24"/>
        </w:rPr>
        <w:t>Journal of Pragmatics</w:t>
      </w:r>
      <w:r w:rsidRPr="00CA77AB">
        <w:rPr>
          <w:sz w:val="24"/>
          <w:szCs w:val="24"/>
        </w:rPr>
        <w:t>, 42(12), pp. 3188–3198.</w:t>
      </w:r>
    </w:p>
    <w:p w14:paraId="1522CCEB" w14:textId="77777777" w:rsidR="00CA77AB" w:rsidRPr="00CA77AB" w:rsidRDefault="00CA77AB" w:rsidP="0045055A">
      <w:pPr>
        <w:spacing w:before="240" w:after="60"/>
        <w:rPr>
          <w:sz w:val="24"/>
          <w:szCs w:val="24"/>
        </w:rPr>
      </w:pPr>
      <w:r w:rsidRPr="00CA77AB">
        <w:rPr>
          <w:sz w:val="24"/>
          <w:szCs w:val="24"/>
        </w:rPr>
        <w:t xml:space="preserve">Friedman, B.D. and Allen, K.N. (2011) ‘Systems theory’, </w:t>
      </w:r>
      <w:r w:rsidRPr="00CA77AB">
        <w:rPr>
          <w:i/>
          <w:iCs/>
          <w:sz w:val="24"/>
          <w:szCs w:val="24"/>
        </w:rPr>
        <w:t>Theory &amp; Practice in Clinical Social Work</w:t>
      </w:r>
      <w:r w:rsidRPr="00CA77AB">
        <w:rPr>
          <w:sz w:val="24"/>
          <w:szCs w:val="24"/>
        </w:rPr>
        <w:t>, 2(3), pp. 3–20.</w:t>
      </w:r>
    </w:p>
    <w:p w14:paraId="731C0FB0" w14:textId="77777777" w:rsidR="00CA77AB" w:rsidRPr="00CA77AB" w:rsidRDefault="00CA77AB" w:rsidP="0045055A">
      <w:pPr>
        <w:spacing w:before="240" w:after="60"/>
        <w:rPr>
          <w:sz w:val="24"/>
          <w:szCs w:val="24"/>
        </w:rPr>
      </w:pPr>
      <w:r w:rsidRPr="00CA77AB">
        <w:rPr>
          <w:sz w:val="24"/>
          <w:szCs w:val="24"/>
        </w:rPr>
        <w:t xml:space="preserve">Gibbs, G. (1988) </w:t>
      </w:r>
      <w:r w:rsidRPr="00CA77AB">
        <w:rPr>
          <w:i/>
          <w:iCs/>
          <w:sz w:val="24"/>
          <w:szCs w:val="24"/>
        </w:rPr>
        <w:t>Learning by Doing: A Guide to Teaching and Learning Methods</w:t>
      </w:r>
      <w:r w:rsidRPr="00CA77AB">
        <w:rPr>
          <w:sz w:val="24"/>
          <w:szCs w:val="24"/>
        </w:rPr>
        <w:t>. Oxford: Further Education Unit, Oxford Polytechnic.</w:t>
      </w:r>
    </w:p>
    <w:p w14:paraId="1692B53F" w14:textId="77777777" w:rsidR="00CA77AB" w:rsidRPr="00CA77AB" w:rsidRDefault="00CA77AB" w:rsidP="0045055A">
      <w:pPr>
        <w:spacing w:before="240" w:after="60"/>
        <w:rPr>
          <w:sz w:val="24"/>
          <w:szCs w:val="24"/>
        </w:rPr>
      </w:pPr>
      <w:r w:rsidRPr="00CA77AB">
        <w:rPr>
          <w:sz w:val="24"/>
          <w:szCs w:val="24"/>
        </w:rPr>
        <w:t>Graham</w:t>
      </w:r>
      <w:r w:rsidRPr="00CA77AB">
        <w:rPr>
          <w:sz w:val="24"/>
          <w:szCs w:val="24"/>
        </w:rPr>
        <w:noBreakHyphen/>
        <w:t xml:space="preserve">Kevan, N. and Powney, D. (2022) ‘In their own words: The impact of intimate partner violence and coercive control on male victims’, in </w:t>
      </w:r>
      <w:r w:rsidRPr="00CA77AB">
        <w:rPr>
          <w:i/>
          <w:iCs/>
          <w:sz w:val="24"/>
          <w:szCs w:val="24"/>
        </w:rPr>
        <w:t>Domestic Violence Against Men and Boys</w:t>
      </w:r>
      <w:r w:rsidRPr="00CA77AB">
        <w:rPr>
          <w:sz w:val="24"/>
          <w:szCs w:val="24"/>
        </w:rPr>
        <w:t xml:space="preserve">. 1st </w:t>
      </w:r>
      <w:proofErr w:type="spellStart"/>
      <w:r w:rsidRPr="00CA77AB">
        <w:rPr>
          <w:sz w:val="24"/>
          <w:szCs w:val="24"/>
        </w:rPr>
        <w:t>edn</w:t>
      </w:r>
      <w:proofErr w:type="spellEnd"/>
      <w:r w:rsidRPr="00CA77AB">
        <w:rPr>
          <w:sz w:val="24"/>
          <w:szCs w:val="24"/>
        </w:rPr>
        <w:t>. London: Routledge, pp. 21–40.</w:t>
      </w:r>
    </w:p>
    <w:p w14:paraId="153FF15B" w14:textId="77777777" w:rsidR="00CA77AB" w:rsidRPr="00CA77AB" w:rsidRDefault="00CA77AB" w:rsidP="0045055A">
      <w:pPr>
        <w:spacing w:before="240" w:after="60"/>
        <w:rPr>
          <w:sz w:val="24"/>
          <w:szCs w:val="24"/>
        </w:rPr>
      </w:pPr>
      <w:r w:rsidRPr="00CA77AB">
        <w:rPr>
          <w:sz w:val="24"/>
          <w:szCs w:val="24"/>
        </w:rPr>
        <w:t xml:space="preserve">Green, L. (2016) </w:t>
      </w:r>
      <w:r w:rsidRPr="00CA77AB">
        <w:rPr>
          <w:i/>
          <w:iCs/>
          <w:sz w:val="24"/>
          <w:szCs w:val="24"/>
        </w:rPr>
        <w:t>Understanding the Life Course: Sociological and Psychological Perspectives</w:t>
      </w:r>
      <w:r w:rsidRPr="00CA77AB">
        <w:rPr>
          <w:sz w:val="24"/>
          <w:szCs w:val="24"/>
        </w:rPr>
        <w:t>. Chichester: John Wiley &amp; Sons.</w:t>
      </w:r>
    </w:p>
    <w:p w14:paraId="511ADDC4" w14:textId="77777777" w:rsidR="00CA77AB" w:rsidRPr="00CA77AB" w:rsidRDefault="00CA77AB" w:rsidP="0045055A">
      <w:pPr>
        <w:spacing w:before="240" w:after="60"/>
        <w:rPr>
          <w:sz w:val="24"/>
          <w:szCs w:val="24"/>
        </w:rPr>
      </w:pPr>
      <w:r w:rsidRPr="00CA77AB">
        <w:rPr>
          <w:sz w:val="24"/>
          <w:szCs w:val="24"/>
        </w:rPr>
        <w:t xml:space="preserve">Hagan, L.M. (2012) ‘Fostering experiential learning and service through client projects in online graduate business courses’, </w:t>
      </w:r>
      <w:r w:rsidRPr="00CA77AB">
        <w:rPr>
          <w:i/>
          <w:iCs/>
          <w:sz w:val="24"/>
          <w:szCs w:val="24"/>
        </w:rPr>
        <w:t>American Journal of Business Education</w:t>
      </w:r>
      <w:r w:rsidRPr="00CA77AB">
        <w:rPr>
          <w:sz w:val="24"/>
          <w:szCs w:val="24"/>
        </w:rPr>
        <w:t>, 5(5), pp. 623–632. doi:10.19030/</w:t>
      </w:r>
      <w:proofErr w:type="gramStart"/>
      <w:r w:rsidRPr="00CA77AB">
        <w:rPr>
          <w:sz w:val="24"/>
          <w:szCs w:val="24"/>
        </w:rPr>
        <w:t>ajbe.v</w:t>
      </w:r>
      <w:proofErr w:type="gramEnd"/>
      <w:r w:rsidRPr="00CA77AB">
        <w:rPr>
          <w:sz w:val="24"/>
          <w:szCs w:val="24"/>
        </w:rPr>
        <w:t>5i5.7220.</w:t>
      </w:r>
    </w:p>
    <w:p w14:paraId="0EBA7A67" w14:textId="77777777" w:rsidR="00CA77AB" w:rsidRPr="00CA77AB" w:rsidRDefault="00CA77AB" w:rsidP="0045055A">
      <w:pPr>
        <w:spacing w:before="240" w:after="60"/>
        <w:rPr>
          <w:sz w:val="24"/>
          <w:szCs w:val="24"/>
        </w:rPr>
      </w:pPr>
      <w:r w:rsidRPr="00CA77AB">
        <w:rPr>
          <w:sz w:val="24"/>
          <w:szCs w:val="24"/>
        </w:rPr>
        <w:t>Helm, D. (2022) ‘Theorising social work sense</w:t>
      </w:r>
      <w:r w:rsidRPr="00CA77AB">
        <w:rPr>
          <w:sz w:val="24"/>
          <w:szCs w:val="24"/>
        </w:rPr>
        <w:noBreakHyphen/>
        <w:t>making: Developing a model of peer</w:t>
      </w:r>
      <w:r w:rsidRPr="00CA77AB">
        <w:rPr>
          <w:sz w:val="24"/>
          <w:szCs w:val="24"/>
        </w:rPr>
        <w:noBreakHyphen/>
        <w:t xml:space="preserve">aided judgement and decision making’, </w:t>
      </w:r>
      <w:r w:rsidRPr="00CA77AB">
        <w:rPr>
          <w:i/>
          <w:iCs/>
          <w:sz w:val="24"/>
          <w:szCs w:val="24"/>
        </w:rPr>
        <w:t>The British Journal of Social Work</w:t>
      </w:r>
      <w:r w:rsidRPr="00CA77AB">
        <w:rPr>
          <w:sz w:val="24"/>
          <w:szCs w:val="24"/>
        </w:rPr>
        <w:t>, 52(4), pp. 2329–2347. doi:10.1093/</w:t>
      </w:r>
      <w:proofErr w:type="spellStart"/>
      <w:r w:rsidRPr="00CA77AB">
        <w:rPr>
          <w:sz w:val="24"/>
          <w:szCs w:val="24"/>
        </w:rPr>
        <w:t>bjsw</w:t>
      </w:r>
      <w:proofErr w:type="spellEnd"/>
      <w:r w:rsidRPr="00CA77AB">
        <w:rPr>
          <w:sz w:val="24"/>
          <w:szCs w:val="24"/>
        </w:rPr>
        <w:t>/bcab178.</w:t>
      </w:r>
    </w:p>
    <w:p w14:paraId="22F67EDC" w14:textId="77777777" w:rsidR="00CA77AB" w:rsidRPr="00CA77AB" w:rsidRDefault="00CA77AB" w:rsidP="0045055A">
      <w:pPr>
        <w:spacing w:before="240" w:after="60"/>
        <w:rPr>
          <w:sz w:val="24"/>
          <w:szCs w:val="24"/>
        </w:rPr>
      </w:pPr>
      <w:r w:rsidRPr="00CA77AB">
        <w:rPr>
          <w:sz w:val="24"/>
          <w:szCs w:val="24"/>
        </w:rPr>
        <w:t xml:space="preserve">Herland, M.D. (2021) ‘Emotional intelligence as a part of critical reflection in social work practice and research’, </w:t>
      </w:r>
      <w:r w:rsidRPr="00CA77AB">
        <w:rPr>
          <w:i/>
          <w:iCs/>
          <w:sz w:val="24"/>
          <w:szCs w:val="24"/>
        </w:rPr>
        <w:t>Qualitative Social Work</w:t>
      </w:r>
      <w:r w:rsidRPr="00CA77AB">
        <w:rPr>
          <w:sz w:val="24"/>
          <w:szCs w:val="24"/>
        </w:rPr>
        <w:t>, 21(4), pp. 662–678. doi:10.1177/14733250211024734.</w:t>
      </w:r>
    </w:p>
    <w:p w14:paraId="656D95A9" w14:textId="77777777" w:rsidR="00CA77AB" w:rsidRPr="00CA77AB" w:rsidRDefault="00CA77AB" w:rsidP="0045055A">
      <w:pPr>
        <w:spacing w:before="240" w:after="60"/>
        <w:rPr>
          <w:sz w:val="24"/>
          <w:szCs w:val="24"/>
        </w:rPr>
      </w:pPr>
      <w:r w:rsidRPr="00CA77AB">
        <w:rPr>
          <w:sz w:val="24"/>
          <w:szCs w:val="24"/>
        </w:rPr>
        <w:t xml:space="preserve">Howe, D. et al. (2018) </w:t>
      </w:r>
      <w:r w:rsidRPr="00CA77AB">
        <w:rPr>
          <w:i/>
          <w:iCs/>
          <w:sz w:val="24"/>
          <w:szCs w:val="24"/>
        </w:rPr>
        <w:t>Relationship</w:t>
      </w:r>
      <w:r w:rsidRPr="00CA77AB">
        <w:rPr>
          <w:i/>
          <w:iCs/>
          <w:sz w:val="24"/>
          <w:szCs w:val="24"/>
        </w:rPr>
        <w:noBreakHyphen/>
        <w:t>Based Social Work: Getting to the Heart of Practice</w:t>
      </w:r>
      <w:r w:rsidRPr="00CA77AB">
        <w:rPr>
          <w:sz w:val="24"/>
          <w:szCs w:val="24"/>
        </w:rPr>
        <w:t>. London: Jessica Kingsley Publishers.</w:t>
      </w:r>
    </w:p>
    <w:p w14:paraId="38136922" w14:textId="77777777" w:rsidR="00CA77AB" w:rsidRPr="00CA77AB" w:rsidRDefault="00CA77AB" w:rsidP="0045055A">
      <w:pPr>
        <w:spacing w:before="240" w:after="60"/>
        <w:rPr>
          <w:sz w:val="24"/>
          <w:szCs w:val="24"/>
        </w:rPr>
      </w:pPr>
      <w:r w:rsidRPr="00CA77AB">
        <w:rPr>
          <w:sz w:val="24"/>
          <w:szCs w:val="24"/>
        </w:rPr>
        <w:t>Human Rights Act 1998 (c. 42). United Kingdom: Parliament. Available at: https://www.legislation.gov.uk/ukpga/1998/42 (Accessed: 24 February 2026).</w:t>
      </w:r>
    </w:p>
    <w:p w14:paraId="5BB5170A" w14:textId="77777777" w:rsidR="00CA77AB" w:rsidRPr="00CA77AB" w:rsidRDefault="00CA77AB" w:rsidP="0045055A">
      <w:pPr>
        <w:spacing w:before="240" w:after="60"/>
        <w:rPr>
          <w:sz w:val="24"/>
          <w:szCs w:val="24"/>
        </w:rPr>
      </w:pPr>
      <w:r w:rsidRPr="00CA77AB">
        <w:rPr>
          <w:sz w:val="24"/>
          <w:szCs w:val="24"/>
        </w:rPr>
        <w:t xml:space="preserve">Hunt, S.J. (2017) </w:t>
      </w:r>
      <w:r w:rsidRPr="00CA77AB">
        <w:rPr>
          <w:i/>
          <w:iCs/>
          <w:sz w:val="24"/>
          <w:szCs w:val="24"/>
        </w:rPr>
        <w:t>The Life Course: A Sociological Introduction</w:t>
      </w:r>
      <w:r w:rsidRPr="00CA77AB">
        <w:rPr>
          <w:sz w:val="24"/>
          <w:szCs w:val="24"/>
        </w:rPr>
        <w:t>. London: Bloomsbury Publishing.</w:t>
      </w:r>
    </w:p>
    <w:p w14:paraId="4D41C4BB" w14:textId="77777777" w:rsidR="00CA77AB" w:rsidRPr="00CA77AB" w:rsidRDefault="00CA77AB" w:rsidP="0045055A">
      <w:pPr>
        <w:spacing w:before="240" w:after="60"/>
        <w:rPr>
          <w:sz w:val="24"/>
          <w:szCs w:val="24"/>
        </w:rPr>
      </w:pPr>
      <w:r w:rsidRPr="00CA77AB">
        <w:rPr>
          <w:sz w:val="24"/>
          <w:szCs w:val="24"/>
        </w:rPr>
        <w:t xml:space="preserve">Hutchison, E.D. (2019) ‘An update on the relevance of the life course perspective for social work’, </w:t>
      </w:r>
      <w:r w:rsidRPr="00CA77AB">
        <w:rPr>
          <w:i/>
          <w:iCs/>
          <w:sz w:val="24"/>
          <w:szCs w:val="24"/>
        </w:rPr>
        <w:t>Families in Society</w:t>
      </w:r>
      <w:r w:rsidRPr="00CA77AB">
        <w:rPr>
          <w:sz w:val="24"/>
          <w:szCs w:val="24"/>
        </w:rPr>
        <w:t>, 100(4), pp. 351–366. doi:10.1177/1044389419873240.</w:t>
      </w:r>
    </w:p>
    <w:p w14:paraId="6F251B90" w14:textId="77777777" w:rsidR="00CA77AB" w:rsidRPr="00CA77AB" w:rsidRDefault="00CA77AB" w:rsidP="0045055A">
      <w:pPr>
        <w:spacing w:before="240" w:after="60"/>
        <w:rPr>
          <w:sz w:val="24"/>
          <w:szCs w:val="24"/>
        </w:rPr>
      </w:pPr>
      <w:r w:rsidRPr="00CA77AB">
        <w:rPr>
          <w:sz w:val="24"/>
          <w:szCs w:val="24"/>
        </w:rPr>
        <w:t xml:space="preserve">Hutchison, E.D. (2019) </w:t>
      </w:r>
      <w:r w:rsidRPr="00CA77AB">
        <w:rPr>
          <w:i/>
          <w:iCs/>
          <w:sz w:val="24"/>
          <w:szCs w:val="24"/>
        </w:rPr>
        <w:t xml:space="preserve">Dimensions of Human </w:t>
      </w:r>
      <w:proofErr w:type="spellStart"/>
      <w:r w:rsidRPr="00CA77AB">
        <w:rPr>
          <w:i/>
          <w:iCs/>
          <w:sz w:val="24"/>
          <w:szCs w:val="24"/>
        </w:rPr>
        <w:t>Behavior</w:t>
      </w:r>
      <w:proofErr w:type="spellEnd"/>
      <w:r w:rsidRPr="00CA77AB">
        <w:rPr>
          <w:i/>
          <w:iCs/>
          <w:sz w:val="24"/>
          <w:szCs w:val="24"/>
        </w:rPr>
        <w:t>: The Changing Life Course</w:t>
      </w:r>
      <w:r w:rsidRPr="00CA77AB">
        <w:rPr>
          <w:sz w:val="24"/>
          <w:szCs w:val="24"/>
        </w:rPr>
        <w:t xml:space="preserve">. 7th </w:t>
      </w:r>
      <w:proofErr w:type="spellStart"/>
      <w:r w:rsidRPr="00CA77AB">
        <w:rPr>
          <w:sz w:val="24"/>
          <w:szCs w:val="24"/>
        </w:rPr>
        <w:t>edn</w:t>
      </w:r>
      <w:proofErr w:type="spellEnd"/>
      <w:r w:rsidRPr="00CA77AB">
        <w:rPr>
          <w:sz w:val="24"/>
          <w:szCs w:val="24"/>
        </w:rPr>
        <w:t>. Thousand Oaks, CA: Sage.</w:t>
      </w:r>
    </w:p>
    <w:p w14:paraId="7D9F5726" w14:textId="77777777" w:rsidR="00CA77AB" w:rsidRPr="00CA77AB" w:rsidRDefault="00CA77AB" w:rsidP="0045055A">
      <w:pPr>
        <w:spacing w:before="240" w:after="60"/>
        <w:rPr>
          <w:sz w:val="24"/>
          <w:szCs w:val="24"/>
        </w:rPr>
      </w:pPr>
      <w:r w:rsidRPr="00CA77AB">
        <w:rPr>
          <w:sz w:val="24"/>
          <w:szCs w:val="24"/>
        </w:rPr>
        <w:t>Levenson, J. (2017) ‘Trauma</w:t>
      </w:r>
      <w:r w:rsidRPr="00CA77AB">
        <w:rPr>
          <w:sz w:val="24"/>
          <w:szCs w:val="24"/>
        </w:rPr>
        <w:noBreakHyphen/>
        <w:t xml:space="preserve">informed social work practice’, </w:t>
      </w:r>
      <w:r w:rsidRPr="00CA77AB">
        <w:rPr>
          <w:i/>
          <w:iCs/>
          <w:sz w:val="24"/>
          <w:szCs w:val="24"/>
        </w:rPr>
        <w:t>Social Work</w:t>
      </w:r>
      <w:r w:rsidRPr="00CA77AB">
        <w:rPr>
          <w:sz w:val="24"/>
          <w:szCs w:val="24"/>
        </w:rPr>
        <w:t>, 62(2), pp. 105–113. doi:10.1093/</w:t>
      </w:r>
      <w:proofErr w:type="spellStart"/>
      <w:r w:rsidRPr="00CA77AB">
        <w:rPr>
          <w:sz w:val="24"/>
          <w:szCs w:val="24"/>
        </w:rPr>
        <w:t>sw</w:t>
      </w:r>
      <w:proofErr w:type="spellEnd"/>
      <w:r w:rsidRPr="00CA77AB">
        <w:rPr>
          <w:sz w:val="24"/>
          <w:szCs w:val="24"/>
        </w:rPr>
        <w:t>/swx001 (Accessed: 24 February 2026).</w:t>
      </w:r>
    </w:p>
    <w:p w14:paraId="64DF461D" w14:textId="77777777" w:rsidR="00CA77AB" w:rsidRPr="00CA77AB" w:rsidRDefault="00CA77AB" w:rsidP="0045055A">
      <w:pPr>
        <w:spacing w:before="240" w:after="60"/>
        <w:rPr>
          <w:sz w:val="24"/>
          <w:szCs w:val="24"/>
        </w:rPr>
      </w:pPr>
      <w:proofErr w:type="spellStart"/>
      <w:r w:rsidRPr="00CA77AB">
        <w:rPr>
          <w:sz w:val="24"/>
          <w:szCs w:val="24"/>
        </w:rPr>
        <w:lastRenderedPageBreak/>
        <w:t>Kemshall</w:t>
      </w:r>
      <w:proofErr w:type="spellEnd"/>
      <w:r w:rsidRPr="00CA77AB">
        <w:rPr>
          <w:sz w:val="24"/>
          <w:szCs w:val="24"/>
        </w:rPr>
        <w:t xml:space="preserve">, H., Wilkinson, B. and Baker, K. (2013) </w:t>
      </w:r>
      <w:r w:rsidRPr="00CA77AB">
        <w:rPr>
          <w:i/>
          <w:iCs/>
          <w:sz w:val="24"/>
          <w:szCs w:val="24"/>
        </w:rPr>
        <w:t>Working with Risk: Skills for Contemporary Social Work</w:t>
      </w:r>
      <w:r w:rsidRPr="00CA77AB">
        <w:rPr>
          <w:sz w:val="24"/>
          <w:szCs w:val="24"/>
        </w:rPr>
        <w:t>. Cambridge: Polity.</w:t>
      </w:r>
    </w:p>
    <w:p w14:paraId="6491A35F" w14:textId="77777777" w:rsidR="00CA77AB" w:rsidRPr="00CA77AB" w:rsidRDefault="00CA77AB" w:rsidP="0045055A">
      <w:pPr>
        <w:spacing w:before="240" w:after="60"/>
        <w:rPr>
          <w:sz w:val="24"/>
          <w:szCs w:val="24"/>
        </w:rPr>
      </w:pPr>
      <w:r w:rsidRPr="00CA77AB">
        <w:rPr>
          <w:sz w:val="24"/>
          <w:szCs w:val="24"/>
        </w:rPr>
        <w:t xml:space="preserve">Knott, C. and Scragg, T. (2016) </w:t>
      </w:r>
      <w:r w:rsidRPr="00CA77AB">
        <w:rPr>
          <w:i/>
          <w:iCs/>
          <w:sz w:val="24"/>
          <w:szCs w:val="24"/>
        </w:rPr>
        <w:t>Reflective Practice in Social Work</w:t>
      </w:r>
      <w:r w:rsidRPr="00CA77AB">
        <w:rPr>
          <w:sz w:val="24"/>
          <w:szCs w:val="24"/>
        </w:rPr>
        <w:t xml:space="preserve">. 4th </w:t>
      </w:r>
      <w:proofErr w:type="spellStart"/>
      <w:r w:rsidRPr="00CA77AB">
        <w:rPr>
          <w:sz w:val="24"/>
          <w:szCs w:val="24"/>
        </w:rPr>
        <w:t>edn</w:t>
      </w:r>
      <w:proofErr w:type="spellEnd"/>
      <w:r w:rsidRPr="00CA77AB">
        <w:rPr>
          <w:sz w:val="24"/>
          <w:szCs w:val="24"/>
        </w:rPr>
        <w:t>. London: Sage.</w:t>
      </w:r>
    </w:p>
    <w:p w14:paraId="42354F60" w14:textId="77777777" w:rsidR="00CA77AB" w:rsidRPr="00CA77AB" w:rsidRDefault="00CA77AB" w:rsidP="0045055A">
      <w:pPr>
        <w:spacing w:before="240" w:after="60"/>
        <w:rPr>
          <w:sz w:val="24"/>
          <w:szCs w:val="24"/>
        </w:rPr>
      </w:pPr>
      <w:r w:rsidRPr="00CA77AB">
        <w:rPr>
          <w:sz w:val="24"/>
          <w:szCs w:val="24"/>
        </w:rPr>
        <w:t xml:space="preserve">Kolb, D.A. (2015) </w:t>
      </w:r>
      <w:r w:rsidRPr="00CA77AB">
        <w:rPr>
          <w:i/>
          <w:iCs/>
          <w:sz w:val="24"/>
          <w:szCs w:val="24"/>
        </w:rPr>
        <w:t>Experiential Learning: Experience as the Source of Learning and Development</w:t>
      </w:r>
      <w:r w:rsidRPr="00CA77AB">
        <w:rPr>
          <w:sz w:val="24"/>
          <w:szCs w:val="24"/>
        </w:rPr>
        <w:t xml:space="preserve">. 2nd </w:t>
      </w:r>
      <w:proofErr w:type="spellStart"/>
      <w:r w:rsidRPr="00CA77AB">
        <w:rPr>
          <w:sz w:val="24"/>
          <w:szCs w:val="24"/>
        </w:rPr>
        <w:t>edn</w:t>
      </w:r>
      <w:proofErr w:type="spellEnd"/>
      <w:r w:rsidRPr="00CA77AB">
        <w:rPr>
          <w:sz w:val="24"/>
          <w:szCs w:val="24"/>
        </w:rPr>
        <w:t>. New Jersey: Pearson Education.</w:t>
      </w:r>
    </w:p>
    <w:p w14:paraId="1232E3E1" w14:textId="77777777" w:rsidR="00CA77AB" w:rsidRPr="00CA77AB" w:rsidRDefault="00CA77AB" w:rsidP="0045055A">
      <w:pPr>
        <w:spacing w:before="240" w:after="60"/>
        <w:rPr>
          <w:sz w:val="24"/>
          <w:szCs w:val="24"/>
        </w:rPr>
      </w:pPr>
      <w:r w:rsidRPr="00CA77AB">
        <w:rPr>
          <w:sz w:val="24"/>
          <w:szCs w:val="24"/>
        </w:rPr>
        <w:t xml:space="preserve">Levy, R. and </w:t>
      </w:r>
      <w:proofErr w:type="spellStart"/>
      <w:r w:rsidRPr="00CA77AB">
        <w:rPr>
          <w:sz w:val="24"/>
          <w:szCs w:val="24"/>
        </w:rPr>
        <w:t>Bühlmann</w:t>
      </w:r>
      <w:proofErr w:type="spellEnd"/>
      <w:r w:rsidRPr="00CA77AB">
        <w:rPr>
          <w:sz w:val="24"/>
          <w:szCs w:val="24"/>
        </w:rPr>
        <w:t>, F. (2016) ‘Towards a socio</w:t>
      </w:r>
      <w:r w:rsidRPr="00CA77AB">
        <w:rPr>
          <w:sz w:val="24"/>
          <w:szCs w:val="24"/>
        </w:rPr>
        <w:noBreakHyphen/>
        <w:t xml:space="preserve">structural framework for life course analysis’, </w:t>
      </w:r>
      <w:r w:rsidRPr="00CA77AB">
        <w:rPr>
          <w:i/>
          <w:iCs/>
          <w:sz w:val="24"/>
          <w:szCs w:val="24"/>
        </w:rPr>
        <w:t>Advances in Life Course Research</w:t>
      </w:r>
      <w:r w:rsidRPr="00CA77AB">
        <w:rPr>
          <w:sz w:val="24"/>
          <w:szCs w:val="24"/>
        </w:rPr>
        <w:t>, 30, pp. 30–42.</w:t>
      </w:r>
    </w:p>
    <w:p w14:paraId="455CE596" w14:textId="77777777" w:rsidR="00CA77AB" w:rsidRPr="00CA77AB" w:rsidRDefault="00CA77AB" w:rsidP="0045055A">
      <w:pPr>
        <w:spacing w:before="240" w:after="60"/>
        <w:rPr>
          <w:sz w:val="24"/>
          <w:szCs w:val="24"/>
        </w:rPr>
      </w:pPr>
      <w:r w:rsidRPr="00CA77AB">
        <w:rPr>
          <w:sz w:val="24"/>
          <w:szCs w:val="24"/>
        </w:rPr>
        <w:t xml:space="preserve">Lishman, J., Yuill, C., Brannan, J. and Gibson, A. (2018) </w:t>
      </w:r>
      <w:r w:rsidRPr="00CA77AB">
        <w:rPr>
          <w:i/>
          <w:iCs/>
          <w:sz w:val="24"/>
          <w:szCs w:val="24"/>
        </w:rPr>
        <w:t>Social Work: An Introduction</w:t>
      </w:r>
      <w:r w:rsidRPr="00CA77AB">
        <w:rPr>
          <w:sz w:val="24"/>
          <w:szCs w:val="24"/>
        </w:rPr>
        <w:t>. London: Sage.</w:t>
      </w:r>
    </w:p>
    <w:p w14:paraId="17E083D6" w14:textId="77777777" w:rsidR="00CA77AB" w:rsidRPr="00CA77AB" w:rsidRDefault="00CA77AB" w:rsidP="0045055A">
      <w:pPr>
        <w:spacing w:before="240" w:after="60"/>
        <w:rPr>
          <w:sz w:val="24"/>
          <w:szCs w:val="24"/>
        </w:rPr>
      </w:pPr>
      <w:r w:rsidRPr="00CA77AB">
        <w:rPr>
          <w:sz w:val="24"/>
          <w:szCs w:val="24"/>
        </w:rPr>
        <w:t>Lohmann, S. et al. (2023) ‘The trauma and mental health impacts of coercive control: A systematic review and meta</w:t>
      </w:r>
      <w:r w:rsidRPr="00CA77AB">
        <w:rPr>
          <w:sz w:val="24"/>
          <w:szCs w:val="24"/>
        </w:rPr>
        <w:noBreakHyphen/>
        <w:t xml:space="preserve">analysis’, </w:t>
      </w:r>
      <w:r w:rsidRPr="00CA77AB">
        <w:rPr>
          <w:i/>
          <w:iCs/>
          <w:sz w:val="24"/>
          <w:szCs w:val="24"/>
        </w:rPr>
        <w:t>Trauma, Violence &amp; Abuse</w:t>
      </w:r>
      <w:r w:rsidRPr="00CA77AB">
        <w:rPr>
          <w:sz w:val="24"/>
          <w:szCs w:val="24"/>
        </w:rPr>
        <w:t>, 25(1), pp. 630–647. doi:10.1177/15248380231162972 (Accessed: 24 February 2026).</w:t>
      </w:r>
    </w:p>
    <w:p w14:paraId="1B2E6224" w14:textId="77777777" w:rsidR="00CA77AB" w:rsidRPr="00CA77AB" w:rsidRDefault="00CA77AB" w:rsidP="0045055A">
      <w:pPr>
        <w:spacing w:before="240" w:after="60"/>
        <w:rPr>
          <w:sz w:val="24"/>
          <w:szCs w:val="24"/>
        </w:rPr>
      </w:pPr>
      <w:r w:rsidRPr="00CA77AB">
        <w:rPr>
          <w:sz w:val="24"/>
          <w:szCs w:val="24"/>
        </w:rPr>
        <w:t xml:space="preserve">Urquia, M., Trask, B., </w:t>
      </w:r>
      <w:proofErr w:type="spellStart"/>
      <w:r w:rsidRPr="00CA77AB">
        <w:rPr>
          <w:sz w:val="24"/>
          <w:szCs w:val="24"/>
        </w:rPr>
        <w:t>Scatliff</w:t>
      </w:r>
      <w:proofErr w:type="spellEnd"/>
      <w:r w:rsidRPr="00CA77AB">
        <w:rPr>
          <w:sz w:val="24"/>
          <w:szCs w:val="24"/>
        </w:rPr>
        <w:t xml:space="preserve">, N. and Au, W. (2024) ‘Risk of death after type of intimate partner violence involvement’, </w:t>
      </w:r>
      <w:r w:rsidRPr="00CA77AB">
        <w:rPr>
          <w:i/>
          <w:iCs/>
          <w:sz w:val="24"/>
          <w:szCs w:val="24"/>
        </w:rPr>
        <w:t>European Journal of Public Health</w:t>
      </w:r>
      <w:r w:rsidRPr="00CA77AB">
        <w:rPr>
          <w:sz w:val="24"/>
          <w:szCs w:val="24"/>
        </w:rPr>
        <w:t>, 34(Supplement_3), ckae144.582. doi:10.1093/</w:t>
      </w:r>
      <w:proofErr w:type="spellStart"/>
      <w:r w:rsidRPr="00CA77AB">
        <w:rPr>
          <w:sz w:val="24"/>
          <w:szCs w:val="24"/>
        </w:rPr>
        <w:t>eurpub</w:t>
      </w:r>
      <w:proofErr w:type="spellEnd"/>
      <w:r w:rsidRPr="00CA77AB">
        <w:rPr>
          <w:sz w:val="24"/>
          <w:szCs w:val="24"/>
        </w:rPr>
        <w:t>/ckae144.582 (Accessed: 23 February 2026).</w:t>
      </w:r>
    </w:p>
    <w:p w14:paraId="5D77B7CC" w14:textId="77777777" w:rsidR="00CA77AB" w:rsidRPr="00CA77AB" w:rsidRDefault="00CA77AB" w:rsidP="0045055A">
      <w:pPr>
        <w:spacing w:before="240" w:after="60"/>
        <w:rPr>
          <w:sz w:val="24"/>
          <w:szCs w:val="24"/>
        </w:rPr>
      </w:pPr>
      <w:r w:rsidRPr="00CA77AB">
        <w:rPr>
          <w:sz w:val="24"/>
          <w:szCs w:val="24"/>
        </w:rPr>
        <w:t xml:space="preserve">Maclean, S. and Harrison, R. (2025) </w:t>
      </w:r>
      <w:r w:rsidRPr="00CA77AB">
        <w:rPr>
          <w:i/>
          <w:iCs/>
          <w:sz w:val="24"/>
          <w:szCs w:val="24"/>
        </w:rPr>
        <w:t>Social Work: Theory &amp; Practice. A Straightforward Guide</w:t>
      </w:r>
      <w:r w:rsidRPr="00CA77AB">
        <w:rPr>
          <w:sz w:val="24"/>
          <w:szCs w:val="24"/>
        </w:rPr>
        <w:t xml:space="preserve">. 4th </w:t>
      </w:r>
      <w:proofErr w:type="spellStart"/>
      <w:r w:rsidRPr="00CA77AB">
        <w:rPr>
          <w:sz w:val="24"/>
          <w:szCs w:val="24"/>
        </w:rPr>
        <w:t>edn</w:t>
      </w:r>
      <w:proofErr w:type="spellEnd"/>
      <w:r w:rsidRPr="00CA77AB">
        <w:rPr>
          <w:sz w:val="24"/>
          <w:szCs w:val="24"/>
        </w:rPr>
        <w:t>. [Publisher not supplied].</w:t>
      </w:r>
    </w:p>
    <w:p w14:paraId="54D2FA34" w14:textId="77777777" w:rsidR="00CA77AB" w:rsidRPr="00CA77AB" w:rsidRDefault="00CA77AB" w:rsidP="0045055A">
      <w:pPr>
        <w:spacing w:before="240" w:after="60"/>
        <w:rPr>
          <w:sz w:val="24"/>
          <w:szCs w:val="24"/>
        </w:rPr>
      </w:pPr>
      <w:r w:rsidRPr="00CA77AB">
        <w:rPr>
          <w:sz w:val="24"/>
          <w:szCs w:val="24"/>
        </w:rPr>
        <w:t xml:space="preserve">Maslow, A.H. (1943) ‘A theory of human motivation’, </w:t>
      </w:r>
      <w:r w:rsidRPr="00CA77AB">
        <w:rPr>
          <w:i/>
          <w:iCs/>
          <w:sz w:val="24"/>
          <w:szCs w:val="24"/>
        </w:rPr>
        <w:t>Psychological Review</w:t>
      </w:r>
      <w:r w:rsidRPr="00CA77AB">
        <w:rPr>
          <w:sz w:val="24"/>
          <w:szCs w:val="24"/>
        </w:rPr>
        <w:t>, 50(4), pp. 370–396.</w:t>
      </w:r>
    </w:p>
    <w:p w14:paraId="3CD588B7" w14:textId="77777777" w:rsidR="00CA77AB" w:rsidRPr="00CA77AB" w:rsidRDefault="00CA77AB" w:rsidP="0045055A">
      <w:pPr>
        <w:spacing w:before="240" w:after="60"/>
        <w:rPr>
          <w:sz w:val="24"/>
          <w:szCs w:val="24"/>
        </w:rPr>
      </w:pPr>
      <w:r w:rsidRPr="00CA77AB">
        <w:rPr>
          <w:sz w:val="24"/>
          <w:szCs w:val="24"/>
        </w:rPr>
        <w:t>Mental Capacity Act 2005. Available at: https://www.legislation.gov.uk/ukpga/2005/9/contents (Accessed: 8 December 2025).</w:t>
      </w:r>
    </w:p>
    <w:p w14:paraId="66EA9691" w14:textId="77777777" w:rsidR="00CA77AB" w:rsidRPr="00CA77AB" w:rsidRDefault="00CA77AB" w:rsidP="0045055A">
      <w:pPr>
        <w:spacing w:before="240" w:after="60"/>
        <w:rPr>
          <w:sz w:val="24"/>
          <w:szCs w:val="24"/>
        </w:rPr>
      </w:pPr>
      <w:r w:rsidRPr="00CA77AB">
        <w:rPr>
          <w:sz w:val="24"/>
          <w:szCs w:val="24"/>
        </w:rPr>
        <w:t xml:space="preserve">Milner, J., Myers, S. and O’Byrne, P. (2020) </w:t>
      </w:r>
      <w:r w:rsidRPr="00CA77AB">
        <w:rPr>
          <w:i/>
          <w:iCs/>
          <w:sz w:val="24"/>
          <w:szCs w:val="24"/>
        </w:rPr>
        <w:t>Assessment in Social Work</w:t>
      </w:r>
      <w:r w:rsidRPr="00CA77AB">
        <w:rPr>
          <w:sz w:val="24"/>
          <w:szCs w:val="24"/>
        </w:rPr>
        <w:t>. London: Bloomsbury Publishing.</w:t>
      </w:r>
    </w:p>
    <w:p w14:paraId="509F1A75" w14:textId="77777777" w:rsidR="00CA77AB" w:rsidRPr="00CA77AB" w:rsidRDefault="00CA77AB" w:rsidP="0045055A">
      <w:pPr>
        <w:spacing w:before="240" w:after="60"/>
        <w:rPr>
          <w:sz w:val="24"/>
          <w:szCs w:val="24"/>
        </w:rPr>
      </w:pPr>
      <w:r w:rsidRPr="00CA77AB">
        <w:rPr>
          <w:sz w:val="24"/>
          <w:szCs w:val="24"/>
        </w:rPr>
        <w:t xml:space="preserve">Munro, E. (2012) ‘Risk assessment and decision making’, in </w:t>
      </w:r>
      <w:r w:rsidRPr="00CA77AB">
        <w:rPr>
          <w:i/>
          <w:iCs/>
          <w:sz w:val="24"/>
          <w:szCs w:val="24"/>
        </w:rPr>
        <w:t>The SAGE Handbook of Social Work</w:t>
      </w:r>
      <w:r w:rsidRPr="00CA77AB">
        <w:rPr>
          <w:sz w:val="24"/>
          <w:szCs w:val="24"/>
        </w:rPr>
        <w:t>, pp. 224–235.</w:t>
      </w:r>
    </w:p>
    <w:p w14:paraId="02C6D5EC" w14:textId="77777777" w:rsidR="00CA77AB" w:rsidRPr="00CA77AB" w:rsidRDefault="00CA77AB" w:rsidP="0045055A">
      <w:pPr>
        <w:spacing w:before="240" w:after="60"/>
        <w:rPr>
          <w:sz w:val="24"/>
          <w:szCs w:val="24"/>
        </w:rPr>
      </w:pPr>
      <w:r w:rsidRPr="00CA77AB">
        <w:rPr>
          <w:sz w:val="24"/>
          <w:szCs w:val="24"/>
        </w:rPr>
        <w:t xml:space="preserve">National Assembly for Wales (2011) </w:t>
      </w:r>
      <w:r w:rsidRPr="00CA77AB">
        <w:rPr>
          <w:i/>
          <w:iCs/>
          <w:sz w:val="24"/>
          <w:szCs w:val="24"/>
        </w:rPr>
        <w:t>Welsh Language (Wales) Measure 2011 (</w:t>
      </w:r>
      <w:proofErr w:type="spellStart"/>
      <w:r w:rsidRPr="00CA77AB">
        <w:rPr>
          <w:i/>
          <w:iCs/>
          <w:sz w:val="24"/>
          <w:szCs w:val="24"/>
        </w:rPr>
        <w:t>nawm</w:t>
      </w:r>
      <w:proofErr w:type="spellEnd"/>
      <w:r w:rsidRPr="00CA77AB">
        <w:rPr>
          <w:i/>
          <w:iCs/>
          <w:sz w:val="24"/>
          <w:szCs w:val="24"/>
        </w:rPr>
        <w:t xml:space="preserve"> 1)</w:t>
      </w:r>
      <w:r w:rsidRPr="00CA77AB">
        <w:rPr>
          <w:sz w:val="24"/>
          <w:szCs w:val="24"/>
        </w:rPr>
        <w:t>. Available at: https://www.legislation.gov.uk/mwa/2011/1 (Accessed: 24 February 2026).</w:t>
      </w:r>
    </w:p>
    <w:p w14:paraId="210962ED" w14:textId="77777777" w:rsidR="00CA77AB" w:rsidRPr="00CA77AB" w:rsidRDefault="00CA77AB" w:rsidP="0045055A">
      <w:pPr>
        <w:spacing w:before="240" w:after="60"/>
        <w:rPr>
          <w:sz w:val="24"/>
          <w:szCs w:val="24"/>
        </w:rPr>
      </w:pPr>
      <w:r w:rsidRPr="00CA77AB">
        <w:rPr>
          <w:sz w:val="24"/>
          <w:szCs w:val="24"/>
        </w:rPr>
        <w:t xml:space="preserve">NHS Safeguarding (2025) </w:t>
      </w:r>
      <w:r w:rsidRPr="00CA77AB">
        <w:rPr>
          <w:i/>
          <w:iCs/>
          <w:sz w:val="24"/>
          <w:szCs w:val="24"/>
        </w:rPr>
        <w:t>The Context of NHS Safeguarding</w:t>
      </w:r>
      <w:r w:rsidRPr="00CA77AB">
        <w:rPr>
          <w:sz w:val="24"/>
          <w:szCs w:val="24"/>
        </w:rPr>
        <w:t>. Available at: https://safeguarding-guide.nhs.uk/context-of-NHS-safeguarding/s2-03/ (Accessed: 24 February 2026).</w:t>
      </w:r>
    </w:p>
    <w:p w14:paraId="0024EDAE" w14:textId="77777777" w:rsidR="00CA77AB" w:rsidRPr="00CA77AB" w:rsidRDefault="00CA77AB" w:rsidP="0045055A">
      <w:pPr>
        <w:spacing w:before="240" w:after="60"/>
        <w:rPr>
          <w:sz w:val="24"/>
          <w:szCs w:val="24"/>
        </w:rPr>
      </w:pPr>
      <w:r w:rsidRPr="00CA77AB">
        <w:rPr>
          <w:sz w:val="24"/>
          <w:szCs w:val="24"/>
        </w:rPr>
        <w:lastRenderedPageBreak/>
        <w:t xml:space="preserve">Office for National Statistics (2025) </w:t>
      </w:r>
      <w:r w:rsidRPr="00CA77AB">
        <w:rPr>
          <w:i/>
          <w:iCs/>
          <w:sz w:val="24"/>
          <w:szCs w:val="24"/>
        </w:rPr>
        <w:t>Domestic Abuse in England and Wales Overview: November 2025</w:t>
      </w:r>
      <w:r w:rsidRPr="00CA77AB">
        <w:rPr>
          <w:sz w:val="24"/>
          <w:szCs w:val="24"/>
        </w:rPr>
        <w:t>. Available at: https://www.ons.gov.uk/peoplepopulationandcommunity/crimeandjustice/bulletins/domesticabuseinenglandandwalesoverview/november2025 (Accessed: 24 February 2026).</w:t>
      </w:r>
    </w:p>
    <w:p w14:paraId="23BECC95" w14:textId="77777777" w:rsidR="00CA77AB" w:rsidRPr="00CA77AB" w:rsidRDefault="00CA77AB" w:rsidP="0045055A">
      <w:pPr>
        <w:spacing w:before="240" w:after="60"/>
        <w:rPr>
          <w:sz w:val="24"/>
          <w:szCs w:val="24"/>
        </w:rPr>
      </w:pPr>
      <w:r w:rsidRPr="00CA77AB">
        <w:rPr>
          <w:sz w:val="24"/>
          <w:szCs w:val="24"/>
        </w:rPr>
        <w:t xml:space="preserve">Office for National Statistics (2026) </w:t>
      </w:r>
      <w:r w:rsidRPr="00CA77AB">
        <w:rPr>
          <w:i/>
          <w:iCs/>
          <w:sz w:val="24"/>
          <w:szCs w:val="24"/>
        </w:rPr>
        <w:t>Appendix Tables: Homicide in England and Wales</w:t>
      </w:r>
      <w:r w:rsidRPr="00CA77AB">
        <w:rPr>
          <w:sz w:val="24"/>
          <w:szCs w:val="24"/>
        </w:rPr>
        <w:t>. Available at: https://www.ons.gov.uk/peoplepopulationandcommunity/crimeandjustice/datasets/appendixtableshomicideinenglandandwales (Accessed: 23 February 2026).</w:t>
      </w:r>
    </w:p>
    <w:p w14:paraId="69BB3596" w14:textId="77777777" w:rsidR="00CA77AB" w:rsidRPr="00CA77AB" w:rsidRDefault="00CA77AB" w:rsidP="0045055A">
      <w:pPr>
        <w:spacing w:before="240" w:after="60"/>
        <w:rPr>
          <w:sz w:val="24"/>
          <w:szCs w:val="24"/>
        </w:rPr>
      </w:pPr>
      <w:r w:rsidRPr="00CA77AB">
        <w:rPr>
          <w:sz w:val="24"/>
          <w:szCs w:val="24"/>
        </w:rPr>
        <w:t>Preston</w:t>
      </w:r>
      <w:r w:rsidRPr="00CA77AB">
        <w:rPr>
          <w:sz w:val="24"/>
          <w:szCs w:val="24"/>
        </w:rPr>
        <w:noBreakHyphen/>
        <w:t xml:space="preserve">Shoot, M. (2019) </w:t>
      </w:r>
      <w:r w:rsidRPr="00CA77AB">
        <w:rPr>
          <w:i/>
          <w:iCs/>
          <w:sz w:val="24"/>
          <w:szCs w:val="24"/>
        </w:rPr>
        <w:t>Making Good Decisions: Law for Social Work Practice</w:t>
      </w:r>
      <w:r w:rsidRPr="00CA77AB">
        <w:rPr>
          <w:sz w:val="24"/>
          <w:szCs w:val="24"/>
        </w:rPr>
        <w:t>. London: Bloomsbury Publishing.</w:t>
      </w:r>
    </w:p>
    <w:p w14:paraId="4E03B254" w14:textId="77777777" w:rsidR="00CA77AB" w:rsidRPr="00CA77AB" w:rsidRDefault="00CA77AB" w:rsidP="0045055A">
      <w:pPr>
        <w:spacing w:before="240" w:after="60"/>
        <w:rPr>
          <w:sz w:val="24"/>
          <w:szCs w:val="24"/>
        </w:rPr>
      </w:pPr>
      <w:r w:rsidRPr="00CA77AB">
        <w:rPr>
          <w:sz w:val="24"/>
          <w:szCs w:val="24"/>
        </w:rPr>
        <w:t xml:space="preserve">Public Health Agency of Canada (2018) </w:t>
      </w:r>
      <w:r w:rsidRPr="00CA77AB">
        <w:rPr>
          <w:i/>
          <w:iCs/>
          <w:sz w:val="24"/>
          <w:szCs w:val="24"/>
        </w:rPr>
        <w:t>Trauma and Violence Informed Approaches to Policy and Practice</w:t>
      </w:r>
      <w:r w:rsidRPr="00CA77AB">
        <w:rPr>
          <w:sz w:val="24"/>
          <w:szCs w:val="24"/>
        </w:rPr>
        <w:t>. Available at: https://www.canada.ca/en/public-health/services/publications/health-risks-safety/trauma-violence-informed-approaches-policy-practice.html (Accessed: 24 February 2026).</w:t>
      </w:r>
    </w:p>
    <w:p w14:paraId="7EDD1D80" w14:textId="77777777" w:rsidR="00CA77AB" w:rsidRPr="00CA77AB" w:rsidRDefault="00CA77AB" w:rsidP="0045055A">
      <w:pPr>
        <w:spacing w:before="240" w:after="60"/>
        <w:rPr>
          <w:sz w:val="24"/>
          <w:szCs w:val="24"/>
        </w:rPr>
      </w:pPr>
      <w:r w:rsidRPr="00CA77AB">
        <w:rPr>
          <w:sz w:val="24"/>
          <w:szCs w:val="24"/>
        </w:rPr>
        <w:t>Rashid, T. (2015) ‘Positive psychotherapy: A strength</w:t>
      </w:r>
      <w:r w:rsidRPr="00CA77AB">
        <w:rPr>
          <w:sz w:val="24"/>
          <w:szCs w:val="24"/>
        </w:rPr>
        <w:noBreakHyphen/>
        <w:t xml:space="preserve">based approach’, </w:t>
      </w:r>
      <w:r w:rsidRPr="00CA77AB">
        <w:rPr>
          <w:i/>
          <w:iCs/>
          <w:sz w:val="24"/>
          <w:szCs w:val="24"/>
        </w:rPr>
        <w:t>The Journal of Positive Psychology</w:t>
      </w:r>
      <w:r w:rsidRPr="00CA77AB">
        <w:rPr>
          <w:sz w:val="24"/>
          <w:szCs w:val="24"/>
        </w:rPr>
        <w:t>, 10(1), pp. 25–40. doi:10.1080/17439760.2014.920411.</w:t>
      </w:r>
    </w:p>
    <w:p w14:paraId="03C1A14E" w14:textId="77777777" w:rsidR="00CA77AB" w:rsidRPr="00CA77AB" w:rsidRDefault="00CA77AB" w:rsidP="0045055A">
      <w:pPr>
        <w:spacing w:before="240" w:after="60"/>
        <w:rPr>
          <w:sz w:val="24"/>
          <w:szCs w:val="24"/>
        </w:rPr>
      </w:pPr>
      <w:r w:rsidRPr="00CA77AB">
        <w:rPr>
          <w:sz w:val="24"/>
          <w:szCs w:val="24"/>
        </w:rPr>
        <w:t xml:space="preserve">Rolfe, G., Freshwater, D. and Jasper, M. (2001) </w:t>
      </w:r>
      <w:r w:rsidRPr="00CA77AB">
        <w:rPr>
          <w:i/>
          <w:iCs/>
          <w:sz w:val="24"/>
          <w:szCs w:val="24"/>
        </w:rPr>
        <w:t>Critical Reflection for Nursing and the Helping Professions: A User’s Guide</w:t>
      </w:r>
      <w:r w:rsidRPr="00CA77AB">
        <w:rPr>
          <w:sz w:val="24"/>
          <w:szCs w:val="24"/>
        </w:rPr>
        <w:t>. Basingstoke: Palgrave Macmillan.</w:t>
      </w:r>
    </w:p>
    <w:p w14:paraId="3655CCBB" w14:textId="77777777" w:rsidR="00CA77AB" w:rsidRPr="00CA77AB" w:rsidRDefault="00CA77AB" w:rsidP="0045055A">
      <w:pPr>
        <w:spacing w:before="240" w:after="60"/>
        <w:rPr>
          <w:sz w:val="24"/>
          <w:szCs w:val="24"/>
        </w:rPr>
      </w:pPr>
      <w:r w:rsidRPr="00CA77AB">
        <w:rPr>
          <w:sz w:val="24"/>
          <w:szCs w:val="24"/>
        </w:rPr>
        <w:t xml:space="preserve">Romeo, L. (2015) ‘Social work and safeguarding adults’, </w:t>
      </w:r>
      <w:r w:rsidRPr="00CA77AB">
        <w:rPr>
          <w:i/>
          <w:iCs/>
          <w:sz w:val="24"/>
          <w:szCs w:val="24"/>
        </w:rPr>
        <w:t>The Journal of Adult Protection</w:t>
      </w:r>
      <w:r w:rsidRPr="00CA77AB">
        <w:rPr>
          <w:sz w:val="24"/>
          <w:szCs w:val="24"/>
        </w:rPr>
        <w:t>, 17(3), pp. 205–207. doi:10.1108/JAP-03-2015-0008 (Accessed: 24 February 2026).</w:t>
      </w:r>
    </w:p>
    <w:p w14:paraId="149BFFE6" w14:textId="77777777" w:rsidR="00CA77AB" w:rsidRPr="00CA77AB" w:rsidRDefault="00CA77AB" w:rsidP="0045055A">
      <w:pPr>
        <w:spacing w:before="240" w:after="60"/>
        <w:rPr>
          <w:sz w:val="24"/>
          <w:szCs w:val="24"/>
        </w:rPr>
      </w:pPr>
      <w:r w:rsidRPr="00CA77AB">
        <w:rPr>
          <w:sz w:val="24"/>
          <w:szCs w:val="24"/>
        </w:rPr>
        <w:t xml:space="preserve">SCIE (2017) </w:t>
      </w:r>
      <w:r w:rsidRPr="00CA77AB">
        <w:rPr>
          <w:i/>
          <w:iCs/>
          <w:sz w:val="24"/>
          <w:szCs w:val="24"/>
        </w:rPr>
        <w:t>Strengths</w:t>
      </w:r>
      <w:r w:rsidRPr="00CA77AB">
        <w:rPr>
          <w:i/>
          <w:iCs/>
          <w:sz w:val="24"/>
          <w:szCs w:val="24"/>
        </w:rPr>
        <w:noBreakHyphen/>
        <w:t>Based Approaches: Practice Framework and Practice Handbook</w:t>
      </w:r>
      <w:r w:rsidRPr="00CA77AB">
        <w:rPr>
          <w:sz w:val="24"/>
          <w:szCs w:val="24"/>
        </w:rPr>
        <w:t>. Available at: https://www.scie.org.uk/strengths-based-approaches/practice-framework-handbook/ (Accessed: 22 December 2025).</w:t>
      </w:r>
    </w:p>
    <w:p w14:paraId="3FB4C57D" w14:textId="77777777" w:rsidR="00CA77AB" w:rsidRPr="00CA77AB" w:rsidRDefault="00CA77AB" w:rsidP="0045055A">
      <w:pPr>
        <w:spacing w:before="240" w:after="60"/>
        <w:rPr>
          <w:sz w:val="24"/>
          <w:szCs w:val="24"/>
        </w:rPr>
      </w:pPr>
      <w:r w:rsidRPr="00CA77AB">
        <w:rPr>
          <w:sz w:val="24"/>
          <w:szCs w:val="24"/>
        </w:rPr>
        <w:t xml:space="preserve">Smale, G., Tuson, G. and Statham, D. (1993) </w:t>
      </w:r>
      <w:r w:rsidRPr="00CA77AB">
        <w:rPr>
          <w:i/>
          <w:iCs/>
          <w:sz w:val="24"/>
          <w:szCs w:val="24"/>
        </w:rPr>
        <w:t>Social Work and Social Problems: Working Towards Social Inclusion</w:t>
      </w:r>
      <w:r w:rsidRPr="00CA77AB">
        <w:rPr>
          <w:sz w:val="24"/>
          <w:szCs w:val="24"/>
        </w:rPr>
        <w:t>. Basingstoke: Macmillan.</w:t>
      </w:r>
    </w:p>
    <w:p w14:paraId="15092953" w14:textId="77777777" w:rsidR="00CA77AB" w:rsidRPr="00CA77AB" w:rsidRDefault="00CA77AB" w:rsidP="0045055A">
      <w:pPr>
        <w:spacing w:before="240" w:after="60"/>
        <w:rPr>
          <w:sz w:val="24"/>
          <w:szCs w:val="24"/>
        </w:rPr>
      </w:pPr>
      <w:r w:rsidRPr="00CA77AB">
        <w:rPr>
          <w:sz w:val="24"/>
          <w:szCs w:val="24"/>
        </w:rPr>
        <w:t xml:space="preserve">Smale, G., Tuson, G., </w:t>
      </w:r>
      <w:proofErr w:type="spellStart"/>
      <w:r w:rsidRPr="00CA77AB">
        <w:rPr>
          <w:sz w:val="24"/>
          <w:szCs w:val="24"/>
        </w:rPr>
        <w:t>Biehal</w:t>
      </w:r>
      <w:proofErr w:type="spellEnd"/>
      <w:r w:rsidRPr="00CA77AB">
        <w:rPr>
          <w:sz w:val="24"/>
          <w:szCs w:val="24"/>
        </w:rPr>
        <w:t xml:space="preserve">, N. and Marsh, P. (1993) </w:t>
      </w:r>
      <w:r w:rsidRPr="00CA77AB">
        <w:rPr>
          <w:i/>
          <w:iCs/>
          <w:sz w:val="24"/>
          <w:szCs w:val="24"/>
        </w:rPr>
        <w:t>Empowerment, Assessment, Care Management and the Skilled Worker</w:t>
      </w:r>
      <w:r w:rsidRPr="00CA77AB">
        <w:rPr>
          <w:sz w:val="24"/>
          <w:szCs w:val="24"/>
        </w:rPr>
        <w:t>. London: HMSO.</w:t>
      </w:r>
    </w:p>
    <w:p w14:paraId="1B83119F" w14:textId="77777777" w:rsidR="00CA77AB" w:rsidRPr="00CA77AB" w:rsidRDefault="00CA77AB" w:rsidP="0045055A">
      <w:pPr>
        <w:spacing w:before="240" w:after="60"/>
        <w:rPr>
          <w:sz w:val="24"/>
          <w:szCs w:val="24"/>
        </w:rPr>
      </w:pPr>
      <w:r w:rsidRPr="00CA77AB">
        <w:rPr>
          <w:sz w:val="24"/>
          <w:szCs w:val="24"/>
        </w:rPr>
        <w:t xml:space="preserve">Social Care Institute for Excellence (SCIE) (2018) </w:t>
      </w:r>
      <w:r w:rsidRPr="00CA77AB">
        <w:rPr>
          <w:i/>
          <w:iCs/>
          <w:sz w:val="24"/>
          <w:szCs w:val="24"/>
        </w:rPr>
        <w:t>Adult Safeguarding Practice Questions</w:t>
      </w:r>
      <w:r w:rsidRPr="00CA77AB">
        <w:rPr>
          <w:sz w:val="24"/>
          <w:szCs w:val="24"/>
        </w:rPr>
        <w:t>. Available at: https://www.scie.org.uk/safeguarding/adults/practice/adult-safeguarding-practice-questions/ (Accessed: 24 February 2026).</w:t>
      </w:r>
    </w:p>
    <w:p w14:paraId="0E47CAA5" w14:textId="77777777" w:rsidR="00CA77AB" w:rsidRPr="00CA77AB" w:rsidRDefault="00CA77AB" w:rsidP="0045055A">
      <w:pPr>
        <w:spacing w:before="240" w:after="60"/>
        <w:rPr>
          <w:sz w:val="24"/>
          <w:szCs w:val="24"/>
        </w:rPr>
      </w:pPr>
      <w:r w:rsidRPr="00CA77AB">
        <w:rPr>
          <w:sz w:val="24"/>
          <w:szCs w:val="24"/>
        </w:rPr>
        <w:t xml:space="preserve">Social Care Wales (2011) </w:t>
      </w:r>
      <w:r w:rsidRPr="00CA77AB">
        <w:rPr>
          <w:i/>
          <w:iCs/>
          <w:sz w:val="24"/>
          <w:szCs w:val="24"/>
        </w:rPr>
        <w:t>National Occupational Standards for Social Work</w:t>
      </w:r>
      <w:r w:rsidRPr="00CA77AB">
        <w:rPr>
          <w:sz w:val="24"/>
          <w:szCs w:val="24"/>
        </w:rPr>
        <w:t>. Available at: https://socialcare.wales/nos-areas/social-work (Accessed: 23 February 2026).</w:t>
      </w:r>
    </w:p>
    <w:p w14:paraId="7335D329" w14:textId="77777777" w:rsidR="00CA77AB" w:rsidRPr="00CA77AB" w:rsidRDefault="00CA77AB" w:rsidP="0045055A">
      <w:pPr>
        <w:spacing w:before="240" w:after="60"/>
        <w:rPr>
          <w:sz w:val="24"/>
          <w:szCs w:val="24"/>
        </w:rPr>
      </w:pPr>
      <w:r w:rsidRPr="00CA77AB">
        <w:rPr>
          <w:sz w:val="24"/>
          <w:szCs w:val="24"/>
        </w:rPr>
        <w:lastRenderedPageBreak/>
        <w:t xml:space="preserve">Social Care Wales (2013) </w:t>
      </w:r>
      <w:r w:rsidRPr="00CA77AB">
        <w:rPr>
          <w:i/>
          <w:iCs/>
          <w:sz w:val="24"/>
          <w:szCs w:val="24"/>
        </w:rPr>
        <w:t>Friend Not Foe: Supporting Meaningful Outcome</w:t>
      </w:r>
      <w:r w:rsidRPr="00CA77AB">
        <w:rPr>
          <w:i/>
          <w:iCs/>
          <w:sz w:val="24"/>
          <w:szCs w:val="24"/>
        </w:rPr>
        <w:noBreakHyphen/>
        <w:t>Focused Recording in Social Care in Wales</w:t>
      </w:r>
      <w:r w:rsidRPr="00CA77AB">
        <w:rPr>
          <w:sz w:val="24"/>
          <w:szCs w:val="24"/>
        </w:rPr>
        <w:t>. [Publisher not supplied].</w:t>
      </w:r>
    </w:p>
    <w:p w14:paraId="72F2C713" w14:textId="77777777" w:rsidR="00CA77AB" w:rsidRPr="00CA77AB" w:rsidRDefault="00CA77AB" w:rsidP="0045055A">
      <w:pPr>
        <w:spacing w:before="240" w:after="60"/>
        <w:rPr>
          <w:sz w:val="24"/>
          <w:szCs w:val="24"/>
        </w:rPr>
      </w:pPr>
      <w:r w:rsidRPr="00CA77AB">
        <w:rPr>
          <w:sz w:val="24"/>
          <w:szCs w:val="24"/>
        </w:rPr>
        <w:t xml:space="preserve">Social Care Wales (2017) </w:t>
      </w:r>
      <w:r w:rsidRPr="00CA77AB">
        <w:rPr>
          <w:i/>
          <w:iCs/>
          <w:sz w:val="24"/>
          <w:szCs w:val="24"/>
        </w:rPr>
        <w:t>Code of Professional Practice for Social Care</w:t>
      </w:r>
      <w:r w:rsidRPr="00CA77AB">
        <w:rPr>
          <w:sz w:val="24"/>
          <w:szCs w:val="24"/>
        </w:rPr>
        <w:t>. Cardiff: Social Care Wales. Available at: https://socialcare.wales/cms-assets/documents/Code-of-Professional-Practice-for-Social-Care-web-version.pdf (Accessed: various dates).</w:t>
      </w:r>
    </w:p>
    <w:p w14:paraId="66CC156B" w14:textId="77777777" w:rsidR="00CA77AB" w:rsidRPr="00CA77AB" w:rsidRDefault="00CA77AB" w:rsidP="0045055A">
      <w:pPr>
        <w:spacing w:before="240" w:after="60"/>
        <w:rPr>
          <w:sz w:val="24"/>
          <w:szCs w:val="24"/>
        </w:rPr>
      </w:pPr>
      <w:r w:rsidRPr="00CA77AB">
        <w:rPr>
          <w:sz w:val="24"/>
          <w:szCs w:val="24"/>
        </w:rPr>
        <w:t xml:space="preserve">Social Care Wales (2025) </w:t>
      </w:r>
      <w:r w:rsidRPr="00CA77AB">
        <w:rPr>
          <w:i/>
          <w:iCs/>
          <w:sz w:val="24"/>
          <w:szCs w:val="24"/>
        </w:rPr>
        <w:t>What Matters Conversations and Assessment</w:t>
      </w:r>
      <w:r w:rsidRPr="00CA77AB">
        <w:rPr>
          <w:sz w:val="24"/>
          <w:szCs w:val="24"/>
        </w:rPr>
        <w:t>. Available at: https://socialcare.wales/resources-guidance/improving-care-and-support/care-and-support-at-home/what-matters-conversations-and-assessment (Accessed: 8 December 2025).</w:t>
      </w:r>
    </w:p>
    <w:p w14:paraId="3E5E8AE7" w14:textId="77777777" w:rsidR="00CA77AB" w:rsidRPr="00CA77AB" w:rsidRDefault="00CA77AB" w:rsidP="0045055A">
      <w:pPr>
        <w:spacing w:before="240" w:after="60"/>
        <w:rPr>
          <w:sz w:val="24"/>
          <w:szCs w:val="24"/>
        </w:rPr>
      </w:pPr>
      <w:r w:rsidRPr="00CA77AB">
        <w:rPr>
          <w:sz w:val="24"/>
          <w:szCs w:val="24"/>
        </w:rPr>
        <w:t>Social Services and Well</w:t>
      </w:r>
      <w:r w:rsidRPr="00CA77AB">
        <w:rPr>
          <w:sz w:val="24"/>
          <w:szCs w:val="24"/>
        </w:rPr>
        <w:noBreakHyphen/>
        <w:t>being (Wales) Act 2014, s.7. Available at: https://www.legislation.gov.uk/anaw/2014/4/section/7 (Accessed: 24 February 2026).</w:t>
      </w:r>
    </w:p>
    <w:p w14:paraId="4C03A260" w14:textId="77777777" w:rsidR="00CA77AB" w:rsidRPr="00CA77AB" w:rsidRDefault="00CA77AB" w:rsidP="0045055A">
      <w:pPr>
        <w:spacing w:before="240" w:after="60"/>
        <w:rPr>
          <w:sz w:val="24"/>
          <w:szCs w:val="24"/>
        </w:rPr>
      </w:pPr>
      <w:r w:rsidRPr="00CA77AB">
        <w:rPr>
          <w:sz w:val="24"/>
          <w:szCs w:val="24"/>
        </w:rPr>
        <w:t>Social Services and Well</w:t>
      </w:r>
      <w:r w:rsidRPr="00CA77AB">
        <w:rPr>
          <w:sz w:val="24"/>
          <w:szCs w:val="24"/>
        </w:rPr>
        <w:noBreakHyphen/>
        <w:t>being (Wales) Act 2014, s.14. Available at: https://www.legislation.gov.uk/anaw/2014/4/section/14 (Accessed: 8 December 2025).</w:t>
      </w:r>
    </w:p>
    <w:p w14:paraId="42790A47" w14:textId="77777777" w:rsidR="00CA77AB" w:rsidRPr="00CA77AB" w:rsidRDefault="00CA77AB" w:rsidP="0045055A">
      <w:pPr>
        <w:spacing w:before="240" w:after="60"/>
        <w:rPr>
          <w:sz w:val="24"/>
          <w:szCs w:val="24"/>
        </w:rPr>
      </w:pPr>
      <w:r w:rsidRPr="00CA77AB">
        <w:rPr>
          <w:sz w:val="24"/>
          <w:szCs w:val="24"/>
        </w:rPr>
        <w:t xml:space="preserve">Horn, S., Vogt, C., </w:t>
      </w:r>
      <w:proofErr w:type="spellStart"/>
      <w:r w:rsidRPr="00CA77AB">
        <w:rPr>
          <w:sz w:val="24"/>
          <w:szCs w:val="24"/>
        </w:rPr>
        <w:t>Wüller</w:t>
      </w:r>
      <w:proofErr w:type="spellEnd"/>
      <w:r w:rsidRPr="00CA77AB">
        <w:rPr>
          <w:sz w:val="24"/>
          <w:szCs w:val="24"/>
        </w:rPr>
        <w:t xml:space="preserve">, C. and Görgen, T. (2024) ‘Intimate partner homicide: Risk constellations in separation conflicts and police intervention points’, </w:t>
      </w:r>
      <w:r w:rsidRPr="00CA77AB">
        <w:rPr>
          <w:i/>
          <w:iCs/>
          <w:sz w:val="24"/>
          <w:szCs w:val="24"/>
        </w:rPr>
        <w:t>Policing: A Journal of Policy and Practice</w:t>
      </w:r>
      <w:r w:rsidRPr="00CA77AB">
        <w:rPr>
          <w:sz w:val="24"/>
          <w:szCs w:val="24"/>
        </w:rPr>
        <w:t>, 18, paae029. doi:10.1093/police/paae029 (Accessed: 23 February 2026).</w:t>
      </w:r>
    </w:p>
    <w:p w14:paraId="388C119F" w14:textId="77777777" w:rsidR="00CA77AB" w:rsidRPr="00CA77AB" w:rsidRDefault="00CA77AB" w:rsidP="0045055A">
      <w:pPr>
        <w:spacing w:before="240" w:after="60"/>
        <w:rPr>
          <w:sz w:val="24"/>
          <w:szCs w:val="24"/>
        </w:rPr>
      </w:pPr>
      <w:r w:rsidRPr="00CA77AB">
        <w:rPr>
          <w:sz w:val="24"/>
          <w:szCs w:val="24"/>
        </w:rPr>
        <w:t xml:space="preserve">Stevens, M., Manthorpe, J., Martineau, S. and Norrie, C. (2020) ‘Practice perspectives and debates about social workers’ legal powers to protect adults’, </w:t>
      </w:r>
      <w:r w:rsidRPr="00CA77AB">
        <w:rPr>
          <w:i/>
          <w:iCs/>
          <w:sz w:val="24"/>
          <w:szCs w:val="24"/>
        </w:rPr>
        <w:t>Journal of Social Work</w:t>
      </w:r>
      <w:r w:rsidRPr="00CA77AB">
        <w:rPr>
          <w:sz w:val="24"/>
          <w:szCs w:val="24"/>
        </w:rPr>
        <w:t>, 20(1), pp. 3–22.</w:t>
      </w:r>
    </w:p>
    <w:p w14:paraId="708CD3B4" w14:textId="77777777" w:rsidR="00CA77AB" w:rsidRPr="00CA77AB" w:rsidRDefault="00CA77AB" w:rsidP="0045055A">
      <w:pPr>
        <w:spacing w:before="240" w:after="60"/>
        <w:rPr>
          <w:sz w:val="24"/>
          <w:szCs w:val="24"/>
        </w:rPr>
      </w:pPr>
      <w:r w:rsidRPr="00CA77AB">
        <w:rPr>
          <w:sz w:val="24"/>
          <w:szCs w:val="24"/>
        </w:rPr>
        <w:t>Symonds, J. et al. (2019) ‘Making person</w:t>
      </w:r>
      <w:r w:rsidRPr="00CA77AB">
        <w:rPr>
          <w:sz w:val="24"/>
          <w:szCs w:val="24"/>
        </w:rPr>
        <w:noBreakHyphen/>
        <w:t xml:space="preserve">centred assessments’, </w:t>
      </w:r>
      <w:r w:rsidRPr="00CA77AB">
        <w:rPr>
          <w:i/>
          <w:iCs/>
          <w:sz w:val="24"/>
          <w:szCs w:val="24"/>
        </w:rPr>
        <w:t>Journal of Social Work</w:t>
      </w:r>
      <w:r w:rsidRPr="00CA77AB">
        <w:rPr>
          <w:sz w:val="24"/>
          <w:szCs w:val="24"/>
        </w:rPr>
        <w:t>. doi:10.1177/1468017319830593.</w:t>
      </w:r>
    </w:p>
    <w:p w14:paraId="65A2A383" w14:textId="77777777" w:rsidR="00CA77AB" w:rsidRPr="00CA77AB" w:rsidRDefault="00CA77AB" w:rsidP="0045055A">
      <w:pPr>
        <w:spacing w:before="240" w:after="60"/>
        <w:rPr>
          <w:sz w:val="24"/>
          <w:szCs w:val="24"/>
        </w:rPr>
      </w:pPr>
      <w:r w:rsidRPr="00CA77AB">
        <w:rPr>
          <w:sz w:val="24"/>
          <w:szCs w:val="24"/>
        </w:rPr>
        <w:t>Taylor, B. and Whittaker, A. (2018) ‘Professional judgement and decision</w:t>
      </w:r>
      <w:r w:rsidRPr="00CA77AB">
        <w:rPr>
          <w:sz w:val="24"/>
          <w:szCs w:val="24"/>
        </w:rPr>
        <w:noBreakHyphen/>
        <w:t xml:space="preserve">making in social work’, </w:t>
      </w:r>
      <w:r w:rsidRPr="00CA77AB">
        <w:rPr>
          <w:i/>
          <w:iCs/>
          <w:sz w:val="24"/>
          <w:szCs w:val="24"/>
        </w:rPr>
        <w:t>Journal of Social Work Practice</w:t>
      </w:r>
      <w:r w:rsidRPr="00CA77AB">
        <w:rPr>
          <w:sz w:val="24"/>
          <w:szCs w:val="24"/>
        </w:rPr>
        <w:t>, 32(2), pp. 105–109.</w:t>
      </w:r>
    </w:p>
    <w:p w14:paraId="2B67D400" w14:textId="77777777" w:rsidR="00CA77AB" w:rsidRPr="00CA77AB" w:rsidRDefault="00CA77AB" w:rsidP="0045055A">
      <w:pPr>
        <w:spacing w:before="240" w:after="60"/>
        <w:rPr>
          <w:sz w:val="24"/>
          <w:szCs w:val="24"/>
        </w:rPr>
      </w:pPr>
      <w:r w:rsidRPr="00CA77AB">
        <w:rPr>
          <w:sz w:val="24"/>
          <w:szCs w:val="24"/>
        </w:rPr>
        <w:t xml:space="preserve">Taylor, B. (2013) </w:t>
      </w:r>
      <w:r w:rsidRPr="00CA77AB">
        <w:rPr>
          <w:i/>
          <w:iCs/>
          <w:sz w:val="24"/>
          <w:szCs w:val="24"/>
        </w:rPr>
        <w:t>Professional Decision Making and Risk in Social Work</w:t>
      </w:r>
      <w:r w:rsidRPr="00CA77AB">
        <w:rPr>
          <w:sz w:val="24"/>
          <w:szCs w:val="24"/>
        </w:rPr>
        <w:t>. Exeter: Learning Matters.</w:t>
      </w:r>
    </w:p>
    <w:p w14:paraId="493CBDB2" w14:textId="77777777" w:rsidR="00CA77AB" w:rsidRPr="00CA77AB" w:rsidRDefault="00CA77AB" w:rsidP="0045055A">
      <w:pPr>
        <w:spacing w:before="240" w:after="60"/>
        <w:rPr>
          <w:sz w:val="24"/>
          <w:szCs w:val="24"/>
        </w:rPr>
      </w:pPr>
      <w:r w:rsidRPr="00CA77AB">
        <w:rPr>
          <w:sz w:val="24"/>
          <w:szCs w:val="24"/>
        </w:rPr>
        <w:t xml:space="preserve">Thompson, N. (2003) </w:t>
      </w:r>
      <w:r w:rsidRPr="00CA77AB">
        <w:rPr>
          <w:i/>
          <w:iCs/>
          <w:sz w:val="24"/>
          <w:szCs w:val="24"/>
        </w:rPr>
        <w:t>Communication and Language: A Handbook of Theory and Practice</w:t>
      </w:r>
      <w:r w:rsidRPr="00CA77AB">
        <w:rPr>
          <w:sz w:val="24"/>
          <w:szCs w:val="24"/>
        </w:rPr>
        <w:t xml:space="preserve">. 2nd </w:t>
      </w:r>
      <w:proofErr w:type="spellStart"/>
      <w:r w:rsidRPr="00CA77AB">
        <w:rPr>
          <w:sz w:val="24"/>
          <w:szCs w:val="24"/>
        </w:rPr>
        <w:t>edn</w:t>
      </w:r>
      <w:proofErr w:type="spellEnd"/>
      <w:r w:rsidRPr="00CA77AB">
        <w:rPr>
          <w:sz w:val="24"/>
          <w:szCs w:val="24"/>
        </w:rPr>
        <w:t>. London: Palgrave Macmillan.</w:t>
      </w:r>
    </w:p>
    <w:p w14:paraId="3A462A42" w14:textId="77777777" w:rsidR="00CA77AB" w:rsidRPr="00CA77AB" w:rsidRDefault="00CA77AB" w:rsidP="0045055A">
      <w:pPr>
        <w:spacing w:before="240" w:after="60"/>
        <w:rPr>
          <w:sz w:val="24"/>
          <w:szCs w:val="24"/>
        </w:rPr>
      </w:pPr>
      <w:r w:rsidRPr="00CA77AB">
        <w:rPr>
          <w:sz w:val="24"/>
          <w:szCs w:val="24"/>
        </w:rPr>
        <w:t xml:space="preserve">Thompson, N. (2024) </w:t>
      </w:r>
      <w:r w:rsidRPr="00CA77AB">
        <w:rPr>
          <w:i/>
          <w:iCs/>
          <w:sz w:val="24"/>
          <w:szCs w:val="24"/>
        </w:rPr>
        <w:t>Effective Problem Solving</w:t>
      </w:r>
      <w:r w:rsidRPr="00CA77AB">
        <w:rPr>
          <w:sz w:val="24"/>
          <w:szCs w:val="24"/>
        </w:rPr>
        <w:t xml:space="preserve">. 2nd </w:t>
      </w:r>
      <w:proofErr w:type="spellStart"/>
      <w:r w:rsidRPr="00CA77AB">
        <w:rPr>
          <w:sz w:val="24"/>
          <w:szCs w:val="24"/>
        </w:rPr>
        <w:t>edn</w:t>
      </w:r>
      <w:proofErr w:type="spellEnd"/>
      <w:r w:rsidRPr="00CA77AB">
        <w:rPr>
          <w:sz w:val="24"/>
          <w:szCs w:val="24"/>
        </w:rPr>
        <w:t>. London: Routledge. doi:10.4324/9781041055310.</w:t>
      </w:r>
    </w:p>
    <w:p w14:paraId="30D00297" w14:textId="77777777" w:rsidR="00CA77AB" w:rsidRPr="00CA77AB" w:rsidRDefault="00CA77AB" w:rsidP="0045055A">
      <w:pPr>
        <w:spacing w:before="240" w:after="60"/>
        <w:rPr>
          <w:sz w:val="24"/>
          <w:szCs w:val="24"/>
        </w:rPr>
      </w:pPr>
      <w:r w:rsidRPr="00CA77AB">
        <w:rPr>
          <w:sz w:val="24"/>
          <w:szCs w:val="24"/>
        </w:rPr>
        <w:t xml:space="preserve">Trevithick, P. (2005) </w:t>
      </w:r>
      <w:r w:rsidRPr="00CA77AB">
        <w:rPr>
          <w:i/>
          <w:iCs/>
          <w:sz w:val="24"/>
          <w:szCs w:val="24"/>
        </w:rPr>
        <w:t>Social Work Skills: A Practice Handbook</w:t>
      </w:r>
      <w:r w:rsidRPr="00CA77AB">
        <w:rPr>
          <w:sz w:val="24"/>
          <w:szCs w:val="24"/>
        </w:rPr>
        <w:t>. Maidenhead: Open University Press.</w:t>
      </w:r>
    </w:p>
    <w:p w14:paraId="370021D0" w14:textId="77777777" w:rsidR="00CA77AB" w:rsidRPr="00CA77AB" w:rsidRDefault="00CA77AB" w:rsidP="0045055A">
      <w:pPr>
        <w:spacing w:before="240" w:after="60"/>
        <w:rPr>
          <w:sz w:val="24"/>
          <w:szCs w:val="24"/>
        </w:rPr>
      </w:pPr>
      <w:proofErr w:type="spellStart"/>
      <w:r w:rsidRPr="00CA77AB">
        <w:rPr>
          <w:sz w:val="24"/>
          <w:szCs w:val="24"/>
        </w:rPr>
        <w:lastRenderedPageBreak/>
        <w:t>Tustonja</w:t>
      </w:r>
      <w:proofErr w:type="spellEnd"/>
      <w:r w:rsidRPr="00CA77AB">
        <w:rPr>
          <w:sz w:val="24"/>
          <w:szCs w:val="24"/>
        </w:rPr>
        <w:t xml:space="preserve">, M. et al. (2024) ‘Active listening: A model of empathetic communication in the helping professions’, </w:t>
      </w:r>
      <w:r w:rsidRPr="00CA77AB">
        <w:rPr>
          <w:i/>
          <w:iCs/>
          <w:sz w:val="24"/>
          <w:szCs w:val="24"/>
        </w:rPr>
        <w:t xml:space="preserve">Medicina Academica </w:t>
      </w:r>
      <w:proofErr w:type="spellStart"/>
      <w:r w:rsidRPr="00CA77AB">
        <w:rPr>
          <w:i/>
          <w:iCs/>
          <w:sz w:val="24"/>
          <w:szCs w:val="24"/>
        </w:rPr>
        <w:t>Integrativa</w:t>
      </w:r>
      <w:proofErr w:type="spellEnd"/>
      <w:r w:rsidRPr="00CA77AB">
        <w:rPr>
          <w:sz w:val="24"/>
          <w:szCs w:val="24"/>
        </w:rPr>
        <w:t>, 1(1), pp. 42–47 (Accessed: 22 December 2025).</w:t>
      </w:r>
    </w:p>
    <w:p w14:paraId="1B1E02EE" w14:textId="77777777" w:rsidR="00CA77AB" w:rsidRPr="00CA77AB" w:rsidRDefault="00CA77AB" w:rsidP="0045055A">
      <w:pPr>
        <w:spacing w:before="240" w:after="60"/>
        <w:rPr>
          <w:sz w:val="24"/>
          <w:szCs w:val="24"/>
        </w:rPr>
      </w:pPr>
      <w:r w:rsidRPr="00CA77AB">
        <w:rPr>
          <w:sz w:val="24"/>
          <w:szCs w:val="24"/>
        </w:rPr>
        <w:t xml:space="preserve">UK Government in Wales &amp; Government Communications Service (2019) </w:t>
      </w:r>
      <w:r w:rsidRPr="00CA77AB">
        <w:rPr>
          <w:i/>
          <w:iCs/>
          <w:sz w:val="24"/>
          <w:szCs w:val="24"/>
        </w:rPr>
        <w:t>Communicating Bilingually: Guidance for UK Government Departments When Communicating in Wales</w:t>
      </w:r>
      <w:r w:rsidRPr="00CA77AB">
        <w:rPr>
          <w:sz w:val="24"/>
          <w:szCs w:val="24"/>
        </w:rPr>
        <w:t>. Available at: https://assets.publishing.service.gov.uk/government/uploads/system/uploads/attachment_data/file/822901/2019-08-01_WEB_PUB_.pdf (Accessed: 24 February 2026).</w:t>
      </w:r>
    </w:p>
    <w:p w14:paraId="69631A2F" w14:textId="77777777" w:rsidR="00CA77AB" w:rsidRPr="00CA77AB" w:rsidRDefault="00CA77AB" w:rsidP="0045055A">
      <w:pPr>
        <w:spacing w:before="240" w:after="60"/>
        <w:rPr>
          <w:sz w:val="24"/>
          <w:szCs w:val="24"/>
        </w:rPr>
      </w:pPr>
      <w:r w:rsidRPr="00CA77AB">
        <w:rPr>
          <w:sz w:val="24"/>
          <w:szCs w:val="24"/>
        </w:rPr>
        <w:t xml:space="preserve">United Nations Human Rights Council (2025) </w:t>
      </w:r>
      <w:r w:rsidRPr="00CA77AB">
        <w:rPr>
          <w:i/>
          <w:iCs/>
          <w:sz w:val="24"/>
          <w:szCs w:val="24"/>
        </w:rPr>
        <w:t>Resolution Establishing an Intergovernmental Working Group to Draft a UN Convention on the Rights of Older Persons</w:t>
      </w:r>
      <w:r w:rsidRPr="00CA77AB">
        <w:rPr>
          <w:sz w:val="24"/>
          <w:szCs w:val="24"/>
        </w:rPr>
        <w:t>. Available at: https://link.springer.com/article/10.1007/s12062-025-09485-w (Accessed: 24 February 2026).</w:t>
      </w:r>
    </w:p>
    <w:p w14:paraId="19F05FFB" w14:textId="77777777" w:rsidR="00CA77AB" w:rsidRPr="00CA77AB" w:rsidRDefault="00CA77AB" w:rsidP="0045055A">
      <w:pPr>
        <w:spacing w:before="240" w:after="60"/>
        <w:rPr>
          <w:sz w:val="24"/>
          <w:szCs w:val="24"/>
        </w:rPr>
      </w:pPr>
      <w:r w:rsidRPr="00CA77AB">
        <w:rPr>
          <w:sz w:val="24"/>
          <w:szCs w:val="24"/>
        </w:rPr>
        <w:t xml:space="preserve">USAID (2023) </w:t>
      </w:r>
      <w:r w:rsidRPr="00CA77AB">
        <w:rPr>
          <w:i/>
          <w:iCs/>
          <w:sz w:val="24"/>
          <w:szCs w:val="24"/>
        </w:rPr>
        <w:t>Trauma</w:t>
      </w:r>
      <w:r w:rsidRPr="00CA77AB">
        <w:rPr>
          <w:i/>
          <w:iCs/>
          <w:sz w:val="24"/>
          <w:szCs w:val="24"/>
        </w:rPr>
        <w:noBreakHyphen/>
        <w:t>Informed Approaches in Global Mental Health</w:t>
      </w:r>
      <w:r w:rsidRPr="00CA77AB">
        <w:rPr>
          <w:sz w:val="24"/>
          <w:szCs w:val="24"/>
        </w:rPr>
        <w:t>. Available at: https://mhpssknowledgehub.sph.cuny.edu/wp-content/uploads/sites/9/2024/04/PA0215Z8.pdf (Accessed: 24 February 2026).</w:t>
      </w:r>
    </w:p>
    <w:p w14:paraId="359EF108" w14:textId="77777777" w:rsidR="00CA77AB" w:rsidRPr="00CA77AB" w:rsidRDefault="00CA77AB" w:rsidP="0045055A">
      <w:pPr>
        <w:spacing w:before="240" w:after="60"/>
        <w:rPr>
          <w:sz w:val="24"/>
          <w:szCs w:val="24"/>
        </w:rPr>
      </w:pPr>
      <w:r w:rsidRPr="00CA77AB">
        <w:rPr>
          <w:sz w:val="24"/>
          <w:szCs w:val="24"/>
        </w:rPr>
        <w:t xml:space="preserve">Violence Against Women, Domestic Abuse and Sexual Violence (Wales) Act 2015, </w:t>
      </w:r>
      <w:proofErr w:type="spellStart"/>
      <w:r w:rsidRPr="00CA77AB">
        <w:rPr>
          <w:sz w:val="24"/>
          <w:szCs w:val="24"/>
        </w:rPr>
        <w:t>anaw</w:t>
      </w:r>
      <w:proofErr w:type="spellEnd"/>
      <w:r w:rsidRPr="00CA77AB">
        <w:rPr>
          <w:sz w:val="24"/>
          <w:szCs w:val="24"/>
        </w:rPr>
        <w:t xml:space="preserve"> 3. Available at: https://www.legislation.gov.uk/anaw/2015/3/contents (Accessed: 24 February 2026).</w:t>
      </w:r>
    </w:p>
    <w:p w14:paraId="2D91995F" w14:textId="77777777" w:rsidR="00CA77AB" w:rsidRPr="00CA77AB" w:rsidRDefault="00CA77AB" w:rsidP="0045055A">
      <w:pPr>
        <w:spacing w:before="240" w:after="60"/>
        <w:rPr>
          <w:sz w:val="24"/>
          <w:szCs w:val="24"/>
        </w:rPr>
      </w:pPr>
      <w:r w:rsidRPr="00CA77AB">
        <w:rPr>
          <w:sz w:val="24"/>
          <w:szCs w:val="24"/>
        </w:rPr>
        <w:t xml:space="preserve">Wahab, S. (2005) ‘Motivational interviewing and social work practice’, </w:t>
      </w:r>
      <w:r w:rsidRPr="00CA77AB">
        <w:rPr>
          <w:i/>
          <w:iCs/>
          <w:sz w:val="24"/>
          <w:szCs w:val="24"/>
        </w:rPr>
        <w:t>Journal of Social Work</w:t>
      </w:r>
      <w:r w:rsidRPr="00CA77AB">
        <w:rPr>
          <w:sz w:val="24"/>
          <w:szCs w:val="24"/>
        </w:rPr>
        <w:t>, 5(1), pp. 45–60. doi:10.1177/1468017305051365.</w:t>
      </w:r>
    </w:p>
    <w:p w14:paraId="45B5A6B5" w14:textId="77777777" w:rsidR="00CA77AB" w:rsidRPr="00CA77AB" w:rsidRDefault="00CA77AB" w:rsidP="0045055A">
      <w:pPr>
        <w:spacing w:before="240" w:after="60"/>
        <w:rPr>
          <w:sz w:val="24"/>
          <w:szCs w:val="24"/>
        </w:rPr>
      </w:pPr>
      <w:r w:rsidRPr="00CA77AB">
        <w:rPr>
          <w:sz w:val="24"/>
          <w:szCs w:val="24"/>
        </w:rPr>
        <w:t>Walker, A. et al. (2020) ‘Male victims of female</w:t>
      </w:r>
      <w:r w:rsidRPr="00CA77AB">
        <w:rPr>
          <w:sz w:val="24"/>
          <w:szCs w:val="24"/>
        </w:rPr>
        <w:noBreakHyphen/>
        <w:t>perpetrated intimate partner violence: Help</w:t>
      </w:r>
      <w:r w:rsidRPr="00CA77AB">
        <w:rPr>
          <w:sz w:val="24"/>
          <w:szCs w:val="24"/>
        </w:rPr>
        <w:noBreakHyphen/>
        <w:t xml:space="preserve">seeking and reporting behaviours’, </w:t>
      </w:r>
      <w:r w:rsidRPr="00CA77AB">
        <w:rPr>
          <w:i/>
          <w:iCs/>
          <w:sz w:val="24"/>
          <w:szCs w:val="24"/>
        </w:rPr>
        <w:t>Psychology of Men &amp; Masculinities</w:t>
      </w:r>
      <w:r w:rsidRPr="00CA77AB">
        <w:rPr>
          <w:sz w:val="24"/>
          <w:szCs w:val="24"/>
        </w:rPr>
        <w:t>, 21(2), p. 213.</w:t>
      </w:r>
    </w:p>
    <w:p w14:paraId="64C93562" w14:textId="77777777" w:rsidR="00CA77AB" w:rsidRPr="00CA77AB" w:rsidRDefault="00CA77AB" w:rsidP="0045055A">
      <w:pPr>
        <w:spacing w:before="240" w:after="60"/>
        <w:rPr>
          <w:sz w:val="24"/>
          <w:szCs w:val="24"/>
        </w:rPr>
      </w:pPr>
      <w:r w:rsidRPr="00CA77AB">
        <w:rPr>
          <w:sz w:val="24"/>
          <w:szCs w:val="24"/>
        </w:rPr>
        <w:t xml:space="preserve">Welsh Government (2012) </w:t>
      </w:r>
      <w:r w:rsidRPr="00CA77AB">
        <w:rPr>
          <w:i/>
          <w:iCs/>
          <w:sz w:val="24"/>
          <w:szCs w:val="24"/>
        </w:rPr>
        <w:t>More Than Just Words: Five Year Plan 2022–27</w:t>
      </w:r>
      <w:r w:rsidRPr="00CA77AB">
        <w:rPr>
          <w:sz w:val="24"/>
          <w:szCs w:val="24"/>
        </w:rPr>
        <w:t>. Available at: https://www.gov.wales/sites/default/files/publications/2022-07/more-than-just-words-action-plan-2022-2027.pdf (Accessed: 8 December 2025).</w:t>
      </w:r>
    </w:p>
    <w:p w14:paraId="1611E352" w14:textId="77777777" w:rsidR="00CA77AB" w:rsidRPr="00CA77AB" w:rsidRDefault="00CA77AB" w:rsidP="0045055A">
      <w:pPr>
        <w:spacing w:before="240" w:after="60"/>
        <w:rPr>
          <w:sz w:val="24"/>
          <w:szCs w:val="24"/>
        </w:rPr>
      </w:pPr>
      <w:r w:rsidRPr="00CA77AB">
        <w:rPr>
          <w:sz w:val="24"/>
          <w:szCs w:val="24"/>
        </w:rPr>
        <w:t xml:space="preserve">Welsh Government (2015) </w:t>
      </w:r>
      <w:r w:rsidRPr="00CA77AB">
        <w:rPr>
          <w:i/>
          <w:iCs/>
          <w:sz w:val="24"/>
          <w:szCs w:val="24"/>
        </w:rPr>
        <w:t>Delivering the “Active Offer” Information Pack – Social Services and Social Care</w:t>
      </w:r>
      <w:r w:rsidRPr="00CA77AB">
        <w:rPr>
          <w:sz w:val="24"/>
          <w:szCs w:val="24"/>
        </w:rPr>
        <w:t>. Available at: https://www.gov.wales/sites/default/files/publications/2019-04/delivering-the-active-offer-information-pack-social-services-and-social-care.pdf (Accessed: 8 December 2025).</w:t>
      </w:r>
    </w:p>
    <w:p w14:paraId="474A77C9" w14:textId="77777777" w:rsidR="00CA77AB" w:rsidRPr="00CA77AB" w:rsidRDefault="00CA77AB" w:rsidP="0045055A">
      <w:pPr>
        <w:spacing w:before="240" w:after="60"/>
        <w:rPr>
          <w:sz w:val="24"/>
          <w:szCs w:val="24"/>
        </w:rPr>
      </w:pPr>
      <w:r w:rsidRPr="00CA77AB">
        <w:rPr>
          <w:sz w:val="24"/>
          <w:szCs w:val="24"/>
        </w:rPr>
        <w:t xml:space="preserve">Welsh Government (2018) </w:t>
      </w:r>
      <w:r w:rsidRPr="00CA77AB">
        <w:rPr>
          <w:i/>
          <w:iCs/>
          <w:sz w:val="24"/>
          <w:szCs w:val="24"/>
        </w:rPr>
        <w:t>Working Together to Safeguard People: Volume 6 – Handling Individual Cases to Protect Adults at Risk</w:t>
      </w:r>
      <w:r w:rsidRPr="00CA77AB">
        <w:rPr>
          <w:sz w:val="24"/>
          <w:szCs w:val="24"/>
        </w:rPr>
        <w:t>. Cardiff: Welsh Government. Available at: https://www.gov.wales/sites/default/files/publications/2019-06/volume-6-handling-individual-cases-to-protect-adults-at-risk.pdf (Accessed: 23 February 2026).</w:t>
      </w:r>
    </w:p>
    <w:p w14:paraId="0EE2404D" w14:textId="77777777" w:rsidR="00CA77AB" w:rsidRPr="00CA77AB" w:rsidRDefault="00CA77AB" w:rsidP="0045055A">
      <w:pPr>
        <w:spacing w:before="240" w:after="60"/>
        <w:rPr>
          <w:sz w:val="24"/>
          <w:szCs w:val="24"/>
        </w:rPr>
      </w:pPr>
      <w:r w:rsidRPr="00CA77AB">
        <w:rPr>
          <w:sz w:val="24"/>
          <w:szCs w:val="24"/>
        </w:rPr>
        <w:t xml:space="preserve">Welsh Government (2019) </w:t>
      </w:r>
      <w:r w:rsidRPr="00CA77AB">
        <w:rPr>
          <w:i/>
          <w:iCs/>
          <w:sz w:val="24"/>
          <w:szCs w:val="24"/>
        </w:rPr>
        <w:t>Delivering the “Active Offer” Information Pack – Social Services and Social Care</w:t>
      </w:r>
      <w:r w:rsidRPr="00CA77AB">
        <w:rPr>
          <w:sz w:val="24"/>
          <w:szCs w:val="24"/>
        </w:rPr>
        <w:t>. Cardiff: Welsh Government. Available at: https://www.gov.wales/sites/default/files/publications/2019-04/delivering-the-active-offer-information-pack-social-services-and-social-care.pdf (Accessed: 24 February 2026).</w:t>
      </w:r>
    </w:p>
    <w:p w14:paraId="18C97B21" w14:textId="77777777" w:rsidR="00CA77AB" w:rsidRPr="00CA77AB" w:rsidRDefault="00CA77AB" w:rsidP="0045055A">
      <w:pPr>
        <w:spacing w:before="240" w:after="60"/>
        <w:rPr>
          <w:sz w:val="24"/>
          <w:szCs w:val="24"/>
        </w:rPr>
      </w:pPr>
      <w:r w:rsidRPr="00CA77AB">
        <w:rPr>
          <w:sz w:val="24"/>
          <w:szCs w:val="24"/>
        </w:rPr>
        <w:lastRenderedPageBreak/>
        <w:t xml:space="preserve">Welsh Government (2019) </w:t>
      </w:r>
      <w:r w:rsidRPr="00CA77AB">
        <w:rPr>
          <w:i/>
          <w:iCs/>
          <w:sz w:val="24"/>
          <w:szCs w:val="24"/>
        </w:rPr>
        <w:t>Welsh Index of Multiple Deprivation: 2019 Full Index Update with Ranks</w:t>
      </w:r>
      <w:r w:rsidRPr="00CA77AB">
        <w:rPr>
          <w:sz w:val="24"/>
          <w:szCs w:val="24"/>
        </w:rPr>
        <w:t>. Available at: https://gov.wales (Accessed: 18 December 2025).</w:t>
      </w:r>
    </w:p>
    <w:p w14:paraId="04855A76" w14:textId="77777777" w:rsidR="00CA77AB" w:rsidRPr="00CA77AB" w:rsidRDefault="00CA77AB" w:rsidP="0045055A">
      <w:pPr>
        <w:spacing w:before="240" w:after="60"/>
        <w:rPr>
          <w:sz w:val="24"/>
          <w:szCs w:val="24"/>
        </w:rPr>
      </w:pPr>
      <w:r w:rsidRPr="00CA77AB">
        <w:rPr>
          <w:sz w:val="24"/>
          <w:szCs w:val="24"/>
        </w:rPr>
        <w:t xml:space="preserve">Welsh Government (2025) </w:t>
      </w:r>
      <w:r w:rsidRPr="00CA77AB">
        <w:rPr>
          <w:i/>
          <w:iCs/>
          <w:sz w:val="24"/>
          <w:szCs w:val="24"/>
        </w:rPr>
        <w:t>Welsh Index of Multiple Deprivation (WIMD) 2025 Results Report</w:t>
      </w:r>
      <w:r w:rsidRPr="00CA77AB">
        <w:rPr>
          <w:sz w:val="24"/>
          <w:szCs w:val="24"/>
        </w:rPr>
        <w:t>. Available at: https://www.gov.wales (Accessed: 8 December 2025).</w:t>
      </w:r>
    </w:p>
    <w:p w14:paraId="0AEC208F" w14:textId="77777777" w:rsidR="00CA77AB" w:rsidRPr="00CA77AB" w:rsidRDefault="00CA77AB" w:rsidP="0045055A">
      <w:pPr>
        <w:spacing w:before="240" w:after="60"/>
        <w:rPr>
          <w:sz w:val="24"/>
          <w:szCs w:val="24"/>
        </w:rPr>
      </w:pPr>
      <w:r w:rsidRPr="00CA77AB">
        <w:rPr>
          <w:sz w:val="24"/>
          <w:szCs w:val="24"/>
        </w:rPr>
        <w:t xml:space="preserve">Welsh Government (2014) </w:t>
      </w:r>
      <w:r w:rsidRPr="00CA77AB">
        <w:rPr>
          <w:i/>
          <w:iCs/>
          <w:sz w:val="24"/>
          <w:szCs w:val="24"/>
        </w:rPr>
        <w:t>Social Services and Well</w:t>
      </w:r>
      <w:r w:rsidRPr="00CA77AB">
        <w:rPr>
          <w:i/>
          <w:iCs/>
          <w:sz w:val="24"/>
          <w:szCs w:val="24"/>
        </w:rPr>
        <w:noBreakHyphen/>
        <w:t>being (Wales) Act 2014, Part 3 Code of Practice (Assessing the Needs of Individuals)</w:t>
      </w:r>
      <w:r w:rsidRPr="00CA77AB">
        <w:rPr>
          <w:sz w:val="24"/>
          <w:szCs w:val="24"/>
        </w:rPr>
        <w:t>. Available at: https://www.gov.wales/sites/default/files/publications/2019-05/part-3-code-of-practice-assessing-the-needs-of-individuals.pdf (Accessed: 22 December 2025).</w:t>
      </w:r>
    </w:p>
    <w:p w14:paraId="1FA9D090" w14:textId="77777777" w:rsidR="00CA77AB" w:rsidRPr="00CA77AB" w:rsidRDefault="00CA77AB" w:rsidP="0045055A">
      <w:pPr>
        <w:spacing w:before="240" w:after="60"/>
        <w:rPr>
          <w:sz w:val="24"/>
          <w:szCs w:val="24"/>
        </w:rPr>
      </w:pPr>
      <w:r w:rsidRPr="00CA77AB">
        <w:rPr>
          <w:sz w:val="24"/>
          <w:szCs w:val="24"/>
        </w:rPr>
        <w:t>Welsh Language Measure 2011. Available at: https://law.gov.wales/culture/welsh-language/welsh-language-wales-measure-2011 (Accessed: 8 December 2025).</w:t>
      </w:r>
    </w:p>
    <w:p w14:paraId="614DDAA4" w14:textId="438F3B21" w:rsidR="00FC0334" w:rsidRDefault="00CA77AB" w:rsidP="0045055A">
      <w:pPr>
        <w:spacing w:before="240" w:after="60"/>
        <w:rPr>
          <w:sz w:val="24"/>
          <w:szCs w:val="24"/>
        </w:rPr>
      </w:pPr>
      <w:proofErr w:type="spellStart"/>
      <w:r w:rsidRPr="00CA77AB">
        <w:rPr>
          <w:sz w:val="24"/>
          <w:szCs w:val="24"/>
        </w:rPr>
        <w:t>Wijnen</w:t>
      </w:r>
      <w:proofErr w:type="spellEnd"/>
      <w:r w:rsidRPr="00CA77AB">
        <w:rPr>
          <w:sz w:val="24"/>
          <w:szCs w:val="24"/>
        </w:rPr>
        <w:noBreakHyphen/>
        <w:t>Meijer, M. et al. (2022) ‘Implementing Kolb’s experiential learning cycle by linking real experience, case</w:t>
      </w:r>
      <w:r w:rsidRPr="00CA77AB">
        <w:rPr>
          <w:sz w:val="24"/>
          <w:szCs w:val="24"/>
        </w:rPr>
        <w:noBreakHyphen/>
        <w:t xml:space="preserve">based discussion and simulation’, </w:t>
      </w:r>
      <w:r w:rsidRPr="00CA77AB">
        <w:rPr>
          <w:i/>
          <w:iCs/>
          <w:sz w:val="24"/>
          <w:szCs w:val="24"/>
        </w:rPr>
        <w:t>Journal of Medical Education and Curricular Development</w:t>
      </w:r>
      <w:r w:rsidRPr="00CA77AB">
        <w:rPr>
          <w:sz w:val="24"/>
          <w:szCs w:val="24"/>
        </w:rPr>
        <w:t>, 9, p. 23821205221091511. doi:10.1177/23821205221091511.</w:t>
      </w:r>
      <w:bookmarkEnd w:id="0"/>
    </w:p>
    <w:p w14:paraId="62B894F9" w14:textId="77777777" w:rsidR="007F1199" w:rsidRDefault="007F1199" w:rsidP="007F1199">
      <w:pPr>
        <w:keepNext/>
        <w:spacing w:before="240" w:after="60"/>
        <w:rPr>
          <w:sz w:val="24"/>
          <w:szCs w:val="24"/>
        </w:rPr>
      </w:pPr>
    </w:p>
    <w:p w14:paraId="23DA3E7B" w14:textId="77777777" w:rsidR="007F1199" w:rsidRDefault="007F1199" w:rsidP="007F1199">
      <w:pPr>
        <w:keepNext/>
        <w:spacing w:before="240" w:after="60"/>
        <w:rPr>
          <w:sz w:val="24"/>
          <w:szCs w:val="24"/>
        </w:rPr>
      </w:pPr>
    </w:p>
    <w:p w14:paraId="1E974729" w14:textId="77777777" w:rsidR="007F1199" w:rsidRDefault="007F1199" w:rsidP="007F1199">
      <w:pPr>
        <w:keepNext/>
        <w:spacing w:before="240" w:after="60"/>
        <w:rPr>
          <w:sz w:val="24"/>
          <w:szCs w:val="24"/>
        </w:rPr>
      </w:pPr>
    </w:p>
    <w:p w14:paraId="6D574119" w14:textId="77777777" w:rsidR="007F1199" w:rsidRDefault="007F1199" w:rsidP="007F1199">
      <w:pPr>
        <w:keepNext/>
        <w:spacing w:before="240" w:after="60"/>
        <w:rPr>
          <w:sz w:val="24"/>
          <w:szCs w:val="24"/>
        </w:rPr>
      </w:pPr>
    </w:p>
    <w:p w14:paraId="30200D07" w14:textId="77777777" w:rsidR="007F1199" w:rsidRDefault="007F1199" w:rsidP="007F1199">
      <w:pPr>
        <w:keepNext/>
        <w:spacing w:before="240" w:after="60"/>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F53B1DF" w:rsidR="00E559CE" w:rsidRPr="00B17FA0" w:rsidRDefault="00490139" w:rsidP="00B94443">
            <w:pPr>
              <w:jc w:val="both"/>
              <w:rPr>
                <w:sz w:val="24"/>
                <w:szCs w:val="24"/>
              </w:rPr>
            </w:pPr>
            <w:r>
              <w:rPr>
                <w:sz w:val="24"/>
                <w:szCs w:val="24"/>
              </w:rPr>
              <w:t>16/10/2024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DC6BA66" w:rsidR="00E559CE" w:rsidRPr="00B17FA0" w:rsidRDefault="00490139" w:rsidP="00B94443">
            <w:pPr>
              <w:jc w:val="both"/>
              <w:rPr>
                <w:sz w:val="24"/>
                <w:szCs w:val="24"/>
              </w:rPr>
            </w:pPr>
            <w:r>
              <w:rPr>
                <w:sz w:val="24"/>
                <w:szCs w:val="24"/>
              </w:rPr>
              <w:t>22/11/2024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5E513890" w:rsidR="00E559CE" w:rsidRPr="00B17FA0" w:rsidRDefault="00B80593" w:rsidP="00B94443">
            <w:pPr>
              <w:jc w:val="both"/>
              <w:rPr>
                <w:sz w:val="24"/>
                <w:szCs w:val="24"/>
              </w:rPr>
            </w:pPr>
            <w:r>
              <w:rPr>
                <w:sz w:val="24"/>
                <w:szCs w:val="24"/>
              </w:rPr>
              <w:t>23/01/2025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F53D42B" w:rsidR="00E559CE" w:rsidRPr="00B17FA0" w:rsidRDefault="00B80593" w:rsidP="00B94443">
            <w:pPr>
              <w:jc w:val="both"/>
              <w:rPr>
                <w:sz w:val="24"/>
                <w:szCs w:val="24"/>
              </w:rPr>
            </w:pPr>
            <w:r>
              <w:rPr>
                <w:sz w:val="24"/>
                <w:szCs w:val="24"/>
              </w:rPr>
              <w:t>26/06/2025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230BA524" w14:textId="77777777" w:rsidR="006C583F" w:rsidRDefault="006C583F" w:rsidP="006C583F">
            <w:pPr>
              <w:rPr>
                <w:sz w:val="24"/>
                <w:szCs w:val="24"/>
              </w:rPr>
            </w:pPr>
            <w:r w:rsidRPr="006C583F">
              <w:rPr>
                <w:sz w:val="24"/>
                <w:szCs w:val="24"/>
              </w:rPr>
              <w:t xml:space="preserve">Carolanne has consistently demonstrated a high standard of professional practice. Her communication skills are </w:t>
            </w:r>
            <w:proofErr w:type="gramStart"/>
            <w:r w:rsidRPr="006C583F">
              <w:rPr>
                <w:sz w:val="24"/>
                <w:szCs w:val="24"/>
              </w:rPr>
              <w:t>excellent ,</w:t>
            </w:r>
            <w:proofErr w:type="gramEnd"/>
            <w:r w:rsidRPr="006C583F">
              <w:rPr>
                <w:sz w:val="24"/>
                <w:szCs w:val="24"/>
              </w:rPr>
              <w:t xml:space="preserve"> showing sensitivity and adaptability when engaging with individuals with diverse needs. She is confident and effective both verbally and in writing, and consistently applies the principles of linguistic sensitivity, including the use of the Active Offer.</w:t>
            </w:r>
          </w:p>
          <w:p w14:paraId="0F3130F3" w14:textId="77777777" w:rsidR="006C583F" w:rsidRPr="006C583F" w:rsidRDefault="006C583F" w:rsidP="006C583F">
            <w:pPr>
              <w:rPr>
                <w:sz w:val="24"/>
                <w:szCs w:val="24"/>
              </w:rPr>
            </w:pPr>
          </w:p>
          <w:p w14:paraId="10CB29A0" w14:textId="77777777" w:rsidR="006C583F" w:rsidRPr="006C583F" w:rsidRDefault="006C583F" w:rsidP="006C583F">
            <w:pPr>
              <w:rPr>
                <w:sz w:val="24"/>
                <w:szCs w:val="24"/>
              </w:rPr>
            </w:pPr>
            <w:r w:rsidRPr="006C583F">
              <w:rPr>
                <w:sz w:val="24"/>
                <w:szCs w:val="24"/>
              </w:rPr>
              <w:t>Her approach is rooted in non-oppressive practice, and she actively promotes the rights and dignity of those she supports. Carolanne builds trusting relationships with citizens, using a person-centred approach that respects autonomy and cultural identity. Carolanne works diligently to ensure that the needs of the individual remain central in all her interventions in accordance with the Social Services and Well-being (Wales) Act 2014</w:t>
            </w:r>
          </w:p>
          <w:p w14:paraId="5D08A6E8" w14:textId="77777777" w:rsidR="006C583F" w:rsidRPr="006C583F" w:rsidRDefault="006C583F" w:rsidP="006C583F">
            <w:pPr>
              <w:rPr>
                <w:sz w:val="24"/>
                <w:szCs w:val="24"/>
              </w:rPr>
            </w:pPr>
          </w:p>
          <w:p w14:paraId="2FF7EC92" w14:textId="77777777" w:rsidR="006C583F" w:rsidRPr="006C583F" w:rsidRDefault="006C583F" w:rsidP="006C583F">
            <w:pPr>
              <w:rPr>
                <w:sz w:val="24"/>
                <w:szCs w:val="24"/>
              </w:rPr>
            </w:pPr>
            <w:r w:rsidRPr="006C583F">
              <w:rPr>
                <w:sz w:val="24"/>
                <w:szCs w:val="24"/>
              </w:rPr>
              <w:t xml:space="preserve">She has a strong working knowledge of relevant legislative frameworks and applies this understanding to inform her decision-making and interventions. Carolanne integrates research into her practice, demonstrating a commitment to evidence-based approaches and continuous learning. </w:t>
            </w:r>
          </w:p>
          <w:p w14:paraId="553B7228" w14:textId="77777777" w:rsidR="006C583F" w:rsidRPr="006C583F" w:rsidRDefault="006C583F" w:rsidP="006C583F">
            <w:pPr>
              <w:rPr>
                <w:sz w:val="24"/>
                <w:szCs w:val="24"/>
              </w:rPr>
            </w:pPr>
          </w:p>
          <w:p w14:paraId="64974F8E" w14:textId="77777777" w:rsidR="006C583F" w:rsidRPr="006C583F" w:rsidRDefault="006C583F" w:rsidP="006C583F">
            <w:pPr>
              <w:rPr>
                <w:sz w:val="24"/>
                <w:szCs w:val="24"/>
              </w:rPr>
            </w:pPr>
            <w:r w:rsidRPr="006C583F">
              <w:rPr>
                <w:sz w:val="24"/>
                <w:szCs w:val="24"/>
              </w:rPr>
              <w:t>Her record keeping is accurate, timely, and reflective of her analytical thinking. She exercises sound professional judgment, particularly in complex cases, and engages in critical reflection both independently and during supervision. Her ability to manage safeguarding concerns and support adults at risk is handled with professionalism and care, always prioritising the safety and wellbeing of individuals.</w:t>
            </w:r>
          </w:p>
          <w:p w14:paraId="1BD3F16D" w14:textId="77777777" w:rsidR="006C583F" w:rsidRPr="006C583F" w:rsidRDefault="006C583F" w:rsidP="006C583F">
            <w:pPr>
              <w:rPr>
                <w:sz w:val="24"/>
                <w:szCs w:val="24"/>
              </w:rPr>
            </w:pPr>
          </w:p>
          <w:p w14:paraId="2CE19939" w14:textId="77777777" w:rsidR="006C583F" w:rsidRPr="006C583F" w:rsidRDefault="006C583F" w:rsidP="006C583F">
            <w:pPr>
              <w:rPr>
                <w:sz w:val="24"/>
                <w:szCs w:val="24"/>
              </w:rPr>
            </w:pPr>
            <w:r w:rsidRPr="006C583F">
              <w:rPr>
                <w:sz w:val="24"/>
                <w:szCs w:val="24"/>
              </w:rPr>
              <w:lastRenderedPageBreak/>
              <w:t>Carolanne works effectively within multidisciplinary teams, contributing meaningfully and collaboratively. She demonstrates professional accountability in all aspects of her role, and her reflective practice shows maturity and a commitment to ethical and effective social work.</w:t>
            </w:r>
          </w:p>
          <w:p w14:paraId="65BFE324" w14:textId="5658730D" w:rsidR="006C583F" w:rsidRPr="006C583F" w:rsidRDefault="006C583F" w:rsidP="006C583F">
            <w:pPr>
              <w:rPr>
                <w:sz w:val="24"/>
                <w:szCs w:val="24"/>
              </w:rPr>
            </w:pPr>
            <w:r w:rsidRPr="006C583F">
              <w:rPr>
                <w:sz w:val="24"/>
                <w:szCs w:val="24"/>
              </w:rPr>
              <w:t>Carolanne is a</w:t>
            </w:r>
            <w:r w:rsidR="00583D62">
              <w:rPr>
                <w:sz w:val="24"/>
                <w:szCs w:val="24"/>
              </w:rPr>
              <w:t>n</w:t>
            </w:r>
            <w:r w:rsidRPr="006C583F">
              <w:rPr>
                <w:sz w:val="24"/>
                <w:szCs w:val="24"/>
              </w:rPr>
              <w:t xml:space="preserve"> excellent practitioner whose skills, values, and dedication make her a valuable asset to the profession. Her professional confidence and maturity make her seem a more experienced practitioner than she actually is. I am confident that Carolanne will continue to develop her professional ability as she some becomes more experienced and her confidence continues to grow.</w:t>
            </w: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7272EF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90139">
        <w:rPr>
          <w:b/>
          <w:sz w:val="24"/>
          <w:szCs w:val="24"/>
        </w:rPr>
        <w:t>Carolanne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97FB61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90139">
        <w:rPr>
          <w:b/>
          <w:sz w:val="24"/>
          <w:szCs w:val="24"/>
        </w:rPr>
        <w:t xml:space="preserve"> 2416352</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03C6C2F1" w14:textId="2D89C215" w:rsidR="00490139" w:rsidRPr="008B28E7" w:rsidRDefault="0049013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11 chestnut grove, </w:t>
      </w:r>
      <w:proofErr w:type="spellStart"/>
      <w:r>
        <w:rPr>
          <w:b/>
          <w:sz w:val="24"/>
          <w:szCs w:val="24"/>
        </w:rPr>
        <w:t>Maesteg</w:t>
      </w:r>
      <w:proofErr w:type="spellEnd"/>
      <w:r>
        <w:rPr>
          <w:b/>
          <w:sz w:val="24"/>
          <w:szCs w:val="24"/>
        </w:rPr>
        <w:t>, cf34 0nt</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50BDD1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90139">
        <w:rPr>
          <w:b/>
          <w:sz w:val="24"/>
          <w:szCs w:val="24"/>
        </w:rPr>
        <w:t xml:space="preserve"> 07957658903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7CC420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90139">
        <w:rPr>
          <w:b/>
          <w:sz w:val="24"/>
          <w:szCs w:val="24"/>
        </w:rPr>
        <w:t xml:space="preserve"> carolannejns@googlemail.com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79B59B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490139">
        <w:rPr>
          <w:b/>
          <w:sz w:val="24"/>
          <w:szCs w:val="24"/>
        </w:rPr>
        <w:t>July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3C9FFA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90139">
        <w:rPr>
          <w:b/>
          <w:sz w:val="24"/>
          <w:szCs w:val="24"/>
        </w:rPr>
        <w:t xml:space="preserve"> 25/09/2023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1ED5C0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90139">
        <w:rPr>
          <w:b/>
          <w:sz w:val="24"/>
          <w:szCs w:val="24"/>
        </w:rPr>
        <w:t xml:space="preserve"> Afan network Team</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5F2160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490139">
        <w:rPr>
          <w:b/>
          <w:sz w:val="24"/>
          <w:szCs w:val="24"/>
        </w:rPr>
        <w:t xml:space="preserve"> Afan network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69534A79" w14:textId="23307F39" w:rsidR="00490139" w:rsidRDefault="0049013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Port Talbot Resource centre</w:t>
      </w:r>
    </w:p>
    <w:p w14:paraId="4BC737DD" w14:textId="68707986" w:rsidR="00490139" w:rsidRDefault="0049013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Moor road, port talbot</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342698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490139">
        <w:rPr>
          <w:b/>
          <w:sz w:val="24"/>
          <w:szCs w:val="24"/>
        </w:rPr>
        <w:t xml:space="preserve"> 01639685660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BB071AB"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90139">
        <w:rPr>
          <w:b/>
          <w:sz w:val="24"/>
          <w:szCs w:val="24"/>
        </w:rPr>
        <w:t>afandutyhub@npt.gov.uk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35BC39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sidRPr="00490139">
        <w:rPr>
          <w:b/>
          <w:sz w:val="24"/>
          <w:szCs w:val="24"/>
          <w:highlight w:val="yellow"/>
        </w:rPr>
        <w:t>English</w:t>
      </w:r>
      <w:proofErr w:type="spellEnd"/>
      <w:r w:rsidRPr="00490139">
        <w:rPr>
          <w:b/>
          <w:sz w:val="24"/>
          <w:szCs w:val="24"/>
          <w:highlight w:val="yellow"/>
        </w:rPr>
        <w:t xml:space="preserve"> only </w:t>
      </w:r>
      <w:r w:rsidR="00490139" w:rsidRPr="00490139">
        <w:rPr>
          <w:b/>
          <w:sz w:val="24"/>
          <w:szCs w:val="24"/>
          <w:highlight w:val="yellow"/>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F1C35D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90139">
        <w:rPr>
          <w:b/>
          <w:sz w:val="24"/>
          <w:szCs w:val="24"/>
        </w:rPr>
        <w:t xml:space="preserve"> Garry Davies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2E63F2A8" w14:textId="77777777" w:rsidR="00490139" w:rsidRDefault="00490139" w:rsidP="0049013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Port Talbot Resource centre</w:t>
      </w:r>
    </w:p>
    <w:p w14:paraId="4B60E1E2" w14:textId="77777777" w:rsidR="00490139" w:rsidRDefault="00490139" w:rsidP="00490139">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Moor road, port talbot</w:t>
      </w:r>
    </w:p>
    <w:p w14:paraId="5EC6868C" w14:textId="77777777" w:rsidR="00490139" w:rsidRDefault="00490139" w:rsidP="00490139">
      <w:pPr>
        <w:pBdr>
          <w:top w:val="single" w:sz="6" w:space="1" w:color="auto"/>
          <w:left w:val="single" w:sz="6" w:space="1" w:color="auto"/>
          <w:bottom w:val="single" w:sz="6" w:space="1" w:color="auto"/>
          <w:right w:val="single" w:sz="6" w:space="1" w:color="auto"/>
        </w:pBdr>
        <w:jc w:val="both"/>
        <w:rPr>
          <w:b/>
          <w:sz w:val="24"/>
          <w:szCs w:val="24"/>
        </w:rPr>
      </w:pPr>
    </w:p>
    <w:p w14:paraId="1C536FED" w14:textId="1E81FE9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490139">
        <w:rPr>
          <w:b/>
          <w:sz w:val="24"/>
          <w:szCs w:val="24"/>
        </w:rPr>
        <w:t xml:space="preserve"> 07813565618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AA7A2B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E-Mail address:</w:t>
      </w:r>
      <w:r w:rsidR="00490139">
        <w:rPr>
          <w:b/>
          <w:sz w:val="24"/>
          <w:szCs w:val="24"/>
        </w:rPr>
        <w:t xml:space="preserve"> g.davies1@npt.gov.uk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7777777" w:rsidR="004923DA" w:rsidRDefault="004923DA" w:rsidP="00FF7EBB">
            <w:pPr>
              <w:jc w:val="both"/>
              <w:rPr>
                <w:b/>
                <w:sz w:val="24"/>
                <w:szCs w:val="24"/>
              </w:rPr>
            </w:pPr>
            <w:r w:rsidRPr="008B28E7">
              <w:rPr>
                <w:b/>
                <w:sz w:val="24"/>
                <w:szCs w:val="24"/>
              </w:rPr>
              <w:t>Name:</w:t>
            </w:r>
          </w:p>
          <w:p w14:paraId="4EF4A770" w14:textId="0EDD0C4A" w:rsidR="004923DA" w:rsidRPr="008B28E7" w:rsidRDefault="00D93E10" w:rsidP="00FF7EBB">
            <w:pPr>
              <w:jc w:val="both"/>
              <w:rPr>
                <w:b/>
                <w:sz w:val="24"/>
                <w:szCs w:val="24"/>
              </w:rPr>
            </w:pPr>
            <w:r>
              <w:rPr>
                <w:b/>
                <w:sz w:val="24"/>
                <w:szCs w:val="24"/>
              </w:rPr>
              <w:t xml:space="preserve">Chantelle Thomas </w:t>
            </w:r>
          </w:p>
          <w:p w14:paraId="1AC8522D" w14:textId="6FAFB4FD" w:rsidR="004923DA" w:rsidRDefault="004923DA" w:rsidP="00FF7EBB">
            <w:pPr>
              <w:jc w:val="both"/>
              <w:rPr>
                <w:b/>
                <w:sz w:val="24"/>
                <w:szCs w:val="24"/>
              </w:rPr>
            </w:pPr>
            <w:r w:rsidRPr="008B28E7">
              <w:rPr>
                <w:b/>
                <w:sz w:val="24"/>
                <w:szCs w:val="24"/>
              </w:rPr>
              <w:t xml:space="preserve">Work Address: </w:t>
            </w:r>
          </w:p>
          <w:p w14:paraId="7EFA06EC" w14:textId="77777777" w:rsidR="00D93E10" w:rsidRPr="00D93E10" w:rsidRDefault="00D93E10" w:rsidP="00D93E10">
            <w:pPr>
              <w:jc w:val="both"/>
              <w:rPr>
                <w:b/>
                <w:sz w:val="24"/>
                <w:szCs w:val="24"/>
              </w:rPr>
            </w:pPr>
            <w:r w:rsidRPr="00D93E10">
              <w:rPr>
                <w:b/>
                <w:sz w:val="24"/>
                <w:szCs w:val="24"/>
              </w:rPr>
              <w:t>Port Talbot Resource centre</w:t>
            </w:r>
          </w:p>
          <w:p w14:paraId="7D47255B" w14:textId="58E87B4D" w:rsidR="00D93E10" w:rsidRDefault="00D93E10" w:rsidP="00D93E10">
            <w:pPr>
              <w:jc w:val="both"/>
              <w:rPr>
                <w:b/>
                <w:sz w:val="24"/>
                <w:szCs w:val="24"/>
              </w:rPr>
            </w:pPr>
            <w:r w:rsidRPr="00D93E10">
              <w:rPr>
                <w:b/>
                <w:sz w:val="24"/>
                <w:szCs w:val="24"/>
              </w:rPr>
              <w:t>Moor road, port talbot</w:t>
            </w:r>
          </w:p>
          <w:p w14:paraId="42BF3097" w14:textId="251E12CC" w:rsidR="009D59C2" w:rsidRDefault="009D59C2" w:rsidP="00FF7EBB">
            <w:pPr>
              <w:jc w:val="both"/>
              <w:rPr>
                <w:b/>
                <w:sz w:val="24"/>
                <w:szCs w:val="24"/>
              </w:rPr>
            </w:pPr>
          </w:p>
          <w:p w14:paraId="6E1CBC17" w14:textId="4ABDA874" w:rsidR="004923DA" w:rsidRDefault="004923DA" w:rsidP="00FF7EBB">
            <w:pPr>
              <w:jc w:val="both"/>
              <w:rPr>
                <w:b/>
                <w:sz w:val="24"/>
                <w:szCs w:val="24"/>
              </w:rPr>
            </w:pPr>
            <w:r w:rsidRPr="008B28E7">
              <w:rPr>
                <w:b/>
                <w:sz w:val="24"/>
                <w:szCs w:val="24"/>
              </w:rPr>
              <w:t>Professional Qualification and date of qualification:</w:t>
            </w:r>
          </w:p>
          <w:p w14:paraId="004DA9ED" w14:textId="2FA45498" w:rsidR="00D93E10" w:rsidRPr="008B28E7" w:rsidRDefault="00D93E10" w:rsidP="00FF7EBB">
            <w:pPr>
              <w:jc w:val="both"/>
              <w:rPr>
                <w:b/>
                <w:sz w:val="24"/>
                <w:szCs w:val="24"/>
              </w:rPr>
            </w:pPr>
            <w:r>
              <w:rPr>
                <w:b/>
                <w:sz w:val="24"/>
                <w:szCs w:val="24"/>
              </w:rPr>
              <w:t>BSc Social Work – August 2016</w:t>
            </w:r>
          </w:p>
          <w:p w14:paraId="5F68A3CF" w14:textId="77777777" w:rsidR="004923DA" w:rsidRDefault="004923DA" w:rsidP="00FF7EBB">
            <w:pPr>
              <w:jc w:val="both"/>
              <w:rPr>
                <w:b/>
                <w:sz w:val="24"/>
                <w:szCs w:val="24"/>
              </w:rPr>
            </w:pPr>
          </w:p>
          <w:p w14:paraId="4C6113F1" w14:textId="363EF4D1" w:rsidR="004923DA" w:rsidRDefault="009D59C2" w:rsidP="00FF7EBB">
            <w:pPr>
              <w:jc w:val="both"/>
              <w:rPr>
                <w:b/>
                <w:sz w:val="24"/>
                <w:szCs w:val="24"/>
              </w:rPr>
            </w:pPr>
            <w:r>
              <w:rPr>
                <w:b/>
                <w:sz w:val="24"/>
                <w:szCs w:val="24"/>
              </w:rPr>
              <w:t>T</w:t>
            </w:r>
            <w:r w:rsidR="004923DA" w:rsidRPr="008B28E7">
              <w:rPr>
                <w:b/>
                <w:sz w:val="24"/>
                <w:szCs w:val="24"/>
              </w:rPr>
              <w:t>elephone number:</w:t>
            </w:r>
            <w:r w:rsidR="00D93E10">
              <w:rPr>
                <w:b/>
                <w:sz w:val="24"/>
                <w:szCs w:val="24"/>
              </w:rPr>
              <w:t xml:space="preserve"> 07816999116</w:t>
            </w:r>
          </w:p>
          <w:p w14:paraId="0BB87919" w14:textId="548A11EF" w:rsidR="009D59C2" w:rsidRDefault="009D59C2" w:rsidP="00FF7EBB">
            <w:pPr>
              <w:jc w:val="both"/>
              <w:rPr>
                <w:b/>
                <w:sz w:val="24"/>
                <w:szCs w:val="24"/>
              </w:rPr>
            </w:pPr>
          </w:p>
          <w:p w14:paraId="4FDEE73F" w14:textId="2EC5463A" w:rsidR="009D59C2" w:rsidRPr="008B28E7" w:rsidRDefault="009D59C2" w:rsidP="00FF7EBB">
            <w:pPr>
              <w:jc w:val="both"/>
              <w:rPr>
                <w:b/>
                <w:sz w:val="24"/>
                <w:szCs w:val="24"/>
              </w:rPr>
            </w:pPr>
            <w:r>
              <w:rPr>
                <w:b/>
                <w:sz w:val="24"/>
                <w:szCs w:val="24"/>
              </w:rPr>
              <w:t>Email address:</w:t>
            </w:r>
            <w:r w:rsidR="00D93E10">
              <w:rPr>
                <w:b/>
                <w:sz w:val="24"/>
                <w:szCs w:val="24"/>
              </w:rPr>
              <w:t xml:space="preserve"> c.thomas21@npt.gov.uk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E3EBC4A"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490139">
        <w:rPr>
          <w:noProof/>
          <w:sz w:val="24"/>
          <w:szCs w:val="24"/>
        </w:rPr>
        <w:drawing>
          <wp:inline distT="0" distB="0" distL="0" distR="0" wp14:anchorId="57CA4D48" wp14:editId="347AC9EB">
            <wp:extent cx="1104900" cy="655706"/>
            <wp:effectExtent l="0" t="0" r="0" b="0"/>
            <wp:docPr id="1363831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831779" name="Picture 136383177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11103" cy="659387"/>
                    </a:xfrm>
                    <a:prstGeom prst="rect">
                      <a:avLst/>
                    </a:prstGeom>
                  </pic:spPr>
                </pic:pic>
              </a:graphicData>
            </a:graphic>
          </wp:inline>
        </w:drawing>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B737EC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90139">
        <w:rPr>
          <w:sz w:val="24"/>
          <w:szCs w:val="24"/>
        </w:rPr>
        <w:t>28/11/202</w:t>
      </w:r>
      <w:r w:rsidR="00D93E10">
        <w:rPr>
          <w:sz w:val="24"/>
          <w:szCs w:val="24"/>
        </w:rPr>
        <w:t>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CAC0D5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D93E10">
        <w:rPr>
          <w:noProof/>
          <w:sz w:val="24"/>
          <w:szCs w:val="24"/>
        </w:rPr>
        <w:drawing>
          <wp:inline distT="0" distB="0" distL="0" distR="0" wp14:anchorId="2F8856EA" wp14:editId="0EFF92A7">
            <wp:extent cx="1501140" cy="908875"/>
            <wp:effectExtent l="0" t="0" r="3810" b="5715"/>
            <wp:docPr id="421033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033177" name="Picture 42103317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1111" cy="920967"/>
                    </a:xfrm>
                    <a:prstGeom prst="rect">
                      <a:avLst/>
                    </a:prstGeom>
                  </pic:spPr>
                </pic:pic>
              </a:graphicData>
            </a:graphic>
          </wp:inline>
        </w:drawing>
      </w:r>
      <w:r w:rsidRPr="008B28E7">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0A168B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93E10">
        <w:rPr>
          <w:sz w:val="24"/>
          <w:szCs w:val="24"/>
        </w:rPr>
        <w:t>27/01/2026</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CC2A9B0" w:rsidR="00335C41" w:rsidRPr="00D3203C" w:rsidRDefault="00335C41" w:rsidP="00335C41">
            <w:pPr>
              <w:ind w:right="180"/>
              <w:jc w:val="both"/>
              <w:rPr>
                <w:sz w:val="24"/>
                <w:szCs w:val="24"/>
              </w:rPr>
            </w:pPr>
            <w:r w:rsidRPr="00D3203C">
              <w:rPr>
                <w:sz w:val="24"/>
                <w:szCs w:val="24"/>
              </w:rPr>
              <w:t>Signed_____</w:t>
            </w:r>
            <w:r w:rsidR="006C583F">
              <w:rPr>
                <w:noProof/>
                <w:sz w:val="24"/>
                <w:szCs w:val="24"/>
              </w:rPr>
              <w:drawing>
                <wp:inline distT="0" distB="0" distL="0" distR="0" wp14:anchorId="7AE0A53D" wp14:editId="03C37741">
                  <wp:extent cx="1420495" cy="585470"/>
                  <wp:effectExtent l="0" t="0" r="8255" b="5080"/>
                  <wp:docPr id="371598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0495" cy="585470"/>
                          </a:xfrm>
                          <a:prstGeom prst="rect">
                            <a:avLst/>
                          </a:prstGeom>
                          <a:noFill/>
                        </pic:spPr>
                      </pic:pic>
                    </a:graphicData>
                  </a:graphic>
                </wp:inline>
              </w:drawing>
            </w:r>
            <w:r w:rsidRPr="00D3203C">
              <w:rPr>
                <w:sz w:val="24"/>
                <w:szCs w:val="24"/>
              </w:rPr>
              <w:t>___________________ (Mentor)</w:t>
            </w:r>
          </w:p>
          <w:p w14:paraId="5D3F0767" w14:textId="77777777" w:rsidR="00335C41" w:rsidRPr="00D3203C" w:rsidRDefault="00335C41" w:rsidP="00335C41">
            <w:pPr>
              <w:ind w:right="180"/>
              <w:jc w:val="both"/>
              <w:rPr>
                <w:sz w:val="24"/>
                <w:szCs w:val="24"/>
              </w:rPr>
            </w:pPr>
          </w:p>
          <w:p w14:paraId="24E1B8A5" w14:textId="391C5FEE" w:rsidR="00335C41" w:rsidRPr="00D3203C" w:rsidRDefault="00335C41" w:rsidP="00335C41">
            <w:pPr>
              <w:ind w:right="180"/>
              <w:jc w:val="both"/>
              <w:rPr>
                <w:sz w:val="24"/>
                <w:szCs w:val="24"/>
              </w:rPr>
            </w:pPr>
            <w:r w:rsidRPr="00D3203C">
              <w:rPr>
                <w:sz w:val="24"/>
                <w:szCs w:val="24"/>
              </w:rPr>
              <w:t>Date _________</w:t>
            </w:r>
            <w:r w:rsidR="006C583F">
              <w:rPr>
                <w:sz w:val="24"/>
                <w:szCs w:val="24"/>
              </w:rPr>
              <w:t>21/0</w:t>
            </w:r>
            <w:r w:rsidR="00D93E10">
              <w:rPr>
                <w:sz w:val="24"/>
                <w:szCs w:val="24"/>
              </w:rPr>
              <w:t>1</w:t>
            </w:r>
            <w:r w:rsidR="006C583F">
              <w:rPr>
                <w:sz w:val="24"/>
                <w:szCs w:val="24"/>
              </w:rPr>
              <w:t>/2026</w:t>
            </w:r>
            <w:r w:rsidRPr="00D3203C">
              <w:rPr>
                <w:sz w:val="24"/>
                <w:szCs w:val="24"/>
              </w:rPr>
              <w:t>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lastRenderedPageBreak/>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0B3F5C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783BA4">
        <w:rPr>
          <w:caps/>
          <w:sz w:val="24"/>
          <w:szCs w:val="24"/>
        </w:rPr>
        <w:t>Richard Evans</w:t>
      </w:r>
    </w:p>
    <w:p w14:paraId="7287DE6D" w14:textId="77777777" w:rsidR="00783BA4" w:rsidRDefault="004923DA" w:rsidP="00783BA4">
      <w:pPr>
        <w:pStyle w:val="NormalWeb"/>
      </w:pPr>
      <w:r w:rsidRPr="008B28E7">
        <w:rPr>
          <w:caps/>
        </w:rPr>
        <w:t>Signature of LINE MANAGER</w:t>
      </w:r>
      <w:r w:rsidR="009D59C2">
        <w:t xml:space="preserve">:  </w:t>
      </w:r>
      <w:r w:rsidR="00B577D3" w:rsidRPr="00B577D3">
        <w:t xml:space="preserve">_ </w:t>
      </w:r>
      <w:r w:rsidR="00783BA4">
        <w:rPr>
          <w:noProof/>
        </w:rPr>
        <w:drawing>
          <wp:inline distT="0" distB="0" distL="0" distR="0" wp14:anchorId="2C4FA14B" wp14:editId="3AA535E0">
            <wp:extent cx="1431581" cy="499068"/>
            <wp:effectExtent l="0" t="0" r="0" b="0"/>
            <wp:docPr id="2"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 up of a signatur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93655" cy="520708"/>
                    </a:xfrm>
                    <a:prstGeom prst="rect">
                      <a:avLst/>
                    </a:prstGeom>
                    <a:noFill/>
                    <a:ln>
                      <a:noFill/>
                    </a:ln>
                  </pic:spPr>
                </pic:pic>
              </a:graphicData>
            </a:graphic>
          </wp:inline>
        </w:drawing>
      </w:r>
    </w:p>
    <w:p w14:paraId="57B2A00A" w14:textId="127995E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783BA4">
        <w:rPr>
          <w:sz w:val="24"/>
          <w:szCs w:val="24"/>
        </w:rPr>
        <w:t>29</w:t>
      </w:r>
      <w:r w:rsidR="00783BA4" w:rsidRPr="00783BA4">
        <w:rPr>
          <w:sz w:val="24"/>
          <w:szCs w:val="24"/>
          <w:vertAlign w:val="superscript"/>
        </w:rPr>
        <w:t>th</w:t>
      </w:r>
      <w:r w:rsidR="00783BA4">
        <w:rPr>
          <w:sz w:val="24"/>
          <w:szCs w:val="24"/>
        </w:rPr>
        <w:t xml:space="preserve"> November 202</w:t>
      </w:r>
      <w:r w:rsidR="00D93E10">
        <w:rPr>
          <w:sz w:val="24"/>
          <w:szCs w:val="24"/>
        </w:rPr>
        <w:t>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D81FB06" w:rsidR="00986C0B" w:rsidRPr="00DA5682" w:rsidRDefault="00490139">
            <w:pPr>
              <w:rPr>
                <w:sz w:val="24"/>
                <w:szCs w:val="24"/>
              </w:rPr>
            </w:pPr>
            <w:r>
              <w:rPr>
                <w:sz w:val="24"/>
                <w:szCs w:val="24"/>
              </w:rPr>
              <w:t>Carolanne Jones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2A7B6DF8" w:rsidR="00986C0B" w:rsidRPr="00DA5682" w:rsidRDefault="00490139">
            <w:pPr>
              <w:rPr>
                <w:sz w:val="24"/>
                <w:szCs w:val="24"/>
              </w:rPr>
            </w:pPr>
            <w:r>
              <w:rPr>
                <w:sz w:val="24"/>
                <w:szCs w:val="24"/>
              </w:rPr>
              <w:t>Afan Network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4B988032" w:rsidR="00986C0B" w:rsidRPr="00DA5682" w:rsidRDefault="00490139">
            <w:pPr>
              <w:rPr>
                <w:sz w:val="24"/>
                <w:szCs w:val="24"/>
              </w:rPr>
            </w:pPr>
            <w:r>
              <w:rPr>
                <w:sz w:val="24"/>
                <w:szCs w:val="24"/>
              </w:rPr>
              <w:t>Garry Davies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1AA129E" w:rsidR="00986C0B" w:rsidRPr="00DA5682" w:rsidRDefault="00420612">
            <w:pPr>
              <w:rPr>
                <w:sz w:val="24"/>
                <w:szCs w:val="24"/>
              </w:rPr>
            </w:pPr>
            <w:r>
              <w:rPr>
                <w:sz w:val="24"/>
                <w:szCs w:val="24"/>
              </w:rPr>
              <w:t>Richard Evans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06C5A126" w:rsidR="00986C0B" w:rsidRPr="00DA5682" w:rsidRDefault="00986C0B" w:rsidP="00986C0B">
      <w:pPr>
        <w:rPr>
          <w:sz w:val="24"/>
          <w:szCs w:val="24"/>
        </w:rPr>
      </w:pPr>
      <w:r w:rsidRPr="00DA5682">
        <w:rPr>
          <w:sz w:val="24"/>
          <w:szCs w:val="24"/>
        </w:rPr>
        <w:t>Signe</w:t>
      </w:r>
      <w:r w:rsidR="00420612">
        <w:rPr>
          <w:sz w:val="24"/>
          <w:szCs w:val="24"/>
        </w:rPr>
        <w:t xml:space="preserve">d: </w:t>
      </w:r>
      <w:r w:rsidR="00420612">
        <w:rPr>
          <w:noProof/>
          <w:sz w:val="24"/>
          <w:szCs w:val="24"/>
        </w:rPr>
        <w:drawing>
          <wp:inline distT="0" distB="0" distL="0" distR="0" wp14:anchorId="024CF048" wp14:editId="1783E998">
            <wp:extent cx="853440" cy="506476"/>
            <wp:effectExtent l="0" t="0" r="3810" b="8255"/>
            <wp:docPr id="12251550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155014" name="Picture 122515501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66484" cy="514217"/>
                    </a:xfrm>
                    <a:prstGeom prst="rect">
                      <a:avLst/>
                    </a:prstGeom>
                  </pic:spPr>
                </pic:pic>
              </a:graphicData>
            </a:graphic>
          </wp:inline>
        </w:drawing>
      </w:r>
      <w:r w:rsidRPr="00DA5682">
        <w:rPr>
          <w:sz w:val="24"/>
          <w:szCs w:val="24"/>
        </w:rPr>
        <w:t xml:space="preserve"> Print Name:</w:t>
      </w:r>
      <w:r w:rsidR="00420612">
        <w:rPr>
          <w:sz w:val="24"/>
          <w:szCs w:val="24"/>
        </w:rPr>
        <w:t xml:space="preserve"> Carolanne </w:t>
      </w:r>
      <w:proofErr w:type="gramStart"/>
      <w:r w:rsidR="00420612">
        <w:rPr>
          <w:sz w:val="24"/>
          <w:szCs w:val="24"/>
        </w:rPr>
        <w:t xml:space="preserve">Jones </w:t>
      </w:r>
      <w:r w:rsidRPr="00DA5682">
        <w:rPr>
          <w:sz w:val="24"/>
          <w:szCs w:val="24"/>
        </w:rPr>
        <w:t xml:space="preserve"> Date</w:t>
      </w:r>
      <w:proofErr w:type="gramEnd"/>
      <w:r w:rsidRPr="00DA5682">
        <w:rPr>
          <w:sz w:val="24"/>
          <w:szCs w:val="24"/>
        </w:rPr>
        <w:t>:</w:t>
      </w:r>
      <w:r w:rsidR="00420612">
        <w:rPr>
          <w:sz w:val="24"/>
          <w:szCs w:val="24"/>
        </w:rPr>
        <w:t xml:space="preserve"> 28/11/202</w:t>
      </w:r>
      <w:r w:rsidR="00D93E10">
        <w:rPr>
          <w:sz w:val="24"/>
          <w:szCs w:val="24"/>
        </w:rPr>
        <w:t>5</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01D2CC98" w:rsidR="00986C0B" w:rsidRPr="00DA5682" w:rsidRDefault="00986C0B" w:rsidP="00783BA4">
      <w:pPr>
        <w:pStyle w:val="NormalWeb"/>
      </w:pPr>
      <w:proofErr w:type="gramStart"/>
      <w:r w:rsidRPr="00DA5682">
        <w:t>Signed:…</w:t>
      </w:r>
      <w:proofErr w:type="gramEnd"/>
      <w:r w:rsidR="00783BA4" w:rsidRPr="00783BA4">
        <w:rPr>
          <w:noProof/>
        </w:rPr>
        <w:t xml:space="preserve"> </w:t>
      </w:r>
      <w:r w:rsidR="00783BA4">
        <w:rPr>
          <w:noProof/>
        </w:rPr>
        <w:drawing>
          <wp:inline distT="0" distB="0" distL="0" distR="0" wp14:anchorId="7A30442B" wp14:editId="7C7B0BE2">
            <wp:extent cx="899630" cy="313623"/>
            <wp:effectExtent l="0" t="0" r="0" b="0"/>
            <wp:docPr id="3" name="Picture 2"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lose up of a signatur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5805" cy="350637"/>
                    </a:xfrm>
                    <a:prstGeom prst="rect">
                      <a:avLst/>
                    </a:prstGeom>
                    <a:noFill/>
                    <a:ln>
                      <a:noFill/>
                    </a:ln>
                  </pic:spPr>
                </pic:pic>
              </a:graphicData>
            </a:graphic>
          </wp:inline>
        </w:drawing>
      </w:r>
      <w:r w:rsidR="00783BA4">
        <w:rPr>
          <w:noProof/>
        </w:rPr>
        <w:t xml:space="preserve">  </w:t>
      </w:r>
      <w:r w:rsidRPr="00DA5682">
        <w:t xml:space="preserve">Print </w:t>
      </w:r>
      <w:proofErr w:type="spellStart"/>
      <w:r w:rsidRPr="00DA5682">
        <w:t>Name:</w:t>
      </w:r>
      <w:r w:rsidR="00783BA4">
        <w:t>Richard</w:t>
      </w:r>
      <w:proofErr w:type="spellEnd"/>
      <w:r w:rsidR="00783BA4">
        <w:t xml:space="preserve"> Evans</w:t>
      </w:r>
      <w:r w:rsidRPr="00DA5682">
        <w:t>…….Date:</w:t>
      </w:r>
      <w:r w:rsidR="00783BA4">
        <w:t>29</w:t>
      </w:r>
      <w:r w:rsidR="00783BA4" w:rsidRPr="00783BA4">
        <w:rPr>
          <w:vertAlign w:val="superscript"/>
        </w:rPr>
        <w:t>th</w:t>
      </w:r>
      <w:r w:rsidR="00783BA4">
        <w:t xml:space="preserve"> November 202</w:t>
      </w:r>
      <w:r w:rsidR="00D93E10">
        <w:t>5</w:t>
      </w:r>
      <w:r w:rsidRPr="00DA5682">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09C9EBAF" w:rsidR="00986C0B" w:rsidRPr="00DA5682" w:rsidRDefault="00986C0B" w:rsidP="00986C0B">
      <w:pPr>
        <w:rPr>
          <w:sz w:val="24"/>
          <w:szCs w:val="24"/>
        </w:rPr>
      </w:pPr>
      <w:proofErr w:type="gramStart"/>
      <w:r w:rsidRPr="00DA5682">
        <w:rPr>
          <w:sz w:val="24"/>
          <w:szCs w:val="24"/>
        </w:rPr>
        <w:t>Signed:…</w:t>
      </w:r>
      <w:proofErr w:type="gramEnd"/>
      <w:r w:rsidR="000A098E">
        <w:rPr>
          <w:noProof/>
          <w:sz w:val="24"/>
          <w:szCs w:val="24"/>
        </w:rPr>
        <w:drawing>
          <wp:inline distT="0" distB="0" distL="0" distR="0" wp14:anchorId="63FF4305" wp14:editId="6D7F212B">
            <wp:extent cx="1221105" cy="4835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32499" cy="488083"/>
                    </a:xfrm>
                    <a:prstGeom prst="rect">
                      <a:avLst/>
                    </a:prstGeom>
                  </pic:spPr>
                </pic:pic>
              </a:graphicData>
            </a:graphic>
          </wp:inline>
        </w:drawing>
      </w:r>
      <w:r w:rsidRPr="00DA5682">
        <w:rPr>
          <w:sz w:val="24"/>
          <w:szCs w:val="24"/>
        </w:rPr>
        <w:t xml:space="preserve">…….. Print </w:t>
      </w:r>
      <w:proofErr w:type="gramStart"/>
      <w:r w:rsidRPr="00DA5682">
        <w:rPr>
          <w:sz w:val="24"/>
          <w:szCs w:val="24"/>
        </w:rPr>
        <w:t>Name:…</w:t>
      </w:r>
      <w:proofErr w:type="gramEnd"/>
      <w:r w:rsidRPr="00DA5682">
        <w:rPr>
          <w:sz w:val="24"/>
          <w:szCs w:val="24"/>
        </w:rPr>
        <w:t>……</w:t>
      </w:r>
      <w:r w:rsidR="000A098E">
        <w:rPr>
          <w:sz w:val="24"/>
          <w:szCs w:val="24"/>
        </w:rPr>
        <w:t>Garry Davies</w:t>
      </w:r>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8"/>
      <w:footerReference w:type="default" r:id="rId1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23563" w14:textId="77777777" w:rsidR="00DE5304" w:rsidRDefault="00DE5304">
      <w:r>
        <w:separator/>
      </w:r>
    </w:p>
  </w:endnote>
  <w:endnote w:type="continuationSeparator" w:id="0">
    <w:p w14:paraId="74B31EA3" w14:textId="77777777" w:rsidR="00DE5304" w:rsidRDefault="00DE5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1D47402F" w:rsidR="00A5656A" w:rsidRDefault="00A5656A">
    <w:pPr>
      <w:pStyle w:val="Footer"/>
      <w:jc w:val="right"/>
    </w:pPr>
    <w:r>
      <w:fldChar w:fldCharType="begin"/>
    </w:r>
    <w:r>
      <w:instrText xml:space="preserve"> PAGE   \* MERGEFORMAT </w:instrText>
    </w:r>
    <w:r>
      <w:fldChar w:fldCharType="separate"/>
    </w:r>
    <w:r w:rsidR="000A098E">
      <w:rPr>
        <w:noProof/>
      </w:rPr>
      <w:t>1</w:t>
    </w:r>
    <w:r w:rsidR="000A098E">
      <w:rPr>
        <w:noProof/>
      </w:rPr>
      <w:t>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E8814" w14:textId="77777777" w:rsidR="00DE5304" w:rsidRDefault="00DE5304">
      <w:r>
        <w:separator/>
      </w:r>
    </w:p>
  </w:footnote>
  <w:footnote w:type="continuationSeparator" w:id="0">
    <w:p w14:paraId="40264FE4" w14:textId="77777777" w:rsidR="00DE5304" w:rsidRDefault="00DE53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47743126">
    <w:abstractNumId w:val="1"/>
    <w:lvlOverride w:ilvl="0">
      <w:lvl w:ilvl="0">
        <w:start w:val="1"/>
        <w:numFmt w:val="bullet"/>
        <w:lvlText w:val=""/>
        <w:lvlJc w:val="left"/>
        <w:pPr>
          <w:ind w:left="720" w:hanging="360"/>
        </w:pPr>
        <w:rPr>
          <w:rFonts w:ascii="Symbol" w:hAnsi="Symbol" w:hint="default"/>
        </w:rPr>
      </w:lvl>
    </w:lvlOverride>
  </w:num>
  <w:num w:numId="2" w16cid:durableId="450052845">
    <w:abstractNumId w:val="22"/>
  </w:num>
  <w:num w:numId="3" w16cid:durableId="1218930849">
    <w:abstractNumId w:val="45"/>
  </w:num>
  <w:num w:numId="4" w16cid:durableId="2076931791">
    <w:abstractNumId w:val="47"/>
  </w:num>
  <w:num w:numId="5" w16cid:durableId="1273324741">
    <w:abstractNumId w:val="34"/>
  </w:num>
  <w:num w:numId="6" w16cid:durableId="2070299400">
    <w:abstractNumId w:val="32"/>
  </w:num>
  <w:num w:numId="7" w16cid:durableId="1244611170">
    <w:abstractNumId w:val="29"/>
  </w:num>
  <w:num w:numId="8" w16cid:durableId="1609698163">
    <w:abstractNumId w:val="30"/>
  </w:num>
  <w:num w:numId="9" w16cid:durableId="912081131">
    <w:abstractNumId w:val="10"/>
  </w:num>
  <w:num w:numId="10" w16cid:durableId="129635836">
    <w:abstractNumId w:val="33"/>
  </w:num>
  <w:num w:numId="11" w16cid:durableId="1769882224">
    <w:abstractNumId w:val="17"/>
  </w:num>
  <w:num w:numId="12" w16cid:durableId="890309790">
    <w:abstractNumId w:val="16"/>
  </w:num>
  <w:num w:numId="13" w16cid:durableId="914322607">
    <w:abstractNumId w:val="27"/>
  </w:num>
  <w:num w:numId="14" w16cid:durableId="2133206114">
    <w:abstractNumId w:val="8"/>
  </w:num>
  <w:num w:numId="15" w16cid:durableId="1031565668">
    <w:abstractNumId w:val="26"/>
  </w:num>
  <w:num w:numId="16" w16cid:durableId="1436056628">
    <w:abstractNumId w:val="15"/>
  </w:num>
  <w:num w:numId="17" w16cid:durableId="1945644900">
    <w:abstractNumId w:val="13"/>
  </w:num>
  <w:num w:numId="18" w16cid:durableId="1149813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26062873">
    <w:abstractNumId w:val="23"/>
  </w:num>
  <w:num w:numId="20" w16cid:durableId="1146043655">
    <w:abstractNumId w:val="18"/>
  </w:num>
  <w:num w:numId="21" w16cid:durableId="2056152832">
    <w:abstractNumId w:val="14"/>
  </w:num>
  <w:num w:numId="22" w16cid:durableId="591013070">
    <w:abstractNumId w:val="11"/>
  </w:num>
  <w:num w:numId="23" w16cid:durableId="1200167122">
    <w:abstractNumId w:val="28"/>
  </w:num>
  <w:num w:numId="24" w16cid:durableId="691229588">
    <w:abstractNumId w:val="19"/>
  </w:num>
  <w:num w:numId="25" w16cid:durableId="748500007">
    <w:abstractNumId w:val="41"/>
  </w:num>
  <w:num w:numId="26" w16cid:durableId="327948000">
    <w:abstractNumId w:val="35"/>
  </w:num>
  <w:num w:numId="27" w16cid:durableId="1265115782">
    <w:abstractNumId w:val="40"/>
  </w:num>
  <w:num w:numId="28" w16cid:durableId="2024941476">
    <w:abstractNumId w:val="20"/>
  </w:num>
  <w:num w:numId="29" w16cid:durableId="305013841">
    <w:abstractNumId w:val="43"/>
  </w:num>
  <w:num w:numId="30" w16cid:durableId="2001887073">
    <w:abstractNumId w:val="31"/>
  </w:num>
  <w:num w:numId="31" w16cid:durableId="865748664">
    <w:abstractNumId w:val="12"/>
  </w:num>
  <w:num w:numId="32" w16cid:durableId="1438601774">
    <w:abstractNumId w:val="44"/>
  </w:num>
  <w:num w:numId="33" w16cid:durableId="1969896519">
    <w:abstractNumId w:val="39"/>
  </w:num>
  <w:num w:numId="34" w16cid:durableId="1841965795">
    <w:abstractNumId w:val="5"/>
  </w:num>
  <w:num w:numId="35" w16cid:durableId="251470622">
    <w:abstractNumId w:val="46"/>
  </w:num>
  <w:num w:numId="36" w16cid:durableId="1569727125">
    <w:abstractNumId w:val="42"/>
  </w:num>
  <w:num w:numId="37" w16cid:durableId="1552303699">
    <w:abstractNumId w:val="36"/>
  </w:num>
  <w:num w:numId="38" w16cid:durableId="1110005747">
    <w:abstractNumId w:val="37"/>
  </w:num>
  <w:num w:numId="39" w16cid:durableId="68425635">
    <w:abstractNumId w:val="4"/>
  </w:num>
  <w:num w:numId="40" w16cid:durableId="92240801">
    <w:abstractNumId w:val="6"/>
  </w:num>
  <w:num w:numId="41" w16cid:durableId="2144419394">
    <w:abstractNumId w:val="25"/>
  </w:num>
  <w:num w:numId="42" w16cid:durableId="310134046">
    <w:abstractNumId w:val="7"/>
  </w:num>
  <w:num w:numId="43" w16cid:durableId="506407278">
    <w:abstractNumId w:val="3"/>
  </w:num>
  <w:num w:numId="44" w16cid:durableId="806509973">
    <w:abstractNumId w:val="38"/>
  </w:num>
  <w:num w:numId="45" w16cid:durableId="1427385716">
    <w:abstractNumId w:val="0"/>
  </w:num>
  <w:num w:numId="46" w16cid:durableId="923958320">
    <w:abstractNumId w:val="14"/>
  </w:num>
  <w:num w:numId="47" w16cid:durableId="602884454">
    <w:abstractNumId w:val="48"/>
  </w:num>
  <w:num w:numId="48" w16cid:durableId="1373045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13490432">
    <w:abstractNumId w:val="11"/>
  </w:num>
  <w:num w:numId="50" w16cid:durableId="1168523938">
    <w:abstractNumId w:val="28"/>
  </w:num>
  <w:num w:numId="51" w16cid:durableId="1640770586">
    <w:abstractNumId w:val="24"/>
  </w:num>
  <w:num w:numId="52" w16cid:durableId="2004384352">
    <w:abstractNumId w:val="21"/>
  </w:num>
  <w:num w:numId="53" w16cid:durableId="63846234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3B37"/>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098E"/>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3DF6"/>
    <w:rsid w:val="00114F52"/>
    <w:rsid w:val="00130119"/>
    <w:rsid w:val="00132812"/>
    <w:rsid w:val="001347F8"/>
    <w:rsid w:val="001359EE"/>
    <w:rsid w:val="00137BB5"/>
    <w:rsid w:val="00137E05"/>
    <w:rsid w:val="001447F6"/>
    <w:rsid w:val="00147DE3"/>
    <w:rsid w:val="00150238"/>
    <w:rsid w:val="00150794"/>
    <w:rsid w:val="00151DA6"/>
    <w:rsid w:val="001523B0"/>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7375"/>
    <w:rsid w:val="00230439"/>
    <w:rsid w:val="00232A09"/>
    <w:rsid w:val="00235176"/>
    <w:rsid w:val="00236061"/>
    <w:rsid w:val="0024100E"/>
    <w:rsid w:val="00241C1B"/>
    <w:rsid w:val="0024288B"/>
    <w:rsid w:val="00243DB0"/>
    <w:rsid w:val="00247265"/>
    <w:rsid w:val="00251F6C"/>
    <w:rsid w:val="00260663"/>
    <w:rsid w:val="002657E9"/>
    <w:rsid w:val="0026665E"/>
    <w:rsid w:val="0027147E"/>
    <w:rsid w:val="002761F4"/>
    <w:rsid w:val="002775E1"/>
    <w:rsid w:val="00277979"/>
    <w:rsid w:val="00291ADD"/>
    <w:rsid w:val="002920DF"/>
    <w:rsid w:val="002929DD"/>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17E46"/>
    <w:rsid w:val="00321255"/>
    <w:rsid w:val="0032230D"/>
    <w:rsid w:val="00322A0B"/>
    <w:rsid w:val="00326D13"/>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5E1B"/>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0612"/>
    <w:rsid w:val="00425160"/>
    <w:rsid w:val="00430DE3"/>
    <w:rsid w:val="004348AE"/>
    <w:rsid w:val="004376C0"/>
    <w:rsid w:val="0044223A"/>
    <w:rsid w:val="0045055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A5E"/>
    <w:rsid w:val="00482C17"/>
    <w:rsid w:val="00484CE3"/>
    <w:rsid w:val="0048640D"/>
    <w:rsid w:val="00490139"/>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095"/>
    <w:rsid w:val="004E7B8B"/>
    <w:rsid w:val="004E7BDD"/>
    <w:rsid w:val="004F1966"/>
    <w:rsid w:val="004F1E21"/>
    <w:rsid w:val="004F2542"/>
    <w:rsid w:val="004F4E33"/>
    <w:rsid w:val="004F740D"/>
    <w:rsid w:val="004F7B8F"/>
    <w:rsid w:val="00500748"/>
    <w:rsid w:val="005011CF"/>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3D62"/>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5F7B9F"/>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461"/>
    <w:rsid w:val="00674FC2"/>
    <w:rsid w:val="00676E35"/>
    <w:rsid w:val="00677E42"/>
    <w:rsid w:val="00682334"/>
    <w:rsid w:val="00684732"/>
    <w:rsid w:val="00684B16"/>
    <w:rsid w:val="00687016"/>
    <w:rsid w:val="006872A0"/>
    <w:rsid w:val="0069468C"/>
    <w:rsid w:val="0069625A"/>
    <w:rsid w:val="00696A88"/>
    <w:rsid w:val="00696F65"/>
    <w:rsid w:val="00697572"/>
    <w:rsid w:val="006B4496"/>
    <w:rsid w:val="006B5E67"/>
    <w:rsid w:val="006B6612"/>
    <w:rsid w:val="006C2EB5"/>
    <w:rsid w:val="006C583F"/>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7900"/>
    <w:rsid w:val="0078112D"/>
    <w:rsid w:val="00783BA4"/>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5DC7"/>
    <w:rsid w:val="007C6A87"/>
    <w:rsid w:val="007D0A07"/>
    <w:rsid w:val="007D0F11"/>
    <w:rsid w:val="007D133D"/>
    <w:rsid w:val="007D3EB4"/>
    <w:rsid w:val="007D3F16"/>
    <w:rsid w:val="007E401C"/>
    <w:rsid w:val="007F10BD"/>
    <w:rsid w:val="007F1199"/>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7563"/>
    <w:rsid w:val="008F127E"/>
    <w:rsid w:val="008F32D9"/>
    <w:rsid w:val="008F5CF2"/>
    <w:rsid w:val="00902A65"/>
    <w:rsid w:val="00903932"/>
    <w:rsid w:val="009079BD"/>
    <w:rsid w:val="00912BD9"/>
    <w:rsid w:val="00916FB2"/>
    <w:rsid w:val="00920E5B"/>
    <w:rsid w:val="00926436"/>
    <w:rsid w:val="00926C53"/>
    <w:rsid w:val="0093018C"/>
    <w:rsid w:val="0093207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B24"/>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2AF4"/>
    <w:rsid w:val="00A23F3B"/>
    <w:rsid w:val="00A24406"/>
    <w:rsid w:val="00A25F64"/>
    <w:rsid w:val="00A275F6"/>
    <w:rsid w:val="00A303B9"/>
    <w:rsid w:val="00A3172C"/>
    <w:rsid w:val="00A37416"/>
    <w:rsid w:val="00A40ED6"/>
    <w:rsid w:val="00A47621"/>
    <w:rsid w:val="00A479CD"/>
    <w:rsid w:val="00A50CFC"/>
    <w:rsid w:val="00A54D67"/>
    <w:rsid w:val="00A55A3F"/>
    <w:rsid w:val="00A5656A"/>
    <w:rsid w:val="00A60103"/>
    <w:rsid w:val="00A652F6"/>
    <w:rsid w:val="00A656D0"/>
    <w:rsid w:val="00A65861"/>
    <w:rsid w:val="00A732EA"/>
    <w:rsid w:val="00A7489E"/>
    <w:rsid w:val="00A74FEB"/>
    <w:rsid w:val="00A8015F"/>
    <w:rsid w:val="00A85039"/>
    <w:rsid w:val="00A906AA"/>
    <w:rsid w:val="00A94C5E"/>
    <w:rsid w:val="00A965A2"/>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222"/>
    <w:rsid w:val="00B2292C"/>
    <w:rsid w:val="00B22C3C"/>
    <w:rsid w:val="00B24344"/>
    <w:rsid w:val="00B26769"/>
    <w:rsid w:val="00B2754B"/>
    <w:rsid w:val="00B31C91"/>
    <w:rsid w:val="00B3747F"/>
    <w:rsid w:val="00B41B12"/>
    <w:rsid w:val="00B41BD7"/>
    <w:rsid w:val="00B42E76"/>
    <w:rsid w:val="00B43194"/>
    <w:rsid w:val="00B436BF"/>
    <w:rsid w:val="00B47734"/>
    <w:rsid w:val="00B50FBA"/>
    <w:rsid w:val="00B558EB"/>
    <w:rsid w:val="00B577D3"/>
    <w:rsid w:val="00B60466"/>
    <w:rsid w:val="00B6548F"/>
    <w:rsid w:val="00B71A32"/>
    <w:rsid w:val="00B7502A"/>
    <w:rsid w:val="00B77305"/>
    <w:rsid w:val="00B774BD"/>
    <w:rsid w:val="00B80593"/>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7AB"/>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1418"/>
    <w:rsid w:val="00D720C7"/>
    <w:rsid w:val="00D84841"/>
    <w:rsid w:val="00D876E6"/>
    <w:rsid w:val="00D90958"/>
    <w:rsid w:val="00D93E10"/>
    <w:rsid w:val="00DA1025"/>
    <w:rsid w:val="00DA22EC"/>
    <w:rsid w:val="00DA5682"/>
    <w:rsid w:val="00DA5860"/>
    <w:rsid w:val="00DA5C0C"/>
    <w:rsid w:val="00DB2767"/>
    <w:rsid w:val="00DC1B10"/>
    <w:rsid w:val="00DC2924"/>
    <w:rsid w:val="00DC4729"/>
    <w:rsid w:val="00DD31C5"/>
    <w:rsid w:val="00DD5020"/>
    <w:rsid w:val="00DD63BE"/>
    <w:rsid w:val="00DE4296"/>
    <w:rsid w:val="00DE5304"/>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412F"/>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A22AF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783BA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674461"/>
    <w:rPr>
      <w:color w:val="605E5C"/>
      <w:shd w:val="clear" w:color="auto" w:fill="E1DFDD"/>
    </w:rPr>
  </w:style>
  <w:style w:type="character" w:customStyle="1" w:styleId="Heading3Char">
    <w:name w:val="Heading 3 Char"/>
    <w:basedOn w:val="DefaultParagraphFont"/>
    <w:link w:val="Heading3"/>
    <w:uiPriority w:val="9"/>
    <w:semiHidden/>
    <w:rsid w:val="00A22AF4"/>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620627">
      <w:bodyDiv w:val="1"/>
      <w:marLeft w:val="0"/>
      <w:marRight w:val="0"/>
      <w:marTop w:val="0"/>
      <w:marBottom w:val="0"/>
      <w:divBdr>
        <w:top w:val="none" w:sz="0" w:space="0" w:color="auto"/>
        <w:left w:val="none" w:sz="0" w:space="0" w:color="auto"/>
        <w:bottom w:val="none" w:sz="0" w:space="0" w:color="auto"/>
        <w:right w:val="none" w:sz="0" w:space="0" w:color="auto"/>
      </w:divBdr>
      <w:divsChild>
        <w:div w:id="441265766">
          <w:marLeft w:val="0"/>
          <w:marRight w:val="0"/>
          <w:marTop w:val="0"/>
          <w:marBottom w:val="0"/>
          <w:divBdr>
            <w:top w:val="none" w:sz="0" w:space="0" w:color="auto"/>
            <w:left w:val="none" w:sz="0" w:space="0" w:color="auto"/>
            <w:bottom w:val="none" w:sz="0" w:space="0" w:color="auto"/>
            <w:right w:val="none" w:sz="0" w:space="0" w:color="auto"/>
          </w:divBdr>
        </w:div>
      </w:divsChild>
    </w:div>
    <w:div w:id="740828645">
      <w:bodyDiv w:val="1"/>
      <w:marLeft w:val="0"/>
      <w:marRight w:val="0"/>
      <w:marTop w:val="0"/>
      <w:marBottom w:val="0"/>
      <w:divBdr>
        <w:top w:val="none" w:sz="0" w:space="0" w:color="auto"/>
        <w:left w:val="none" w:sz="0" w:space="0" w:color="auto"/>
        <w:bottom w:val="none" w:sz="0" w:space="0" w:color="auto"/>
        <w:right w:val="none" w:sz="0" w:space="0" w:color="auto"/>
      </w:divBdr>
      <w:divsChild>
        <w:div w:id="2047172496">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2206917">
      <w:bodyDiv w:val="1"/>
      <w:marLeft w:val="0"/>
      <w:marRight w:val="0"/>
      <w:marTop w:val="0"/>
      <w:marBottom w:val="0"/>
      <w:divBdr>
        <w:top w:val="none" w:sz="0" w:space="0" w:color="auto"/>
        <w:left w:val="none" w:sz="0" w:space="0" w:color="auto"/>
        <w:bottom w:val="none" w:sz="0" w:space="0" w:color="auto"/>
        <w:right w:val="none" w:sz="0" w:space="0" w:color="auto"/>
      </w:divBdr>
      <w:divsChild>
        <w:div w:id="471947265">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39074724">
      <w:bodyDiv w:val="1"/>
      <w:marLeft w:val="0"/>
      <w:marRight w:val="0"/>
      <w:marTop w:val="0"/>
      <w:marBottom w:val="0"/>
      <w:divBdr>
        <w:top w:val="none" w:sz="0" w:space="0" w:color="auto"/>
        <w:left w:val="none" w:sz="0" w:space="0" w:color="auto"/>
        <w:bottom w:val="none" w:sz="0" w:space="0" w:color="auto"/>
        <w:right w:val="none" w:sz="0" w:space="0" w:color="auto"/>
      </w:divBdr>
    </w:div>
    <w:div w:id="1887109341">
      <w:bodyDiv w:val="1"/>
      <w:marLeft w:val="0"/>
      <w:marRight w:val="0"/>
      <w:marTop w:val="0"/>
      <w:marBottom w:val="0"/>
      <w:divBdr>
        <w:top w:val="none" w:sz="0" w:space="0" w:color="auto"/>
        <w:left w:val="none" w:sz="0" w:space="0" w:color="auto"/>
        <w:bottom w:val="none" w:sz="0" w:space="0" w:color="auto"/>
        <w:right w:val="none" w:sz="0" w:space="0" w:color="auto"/>
      </w:divBdr>
      <w:divsChild>
        <w:div w:id="611011419">
          <w:marLeft w:val="0"/>
          <w:marRight w:val="0"/>
          <w:marTop w:val="0"/>
          <w:marBottom w:val="0"/>
          <w:divBdr>
            <w:top w:val="none" w:sz="0" w:space="0" w:color="auto"/>
            <w:left w:val="none" w:sz="0" w:space="0" w:color="auto"/>
            <w:bottom w:val="none" w:sz="0" w:space="0" w:color="auto"/>
            <w:right w:val="none" w:sz="0" w:space="0" w:color="auto"/>
          </w:divBdr>
        </w:div>
      </w:divsChild>
    </w:div>
    <w:div w:id="200974618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42D1A4-44C6-40CD-8FC9-E14949B5B042}">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20</Pages>
  <Words>4914</Words>
  <Characters>28013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Carolanne Jones</cp:lastModifiedBy>
  <cp:revision>10</cp:revision>
  <cp:lastPrinted>2020-02-11T19:20:00Z</cp:lastPrinted>
  <dcterms:created xsi:type="dcterms:W3CDTF">2026-01-22T11:12:00Z</dcterms:created>
  <dcterms:modified xsi:type="dcterms:W3CDTF">2026-02-24T13:15:00Z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