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F72EDED" w:rsidR="7908378C" w:rsidRDefault="7908378C" w:rsidP="33572C6E">
            <w:pPr>
              <w:ind w:right="237"/>
              <w:rPr>
                <w:b/>
                <w:bCs/>
                <w:color w:val="auto"/>
                <w:sz w:val="32"/>
                <w:szCs w:val="32"/>
              </w:rPr>
            </w:pPr>
            <w:r w:rsidRPr="33572C6E">
              <w:rPr>
                <w:b/>
                <w:bCs/>
                <w:color w:val="auto"/>
                <w:sz w:val="32"/>
                <w:szCs w:val="32"/>
              </w:rPr>
              <w:t>Learner name: _____</w:t>
            </w:r>
            <w:r w:rsidR="005D3B67">
              <w:rPr>
                <w:b/>
                <w:bCs/>
                <w:color w:val="auto"/>
                <w:sz w:val="32"/>
                <w:szCs w:val="32"/>
              </w:rPr>
              <w:t>Ryan Leeke</w:t>
            </w:r>
            <w:r w:rsidRPr="33572C6E">
              <w:rPr>
                <w:b/>
                <w:bCs/>
                <w:color w:val="auto"/>
                <w:sz w:val="32"/>
                <w:szCs w:val="32"/>
              </w:rPr>
              <w:t>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579C221" w:rsidR="7908378C" w:rsidRDefault="7908378C" w:rsidP="33572C6E">
            <w:pPr>
              <w:ind w:right="237"/>
              <w:rPr>
                <w:b/>
                <w:bCs/>
                <w:color w:val="auto"/>
                <w:sz w:val="32"/>
                <w:szCs w:val="32"/>
              </w:rPr>
            </w:pPr>
            <w:r w:rsidRPr="33572C6E">
              <w:rPr>
                <w:b/>
                <w:bCs/>
                <w:color w:val="auto"/>
                <w:sz w:val="32"/>
                <w:szCs w:val="32"/>
              </w:rPr>
              <w:t>____</w:t>
            </w:r>
            <w:r w:rsidR="005D3B67">
              <w:rPr>
                <w:b/>
                <w:bCs/>
                <w:color w:val="auto"/>
                <w:sz w:val="32"/>
                <w:szCs w:val="32"/>
              </w:rPr>
              <w:t>2236120</w:t>
            </w:r>
            <w:r w:rsidRPr="33572C6E">
              <w:rPr>
                <w:b/>
                <w:bCs/>
                <w:color w:val="auto"/>
                <w:sz w:val="32"/>
                <w:szCs w:val="32"/>
              </w:rPr>
              <w:t>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5561A">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5561A">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5561A">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5561A">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05561A">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5561A">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5561A">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5561A">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7476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5561A">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5561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5561A">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5561A">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5561A">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5561A">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5561A">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5561A">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5561A">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32369D05" w14:textId="6DBCB8A9" w:rsidR="005F21CC" w:rsidRDefault="005D4153" w:rsidP="005F21CC">
      <w:pPr>
        <w:overflowPunct/>
        <w:autoSpaceDE/>
        <w:autoSpaceDN/>
        <w:adjustRightInd/>
        <w:textAlignment w:val="auto"/>
        <w:rPr>
          <w:sz w:val="24"/>
          <w:szCs w:val="24"/>
        </w:rPr>
      </w:pPr>
      <w:r>
        <w:rPr>
          <w:sz w:val="24"/>
          <w:szCs w:val="24"/>
        </w:rPr>
        <w:t>During the course of my duties, I was required to attend a</w:t>
      </w:r>
      <w:r w:rsidR="00471C5D">
        <w:rPr>
          <w:sz w:val="24"/>
          <w:szCs w:val="24"/>
        </w:rPr>
        <w:t>n</w:t>
      </w:r>
      <w:r w:rsidR="001354A4">
        <w:rPr>
          <w:sz w:val="24"/>
          <w:szCs w:val="24"/>
        </w:rPr>
        <w:t xml:space="preserve"> incident where</w:t>
      </w:r>
      <w:r w:rsidR="001571A4">
        <w:rPr>
          <w:sz w:val="24"/>
          <w:szCs w:val="24"/>
        </w:rPr>
        <w:t xml:space="preserve"> a member of the public had reported that she was being stalked by her ex-partner. </w:t>
      </w:r>
      <w:r w:rsidR="005F21CC">
        <w:rPr>
          <w:sz w:val="24"/>
          <w:szCs w:val="24"/>
        </w:rPr>
        <w:t>The victim, a white woman in her mid 30s lived at home with her adult son, and her daughter who was aged 8. Her ex-partner was the father of the young child.</w:t>
      </w:r>
      <w:r w:rsidR="007E02D9">
        <w:rPr>
          <w:sz w:val="24"/>
          <w:szCs w:val="24"/>
        </w:rPr>
        <w:t xml:space="preserve"> She told me that she had reported incidents of malicious communications and harassment to officers on two occasions before my attendance and had been told that nothing could be done to assist. </w:t>
      </w:r>
      <w:r w:rsidR="00EF1A89">
        <w:rPr>
          <w:sz w:val="24"/>
          <w:szCs w:val="24"/>
        </w:rPr>
        <w:t xml:space="preserve"> </w:t>
      </w:r>
      <w:r w:rsidR="00EF1A89">
        <w:rPr>
          <w:sz w:val="24"/>
          <w:szCs w:val="24"/>
        </w:rPr>
        <w:br/>
      </w:r>
      <w:r w:rsidR="00EF1A89">
        <w:rPr>
          <w:sz w:val="24"/>
          <w:szCs w:val="24"/>
        </w:rPr>
        <w:br/>
      </w:r>
      <w:r w:rsidR="005F21CC">
        <w:rPr>
          <w:sz w:val="24"/>
          <w:szCs w:val="24"/>
        </w:rPr>
        <w:t xml:space="preserve"> </w:t>
      </w:r>
      <w:r w:rsidR="00EF1A89">
        <w:rPr>
          <w:sz w:val="24"/>
          <w:szCs w:val="24"/>
        </w:rPr>
        <w:t xml:space="preserve">I will utilise the Gibbs reflective model (Gibbs 1988). to reflect on the incident, starting by describing the incident, describing how I felt, evaluating the situation, analysing and comparing the experience before coming to a conclusion regarding how the incident was dealt with and finally consider what steps I would take if the scenario were to present itself again. </w:t>
      </w:r>
    </w:p>
    <w:p w14:paraId="5223E0E8" w14:textId="77777777" w:rsidR="005F21CC" w:rsidRDefault="005F21CC" w:rsidP="005F21CC">
      <w:pPr>
        <w:overflowPunct/>
        <w:autoSpaceDE/>
        <w:autoSpaceDN/>
        <w:adjustRightInd/>
        <w:textAlignment w:val="auto"/>
        <w:rPr>
          <w:sz w:val="24"/>
          <w:szCs w:val="24"/>
        </w:rPr>
      </w:pPr>
    </w:p>
    <w:p w14:paraId="05EDA9B2" w14:textId="77777777" w:rsidR="00AF256A" w:rsidRDefault="005F21CC" w:rsidP="005F21CC">
      <w:pPr>
        <w:overflowPunct/>
        <w:autoSpaceDE/>
        <w:autoSpaceDN/>
        <w:adjustRightInd/>
        <w:textAlignment w:val="auto"/>
        <w:rPr>
          <w:sz w:val="24"/>
          <w:szCs w:val="24"/>
        </w:rPr>
      </w:pPr>
      <w:r>
        <w:rPr>
          <w:sz w:val="24"/>
          <w:szCs w:val="24"/>
        </w:rPr>
        <w:t xml:space="preserve">The incident I attended was in fact a call made by a teacher at the school her daughter attended. </w:t>
      </w:r>
      <w:r w:rsidR="00C5143C">
        <w:rPr>
          <w:sz w:val="24"/>
          <w:szCs w:val="24"/>
        </w:rPr>
        <w:t>The teacher</w:t>
      </w:r>
      <w:r>
        <w:rPr>
          <w:sz w:val="24"/>
          <w:szCs w:val="24"/>
        </w:rPr>
        <w:t xml:space="preserve"> advised police that </w:t>
      </w:r>
      <w:r w:rsidR="00C5143C">
        <w:rPr>
          <w:sz w:val="24"/>
          <w:szCs w:val="24"/>
        </w:rPr>
        <w:t>she had concerns for</w:t>
      </w:r>
      <w:r w:rsidR="002C2905">
        <w:rPr>
          <w:sz w:val="24"/>
          <w:szCs w:val="24"/>
        </w:rPr>
        <w:t xml:space="preserve"> the victim’s</w:t>
      </w:r>
      <w:r w:rsidR="00C5143C">
        <w:rPr>
          <w:sz w:val="24"/>
          <w:szCs w:val="24"/>
        </w:rPr>
        <w:t xml:space="preserve"> wellbeing and asked for officer attendance.</w:t>
      </w:r>
      <w:r w:rsidR="002C2905">
        <w:rPr>
          <w:sz w:val="24"/>
          <w:szCs w:val="24"/>
        </w:rPr>
        <w:t xml:space="preserve"> Officers were engaged at the time of the call, so</w:t>
      </w:r>
      <w:r w:rsidR="00C5143C">
        <w:rPr>
          <w:sz w:val="24"/>
          <w:szCs w:val="24"/>
        </w:rPr>
        <w:t xml:space="preserve"> I went to her address in the company of my colleague and spoke to her at length about her concerns. She was in a highly emotional state</w:t>
      </w:r>
      <w:r>
        <w:rPr>
          <w:sz w:val="24"/>
          <w:szCs w:val="24"/>
        </w:rPr>
        <w:t xml:space="preserve"> </w:t>
      </w:r>
      <w:r w:rsidR="00C5143C">
        <w:rPr>
          <w:sz w:val="24"/>
          <w:szCs w:val="24"/>
        </w:rPr>
        <w:t xml:space="preserve">and expressed frustration at having spoken to officers previously regarding the issue and being told that nothing could be done. She advised officers that she had ADHD and as a result struggled to communicate effectively at times. These difficulties became apparent as she struggled to maintain a clear chronological narrative of the events she was reporting. </w:t>
      </w:r>
      <w:r w:rsidR="006D3C7E">
        <w:rPr>
          <w:sz w:val="24"/>
          <w:szCs w:val="24"/>
        </w:rPr>
        <w:t xml:space="preserve">She expressed difficulties with her mental health and stated that she felt </w:t>
      </w:r>
      <w:r w:rsidR="006D3C7E">
        <w:rPr>
          <w:sz w:val="24"/>
          <w:szCs w:val="24"/>
        </w:rPr>
        <w:lastRenderedPageBreak/>
        <w:t xml:space="preserve">that she was ‘going mad’ and that nobody believed her about what she was going through. </w:t>
      </w:r>
    </w:p>
    <w:p w14:paraId="64F581D8" w14:textId="433EA126" w:rsidR="00EF1A89" w:rsidRDefault="00D06F13" w:rsidP="005F21CC">
      <w:pPr>
        <w:overflowPunct/>
        <w:autoSpaceDE/>
        <w:autoSpaceDN/>
        <w:adjustRightInd/>
        <w:textAlignment w:val="auto"/>
        <w:rPr>
          <w:sz w:val="24"/>
          <w:szCs w:val="24"/>
        </w:rPr>
      </w:pPr>
      <w:r>
        <w:rPr>
          <w:sz w:val="24"/>
          <w:szCs w:val="24"/>
        </w:rPr>
        <w:t>My colleague and</w:t>
      </w:r>
      <w:r w:rsidR="00AF256A">
        <w:rPr>
          <w:sz w:val="24"/>
          <w:szCs w:val="24"/>
        </w:rPr>
        <w:t xml:space="preserve"> </w:t>
      </w:r>
      <w:r w:rsidR="00EE149A">
        <w:rPr>
          <w:sz w:val="24"/>
          <w:szCs w:val="24"/>
        </w:rPr>
        <w:t xml:space="preserve">I </w:t>
      </w:r>
      <w:r w:rsidR="00AF256A">
        <w:rPr>
          <w:sz w:val="24"/>
          <w:szCs w:val="24"/>
        </w:rPr>
        <w:t>determined that she was a victim of Malicious Communications (which</w:t>
      </w:r>
      <w:r w:rsidR="00EE149A">
        <w:rPr>
          <w:sz w:val="24"/>
          <w:szCs w:val="24"/>
        </w:rPr>
        <w:t xml:space="preserve"> previous</w:t>
      </w:r>
      <w:r w:rsidR="00AF256A">
        <w:rPr>
          <w:sz w:val="24"/>
          <w:szCs w:val="24"/>
        </w:rPr>
        <w:t xml:space="preserve"> officers failed to identify), as well as stalking and harassment.</w:t>
      </w:r>
      <w:r>
        <w:rPr>
          <w:sz w:val="24"/>
          <w:szCs w:val="24"/>
        </w:rPr>
        <w:t xml:space="preserve"> I took statements regarding previously reported offences which had not been dealt </w:t>
      </w:r>
      <w:r w:rsidR="005D1D87">
        <w:rPr>
          <w:sz w:val="24"/>
          <w:szCs w:val="24"/>
        </w:rPr>
        <w:t>with and</w:t>
      </w:r>
      <w:r>
        <w:rPr>
          <w:sz w:val="24"/>
          <w:szCs w:val="24"/>
        </w:rPr>
        <w:t xml:space="preserve"> took action which resulted in the subject being arrested.</w:t>
      </w:r>
      <w:r w:rsidR="005D1D87">
        <w:rPr>
          <w:sz w:val="24"/>
          <w:szCs w:val="24"/>
        </w:rPr>
        <w:t xml:space="preserve"> I also offered her victim support</w:t>
      </w:r>
      <w:r w:rsidR="00FE17D2">
        <w:rPr>
          <w:sz w:val="24"/>
          <w:szCs w:val="24"/>
        </w:rPr>
        <w:t xml:space="preserve"> services</w:t>
      </w:r>
      <w:r w:rsidR="005D1D87">
        <w:rPr>
          <w:sz w:val="24"/>
          <w:szCs w:val="24"/>
        </w:rPr>
        <w:t>, and completed the appropriate safeguarding referrals</w:t>
      </w:r>
      <w:r w:rsidR="00FE17D2">
        <w:rPr>
          <w:sz w:val="24"/>
          <w:szCs w:val="24"/>
        </w:rPr>
        <w:t xml:space="preserve">, </w:t>
      </w:r>
      <w:r w:rsidR="00AF256A">
        <w:rPr>
          <w:sz w:val="24"/>
          <w:szCs w:val="24"/>
        </w:rPr>
        <w:t>and</w:t>
      </w:r>
      <w:r w:rsidR="00FE17D2">
        <w:rPr>
          <w:sz w:val="24"/>
          <w:szCs w:val="24"/>
        </w:rPr>
        <w:t xml:space="preserve"> made every effort to keep her updated on the progress of the case.</w:t>
      </w:r>
    </w:p>
    <w:p w14:paraId="1A21468D" w14:textId="77777777" w:rsidR="006D3C7E" w:rsidRDefault="006D3C7E" w:rsidP="005F21CC">
      <w:pPr>
        <w:overflowPunct/>
        <w:autoSpaceDE/>
        <w:autoSpaceDN/>
        <w:adjustRightInd/>
        <w:textAlignment w:val="auto"/>
        <w:rPr>
          <w:sz w:val="24"/>
          <w:szCs w:val="24"/>
        </w:rPr>
      </w:pPr>
    </w:p>
    <w:p w14:paraId="70352DA5" w14:textId="1A6431BC" w:rsidR="00D56E02" w:rsidRDefault="006D3C7E" w:rsidP="00D56E02">
      <w:pPr>
        <w:overflowPunct/>
        <w:autoSpaceDE/>
        <w:autoSpaceDN/>
        <w:adjustRightInd/>
        <w:textAlignment w:val="auto"/>
        <w:rPr>
          <w:sz w:val="24"/>
          <w:szCs w:val="24"/>
        </w:rPr>
      </w:pPr>
      <w:r>
        <w:rPr>
          <w:sz w:val="24"/>
          <w:szCs w:val="24"/>
        </w:rPr>
        <w:t>It became clear that the previous officers who attended had</w:t>
      </w:r>
      <w:r w:rsidR="00EE149A">
        <w:rPr>
          <w:sz w:val="24"/>
          <w:szCs w:val="24"/>
        </w:rPr>
        <w:t xml:space="preserve"> misread</w:t>
      </w:r>
      <w:r w:rsidR="00F6060E">
        <w:rPr>
          <w:sz w:val="24"/>
          <w:szCs w:val="24"/>
        </w:rPr>
        <w:t xml:space="preserve"> the situation</w:t>
      </w:r>
      <w:r w:rsidR="005D1D87">
        <w:rPr>
          <w:sz w:val="24"/>
          <w:szCs w:val="24"/>
        </w:rPr>
        <w:t xml:space="preserve"> and</w:t>
      </w:r>
      <w:r w:rsidR="000B7E09">
        <w:rPr>
          <w:sz w:val="24"/>
          <w:szCs w:val="24"/>
        </w:rPr>
        <w:t xml:space="preserve"> may have misinterpreted her ADHD and mental health symptoms</w:t>
      </w:r>
      <w:r w:rsidR="00F6060E">
        <w:rPr>
          <w:sz w:val="24"/>
          <w:szCs w:val="24"/>
        </w:rPr>
        <w:t>,</w:t>
      </w:r>
      <w:r w:rsidR="002C2905">
        <w:rPr>
          <w:sz w:val="24"/>
          <w:szCs w:val="24"/>
        </w:rPr>
        <w:t xml:space="preserve"> instead believing her to be intoxicated</w:t>
      </w:r>
      <w:r w:rsidR="000B7E09">
        <w:rPr>
          <w:sz w:val="24"/>
          <w:szCs w:val="24"/>
        </w:rPr>
        <w:t xml:space="preserve">. </w:t>
      </w:r>
      <w:r w:rsidR="00D56E02">
        <w:rPr>
          <w:sz w:val="24"/>
          <w:szCs w:val="24"/>
        </w:rPr>
        <w:t>Although there were no cultural issues</w:t>
      </w:r>
      <w:r w:rsidR="00EE149A">
        <w:rPr>
          <w:sz w:val="24"/>
          <w:szCs w:val="24"/>
        </w:rPr>
        <w:t xml:space="preserve"> </w:t>
      </w:r>
      <w:r w:rsidR="00D56E02">
        <w:rPr>
          <w:sz w:val="24"/>
          <w:szCs w:val="24"/>
        </w:rPr>
        <w:t>or language barriers,</w:t>
      </w:r>
      <w:r w:rsidR="005D1D87">
        <w:rPr>
          <w:sz w:val="24"/>
          <w:szCs w:val="24"/>
        </w:rPr>
        <w:t xml:space="preserve"> communication was difficult as it was very non-linear. </w:t>
      </w:r>
      <w:r w:rsidR="00D56E02">
        <w:rPr>
          <w:sz w:val="24"/>
          <w:szCs w:val="24"/>
        </w:rPr>
        <w:t xml:space="preserve"> </w:t>
      </w:r>
      <w:r w:rsidR="005D1D87">
        <w:rPr>
          <w:sz w:val="24"/>
          <w:szCs w:val="24"/>
        </w:rPr>
        <w:t>After</w:t>
      </w:r>
      <w:r w:rsidR="00D56E02">
        <w:rPr>
          <w:sz w:val="24"/>
          <w:szCs w:val="24"/>
        </w:rPr>
        <w:t xml:space="preserve"> utilising communication</w:t>
      </w:r>
      <w:r w:rsidR="002C2905">
        <w:rPr>
          <w:sz w:val="24"/>
          <w:szCs w:val="24"/>
        </w:rPr>
        <w:t xml:space="preserve"> skill</w:t>
      </w:r>
      <w:r w:rsidR="0013674D">
        <w:rPr>
          <w:sz w:val="24"/>
          <w:szCs w:val="24"/>
        </w:rPr>
        <w:t>s</w:t>
      </w:r>
      <w:r w:rsidR="002C2905">
        <w:rPr>
          <w:sz w:val="24"/>
          <w:szCs w:val="24"/>
        </w:rPr>
        <w:t xml:space="preserve"> (active listening, displaying empathy</w:t>
      </w:r>
      <w:r w:rsidR="0013674D">
        <w:rPr>
          <w:sz w:val="24"/>
          <w:szCs w:val="24"/>
        </w:rPr>
        <w:t>)</w:t>
      </w:r>
      <w:r w:rsidR="002C2905">
        <w:rPr>
          <w:sz w:val="24"/>
          <w:szCs w:val="24"/>
        </w:rPr>
        <w:t xml:space="preserve">, </w:t>
      </w:r>
      <w:r w:rsidR="00D56E02">
        <w:rPr>
          <w:sz w:val="24"/>
          <w:szCs w:val="24"/>
        </w:rPr>
        <w:t>being professionally curious, and looking for clues</w:t>
      </w:r>
      <w:r w:rsidR="00757D0A">
        <w:rPr>
          <w:sz w:val="24"/>
          <w:szCs w:val="24"/>
        </w:rPr>
        <w:t xml:space="preserve"> as per the college of policing guidelines</w:t>
      </w:r>
      <w:r w:rsidR="00D56E02">
        <w:rPr>
          <w:sz w:val="24"/>
          <w:szCs w:val="24"/>
        </w:rPr>
        <w:t xml:space="preserve"> (College of Policing 2021)</w:t>
      </w:r>
      <w:r w:rsidR="00757D0A">
        <w:rPr>
          <w:sz w:val="24"/>
          <w:szCs w:val="24"/>
        </w:rPr>
        <w:t xml:space="preserve">, </w:t>
      </w:r>
      <w:r w:rsidR="00D56E02">
        <w:rPr>
          <w:sz w:val="24"/>
          <w:szCs w:val="24"/>
        </w:rPr>
        <w:t>I concluded that she was unable to protect herself from harm because of her personal circumstances and thus was vulnerable (as defined by the college of policing.) (College of Policing 2021).</w:t>
      </w:r>
    </w:p>
    <w:p w14:paraId="6E30D38F" w14:textId="43250EDF" w:rsidR="006D3C7E" w:rsidRDefault="006D3C7E" w:rsidP="005F21CC">
      <w:pPr>
        <w:overflowPunct/>
        <w:autoSpaceDE/>
        <w:autoSpaceDN/>
        <w:adjustRightInd/>
        <w:textAlignment w:val="auto"/>
        <w:rPr>
          <w:sz w:val="24"/>
          <w:szCs w:val="24"/>
        </w:rPr>
      </w:pPr>
    </w:p>
    <w:p w14:paraId="4D533784" w14:textId="77777777" w:rsidR="006D3C7E" w:rsidRDefault="006D3C7E" w:rsidP="005F21CC">
      <w:pPr>
        <w:overflowPunct/>
        <w:autoSpaceDE/>
        <w:autoSpaceDN/>
        <w:adjustRightInd/>
        <w:textAlignment w:val="auto"/>
        <w:rPr>
          <w:sz w:val="24"/>
          <w:szCs w:val="24"/>
        </w:rPr>
      </w:pPr>
    </w:p>
    <w:p w14:paraId="705C5C95" w14:textId="77777777" w:rsidR="006D2D8D" w:rsidRDefault="00B53E02" w:rsidP="005F21CC">
      <w:pPr>
        <w:overflowPunct/>
        <w:autoSpaceDE/>
        <w:autoSpaceDN/>
        <w:adjustRightInd/>
        <w:textAlignment w:val="auto"/>
        <w:rPr>
          <w:sz w:val="24"/>
          <w:szCs w:val="24"/>
        </w:rPr>
      </w:pPr>
      <w:r>
        <w:rPr>
          <w:sz w:val="24"/>
          <w:szCs w:val="24"/>
        </w:rPr>
        <w:t>My initial feelings at the incident were a mix of empathy, frustration, disappointment and fear. Empathy for the victim who felt as though she wasn’t being listened to, frustration in how long it took to establish what she was trying to report, disappointment that colleagues had not taken the time to listen to her despite her clear vulnerabilities, and fea</w:t>
      </w:r>
      <w:r w:rsidR="00BF2285">
        <w:rPr>
          <w:sz w:val="24"/>
          <w:szCs w:val="24"/>
        </w:rPr>
        <w:t>r</w:t>
      </w:r>
      <w:r>
        <w:rPr>
          <w:sz w:val="24"/>
          <w:szCs w:val="24"/>
        </w:rPr>
        <w:t xml:space="preserve"> about what might happen if she were not safeguarded effectively. </w:t>
      </w:r>
      <w:r w:rsidR="00566663">
        <w:rPr>
          <w:sz w:val="24"/>
          <w:szCs w:val="24"/>
        </w:rPr>
        <w:t xml:space="preserve">The previous incidents she had reported had been closed as no further action which I felt had contributed to her declining mental health. </w:t>
      </w:r>
      <w:r w:rsidR="00621C18">
        <w:rPr>
          <w:sz w:val="24"/>
          <w:szCs w:val="24"/>
        </w:rPr>
        <w:t xml:space="preserve">My concern was that </w:t>
      </w:r>
      <w:r w:rsidR="00FE17D2">
        <w:rPr>
          <w:sz w:val="24"/>
          <w:szCs w:val="24"/>
        </w:rPr>
        <w:t>failure to provide appropriate support to the victim</w:t>
      </w:r>
      <w:r w:rsidR="00621C18">
        <w:rPr>
          <w:sz w:val="24"/>
          <w:szCs w:val="24"/>
        </w:rPr>
        <w:t xml:space="preserve"> might reach a similar conclusion as the tragic death of Fiona Pilkinton</w:t>
      </w:r>
      <w:r w:rsidR="00F06D5D">
        <w:rPr>
          <w:sz w:val="24"/>
          <w:szCs w:val="24"/>
        </w:rPr>
        <w:t xml:space="preserve"> and her daughter. Both</w:t>
      </w:r>
      <w:r w:rsidR="00621C18">
        <w:rPr>
          <w:sz w:val="24"/>
          <w:szCs w:val="24"/>
        </w:rPr>
        <w:t xml:space="preserve"> suffered as repeat victim</w:t>
      </w:r>
      <w:r w:rsidR="00F06D5D">
        <w:rPr>
          <w:sz w:val="24"/>
          <w:szCs w:val="24"/>
        </w:rPr>
        <w:t>s</w:t>
      </w:r>
      <w:r w:rsidR="00621C18">
        <w:rPr>
          <w:sz w:val="24"/>
          <w:szCs w:val="24"/>
        </w:rPr>
        <w:t xml:space="preserve"> of Antisocial </w:t>
      </w:r>
      <w:r w:rsidR="00F06D5D">
        <w:rPr>
          <w:sz w:val="24"/>
          <w:szCs w:val="24"/>
        </w:rPr>
        <w:t>behaviour in which a series of systematic failures by police and other</w:t>
      </w:r>
      <w:r w:rsidR="00FE17D2">
        <w:rPr>
          <w:sz w:val="24"/>
          <w:szCs w:val="24"/>
        </w:rPr>
        <w:t xml:space="preserve"> social</w:t>
      </w:r>
      <w:r w:rsidR="00F06D5D">
        <w:rPr>
          <w:sz w:val="24"/>
          <w:szCs w:val="24"/>
        </w:rPr>
        <w:t xml:space="preserve"> services resulted in nothing being done to protect or support her</w:t>
      </w:r>
      <w:r w:rsidR="00FE17D2">
        <w:rPr>
          <w:sz w:val="24"/>
          <w:szCs w:val="24"/>
        </w:rPr>
        <w:t>, and no action being taken against the perpetrators whose ongoing harassment was repeatedly mislabelled as isolated Antisocial Behaviour</w:t>
      </w:r>
      <w:r w:rsidR="00F06D5D">
        <w:rPr>
          <w:sz w:val="24"/>
          <w:szCs w:val="24"/>
        </w:rPr>
        <w:t xml:space="preserve">. </w:t>
      </w:r>
    </w:p>
    <w:p w14:paraId="425E689F" w14:textId="77777777" w:rsidR="006D2D8D" w:rsidRDefault="006D2D8D" w:rsidP="005F21CC">
      <w:pPr>
        <w:overflowPunct/>
        <w:autoSpaceDE/>
        <w:autoSpaceDN/>
        <w:adjustRightInd/>
        <w:textAlignment w:val="auto"/>
        <w:rPr>
          <w:sz w:val="24"/>
          <w:szCs w:val="24"/>
        </w:rPr>
      </w:pPr>
    </w:p>
    <w:p w14:paraId="0382389C" w14:textId="66929E9D" w:rsidR="0013674D" w:rsidRDefault="00F06D5D" w:rsidP="005F21CC">
      <w:pPr>
        <w:overflowPunct/>
        <w:autoSpaceDE/>
        <w:autoSpaceDN/>
        <w:adjustRightInd/>
        <w:textAlignment w:val="auto"/>
        <w:rPr>
          <w:sz w:val="24"/>
          <w:szCs w:val="24"/>
        </w:rPr>
      </w:pPr>
      <w:r>
        <w:rPr>
          <w:sz w:val="24"/>
          <w:szCs w:val="24"/>
        </w:rPr>
        <w:t>Fiona’s death</w:t>
      </w:r>
      <w:r w:rsidR="00FE17D2">
        <w:rPr>
          <w:sz w:val="24"/>
          <w:szCs w:val="24"/>
        </w:rPr>
        <w:t xml:space="preserve"> resulted in an IPCC investigation (Independent Police Complaints Commission) </w:t>
      </w:r>
      <w:r w:rsidR="006D2D8D">
        <w:rPr>
          <w:sz w:val="24"/>
          <w:szCs w:val="24"/>
        </w:rPr>
        <w:t xml:space="preserve">which found </w:t>
      </w:r>
      <w:r w:rsidR="0013674D">
        <w:rPr>
          <w:sz w:val="24"/>
          <w:szCs w:val="24"/>
        </w:rPr>
        <w:t>several</w:t>
      </w:r>
      <w:r w:rsidR="006D2D8D">
        <w:rPr>
          <w:sz w:val="24"/>
          <w:szCs w:val="24"/>
        </w:rPr>
        <w:t xml:space="preserve"> failures including</w:t>
      </w:r>
      <w:r w:rsidR="0013674D">
        <w:rPr>
          <w:sz w:val="24"/>
          <w:szCs w:val="24"/>
        </w:rPr>
        <w:t>;</w:t>
      </w:r>
      <w:r w:rsidR="006D2D8D">
        <w:rPr>
          <w:sz w:val="24"/>
          <w:szCs w:val="24"/>
        </w:rPr>
        <w:t xml:space="preserve"> failing to identify Fiona and her family as a collective vulnerable family, failure to identify that </w:t>
      </w:r>
      <w:r w:rsidR="006D2D8D" w:rsidRPr="006D2D8D">
        <w:rPr>
          <w:sz w:val="24"/>
          <w:szCs w:val="24"/>
        </w:rPr>
        <w:t xml:space="preserve">repeated assertion the incidents were </w:t>
      </w:r>
      <w:r w:rsidR="006D2D8D">
        <w:rPr>
          <w:sz w:val="24"/>
          <w:szCs w:val="24"/>
        </w:rPr>
        <w:t>“</w:t>
      </w:r>
      <w:r w:rsidR="006D2D8D" w:rsidRPr="006D2D8D">
        <w:rPr>
          <w:sz w:val="24"/>
          <w:szCs w:val="24"/>
        </w:rPr>
        <w:t>ongoing</w:t>
      </w:r>
      <w:r w:rsidR="00AF256A">
        <w:rPr>
          <w:sz w:val="24"/>
          <w:szCs w:val="24"/>
        </w:rPr>
        <w:t>”</w:t>
      </w:r>
      <w:r w:rsidR="006D2D8D" w:rsidRPr="006D2D8D">
        <w:rPr>
          <w:sz w:val="24"/>
          <w:szCs w:val="24"/>
        </w:rPr>
        <w:t xml:space="preserve"> </w:t>
      </w:r>
      <w:r w:rsidR="006D2D8D">
        <w:rPr>
          <w:sz w:val="24"/>
          <w:szCs w:val="24"/>
        </w:rPr>
        <w:t xml:space="preserve">and targeted, </w:t>
      </w:r>
      <w:r w:rsidR="006D2D8D" w:rsidRPr="006D2D8D">
        <w:rPr>
          <w:sz w:val="24"/>
          <w:szCs w:val="24"/>
        </w:rPr>
        <w:t>the difference between general anti</w:t>
      </w:r>
      <w:r w:rsidR="006D2D8D">
        <w:rPr>
          <w:sz w:val="24"/>
          <w:szCs w:val="24"/>
        </w:rPr>
        <w:t>-</w:t>
      </w:r>
      <w:r w:rsidR="006D2D8D" w:rsidRPr="006D2D8D">
        <w:rPr>
          <w:sz w:val="24"/>
          <w:szCs w:val="24"/>
        </w:rPr>
        <w:t>social behaviour and harassmen</w:t>
      </w:r>
      <w:r w:rsidR="006D2D8D">
        <w:rPr>
          <w:sz w:val="24"/>
          <w:szCs w:val="24"/>
        </w:rPr>
        <w:t>t, and failure to notice that the incidents were hate related. (</w:t>
      </w:r>
      <w:r w:rsidR="00CF566E">
        <w:rPr>
          <w:sz w:val="24"/>
          <w:szCs w:val="24"/>
        </w:rPr>
        <w:t>IPCC 2009)</w:t>
      </w:r>
      <w:r w:rsidR="00AF256A">
        <w:rPr>
          <w:sz w:val="24"/>
          <w:szCs w:val="24"/>
        </w:rPr>
        <w:t>. Although there appeared to be no hate motivator in this incident, as a victim</w:t>
      </w:r>
      <w:r w:rsidR="0013674D">
        <w:rPr>
          <w:sz w:val="24"/>
          <w:szCs w:val="24"/>
        </w:rPr>
        <w:t xml:space="preserve"> it was clear to me that she was vulnerable. It appears to me that a lack of understanding of the impact of her neurodiversity increased her risk further by leading to inaction on clear and actionable offences. </w:t>
      </w:r>
    </w:p>
    <w:p w14:paraId="7E4BA484" w14:textId="77777777" w:rsidR="0013674D" w:rsidRDefault="0013674D" w:rsidP="005F21CC">
      <w:pPr>
        <w:overflowPunct/>
        <w:autoSpaceDE/>
        <w:autoSpaceDN/>
        <w:adjustRightInd/>
        <w:textAlignment w:val="auto"/>
        <w:rPr>
          <w:sz w:val="24"/>
          <w:szCs w:val="24"/>
        </w:rPr>
      </w:pPr>
    </w:p>
    <w:p w14:paraId="543F2ECF" w14:textId="77777777" w:rsidR="00183ED8" w:rsidRDefault="0013674D" w:rsidP="005F21CC">
      <w:pPr>
        <w:overflowPunct/>
        <w:autoSpaceDE/>
        <w:autoSpaceDN/>
        <w:adjustRightInd/>
        <w:textAlignment w:val="auto"/>
        <w:rPr>
          <w:sz w:val="24"/>
          <w:szCs w:val="24"/>
        </w:rPr>
      </w:pPr>
      <w:r>
        <w:rPr>
          <w:sz w:val="24"/>
          <w:szCs w:val="24"/>
        </w:rPr>
        <w:t xml:space="preserve">There have been a number of studies into how ADHD impacts </w:t>
      </w:r>
      <w:r w:rsidR="001273E5">
        <w:rPr>
          <w:sz w:val="24"/>
          <w:szCs w:val="24"/>
        </w:rPr>
        <w:t>people, and its association with delinquency,</w:t>
      </w:r>
      <w:r w:rsidR="00CA4404">
        <w:rPr>
          <w:sz w:val="24"/>
          <w:szCs w:val="24"/>
        </w:rPr>
        <w:t xml:space="preserve"> the</w:t>
      </w:r>
      <w:r w:rsidR="001273E5">
        <w:rPr>
          <w:sz w:val="24"/>
          <w:szCs w:val="24"/>
        </w:rPr>
        <w:t xml:space="preserve"> likelihood of involvement in the criminal justice system</w:t>
      </w:r>
      <w:r w:rsidR="00CA4404">
        <w:rPr>
          <w:sz w:val="24"/>
          <w:szCs w:val="24"/>
        </w:rPr>
        <w:t xml:space="preserve"> and risk of incarceration.</w:t>
      </w:r>
      <w:r w:rsidR="00183ED8">
        <w:rPr>
          <w:sz w:val="24"/>
          <w:szCs w:val="24"/>
        </w:rPr>
        <w:t xml:space="preserve"> </w:t>
      </w:r>
    </w:p>
    <w:p w14:paraId="4A420883" w14:textId="1149EE3F" w:rsidR="00AF256A" w:rsidRDefault="00183ED8" w:rsidP="005F21CC">
      <w:pPr>
        <w:overflowPunct/>
        <w:autoSpaceDE/>
        <w:autoSpaceDN/>
        <w:adjustRightInd/>
        <w:textAlignment w:val="auto"/>
        <w:rPr>
          <w:sz w:val="24"/>
          <w:szCs w:val="24"/>
        </w:rPr>
      </w:pPr>
      <w:r>
        <w:rPr>
          <w:sz w:val="24"/>
          <w:szCs w:val="24"/>
        </w:rPr>
        <w:t>“</w:t>
      </w:r>
      <w:r w:rsidRPr="00183ED8">
        <w:rPr>
          <w:sz w:val="24"/>
          <w:szCs w:val="24"/>
        </w:rPr>
        <w:t xml:space="preserve">There is a major over-representation of persons with ADHD in the prison population. Impulsive, inattentiveness to instructions, inability to retain information and limitations </w:t>
      </w:r>
      <w:r w:rsidRPr="00183ED8">
        <w:rPr>
          <w:sz w:val="24"/>
          <w:szCs w:val="24"/>
        </w:rPr>
        <w:lastRenderedPageBreak/>
        <w:t>to the ability to think rationally through the likely consequences of actions are all criminogenic factors.</w:t>
      </w:r>
      <w:r>
        <w:rPr>
          <w:sz w:val="24"/>
          <w:szCs w:val="24"/>
        </w:rPr>
        <w:t>”</w:t>
      </w:r>
      <w:r w:rsidR="00CA4404">
        <w:rPr>
          <w:sz w:val="24"/>
          <w:szCs w:val="24"/>
        </w:rPr>
        <w:t xml:space="preserve"> (Freckleton 2020)</w:t>
      </w:r>
      <w:r>
        <w:rPr>
          <w:sz w:val="24"/>
          <w:szCs w:val="24"/>
        </w:rPr>
        <w:t xml:space="preserve">. </w:t>
      </w:r>
    </w:p>
    <w:p w14:paraId="43CC47B4" w14:textId="45615E4C" w:rsidR="003C792B" w:rsidRDefault="00183ED8" w:rsidP="005F21CC">
      <w:pPr>
        <w:overflowPunct/>
        <w:autoSpaceDE/>
        <w:autoSpaceDN/>
        <w:adjustRightInd/>
        <w:textAlignment w:val="auto"/>
        <w:rPr>
          <w:sz w:val="24"/>
          <w:szCs w:val="24"/>
        </w:rPr>
      </w:pPr>
      <w:r w:rsidRPr="00183ED8">
        <w:rPr>
          <w:sz w:val="24"/>
          <w:szCs w:val="24"/>
        </w:rPr>
        <w:t> </w:t>
      </w:r>
      <w:r>
        <w:rPr>
          <w:sz w:val="24"/>
          <w:szCs w:val="24"/>
        </w:rPr>
        <w:t xml:space="preserve">A study of 315 male inmates at </w:t>
      </w:r>
      <w:r w:rsidRPr="00183ED8">
        <w:rPr>
          <w:sz w:val="24"/>
          <w:szCs w:val="24"/>
        </w:rPr>
        <w:t>Norrtälje Prison</w:t>
      </w:r>
      <w:r>
        <w:rPr>
          <w:sz w:val="24"/>
          <w:szCs w:val="24"/>
        </w:rPr>
        <w:t xml:space="preserve"> found </w:t>
      </w:r>
      <w:r w:rsidRPr="00183ED8">
        <w:rPr>
          <w:sz w:val="24"/>
          <w:szCs w:val="24"/>
        </w:rPr>
        <w:t>ADHD to be present among 40% of adult male longer-term prison inmates</w:t>
      </w:r>
      <w:r>
        <w:rPr>
          <w:sz w:val="24"/>
          <w:szCs w:val="24"/>
        </w:rPr>
        <w:t>. (</w:t>
      </w:r>
      <w:r w:rsidRPr="00183ED8">
        <w:rPr>
          <w:sz w:val="24"/>
          <w:szCs w:val="24"/>
        </w:rPr>
        <w:t>Ginsberg, Hirvikoski &amp; Lindefors</w:t>
      </w:r>
      <w:r>
        <w:rPr>
          <w:sz w:val="24"/>
          <w:szCs w:val="24"/>
        </w:rPr>
        <w:t xml:space="preserve"> 2010)</w:t>
      </w:r>
      <w:r w:rsidR="00A318FD">
        <w:rPr>
          <w:sz w:val="24"/>
          <w:szCs w:val="24"/>
        </w:rPr>
        <w:t xml:space="preserve">. </w:t>
      </w:r>
      <w:r w:rsidR="003C792B">
        <w:rPr>
          <w:sz w:val="24"/>
          <w:szCs w:val="24"/>
        </w:rPr>
        <w:t xml:space="preserve"> Despite this, there appears to be a lack of academic studies concerning the link between neurodiversity and disability, and the rate of successful prosecutions where the victims (or key witnesses) are neurodiverse or have learning disabilities in comparison with those who do not. Even the Criminal Justice Joint Inspection review of Neurodiversity in the Criminal Justice System investigates the impact of neurodiversity on those involved as a suspect or prisoner, not as victims</w:t>
      </w:r>
      <w:r w:rsidR="009B3E4C">
        <w:rPr>
          <w:sz w:val="24"/>
          <w:szCs w:val="24"/>
        </w:rPr>
        <w:t xml:space="preserve"> (</w:t>
      </w:r>
      <w:r w:rsidR="00767022" w:rsidRPr="00767022">
        <w:rPr>
          <w:sz w:val="24"/>
          <w:szCs w:val="24"/>
        </w:rPr>
        <w:t>NEURODIVERSITY IN THE CRIMINAL JUSTICE SYSTEM A review of evidence, n.d.)</w:t>
      </w:r>
      <w:r w:rsidR="003C792B">
        <w:rPr>
          <w:sz w:val="24"/>
          <w:szCs w:val="24"/>
        </w:rPr>
        <w:t xml:space="preserve">.  </w:t>
      </w:r>
    </w:p>
    <w:p w14:paraId="67C4E28F" w14:textId="77777777" w:rsidR="003C792B" w:rsidRDefault="003C792B" w:rsidP="005F21CC">
      <w:pPr>
        <w:overflowPunct/>
        <w:autoSpaceDE/>
        <w:autoSpaceDN/>
        <w:adjustRightInd/>
        <w:textAlignment w:val="auto"/>
        <w:rPr>
          <w:sz w:val="24"/>
          <w:szCs w:val="24"/>
        </w:rPr>
      </w:pPr>
    </w:p>
    <w:p w14:paraId="74F7C7D1" w14:textId="7DB27B92" w:rsidR="00EF1A89" w:rsidRDefault="00A318FD" w:rsidP="005F21CC">
      <w:pPr>
        <w:overflowPunct/>
        <w:autoSpaceDE/>
        <w:autoSpaceDN/>
        <w:adjustRightInd/>
        <w:textAlignment w:val="auto"/>
        <w:rPr>
          <w:sz w:val="24"/>
          <w:szCs w:val="24"/>
        </w:rPr>
      </w:pPr>
      <w:r>
        <w:rPr>
          <w:sz w:val="24"/>
          <w:szCs w:val="24"/>
        </w:rPr>
        <w:t>Th</w:t>
      </w:r>
      <w:r w:rsidR="003C792B">
        <w:rPr>
          <w:sz w:val="24"/>
          <w:szCs w:val="24"/>
        </w:rPr>
        <w:t>is seems relevant when you consider that the</w:t>
      </w:r>
      <w:r>
        <w:rPr>
          <w:sz w:val="24"/>
          <w:szCs w:val="24"/>
        </w:rPr>
        <w:t xml:space="preserve"> symptoms</w:t>
      </w:r>
      <w:r w:rsidR="00B57D3B">
        <w:rPr>
          <w:sz w:val="24"/>
          <w:szCs w:val="24"/>
        </w:rPr>
        <w:t xml:space="preserve"> of ADHD, particularly those linked to inattention are linked to academic underachievement in adults and </w:t>
      </w:r>
      <w:r w:rsidR="00B57D3B" w:rsidRPr="00B57D3B">
        <w:rPr>
          <w:sz w:val="24"/>
          <w:szCs w:val="24"/>
        </w:rPr>
        <w:t>consistently poorer long-term academic success </w:t>
      </w:r>
      <w:r w:rsidR="00B57D3B">
        <w:rPr>
          <w:sz w:val="24"/>
          <w:szCs w:val="24"/>
        </w:rPr>
        <w:t>(</w:t>
      </w:r>
      <w:r w:rsidR="00B57D3B" w:rsidRPr="00B57D3B">
        <w:rPr>
          <w:sz w:val="24"/>
          <w:szCs w:val="24"/>
        </w:rPr>
        <w:t>Henning C, Summerfeldt LJ, Parker JDA</w:t>
      </w:r>
      <w:r w:rsidR="00B57D3B">
        <w:rPr>
          <w:sz w:val="24"/>
          <w:szCs w:val="24"/>
        </w:rPr>
        <w:t xml:space="preserve"> 2022)</w:t>
      </w:r>
      <w:r w:rsidR="003C792B">
        <w:rPr>
          <w:sz w:val="24"/>
          <w:szCs w:val="24"/>
        </w:rPr>
        <w:t xml:space="preserve">. Given the importance of evidential quality and statement writing within the criminal justice process, it seems strange that little investigation has been made into how this affects positive outcomes for </w:t>
      </w:r>
      <w:r w:rsidR="00EE149A">
        <w:rPr>
          <w:sz w:val="24"/>
          <w:szCs w:val="24"/>
        </w:rPr>
        <w:t>these vicitms (who may or may not be vulnerable)</w:t>
      </w:r>
      <w:r w:rsidR="003C792B">
        <w:rPr>
          <w:sz w:val="24"/>
          <w:szCs w:val="24"/>
        </w:rPr>
        <w:t xml:space="preserve">. I am aware of specific interview booklets </w:t>
      </w:r>
      <w:r w:rsidR="009B3E4C">
        <w:rPr>
          <w:sz w:val="24"/>
          <w:szCs w:val="24"/>
        </w:rPr>
        <w:t>available in South Wales Police designed to facilitate the gathering of evidence from children, however, there appears to be nothing related to adults with learning disabilities or neurodiversity</w:t>
      </w:r>
      <w:r w:rsidR="005F0682">
        <w:rPr>
          <w:sz w:val="24"/>
          <w:szCs w:val="24"/>
        </w:rPr>
        <w:t>, perhaps this is something for future consideration</w:t>
      </w:r>
      <w:r w:rsidR="009B3E4C">
        <w:rPr>
          <w:sz w:val="24"/>
          <w:szCs w:val="24"/>
        </w:rPr>
        <w:t>.</w:t>
      </w:r>
      <w:r w:rsidR="005F0682">
        <w:rPr>
          <w:sz w:val="24"/>
          <w:szCs w:val="24"/>
        </w:rPr>
        <w:t xml:space="preserve"> </w:t>
      </w:r>
      <w:r w:rsidR="00644B4E">
        <w:rPr>
          <w:sz w:val="24"/>
          <w:szCs w:val="24"/>
        </w:rPr>
        <w:br/>
      </w:r>
      <w:r w:rsidR="00644B4E">
        <w:rPr>
          <w:sz w:val="24"/>
          <w:szCs w:val="24"/>
        </w:rPr>
        <w:br/>
      </w:r>
      <w:r w:rsidR="005F0682">
        <w:rPr>
          <w:sz w:val="24"/>
          <w:szCs w:val="24"/>
        </w:rPr>
        <w:t xml:space="preserve">I remember being </w:t>
      </w:r>
      <w:r w:rsidR="004C06D4">
        <w:rPr>
          <w:sz w:val="24"/>
          <w:szCs w:val="24"/>
        </w:rPr>
        <w:t xml:space="preserve">contacted on the radio and being </w:t>
      </w:r>
      <w:r w:rsidR="005F0682">
        <w:rPr>
          <w:sz w:val="24"/>
          <w:szCs w:val="24"/>
        </w:rPr>
        <w:t>asked why I</w:t>
      </w:r>
      <w:r w:rsidR="004C06D4">
        <w:rPr>
          <w:sz w:val="24"/>
          <w:szCs w:val="24"/>
        </w:rPr>
        <w:t xml:space="preserve"> was still at the call,</w:t>
      </w:r>
      <w:r w:rsidR="005F0682">
        <w:rPr>
          <w:sz w:val="24"/>
          <w:szCs w:val="24"/>
        </w:rPr>
        <w:t xml:space="preserve"> and </w:t>
      </w:r>
      <w:r w:rsidR="00F30E17">
        <w:rPr>
          <w:sz w:val="24"/>
          <w:szCs w:val="24"/>
        </w:rPr>
        <w:t xml:space="preserve">afterwards I </w:t>
      </w:r>
      <w:r w:rsidR="005F0682">
        <w:rPr>
          <w:sz w:val="24"/>
          <w:szCs w:val="24"/>
        </w:rPr>
        <w:t>explained that her ADHD made taking a statement a difficult and lengthy process</w:t>
      </w:r>
      <w:r w:rsidR="00EE149A">
        <w:rPr>
          <w:sz w:val="24"/>
          <w:szCs w:val="24"/>
        </w:rPr>
        <w:t xml:space="preserve"> but that it was necessary in order to deal with the call appropriately</w:t>
      </w:r>
      <w:r w:rsidR="005F0682">
        <w:rPr>
          <w:sz w:val="24"/>
          <w:szCs w:val="24"/>
        </w:rPr>
        <w:t>.</w:t>
      </w:r>
      <w:r w:rsidR="00EE149A">
        <w:rPr>
          <w:sz w:val="24"/>
          <w:szCs w:val="24"/>
        </w:rPr>
        <w:t xml:space="preserve"> I certainly felt pressured to leave earlier than I had.</w:t>
      </w:r>
      <w:r w:rsidR="004C06D4">
        <w:rPr>
          <w:sz w:val="24"/>
          <w:szCs w:val="24"/>
        </w:rPr>
        <w:t xml:space="preserve"> Perhaps the pressure to be ready and available for another call is a reason as to why the call wasn’t dealt with properly in the first place. </w:t>
      </w:r>
      <w:r w:rsidR="00F30E17">
        <w:rPr>
          <w:sz w:val="24"/>
          <w:szCs w:val="24"/>
        </w:rPr>
        <w:t>Regardless</w:t>
      </w:r>
      <w:r w:rsidR="00EE149A">
        <w:rPr>
          <w:sz w:val="24"/>
          <w:szCs w:val="24"/>
        </w:rPr>
        <w:t>,</w:t>
      </w:r>
      <w:r w:rsidR="00F30E17">
        <w:rPr>
          <w:sz w:val="24"/>
          <w:szCs w:val="24"/>
        </w:rPr>
        <w:t xml:space="preserve"> I would argue that a situation such as this required time and investment in order to ensure it was handled appropriately. </w:t>
      </w:r>
    </w:p>
    <w:p w14:paraId="018EBEDC" w14:textId="77777777" w:rsidR="003D1A20" w:rsidRDefault="003D1A20" w:rsidP="005F21CC">
      <w:pPr>
        <w:overflowPunct/>
        <w:autoSpaceDE/>
        <w:autoSpaceDN/>
        <w:adjustRightInd/>
        <w:textAlignment w:val="auto"/>
        <w:rPr>
          <w:sz w:val="24"/>
          <w:szCs w:val="24"/>
        </w:rPr>
      </w:pPr>
    </w:p>
    <w:p w14:paraId="640E7DED" w14:textId="73347C94" w:rsidR="002D6EC3" w:rsidRDefault="003D1A20" w:rsidP="005F21CC">
      <w:pPr>
        <w:overflowPunct/>
        <w:autoSpaceDE/>
        <w:autoSpaceDN/>
        <w:adjustRightInd/>
        <w:textAlignment w:val="auto"/>
        <w:rPr>
          <w:sz w:val="24"/>
          <w:szCs w:val="24"/>
        </w:rPr>
      </w:pPr>
      <w:r>
        <w:rPr>
          <w:sz w:val="24"/>
          <w:szCs w:val="24"/>
        </w:rPr>
        <w:t xml:space="preserve">Another possible reason </w:t>
      </w:r>
      <w:r w:rsidR="00EE149A">
        <w:rPr>
          <w:sz w:val="24"/>
          <w:szCs w:val="24"/>
        </w:rPr>
        <w:t xml:space="preserve">the call may not have been dealt with appropriately </w:t>
      </w:r>
      <w:r>
        <w:rPr>
          <w:sz w:val="24"/>
          <w:szCs w:val="24"/>
        </w:rPr>
        <w:t xml:space="preserve">may be that the officers attending did not fully understand the impact that </w:t>
      </w:r>
      <w:r w:rsidR="00EE149A">
        <w:rPr>
          <w:sz w:val="24"/>
          <w:szCs w:val="24"/>
        </w:rPr>
        <w:t xml:space="preserve">stalking </w:t>
      </w:r>
      <w:r>
        <w:rPr>
          <w:sz w:val="24"/>
          <w:szCs w:val="24"/>
        </w:rPr>
        <w:t xml:space="preserve">and harassment </w:t>
      </w:r>
      <w:r w:rsidR="004E6DF8">
        <w:rPr>
          <w:sz w:val="24"/>
          <w:szCs w:val="24"/>
        </w:rPr>
        <w:t>can have</w:t>
      </w:r>
      <w:r>
        <w:rPr>
          <w:sz w:val="24"/>
          <w:szCs w:val="24"/>
        </w:rPr>
        <w:t xml:space="preserve"> on its victims.</w:t>
      </w:r>
      <w:r w:rsidR="00FF75DC">
        <w:rPr>
          <w:sz w:val="24"/>
          <w:szCs w:val="24"/>
        </w:rPr>
        <w:t xml:space="preserve"> Part of the expectation of officers attending a report of this nature is to complete the DASH risk checklist with the reporting person. The DASH risk checklist consists of </w:t>
      </w:r>
      <w:r w:rsidR="001148A9">
        <w:rPr>
          <w:sz w:val="24"/>
          <w:szCs w:val="24"/>
        </w:rPr>
        <w:t xml:space="preserve">27 </w:t>
      </w:r>
      <w:r w:rsidR="00146232">
        <w:rPr>
          <w:sz w:val="24"/>
          <w:szCs w:val="24"/>
        </w:rPr>
        <w:t xml:space="preserve">questions designed to </w:t>
      </w:r>
      <w:r w:rsidR="00FB36BC">
        <w:rPr>
          <w:sz w:val="24"/>
          <w:szCs w:val="24"/>
        </w:rPr>
        <w:t>identify and assess risks when a victim discloses domestic abuse, ‘honour’-based violence or stalking and enables officers to identify high risk cases, which can assist in deciding which cases should be referred to MARAC (Safe Lives No date)</w:t>
      </w:r>
      <w:r w:rsidR="00823205">
        <w:rPr>
          <w:sz w:val="24"/>
          <w:szCs w:val="24"/>
        </w:rPr>
        <w:t>. MARAC is a Multi Agency Risk Assessment Conference where representatives from a number of concerned organisations share information in order to safeguard victims.</w:t>
      </w:r>
    </w:p>
    <w:p w14:paraId="70A49806" w14:textId="1CC71DAC" w:rsidR="008E2202" w:rsidRDefault="002D6EC3" w:rsidP="005F21CC">
      <w:pPr>
        <w:overflowPunct/>
        <w:autoSpaceDE/>
        <w:autoSpaceDN/>
        <w:adjustRightInd/>
        <w:textAlignment w:val="auto"/>
        <w:rPr>
          <w:sz w:val="24"/>
          <w:szCs w:val="24"/>
        </w:rPr>
      </w:pPr>
      <w:r>
        <w:rPr>
          <w:sz w:val="24"/>
          <w:szCs w:val="24"/>
        </w:rPr>
        <w:t xml:space="preserve"> </w:t>
      </w:r>
      <w:r w:rsidR="00823205">
        <w:rPr>
          <w:sz w:val="24"/>
          <w:szCs w:val="24"/>
        </w:rPr>
        <w:t xml:space="preserve"> </w:t>
      </w:r>
      <w:r>
        <w:rPr>
          <w:sz w:val="24"/>
          <w:szCs w:val="24"/>
        </w:rPr>
        <w:t xml:space="preserve">Upon reflection of this incident and previous incidents I have attended, I have a slight concern that these risk assessments can become a barrier to conversation. The DASH questions are mostly Yes/no questions, and as such are relatively closed. If an officer is not fully engaged it is possible that they will ask the DASH questions without asking further probing questions to elicit all the information required. </w:t>
      </w:r>
      <w:r w:rsidR="007E02D9">
        <w:rPr>
          <w:sz w:val="24"/>
          <w:szCs w:val="24"/>
        </w:rPr>
        <w:t>This is something that I will have to keep in mind going forward</w:t>
      </w:r>
      <w:r w:rsidR="00F30E17">
        <w:rPr>
          <w:sz w:val="24"/>
          <w:szCs w:val="24"/>
        </w:rPr>
        <w:t xml:space="preserve"> in order to ensure that my approach is appropriate. </w:t>
      </w:r>
      <w:r w:rsidR="007E02D9">
        <w:rPr>
          <w:sz w:val="24"/>
          <w:szCs w:val="24"/>
        </w:rPr>
        <w:t xml:space="preserve"> </w:t>
      </w:r>
    </w:p>
    <w:p w14:paraId="5D2D961C" w14:textId="77777777" w:rsidR="008E2202" w:rsidRDefault="008E2202" w:rsidP="005F21CC">
      <w:pPr>
        <w:overflowPunct/>
        <w:autoSpaceDE/>
        <w:autoSpaceDN/>
        <w:adjustRightInd/>
        <w:textAlignment w:val="auto"/>
        <w:rPr>
          <w:sz w:val="24"/>
          <w:szCs w:val="24"/>
        </w:rPr>
      </w:pPr>
    </w:p>
    <w:p w14:paraId="096849B3" w14:textId="38FC912D" w:rsidR="00CE5B35" w:rsidRDefault="008E2202" w:rsidP="005F21CC">
      <w:pPr>
        <w:overflowPunct/>
        <w:autoSpaceDE/>
        <w:autoSpaceDN/>
        <w:adjustRightInd/>
        <w:textAlignment w:val="auto"/>
        <w:rPr>
          <w:sz w:val="24"/>
          <w:szCs w:val="24"/>
        </w:rPr>
      </w:pPr>
      <w:r>
        <w:rPr>
          <w:sz w:val="24"/>
          <w:szCs w:val="24"/>
        </w:rPr>
        <w:lastRenderedPageBreak/>
        <w:t>If I were to compare the incident to other domestic incidents I have attended, the primary difference to me would be the presentation of the victim. I had attended an incident at the address a year prior in which the victim</w:t>
      </w:r>
      <w:r w:rsidR="00F5625F">
        <w:rPr>
          <w:sz w:val="24"/>
          <w:szCs w:val="24"/>
        </w:rPr>
        <w:t xml:space="preserve"> had been assaulted by the same perpetrator. Having met the victim previously I was somewhat shocked by the visible decline in her wellbeing. She had lost a significant amount of weight (which she acknowledged and advised was lost in a short period of time since the stalking / online harassment began), and was noticeably more anxious and erratic, with her mood appearing to be significantly less stable. The changes in the victim all appear to be relatively typical for victims of stalking, and math closely with those described by Michele Path</w:t>
      </w:r>
      <w:r w:rsidR="00F5625F" w:rsidRPr="00F5625F">
        <w:rPr>
          <w:sz w:val="24"/>
          <w:szCs w:val="24"/>
        </w:rPr>
        <w:t>é</w:t>
      </w:r>
      <w:r w:rsidR="00F5625F">
        <w:rPr>
          <w:sz w:val="24"/>
          <w:szCs w:val="24"/>
        </w:rPr>
        <w:t xml:space="preserve"> in ‘Surviving Stalking’. She </w:t>
      </w:r>
      <w:r w:rsidR="00CD602C">
        <w:rPr>
          <w:sz w:val="24"/>
          <w:szCs w:val="24"/>
        </w:rPr>
        <w:t xml:space="preserve">describes </w:t>
      </w:r>
      <w:r w:rsidR="000024C9">
        <w:rPr>
          <w:sz w:val="24"/>
          <w:szCs w:val="24"/>
        </w:rPr>
        <w:t>victims who feel that they have had a personality change, “</w:t>
      </w:r>
      <w:r w:rsidR="000024C9" w:rsidRPr="000024C9">
        <w:rPr>
          <w:sz w:val="24"/>
          <w:szCs w:val="24"/>
        </w:rPr>
        <w:t>becoming less friendly and outgoing and more introverted, cautious, irritable and ‘paranoid’. Many feel suspicious of others’ motives.</w:t>
      </w:r>
      <w:r w:rsidR="000024C9">
        <w:rPr>
          <w:sz w:val="24"/>
          <w:szCs w:val="24"/>
        </w:rPr>
        <w:t>’</w:t>
      </w:r>
      <w:r w:rsidR="00A31A69">
        <w:rPr>
          <w:sz w:val="24"/>
          <w:szCs w:val="24"/>
        </w:rPr>
        <w:t xml:space="preserve"> As well as adverse effects on physical or mental wellbeing including anxiety, panic attacks, weight loss, and poor concentration</w:t>
      </w:r>
      <w:r w:rsidR="000024C9">
        <w:rPr>
          <w:sz w:val="24"/>
          <w:szCs w:val="24"/>
        </w:rPr>
        <w:t xml:space="preserve"> (Path</w:t>
      </w:r>
      <w:r w:rsidR="000024C9" w:rsidRPr="00F5625F">
        <w:rPr>
          <w:sz w:val="24"/>
          <w:szCs w:val="24"/>
        </w:rPr>
        <w:t>é</w:t>
      </w:r>
      <w:r w:rsidR="000024C9">
        <w:rPr>
          <w:sz w:val="24"/>
          <w:szCs w:val="24"/>
        </w:rPr>
        <w:t xml:space="preserve"> 2002)</w:t>
      </w:r>
      <w:r w:rsidR="00A31A69">
        <w:rPr>
          <w:sz w:val="24"/>
          <w:szCs w:val="24"/>
        </w:rPr>
        <w:t xml:space="preserve">. </w:t>
      </w:r>
      <w:r w:rsidR="00410024">
        <w:rPr>
          <w:sz w:val="24"/>
          <w:szCs w:val="24"/>
        </w:rPr>
        <w:t xml:space="preserve">Each of </w:t>
      </w:r>
      <w:r w:rsidR="00A31A69">
        <w:rPr>
          <w:sz w:val="24"/>
          <w:szCs w:val="24"/>
        </w:rPr>
        <w:t xml:space="preserve">these symptoms </w:t>
      </w:r>
      <w:r w:rsidR="00410024">
        <w:rPr>
          <w:sz w:val="24"/>
          <w:szCs w:val="24"/>
        </w:rPr>
        <w:t xml:space="preserve">had been </w:t>
      </w:r>
      <w:r w:rsidR="00A31A69">
        <w:rPr>
          <w:sz w:val="24"/>
          <w:szCs w:val="24"/>
        </w:rPr>
        <w:t>described to me by the victim and were visible to me as a person who had met her previous</w:t>
      </w:r>
      <w:r w:rsidR="00CE5B35">
        <w:rPr>
          <w:sz w:val="24"/>
          <w:szCs w:val="24"/>
        </w:rPr>
        <w:t>ly</w:t>
      </w:r>
      <w:r w:rsidR="00410024">
        <w:rPr>
          <w:sz w:val="24"/>
          <w:szCs w:val="24"/>
        </w:rPr>
        <w:t>, which allowed me to fully grasp the impact it was having on her.</w:t>
      </w:r>
      <w:r w:rsidR="00EE149A">
        <w:rPr>
          <w:sz w:val="24"/>
          <w:szCs w:val="24"/>
        </w:rPr>
        <w:t xml:space="preserve"> Perhaps if the victim had visible physical injuries the previous officers might have better understood the harm coming to the victim.</w:t>
      </w:r>
    </w:p>
    <w:p w14:paraId="63F16389" w14:textId="77777777" w:rsidR="00054FC7" w:rsidRDefault="00054FC7" w:rsidP="005F21CC">
      <w:pPr>
        <w:overflowPunct/>
        <w:autoSpaceDE/>
        <w:autoSpaceDN/>
        <w:adjustRightInd/>
        <w:textAlignment w:val="auto"/>
        <w:rPr>
          <w:sz w:val="24"/>
          <w:szCs w:val="24"/>
        </w:rPr>
      </w:pPr>
    </w:p>
    <w:p w14:paraId="55A9416B" w14:textId="193A1FA1" w:rsidR="00B816CE" w:rsidRDefault="00054FC7" w:rsidP="005F21CC">
      <w:pPr>
        <w:overflowPunct/>
        <w:autoSpaceDE/>
        <w:autoSpaceDN/>
        <w:adjustRightInd/>
        <w:textAlignment w:val="auto"/>
        <w:rPr>
          <w:sz w:val="24"/>
          <w:szCs w:val="24"/>
        </w:rPr>
      </w:pPr>
      <w:r>
        <w:rPr>
          <w:sz w:val="24"/>
          <w:szCs w:val="24"/>
        </w:rPr>
        <w:t xml:space="preserve">Overall, I think that the incident itself was not dealt with suitably prior to my arrival, however I am satisfied that I took the appropriate actions. Despite external pressure to rush the call, I believe that staying longer allowed me to better explore the incident and understand the needs of the victim. It also allowed me to ensure that I collected the best possible evidence I could. </w:t>
      </w:r>
      <w:r w:rsidR="00AE64B9">
        <w:rPr>
          <w:sz w:val="24"/>
          <w:szCs w:val="24"/>
        </w:rPr>
        <w:t xml:space="preserve">Although I am unable to follow up on the incident to find out </w:t>
      </w:r>
      <w:r w:rsidR="00EE149A">
        <w:rPr>
          <w:sz w:val="24"/>
          <w:szCs w:val="24"/>
        </w:rPr>
        <w:t xml:space="preserve">the </w:t>
      </w:r>
      <w:r w:rsidR="00AE64B9">
        <w:rPr>
          <w:sz w:val="24"/>
          <w:szCs w:val="24"/>
        </w:rPr>
        <w:t xml:space="preserve">conclusion, I am able to say on reflection that </w:t>
      </w:r>
      <w:r w:rsidR="004D7E0F">
        <w:rPr>
          <w:sz w:val="24"/>
          <w:szCs w:val="24"/>
        </w:rPr>
        <w:t xml:space="preserve">made the decision that ‘works best’ in terms of </w:t>
      </w:r>
      <w:r w:rsidR="00AE64B9">
        <w:rPr>
          <w:sz w:val="24"/>
          <w:szCs w:val="24"/>
        </w:rPr>
        <w:t>ensur</w:t>
      </w:r>
      <w:r w:rsidR="004D7E0F">
        <w:rPr>
          <w:sz w:val="24"/>
          <w:szCs w:val="24"/>
        </w:rPr>
        <w:t>ing</w:t>
      </w:r>
      <w:r w:rsidR="00AE64B9">
        <w:rPr>
          <w:sz w:val="24"/>
          <w:szCs w:val="24"/>
        </w:rPr>
        <w:t xml:space="preserve"> the best chance for a positive outcome for the victim</w:t>
      </w:r>
      <w:r w:rsidR="004D7E0F">
        <w:rPr>
          <w:sz w:val="24"/>
          <w:szCs w:val="24"/>
        </w:rPr>
        <w:t xml:space="preserve"> and preventing repeat victimisation</w:t>
      </w:r>
      <w:r w:rsidR="00AE64B9">
        <w:rPr>
          <w:sz w:val="24"/>
          <w:szCs w:val="24"/>
        </w:rPr>
        <w:t xml:space="preserve">. </w:t>
      </w:r>
      <w:r w:rsidR="00EE149A">
        <w:rPr>
          <w:sz w:val="24"/>
          <w:szCs w:val="24"/>
        </w:rPr>
        <w:t>I am able to say this in part</w:t>
      </w:r>
      <w:r w:rsidR="00AE64B9">
        <w:rPr>
          <w:sz w:val="24"/>
          <w:szCs w:val="24"/>
        </w:rPr>
        <w:t xml:space="preserve"> thanks to </w:t>
      </w:r>
      <w:r w:rsidR="0039122F">
        <w:rPr>
          <w:sz w:val="24"/>
          <w:szCs w:val="24"/>
        </w:rPr>
        <w:t xml:space="preserve">modern policing’s focus on </w:t>
      </w:r>
      <w:r w:rsidR="00AE64B9">
        <w:rPr>
          <w:sz w:val="24"/>
          <w:szCs w:val="24"/>
        </w:rPr>
        <w:t xml:space="preserve">Evidence Based Policing, or EBP. </w:t>
      </w:r>
      <w:r w:rsidR="00AE64B9">
        <w:rPr>
          <w:sz w:val="24"/>
          <w:szCs w:val="24"/>
        </w:rPr>
        <w:br/>
      </w:r>
      <w:r w:rsidR="00AE64B9">
        <w:rPr>
          <w:sz w:val="24"/>
          <w:szCs w:val="24"/>
        </w:rPr>
        <w:br/>
        <w:t>Evidence Based Policing i</w:t>
      </w:r>
      <w:r w:rsidR="00B816CE">
        <w:rPr>
          <w:sz w:val="24"/>
          <w:szCs w:val="24"/>
        </w:rPr>
        <w:t xml:space="preserve">s </w:t>
      </w:r>
      <w:r w:rsidR="00B816CE">
        <w:rPr>
          <w:sz w:val="24"/>
          <w:szCs w:val="24"/>
        </w:rPr>
        <w:t>based on the work of Lawrence Sherman</w:t>
      </w:r>
      <w:r w:rsidR="00B816CE">
        <w:rPr>
          <w:sz w:val="24"/>
          <w:szCs w:val="24"/>
        </w:rPr>
        <w:t>, who</w:t>
      </w:r>
      <w:r w:rsidR="00420726">
        <w:rPr>
          <w:sz w:val="24"/>
          <w:szCs w:val="24"/>
        </w:rPr>
        <w:t>, borrowing from the approach of “evidence based medicine”</w:t>
      </w:r>
      <w:r w:rsidR="00B816CE">
        <w:rPr>
          <w:sz w:val="24"/>
          <w:szCs w:val="24"/>
        </w:rPr>
        <w:t xml:space="preserve"> suggested it as </w:t>
      </w:r>
      <w:r w:rsidR="00AE64B9">
        <w:rPr>
          <w:sz w:val="24"/>
          <w:szCs w:val="24"/>
        </w:rPr>
        <w:t>an approach to policing which uses research and data to inform decision-making across all aspects of police work</w:t>
      </w:r>
      <w:r w:rsidR="003F6791">
        <w:rPr>
          <w:sz w:val="24"/>
          <w:szCs w:val="24"/>
        </w:rPr>
        <w:t>.</w:t>
      </w:r>
      <w:r w:rsidR="00420726">
        <w:rPr>
          <w:sz w:val="24"/>
          <w:szCs w:val="24"/>
        </w:rPr>
        <w:t xml:space="preserve"> The basic premise being that best evidence is gathered by combining literature (research) and evidence from in house outcomes to compile best evidence which </w:t>
      </w:r>
      <w:r w:rsidR="00F5256A">
        <w:rPr>
          <w:sz w:val="24"/>
          <w:szCs w:val="24"/>
        </w:rPr>
        <w:t>then shapes guidelines leading to different outputs and outcomes giving further in house evidence which can lead back into the cycle. (Sherman, L. 1998)</w:t>
      </w:r>
    </w:p>
    <w:p w14:paraId="4C432631" w14:textId="4BFFB0E1" w:rsidR="00054FC7" w:rsidRDefault="003F6791" w:rsidP="005F21CC">
      <w:pPr>
        <w:overflowPunct/>
        <w:autoSpaceDE/>
        <w:autoSpaceDN/>
        <w:adjustRightInd/>
        <w:textAlignment w:val="auto"/>
        <w:rPr>
          <w:sz w:val="24"/>
          <w:szCs w:val="24"/>
        </w:rPr>
      </w:pPr>
      <w:r>
        <w:rPr>
          <w:sz w:val="24"/>
          <w:szCs w:val="24"/>
        </w:rPr>
        <w:t xml:space="preserve"> It e</w:t>
      </w:r>
      <w:r w:rsidRPr="003F6791">
        <w:rPr>
          <w:sz w:val="24"/>
          <w:szCs w:val="24"/>
        </w:rPr>
        <w:t>ncourages police forces to collect and analyse data to identify crime patterns, evaluate the impact of interventions, and inform resource allocation decisions.</w:t>
      </w:r>
      <w:r>
        <w:rPr>
          <w:sz w:val="24"/>
          <w:szCs w:val="24"/>
        </w:rPr>
        <w:t xml:space="preserve"> (SEBP 2024)</w:t>
      </w:r>
      <w:r w:rsidR="0017796D">
        <w:rPr>
          <w:sz w:val="24"/>
          <w:szCs w:val="24"/>
        </w:rPr>
        <w:t>.</w:t>
      </w:r>
      <w:r w:rsidR="0039122F">
        <w:rPr>
          <w:sz w:val="24"/>
          <w:szCs w:val="24"/>
        </w:rPr>
        <w:br/>
        <w:t xml:space="preserve"> </w:t>
      </w:r>
      <w:r w:rsidR="0017796D">
        <w:rPr>
          <w:sz w:val="24"/>
          <w:szCs w:val="24"/>
        </w:rPr>
        <w:t xml:space="preserve">Given that this approach is taken by all forces across the UK, it is logical to conclude that the policies in place have been built upon data driven research intended to ensure that these policies are what is statistically most likely to end in a positive result. </w:t>
      </w:r>
      <w:r w:rsidR="007E02D9">
        <w:rPr>
          <w:sz w:val="24"/>
          <w:szCs w:val="24"/>
        </w:rPr>
        <w:t>P</w:t>
      </w:r>
      <w:r w:rsidR="0017796D">
        <w:rPr>
          <w:sz w:val="24"/>
          <w:szCs w:val="24"/>
        </w:rPr>
        <w:t xml:space="preserve">revious learning from incidents where there have been systemic failures </w:t>
      </w:r>
      <w:r w:rsidR="007E02D9">
        <w:rPr>
          <w:sz w:val="24"/>
          <w:szCs w:val="24"/>
        </w:rPr>
        <w:t>will also be taken into account (</w:t>
      </w:r>
      <w:r w:rsidR="0017796D">
        <w:rPr>
          <w:sz w:val="24"/>
          <w:szCs w:val="24"/>
        </w:rPr>
        <w:t>as per the IPCC report following the death of Fiona Pilkington and her daughter, Francecca</w:t>
      </w:r>
      <w:r w:rsidR="007E02D9">
        <w:rPr>
          <w:sz w:val="24"/>
          <w:szCs w:val="24"/>
        </w:rPr>
        <w:t>)</w:t>
      </w:r>
      <w:r w:rsidR="0017796D">
        <w:rPr>
          <w:sz w:val="24"/>
          <w:szCs w:val="24"/>
        </w:rPr>
        <w:t xml:space="preserve">. </w:t>
      </w:r>
      <w:r w:rsidR="007E02D9">
        <w:rPr>
          <w:sz w:val="24"/>
          <w:szCs w:val="24"/>
        </w:rPr>
        <w:t>In the case of a victim being stalked by her ex-partner, force policy states that positive action must be taken</w:t>
      </w:r>
      <w:r w:rsidR="00F407CD">
        <w:rPr>
          <w:sz w:val="24"/>
          <w:szCs w:val="24"/>
        </w:rPr>
        <w:t xml:space="preserve">, which in this case resulted in the arrest of the suspect. Research in the Journal of Police and Criminal Psychology found that victims were more likely to report an improvement in their stalking situation when the responding officer took a report or warned the </w:t>
      </w:r>
      <w:r w:rsidR="00F407CD">
        <w:rPr>
          <w:sz w:val="24"/>
          <w:szCs w:val="24"/>
        </w:rPr>
        <w:lastRenderedPageBreak/>
        <w:t>perpetrator. (Ngo. F. T 2020)</w:t>
      </w:r>
      <w:r w:rsidR="00D111B1">
        <w:rPr>
          <w:sz w:val="24"/>
          <w:szCs w:val="24"/>
        </w:rPr>
        <w:t xml:space="preserve">. This is echoed in </w:t>
      </w:r>
      <w:r w:rsidR="00D111B1">
        <w:rPr>
          <w:i/>
          <w:iCs/>
          <w:sz w:val="24"/>
          <w:szCs w:val="24"/>
        </w:rPr>
        <w:t>Surviving Stalking</w:t>
      </w:r>
      <w:r w:rsidR="00D111B1">
        <w:rPr>
          <w:sz w:val="24"/>
          <w:szCs w:val="24"/>
        </w:rPr>
        <w:t xml:space="preserve"> in which it states </w:t>
      </w:r>
      <w:r w:rsidR="004D7E0F">
        <w:rPr>
          <w:sz w:val="24"/>
          <w:szCs w:val="24"/>
        </w:rPr>
        <w:t>that a lack of affirmative action gives a message to stalkers that their activities will be tolerated by the law, and also leads to victims feeling failed by police and the criminal justice system (Path</w:t>
      </w:r>
      <w:r w:rsidR="004D7E0F" w:rsidRPr="00F5625F">
        <w:rPr>
          <w:sz w:val="24"/>
          <w:szCs w:val="24"/>
        </w:rPr>
        <w:t>é</w:t>
      </w:r>
      <w:r w:rsidR="004D7E0F">
        <w:rPr>
          <w:sz w:val="24"/>
          <w:szCs w:val="24"/>
        </w:rPr>
        <w:t xml:space="preserve"> 2002). This gives officers confidence that they can carry out their role with the guidance of force policy as a guiding hand</w:t>
      </w:r>
      <w:r w:rsidR="00F30E17">
        <w:rPr>
          <w:sz w:val="24"/>
          <w:szCs w:val="24"/>
        </w:rPr>
        <w:t>.</w:t>
      </w:r>
      <w:r w:rsidR="004D7E0F">
        <w:rPr>
          <w:sz w:val="24"/>
          <w:szCs w:val="24"/>
        </w:rPr>
        <w:t xml:space="preserve">That is not to say that force policy should be followed blindly however as Evidence based policing is itself demands that officers of all ranks approach things with an open mind looking for </w:t>
      </w:r>
      <w:r w:rsidR="00893F47">
        <w:rPr>
          <w:sz w:val="24"/>
          <w:szCs w:val="24"/>
        </w:rPr>
        <w:t>opportunities for improvements or changing weaknesses</w:t>
      </w:r>
      <w:r w:rsidR="00F30E17">
        <w:rPr>
          <w:sz w:val="24"/>
          <w:szCs w:val="24"/>
        </w:rPr>
        <w:t xml:space="preserve"> and challenging things which do not work</w:t>
      </w:r>
      <w:r w:rsidR="00893F47">
        <w:rPr>
          <w:sz w:val="24"/>
          <w:szCs w:val="24"/>
        </w:rPr>
        <w:t xml:space="preserve">. </w:t>
      </w:r>
    </w:p>
    <w:p w14:paraId="1FC1915E" w14:textId="204BC34D" w:rsidR="69F7424F" w:rsidRDefault="00A23441" w:rsidP="00A23441">
      <w:pPr>
        <w:overflowPunct/>
        <w:autoSpaceDE/>
        <w:autoSpaceDN/>
        <w:adjustRightInd/>
        <w:textAlignment w:val="auto"/>
        <w:rPr>
          <w:b/>
          <w:bCs/>
          <w:sz w:val="24"/>
          <w:szCs w:val="24"/>
        </w:rPr>
      </w:pPr>
      <w:r>
        <w:rPr>
          <w:sz w:val="24"/>
          <w:szCs w:val="24"/>
        </w:rPr>
        <w:t>Word Count 2</w:t>
      </w:r>
      <w:r w:rsidR="00D74762">
        <w:rPr>
          <w:sz w:val="24"/>
          <w:szCs w:val="24"/>
        </w:rPr>
        <w:t>138</w:t>
      </w: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lastRenderedPageBreak/>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224A3C50" w14:textId="1B9E53BC" w:rsidR="00950C54" w:rsidRDefault="00856491" w:rsidP="0FF883D4">
      <w:pPr>
        <w:ind w:right="237"/>
        <w:jc w:val="both"/>
        <w:rPr>
          <w:color w:val="000000" w:themeColor="text1"/>
          <w:sz w:val="24"/>
          <w:szCs w:val="24"/>
        </w:rPr>
      </w:pPr>
      <w:r>
        <w:rPr>
          <w:color w:val="000000" w:themeColor="text1"/>
          <w:sz w:val="24"/>
          <w:szCs w:val="24"/>
        </w:rPr>
        <w:br/>
        <w:t>My colleague and I were required to attend a call on our patch involving a female who had been a victim of a domestic assault from her male partner. The incident took place in a taxi on the way back from a night out. On the way back the suspect had reportedly assaulted the victim, causing the taxi driver to stop the vehicle on a roundabout</w:t>
      </w:r>
      <w:r w:rsidR="00950C54">
        <w:rPr>
          <w:color w:val="000000" w:themeColor="text1"/>
          <w:sz w:val="24"/>
          <w:szCs w:val="24"/>
        </w:rPr>
        <w:t xml:space="preserve">. </w:t>
      </w:r>
    </w:p>
    <w:p w14:paraId="0BB63475" w14:textId="77777777" w:rsidR="00AA4C56" w:rsidRDefault="00AA4C56" w:rsidP="0FF883D4">
      <w:pPr>
        <w:ind w:right="237"/>
        <w:jc w:val="both"/>
        <w:rPr>
          <w:color w:val="000000" w:themeColor="text1"/>
          <w:sz w:val="24"/>
          <w:szCs w:val="24"/>
        </w:rPr>
      </w:pPr>
    </w:p>
    <w:p w14:paraId="7A922B34" w14:textId="500A4E60" w:rsidR="003B148D" w:rsidRDefault="00950C54" w:rsidP="0FF883D4">
      <w:pPr>
        <w:ind w:right="237"/>
        <w:jc w:val="both"/>
        <w:rPr>
          <w:color w:val="000000" w:themeColor="text1"/>
          <w:sz w:val="24"/>
          <w:szCs w:val="24"/>
        </w:rPr>
      </w:pPr>
      <w:r>
        <w:rPr>
          <w:color w:val="000000" w:themeColor="text1"/>
          <w:sz w:val="24"/>
          <w:szCs w:val="24"/>
        </w:rPr>
        <w:t xml:space="preserve">My colleague arrested the suspect and took him to our vehicle. The suspect </w:t>
      </w:r>
      <w:r w:rsidR="003B148D">
        <w:rPr>
          <w:color w:val="000000" w:themeColor="text1"/>
          <w:sz w:val="24"/>
          <w:szCs w:val="24"/>
        </w:rPr>
        <w:t xml:space="preserve">was resisting arrest and </w:t>
      </w:r>
      <w:r>
        <w:rPr>
          <w:color w:val="000000" w:themeColor="text1"/>
          <w:sz w:val="24"/>
          <w:szCs w:val="24"/>
        </w:rPr>
        <w:t xml:space="preserve">continued to shout at the victim causing her to cry and scream in fear. I attended to the victim and tried to calm her and gather further details about the incident. She was highly intoxicated and emotional, so I had her sit down in the taxi. The witness attended to </w:t>
      </w:r>
      <w:r w:rsidR="00BE1941">
        <w:rPr>
          <w:color w:val="000000" w:themeColor="text1"/>
          <w:sz w:val="24"/>
          <w:szCs w:val="24"/>
        </w:rPr>
        <w:t>the victim</w:t>
      </w:r>
      <w:r>
        <w:rPr>
          <w:color w:val="000000" w:themeColor="text1"/>
          <w:sz w:val="24"/>
          <w:szCs w:val="24"/>
        </w:rPr>
        <w:t xml:space="preserve"> and the taxi driver gave a brief account of what happened. The victim then fell unconscious and was entirely unresponsive. She required immediate attention and so I requested immediate assistance from further units and an ambulance.</w:t>
      </w:r>
      <w:r w:rsidR="00E91FEC">
        <w:rPr>
          <w:color w:val="000000" w:themeColor="text1"/>
          <w:sz w:val="24"/>
          <w:szCs w:val="24"/>
        </w:rPr>
        <w:t xml:space="preserve"> After I </w:t>
      </w:r>
      <w:r>
        <w:rPr>
          <w:color w:val="000000" w:themeColor="text1"/>
          <w:sz w:val="24"/>
          <w:szCs w:val="24"/>
        </w:rPr>
        <w:t xml:space="preserve">successfully brought her back around </w:t>
      </w:r>
      <w:r w:rsidR="003B148D">
        <w:rPr>
          <w:color w:val="000000" w:themeColor="text1"/>
          <w:sz w:val="24"/>
          <w:szCs w:val="24"/>
        </w:rPr>
        <w:t xml:space="preserve">she again started to scream in fear of the suspect, who was at that time trying to kick his way out of the police vehicle. I gently escorted her away from the area along with the taxi driver, and the other witness and started to take a more detailed account from the victim. </w:t>
      </w:r>
    </w:p>
    <w:p w14:paraId="422C1916" w14:textId="77777777" w:rsidR="003B148D" w:rsidRDefault="003B148D" w:rsidP="0FF883D4">
      <w:pPr>
        <w:ind w:right="237"/>
        <w:jc w:val="both"/>
        <w:rPr>
          <w:color w:val="000000" w:themeColor="text1"/>
          <w:sz w:val="24"/>
          <w:szCs w:val="24"/>
        </w:rPr>
      </w:pPr>
    </w:p>
    <w:p w14:paraId="2E5F7435" w14:textId="5BD3BC97" w:rsidR="00950C54" w:rsidRDefault="003B148D" w:rsidP="0FF883D4">
      <w:pPr>
        <w:ind w:right="237"/>
        <w:jc w:val="both"/>
        <w:rPr>
          <w:color w:val="000000" w:themeColor="text1"/>
          <w:sz w:val="24"/>
          <w:szCs w:val="24"/>
        </w:rPr>
      </w:pPr>
      <w:r>
        <w:rPr>
          <w:color w:val="000000" w:themeColor="text1"/>
          <w:sz w:val="24"/>
          <w:szCs w:val="24"/>
        </w:rPr>
        <w:t xml:space="preserve">The </w:t>
      </w:r>
      <w:r w:rsidR="00E91FEC">
        <w:rPr>
          <w:color w:val="000000" w:themeColor="text1"/>
          <w:sz w:val="24"/>
          <w:szCs w:val="24"/>
        </w:rPr>
        <w:t>challenge</w:t>
      </w:r>
      <w:r>
        <w:rPr>
          <w:color w:val="000000" w:themeColor="text1"/>
          <w:sz w:val="24"/>
          <w:szCs w:val="24"/>
        </w:rPr>
        <w:t xml:space="preserve"> officers deal with which is specific to domestic incidents is a result of the fact that domestic incidents occur between people who are </w:t>
      </w:r>
      <w:r w:rsidR="0010222D">
        <w:rPr>
          <w:color w:val="000000" w:themeColor="text1"/>
          <w:sz w:val="24"/>
          <w:szCs w:val="24"/>
        </w:rPr>
        <w:t>‘</w:t>
      </w:r>
      <w:r>
        <w:rPr>
          <w:color w:val="000000" w:themeColor="text1"/>
          <w:sz w:val="24"/>
          <w:szCs w:val="24"/>
        </w:rPr>
        <w:t>personally connected with each other</w:t>
      </w:r>
      <w:r w:rsidR="0010222D">
        <w:rPr>
          <w:color w:val="000000" w:themeColor="text1"/>
          <w:sz w:val="24"/>
          <w:szCs w:val="24"/>
        </w:rPr>
        <w:t>’</w:t>
      </w:r>
      <w:r>
        <w:rPr>
          <w:color w:val="000000" w:themeColor="text1"/>
          <w:sz w:val="24"/>
          <w:szCs w:val="24"/>
        </w:rPr>
        <w:t xml:space="preserve"> (the </w:t>
      </w:r>
      <w:r w:rsidR="0010222D">
        <w:rPr>
          <w:color w:val="000000" w:themeColor="text1"/>
          <w:sz w:val="24"/>
          <w:szCs w:val="24"/>
        </w:rPr>
        <w:t>meaning</w:t>
      </w:r>
      <w:r>
        <w:rPr>
          <w:color w:val="000000" w:themeColor="text1"/>
          <w:sz w:val="24"/>
          <w:szCs w:val="24"/>
        </w:rPr>
        <w:t xml:space="preserve"> of </w:t>
      </w:r>
      <w:r w:rsidR="0010222D">
        <w:rPr>
          <w:color w:val="000000" w:themeColor="text1"/>
          <w:sz w:val="24"/>
          <w:szCs w:val="24"/>
        </w:rPr>
        <w:t>which</w:t>
      </w:r>
      <w:r>
        <w:rPr>
          <w:color w:val="000000" w:themeColor="text1"/>
          <w:sz w:val="24"/>
          <w:szCs w:val="24"/>
        </w:rPr>
        <w:t xml:space="preserve"> having been defined in law as part of the Domestic Abuse Act 2021). </w:t>
      </w:r>
    </w:p>
    <w:p w14:paraId="5FFCC53E" w14:textId="57B13189" w:rsidR="006D66C5" w:rsidRDefault="003B148D" w:rsidP="0FF883D4">
      <w:pPr>
        <w:ind w:right="237"/>
        <w:jc w:val="both"/>
        <w:rPr>
          <w:color w:val="000000" w:themeColor="text1"/>
          <w:sz w:val="24"/>
          <w:szCs w:val="24"/>
        </w:rPr>
      </w:pPr>
      <w:r>
        <w:rPr>
          <w:color w:val="000000" w:themeColor="text1"/>
          <w:sz w:val="24"/>
          <w:szCs w:val="24"/>
        </w:rPr>
        <w:t xml:space="preserve">In contrast with many criminal offences, victims of domestic abuse have an emotional connection with their perpetrator which </w:t>
      </w:r>
      <w:r w:rsidR="00BE1941">
        <w:rPr>
          <w:color w:val="000000" w:themeColor="text1"/>
          <w:sz w:val="24"/>
          <w:szCs w:val="24"/>
        </w:rPr>
        <w:t>creates barriers that are otherwise not present in incidents where the victim does not know the perpetrator</w:t>
      </w:r>
      <w:r w:rsidR="0010222D">
        <w:rPr>
          <w:color w:val="000000" w:themeColor="text1"/>
          <w:sz w:val="24"/>
          <w:szCs w:val="24"/>
        </w:rPr>
        <w:t xml:space="preserve"> personally. </w:t>
      </w:r>
      <w:r w:rsidR="00F300AF">
        <w:rPr>
          <w:color w:val="000000" w:themeColor="text1"/>
          <w:sz w:val="24"/>
          <w:szCs w:val="24"/>
        </w:rPr>
        <w:t>It is commonly stated that p</w:t>
      </w:r>
      <w:r w:rsidR="00B315BD">
        <w:rPr>
          <w:color w:val="000000" w:themeColor="text1"/>
          <w:sz w:val="24"/>
          <w:szCs w:val="24"/>
        </w:rPr>
        <w:t>eople who live in fear of their partner will often not report incidents of domestic violence</w:t>
      </w:r>
      <w:r w:rsidR="00F300AF">
        <w:rPr>
          <w:color w:val="000000" w:themeColor="text1"/>
          <w:sz w:val="24"/>
          <w:szCs w:val="24"/>
        </w:rPr>
        <w:t xml:space="preserve"> although reliable statistics relating to this are difficult to obtain . M</w:t>
      </w:r>
      <w:r w:rsidR="00B315BD">
        <w:rPr>
          <w:color w:val="000000" w:themeColor="text1"/>
          <w:sz w:val="24"/>
          <w:szCs w:val="24"/>
        </w:rPr>
        <w:t>any will report incidents but choose not to provide supportive statements to police upon attendance</w:t>
      </w:r>
      <w:r w:rsidR="00F20FB0">
        <w:rPr>
          <w:color w:val="000000" w:themeColor="text1"/>
          <w:sz w:val="24"/>
          <w:szCs w:val="24"/>
        </w:rPr>
        <w:t>. Many victims choose to withdraw from supporting a prosecution against their abuser</w:t>
      </w:r>
      <w:r w:rsidR="00B315BD">
        <w:rPr>
          <w:color w:val="000000" w:themeColor="text1"/>
          <w:sz w:val="24"/>
          <w:szCs w:val="24"/>
        </w:rPr>
        <w:t xml:space="preserve"> resulting in many cases being dropped</w:t>
      </w:r>
      <w:r w:rsidR="00F20FB0">
        <w:rPr>
          <w:color w:val="000000" w:themeColor="text1"/>
          <w:sz w:val="24"/>
          <w:szCs w:val="24"/>
        </w:rPr>
        <w:t>.</w:t>
      </w:r>
      <w:r w:rsidR="008D2716">
        <w:rPr>
          <w:color w:val="000000" w:themeColor="text1"/>
          <w:sz w:val="24"/>
          <w:szCs w:val="24"/>
        </w:rPr>
        <w:t xml:space="preserve"> </w:t>
      </w:r>
      <w:r w:rsidR="00C10D2B">
        <w:rPr>
          <w:color w:val="000000" w:themeColor="text1"/>
          <w:sz w:val="24"/>
          <w:szCs w:val="24"/>
        </w:rPr>
        <w:t>CPS date suggests that the rate of withdrawal for domestic abuse cases was 47.9%</w:t>
      </w:r>
      <w:r w:rsidR="007D6035">
        <w:rPr>
          <w:color w:val="000000" w:themeColor="text1"/>
          <w:sz w:val="24"/>
          <w:szCs w:val="24"/>
        </w:rPr>
        <w:t xml:space="preserve"> in Q1 2023-24. (CPS 2024). </w:t>
      </w:r>
      <w:r w:rsidR="00B315BD">
        <w:rPr>
          <w:color w:val="000000" w:themeColor="text1"/>
          <w:sz w:val="24"/>
          <w:szCs w:val="24"/>
        </w:rPr>
        <w:t xml:space="preserve">Police therefore use </w:t>
      </w:r>
      <w:r w:rsidR="006D66C5">
        <w:rPr>
          <w:color w:val="000000" w:themeColor="text1"/>
          <w:sz w:val="24"/>
          <w:szCs w:val="24"/>
        </w:rPr>
        <w:t>several</w:t>
      </w:r>
      <w:r w:rsidR="00B315BD">
        <w:rPr>
          <w:color w:val="000000" w:themeColor="text1"/>
          <w:sz w:val="24"/>
          <w:szCs w:val="24"/>
        </w:rPr>
        <w:t xml:space="preserve"> tactics in order to mitigate these challeng</w:t>
      </w:r>
      <w:r w:rsidR="006D66C5">
        <w:rPr>
          <w:color w:val="000000" w:themeColor="text1"/>
          <w:sz w:val="24"/>
          <w:szCs w:val="24"/>
        </w:rPr>
        <w:t>e, the most notable being victimless prosecution.</w:t>
      </w:r>
    </w:p>
    <w:p w14:paraId="2210CC5F" w14:textId="37DE234B" w:rsidR="00B315BD" w:rsidRDefault="00B315BD" w:rsidP="0FF883D4">
      <w:pPr>
        <w:ind w:right="237"/>
        <w:jc w:val="both"/>
        <w:rPr>
          <w:color w:val="000000" w:themeColor="text1"/>
          <w:sz w:val="24"/>
          <w:szCs w:val="24"/>
        </w:rPr>
      </w:pPr>
      <w:r>
        <w:rPr>
          <w:color w:val="000000" w:themeColor="text1"/>
          <w:sz w:val="24"/>
          <w:szCs w:val="24"/>
        </w:rPr>
        <w:t xml:space="preserve">. </w:t>
      </w:r>
    </w:p>
    <w:p w14:paraId="5C3382CE" w14:textId="77777777" w:rsidR="008573E0" w:rsidRDefault="008573E0" w:rsidP="0FF883D4">
      <w:pPr>
        <w:ind w:right="237"/>
        <w:jc w:val="both"/>
        <w:rPr>
          <w:color w:val="000000" w:themeColor="text1"/>
          <w:sz w:val="24"/>
          <w:szCs w:val="24"/>
        </w:rPr>
      </w:pPr>
    </w:p>
    <w:p w14:paraId="628CB3F4" w14:textId="4AA45DEB" w:rsidR="008573E0" w:rsidRPr="00E676F7" w:rsidRDefault="008573E0" w:rsidP="0FF883D4">
      <w:pPr>
        <w:ind w:right="237"/>
        <w:jc w:val="both"/>
        <w:rPr>
          <w:color w:val="000000" w:themeColor="text1"/>
          <w:sz w:val="24"/>
          <w:szCs w:val="24"/>
        </w:rPr>
      </w:pPr>
      <w:r>
        <w:rPr>
          <w:color w:val="000000" w:themeColor="text1"/>
          <w:sz w:val="24"/>
          <w:szCs w:val="24"/>
        </w:rPr>
        <w:lastRenderedPageBreak/>
        <w:t xml:space="preserve">Officers will utilise the NDM, or the </w:t>
      </w:r>
      <w:r w:rsidR="00AE00C7">
        <w:rPr>
          <w:color w:val="000000" w:themeColor="text1"/>
          <w:sz w:val="24"/>
          <w:szCs w:val="24"/>
        </w:rPr>
        <w:t>National Decision Model, which</w:t>
      </w:r>
      <w:r w:rsidR="00287010">
        <w:rPr>
          <w:color w:val="000000" w:themeColor="text1"/>
          <w:sz w:val="24"/>
          <w:szCs w:val="24"/>
        </w:rPr>
        <w:t>,</w:t>
      </w:r>
      <w:r w:rsidR="00AE00C7">
        <w:rPr>
          <w:color w:val="000000" w:themeColor="text1"/>
          <w:sz w:val="24"/>
          <w:szCs w:val="24"/>
        </w:rPr>
        <w:t xml:space="preserve"> as the name suggests,</w:t>
      </w:r>
      <w:r w:rsidR="00287010">
        <w:rPr>
          <w:color w:val="000000" w:themeColor="text1"/>
          <w:sz w:val="24"/>
          <w:szCs w:val="24"/>
        </w:rPr>
        <w:t xml:space="preserve"> is</w:t>
      </w:r>
      <w:r w:rsidR="00AE00C7">
        <w:rPr>
          <w:color w:val="000000" w:themeColor="text1"/>
          <w:sz w:val="24"/>
          <w:szCs w:val="24"/>
        </w:rPr>
        <w:t xml:space="preserve"> a </w:t>
      </w:r>
      <w:r w:rsidR="00287010">
        <w:rPr>
          <w:color w:val="000000" w:themeColor="text1"/>
          <w:sz w:val="24"/>
          <w:szCs w:val="24"/>
        </w:rPr>
        <w:t>decision-making</w:t>
      </w:r>
      <w:r w:rsidR="00AE00C7">
        <w:rPr>
          <w:color w:val="000000" w:themeColor="text1"/>
          <w:sz w:val="24"/>
          <w:szCs w:val="24"/>
        </w:rPr>
        <w:t xml:space="preserve"> tool utilised by officers in situations where the effectiveness of their decision making can be the difference between a positive or a negative outcome. Centred around the police code of ethics it consists of five phases.  Gathering information, assessing the threats and risks, identify options and consistencies, and taking action / reviewing.</w:t>
      </w:r>
      <w:r w:rsidR="00A94026">
        <w:rPr>
          <w:color w:val="000000" w:themeColor="text1"/>
          <w:sz w:val="24"/>
          <w:szCs w:val="24"/>
        </w:rPr>
        <w:t xml:space="preserve"> (College of Policing 2013)</w:t>
      </w:r>
      <w:r w:rsidR="00AE00C7">
        <w:rPr>
          <w:color w:val="000000" w:themeColor="text1"/>
          <w:sz w:val="24"/>
          <w:szCs w:val="24"/>
        </w:rPr>
        <w:t xml:space="preserve"> The cycle can be repeated as many times as necessary. </w:t>
      </w:r>
      <w:r w:rsidR="006D66C5">
        <w:rPr>
          <w:color w:val="000000" w:themeColor="text1"/>
          <w:sz w:val="24"/>
          <w:szCs w:val="24"/>
        </w:rPr>
        <w:t xml:space="preserve">It is a flexible </w:t>
      </w:r>
      <w:r w:rsidR="00287010">
        <w:rPr>
          <w:color w:val="000000" w:themeColor="text1"/>
          <w:sz w:val="24"/>
          <w:szCs w:val="24"/>
        </w:rPr>
        <w:t xml:space="preserve">tool that is applicable in all circumstances an officer might face and is an officer’s most frequently used tool. Its strengths lie in </w:t>
      </w:r>
      <w:r w:rsidR="00382696">
        <w:rPr>
          <w:color w:val="000000" w:themeColor="text1"/>
          <w:sz w:val="24"/>
          <w:szCs w:val="24"/>
        </w:rPr>
        <w:t>its</w:t>
      </w:r>
      <w:r w:rsidR="00287010">
        <w:rPr>
          <w:color w:val="000000" w:themeColor="text1"/>
          <w:sz w:val="24"/>
          <w:szCs w:val="24"/>
        </w:rPr>
        <w:t xml:space="preserve"> flexibility and how adaptable it is to any situation, however as with any tool, it must be utilised properly in order to provide any benefit.</w:t>
      </w:r>
      <w:r w:rsidR="00382696">
        <w:rPr>
          <w:color w:val="000000" w:themeColor="text1"/>
          <w:sz w:val="24"/>
          <w:szCs w:val="24"/>
        </w:rPr>
        <w:t xml:space="preserve"> In the incident I attended, I used the NDM to inform my decision making processes, noting during the ‘consider powers and policy’ phase that South Wales police for policy is to always take positive action when dealing with a domestic incident. </w:t>
      </w:r>
    </w:p>
    <w:p w14:paraId="41381FDB" w14:textId="10AF242D" w:rsidR="00025650" w:rsidRPr="00E676F7" w:rsidRDefault="00025650" w:rsidP="0FF883D4">
      <w:pPr>
        <w:ind w:right="237"/>
        <w:jc w:val="both"/>
        <w:rPr>
          <w:color w:val="000000" w:themeColor="text1"/>
          <w:sz w:val="24"/>
          <w:szCs w:val="24"/>
        </w:rPr>
      </w:pPr>
    </w:p>
    <w:p w14:paraId="17545049" w14:textId="21DA2A10" w:rsidR="00F300AF" w:rsidRDefault="00287010" w:rsidP="0FF883D4">
      <w:pPr>
        <w:ind w:right="237"/>
        <w:jc w:val="both"/>
        <w:rPr>
          <w:color w:val="000000" w:themeColor="text1"/>
          <w:sz w:val="24"/>
          <w:szCs w:val="24"/>
        </w:rPr>
      </w:pPr>
      <w:r>
        <w:rPr>
          <w:color w:val="000000" w:themeColor="text1"/>
          <w:sz w:val="24"/>
          <w:szCs w:val="24"/>
        </w:rPr>
        <w:t>Other than the NDM,</w:t>
      </w:r>
      <w:r w:rsidR="006D66C5">
        <w:rPr>
          <w:color w:val="000000" w:themeColor="text1"/>
          <w:sz w:val="24"/>
          <w:szCs w:val="24"/>
        </w:rPr>
        <w:t xml:space="preserve"> victimless prosecution is the most notable tool utilised by officers</w:t>
      </w:r>
      <w:r>
        <w:rPr>
          <w:color w:val="000000" w:themeColor="text1"/>
          <w:sz w:val="24"/>
          <w:szCs w:val="24"/>
        </w:rPr>
        <w:t>. Although I have described victimless prosecution as a tool, it is probably better described as a process</w:t>
      </w:r>
      <w:r w:rsidR="00382696">
        <w:rPr>
          <w:color w:val="000000" w:themeColor="text1"/>
          <w:sz w:val="24"/>
          <w:szCs w:val="24"/>
        </w:rPr>
        <w:t>,</w:t>
      </w:r>
      <w:r>
        <w:rPr>
          <w:color w:val="000000" w:themeColor="text1"/>
          <w:sz w:val="24"/>
          <w:szCs w:val="24"/>
        </w:rPr>
        <w:t xml:space="preserve"> That is</w:t>
      </w:r>
      <w:r w:rsidR="00382696">
        <w:rPr>
          <w:color w:val="000000" w:themeColor="text1"/>
          <w:sz w:val="24"/>
          <w:szCs w:val="24"/>
        </w:rPr>
        <w:t>,</w:t>
      </w:r>
      <w:r>
        <w:rPr>
          <w:color w:val="000000" w:themeColor="text1"/>
          <w:sz w:val="24"/>
          <w:szCs w:val="24"/>
        </w:rPr>
        <w:t xml:space="preserve"> a process which gives “</w:t>
      </w:r>
      <w:r w:rsidRPr="00287010">
        <w:rPr>
          <w:color w:val="000000" w:themeColor="text1"/>
          <w:sz w:val="24"/>
          <w:szCs w:val="24"/>
        </w:rPr>
        <w:t>a possible avenue of progressing with a case when the complainant is unable or unwilling to give evidence</w:t>
      </w:r>
      <w:r w:rsidR="00382696">
        <w:rPr>
          <w:color w:val="000000" w:themeColor="text1"/>
          <w:sz w:val="24"/>
          <w:szCs w:val="24"/>
        </w:rPr>
        <w:t xml:space="preserve"> by using RES GESTAE</w:t>
      </w:r>
      <w:r w:rsidR="004E7B3A">
        <w:rPr>
          <w:color w:val="000000" w:themeColor="text1"/>
          <w:sz w:val="24"/>
          <w:szCs w:val="24"/>
        </w:rPr>
        <w:t xml:space="preserve"> (essentially, allowing the use of certain types of hearsay evidence (such as 999 calls) under section 118 of the Criminal Justice Act 2003.</w:t>
      </w:r>
      <w:r w:rsidR="00382696">
        <w:rPr>
          <w:color w:val="000000" w:themeColor="text1"/>
          <w:sz w:val="24"/>
          <w:szCs w:val="24"/>
        </w:rPr>
        <w:t xml:space="preserve"> (Johnson and Forsyth 2021)</w:t>
      </w:r>
      <w:r w:rsidR="004E7B3A">
        <w:rPr>
          <w:color w:val="000000" w:themeColor="text1"/>
          <w:sz w:val="24"/>
          <w:szCs w:val="24"/>
        </w:rPr>
        <w:t>.</w:t>
      </w:r>
      <w:r w:rsidR="00F300AF">
        <w:rPr>
          <w:color w:val="000000" w:themeColor="text1"/>
          <w:sz w:val="24"/>
          <w:szCs w:val="24"/>
        </w:rPr>
        <w:t xml:space="preserve"> But why do victims choose to withdraw from supporting prosecution, or refuse to support prosecution from the offset? </w:t>
      </w:r>
    </w:p>
    <w:p w14:paraId="1441DB0A" w14:textId="77777777" w:rsidR="00AF5FFD" w:rsidRDefault="00AF5FFD" w:rsidP="0FF883D4">
      <w:pPr>
        <w:ind w:right="237"/>
        <w:jc w:val="both"/>
        <w:rPr>
          <w:color w:val="000000" w:themeColor="text1"/>
          <w:sz w:val="24"/>
          <w:szCs w:val="24"/>
        </w:rPr>
      </w:pPr>
    </w:p>
    <w:p w14:paraId="6FE773BF" w14:textId="4B5D2051" w:rsidR="00CC5529" w:rsidRDefault="00AF5FFD" w:rsidP="0FF883D4">
      <w:pPr>
        <w:ind w:right="237"/>
        <w:jc w:val="both"/>
        <w:rPr>
          <w:color w:val="000000" w:themeColor="text1"/>
          <w:sz w:val="24"/>
          <w:szCs w:val="24"/>
        </w:rPr>
      </w:pPr>
      <w:r>
        <w:rPr>
          <w:color w:val="000000" w:themeColor="text1"/>
          <w:sz w:val="24"/>
          <w:szCs w:val="24"/>
        </w:rPr>
        <w:t xml:space="preserve">Something which </w:t>
      </w:r>
      <w:r w:rsidR="00FB67CA">
        <w:rPr>
          <w:color w:val="000000" w:themeColor="text1"/>
          <w:sz w:val="24"/>
          <w:szCs w:val="24"/>
        </w:rPr>
        <w:t>is important to understand when dealing with an</w:t>
      </w:r>
      <w:r>
        <w:rPr>
          <w:color w:val="000000" w:themeColor="text1"/>
          <w:sz w:val="24"/>
          <w:szCs w:val="24"/>
        </w:rPr>
        <w:t xml:space="preserve"> intimate relationship</w:t>
      </w:r>
      <w:r w:rsidR="00FB67CA">
        <w:rPr>
          <w:color w:val="000000" w:themeColor="text1"/>
          <w:sz w:val="24"/>
          <w:szCs w:val="24"/>
        </w:rPr>
        <w:t xml:space="preserve"> which contains abusive elements,</w:t>
      </w:r>
      <w:r>
        <w:rPr>
          <w:color w:val="000000" w:themeColor="text1"/>
          <w:sz w:val="24"/>
          <w:szCs w:val="24"/>
        </w:rPr>
        <w:t xml:space="preserve"> is the concept of Traumatic Bonding.</w:t>
      </w:r>
      <w:r w:rsidR="00FB67CA">
        <w:rPr>
          <w:color w:val="000000" w:themeColor="text1"/>
          <w:sz w:val="24"/>
          <w:szCs w:val="24"/>
        </w:rPr>
        <w:t xml:space="preserve"> This concept </w:t>
      </w:r>
      <w:r w:rsidR="0071161E">
        <w:rPr>
          <w:color w:val="000000" w:themeColor="text1"/>
          <w:sz w:val="24"/>
          <w:szCs w:val="24"/>
        </w:rPr>
        <w:t>answers the question of ‘why does he/she go back to him/her’, and has been studied and has at times been likened to a pull of an elastic band. Whilst the</w:t>
      </w:r>
      <w:r w:rsidR="00F242B8">
        <w:rPr>
          <w:color w:val="000000" w:themeColor="text1"/>
          <w:sz w:val="24"/>
          <w:szCs w:val="24"/>
        </w:rPr>
        <w:t xml:space="preserve"> abused</w:t>
      </w:r>
      <w:r w:rsidR="0071161E">
        <w:rPr>
          <w:color w:val="000000" w:themeColor="text1"/>
          <w:sz w:val="24"/>
          <w:szCs w:val="24"/>
        </w:rPr>
        <w:t xml:space="preserve"> are close to their abuser the negative aspects of the relationship (the abuse) is at the forefront, however, often the abuse is intermittent and there will be times when the abuser is contrite / caring. As the proximity of the abused and the abuser increases, the memories of these</w:t>
      </w:r>
      <w:r w:rsidR="00F242B8">
        <w:rPr>
          <w:color w:val="000000" w:themeColor="text1"/>
          <w:sz w:val="24"/>
          <w:szCs w:val="24"/>
        </w:rPr>
        <w:t xml:space="preserve"> abusive</w:t>
      </w:r>
      <w:r w:rsidR="0071161E">
        <w:rPr>
          <w:color w:val="000000" w:themeColor="text1"/>
          <w:sz w:val="24"/>
          <w:szCs w:val="24"/>
        </w:rPr>
        <w:t xml:space="preserve"> aspects fade </w:t>
      </w:r>
      <w:r w:rsidR="00CC5529">
        <w:rPr>
          <w:color w:val="000000" w:themeColor="text1"/>
          <w:sz w:val="24"/>
          <w:szCs w:val="24"/>
        </w:rPr>
        <w:t>as memories of the positive aspects of the relationship increase and the pull of the attachment to their abuser increases.</w:t>
      </w:r>
      <w:r w:rsidR="0071161E">
        <w:rPr>
          <w:color w:val="000000" w:themeColor="text1"/>
          <w:sz w:val="24"/>
          <w:szCs w:val="24"/>
        </w:rPr>
        <w:t xml:space="preserve"> </w:t>
      </w:r>
      <w:r w:rsidR="00FB67CA">
        <w:rPr>
          <w:color w:val="000000" w:themeColor="text1"/>
          <w:sz w:val="24"/>
          <w:szCs w:val="24"/>
        </w:rPr>
        <w:t>(</w:t>
      </w:r>
      <w:r w:rsidR="00FB67CA" w:rsidRPr="00FB67CA">
        <w:rPr>
          <w:color w:val="000000" w:themeColor="text1"/>
          <w:sz w:val="24"/>
          <w:szCs w:val="24"/>
        </w:rPr>
        <w:t xml:space="preserve">Dutton, D. G., &amp; Painter, S. </w:t>
      </w:r>
      <w:r w:rsidR="00FB67CA">
        <w:rPr>
          <w:color w:val="000000" w:themeColor="text1"/>
          <w:sz w:val="24"/>
          <w:szCs w:val="24"/>
        </w:rPr>
        <w:t>1</w:t>
      </w:r>
      <w:r w:rsidR="00FB67CA" w:rsidRPr="00FB67CA">
        <w:rPr>
          <w:color w:val="000000" w:themeColor="text1"/>
          <w:sz w:val="24"/>
          <w:szCs w:val="24"/>
        </w:rPr>
        <w:t>993</w:t>
      </w:r>
      <w:r w:rsidR="00FB67CA">
        <w:rPr>
          <w:color w:val="000000" w:themeColor="text1"/>
          <w:sz w:val="24"/>
          <w:szCs w:val="24"/>
        </w:rPr>
        <w:t>)</w:t>
      </w:r>
      <w:r w:rsidR="00CC5529">
        <w:rPr>
          <w:color w:val="000000" w:themeColor="text1"/>
          <w:sz w:val="24"/>
          <w:szCs w:val="24"/>
        </w:rPr>
        <w:t xml:space="preserve">. </w:t>
      </w:r>
    </w:p>
    <w:p w14:paraId="5D62F855" w14:textId="77777777" w:rsidR="00CC5529" w:rsidRDefault="00CC5529" w:rsidP="0FF883D4">
      <w:pPr>
        <w:ind w:right="237"/>
        <w:jc w:val="both"/>
        <w:rPr>
          <w:color w:val="000000" w:themeColor="text1"/>
          <w:sz w:val="24"/>
          <w:szCs w:val="24"/>
        </w:rPr>
      </w:pPr>
    </w:p>
    <w:p w14:paraId="2BF1D59A" w14:textId="0EFA4754" w:rsidR="00CC5529" w:rsidRDefault="00F242B8" w:rsidP="0FF883D4">
      <w:pPr>
        <w:ind w:right="237"/>
        <w:jc w:val="both"/>
        <w:rPr>
          <w:color w:val="000000" w:themeColor="text1"/>
          <w:sz w:val="24"/>
          <w:szCs w:val="24"/>
        </w:rPr>
      </w:pPr>
      <w:r>
        <w:rPr>
          <w:color w:val="000000" w:themeColor="text1"/>
          <w:sz w:val="24"/>
          <w:szCs w:val="24"/>
        </w:rPr>
        <w:t>Trauma</w:t>
      </w:r>
      <w:r w:rsidR="00CC5529">
        <w:rPr>
          <w:color w:val="000000" w:themeColor="text1"/>
          <w:sz w:val="24"/>
          <w:szCs w:val="24"/>
        </w:rPr>
        <w:t xml:space="preserve"> bonding is just one reason why a person might withdraw from supporting a prosecution after officers attend a domestic incident. Other reasons however may prevent victims from coming forward at all. </w:t>
      </w:r>
      <w:r w:rsidR="002E2695">
        <w:rPr>
          <w:color w:val="000000" w:themeColor="text1"/>
          <w:sz w:val="24"/>
          <w:szCs w:val="24"/>
        </w:rPr>
        <w:t xml:space="preserve">Fear is a strong deterrent to reporting domestic abuse to the </w:t>
      </w:r>
      <w:r>
        <w:rPr>
          <w:color w:val="000000" w:themeColor="text1"/>
          <w:sz w:val="24"/>
          <w:szCs w:val="24"/>
        </w:rPr>
        <w:t>police and</w:t>
      </w:r>
      <w:r w:rsidR="002E2695">
        <w:rPr>
          <w:color w:val="000000" w:themeColor="text1"/>
          <w:sz w:val="24"/>
          <w:szCs w:val="24"/>
        </w:rPr>
        <w:t xml:space="preserve"> may explain why it is estimated that approximately 60% of domestic abuse incidents go unreported. (Office for National Statistics 2023)</w:t>
      </w:r>
      <w:r>
        <w:rPr>
          <w:color w:val="000000" w:themeColor="text1"/>
          <w:sz w:val="24"/>
          <w:szCs w:val="24"/>
        </w:rPr>
        <w:t xml:space="preserve">. </w:t>
      </w:r>
      <w:r w:rsidR="00D22BF6">
        <w:rPr>
          <w:color w:val="000000" w:themeColor="text1"/>
          <w:sz w:val="24"/>
          <w:szCs w:val="24"/>
        </w:rPr>
        <w:t xml:space="preserve">Femicide census highlights the dangers posed to women by men in their census detailing statistics of the killing of women in the UK. According to their data, 53% of women killed by men in 2021 were killed by a previous or current partner, and 52% of those had left, or had been taking steps to leave their partner. Of course, these figures specify the deaths of women at the hands of men, however, it gives us good insight into the legitimate fear that women (and men/nonbinary people)  face when trying to leave an abusive partner. The phone call made to the police may be the first step for that person towards leaving their partner. </w:t>
      </w:r>
    </w:p>
    <w:p w14:paraId="2B1DF9D2" w14:textId="77777777" w:rsidR="00D22BF6" w:rsidRDefault="00D22BF6" w:rsidP="0FF883D4">
      <w:pPr>
        <w:ind w:right="237"/>
        <w:jc w:val="both"/>
        <w:rPr>
          <w:color w:val="000000" w:themeColor="text1"/>
          <w:sz w:val="24"/>
          <w:szCs w:val="24"/>
        </w:rPr>
      </w:pPr>
    </w:p>
    <w:p w14:paraId="0BA0D8A8" w14:textId="67821FB2" w:rsidR="003D12E4" w:rsidRDefault="00D22BF6" w:rsidP="0FF883D4">
      <w:pPr>
        <w:ind w:right="237"/>
        <w:jc w:val="both"/>
        <w:rPr>
          <w:color w:val="000000" w:themeColor="text1"/>
          <w:sz w:val="24"/>
          <w:szCs w:val="24"/>
        </w:rPr>
      </w:pPr>
      <w:r>
        <w:rPr>
          <w:color w:val="000000" w:themeColor="text1"/>
          <w:sz w:val="24"/>
          <w:szCs w:val="24"/>
        </w:rPr>
        <w:t>Faith or mistrust in the police as an organisation can also be a deterrent, with victims being less likely to make a report</w:t>
      </w:r>
      <w:r w:rsidR="00A3643B">
        <w:rPr>
          <w:color w:val="000000" w:themeColor="text1"/>
          <w:sz w:val="24"/>
          <w:szCs w:val="24"/>
        </w:rPr>
        <w:t xml:space="preserve"> to the police based on their perception of the police </w:t>
      </w:r>
      <w:r w:rsidR="00A3643B">
        <w:rPr>
          <w:color w:val="000000" w:themeColor="text1"/>
          <w:sz w:val="24"/>
          <w:szCs w:val="24"/>
        </w:rPr>
        <w:lastRenderedPageBreak/>
        <w:t xml:space="preserve">in general. </w:t>
      </w:r>
      <w:r w:rsidR="003D12E4">
        <w:rPr>
          <w:color w:val="000000" w:themeColor="text1"/>
          <w:sz w:val="24"/>
          <w:szCs w:val="24"/>
        </w:rPr>
        <w:t xml:space="preserve">According to BMG Research, attitudes towards police have been becoming more polarised in recent years. Between 2015 and 2018, the number of respondents who responded positively regarding the police increased from 32% to 40%, whilst those with critical views also increased from 16% to 18%, suggesting that officers are increasingly likely to meet someone with a negative opinion on police when attending a domestic incident. (BMG Research 2019). </w:t>
      </w:r>
    </w:p>
    <w:p w14:paraId="50783F7D" w14:textId="77777777" w:rsidR="003D12E4" w:rsidRDefault="003D12E4" w:rsidP="0FF883D4">
      <w:pPr>
        <w:ind w:right="237"/>
        <w:jc w:val="both"/>
        <w:rPr>
          <w:color w:val="000000" w:themeColor="text1"/>
          <w:sz w:val="24"/>
          <w:szCs w:val="24"/>
        </w:rPr>
      </w:pPr>
    </w:p>
    <w:p w14:paraId="35E0F646" w14:textId="04E5E1DE" w:rsidR="003E1CFE" w:rsidRDefault="003D12E4" w:rsidP="0FF883D4">
      <w:pPr>
        <w:ind w:right="237"/>
        <w:jc w:val="both"/>
        <w:rPr>
          <w:color w:val="000000" w:themeColor="text1"/>
          <w:sz w:val="24"/>
          <w:szCs w:val="24"/>
        </w:rPr>
      </w:pPr>
      <w:r>
        <w:rPr>
          <w:color w:val="000000" w:themeColor="text1"/>
          <w:sz w:val="24"/>
          <w:szCs w:val="24"/>
        </w:rPr>
        <w:t>The result of these barriers is such that compared to policing a non-domestic related incident, the likelihood of having a supportive victim is significantly lower. As a result of</w:t>
      </w:r>
      <w:r w:rsidR="00BC1EF6">
        <w:rPr>
          <w:color w:val="000000" w:themeColor="text1"/>
          <w:sz w:val="24"/>
          <w:szCs w:val="24"/>
        </w:rPr>
        <w:t xml:space="preserve"> this, officers have additional considerations whilst in attendance. Whilst a professional attitude and emotionally intelligent or empathic approaches to dealing with victims should be the norm, it is especially important for officers to be able to understand these barriers and how to get around them. Officers who arrive on scene and utilise the NDM will consider the use of powers and policy. South Wales Police for example, has a </w:t>
      </w:r>
      <w:r w:rsidR="00BC1EF6" w:rsidRPr="00BC1EF6">
        <w:rPr>
          <w:color w:val="000000" w:themeColor="text1"/>
          <w:sz w:val="24"/>
          <w:szCs w:val="24"/>
        </w:rPr>
        <w:t xml:space="preserve">of taking positive action </w:t>
      </w:r>
      <w:r w:rsidR="00BC1EF6">
        <w:rPr>
          <w:color w:val="000000" w:themeColor="text1"/>
          <w:sz w:val="24"/>
          <w:szCs w:val="24"/>
        </w:rPr>
        <w:t>“</w:t>
      </w:r>
      <w:r w:rsidR="00BC1EF6" w:rsidRPr="00BC1EF6">
        <w:rPr>
          <w:color w:val="000000" w:themeColor="text1"/>
          <w:sz w:val="24"/>
          <w:szCs w:val="24"/>
        </w:rPr>
        <w:t>to safeguard the victim at every stage in the police response including dealing with the initial call</w:t>
      </w:r>
      <w:r w:rsidR="00BC1EF6">
        <w:rPr>
          <w:color w:val="000000" w:themeColor="text1"/>
          <w:sz w:val="24"/>
          <w:szCs w:val="24"/>
        </w:rPr>
        <w:t>” (HMIC 2014). As such officers are required to switch on their body</w:t>
      </w:r>
      <w:r w:rsidR="003E1CFE">
        <w:rPr>
          <w:color w:val="000000" w:themeColor="text1"/>
          <w:sz w:val="24"/>
          <w:szCs w:val="24"/>
        </w:rPr>
        <w:t xml:space="preserve"> </w:t>
      </w:r>
      <w:r w:rsidR="00BC1EF6">
        <w:rPr>
          <w:color w:val="000000" w:themeColor="text1"/>
          <w:sz w:val="24"/>
          <w:szCs w:val="24"/>
        </w:rPr>
        <w:t>worn camera when attending any domestic related incident in order to capture the details of the initial attendance (specifically looking to capture any initial disclosures on camera)</w:t>
      </w:r>
      <w:r w:rsidR="003E1CFE">
        <w:rPr>
          <w:color w:val="000000" w:themeColor="text1"/>
          <w:sz w:val="24"/>
          <w:szCs w:val="24"/>
        </w:rPr>
        <w:t xml:space="preserve"> The intention behind such policies being that SWP is able to utilise the evidence gathered to pursue victimless prosecutions in the event that a witness refuses to provide a statement, or decides to withdraw at a later date. </w:t>
      </w:r>
    </w:p>
    <w:p w14:paraId="3C2F5E4C" w14:textId="77777777" w:rsidR="003E1CFE" w:rsidRDefault="003E1CFE" w:rsidP="0FF883D4">
      <w:pPr>
        <w:ind w:right="237"/>
        <w:jc w:val="both"/>
        <w:rPr>
          <w:color w:val="000000" w:themeColor="text1"/>
          <w:sz w:val="24"/>
          <w:szCs w:val="24"/>
        </w:rPr>
      </w:pPr>
    </w:p>
    <w:p w14:paraId="6D2F90E9" w14:textId="5330E83C" w:rsidR="00A84C6A" w:rsidRDefault="003E1CFE" w:rsidP="0FF883D4">
      <w:pPr>
        <w:ind w:right="237"/>
        <w:jc w:val="both"/>
        <w:rPr>
          <w:color w:val="000000" w:themeColor="text1"/>
          <w:sz w:val="24"/>
          <w:szCs w:val="24"/>
        </w:rPr>
      </w:pPr>
      <w:r>
        <w:rPr>
          <w:color w:val="000000" w:themeColor="text1"/>
          <w:sz w:val="24"/>
          <w:szCs w:val="24"/>
        </w:rPr>
        <w:t xml:space="preserve">It is clear that South Wales Police has considered the impact of the aforementioned barriers to reporting and have attempted to mitigate the affect they have on positive outcomes for victims of domestic violence. HMIC noted that 97/100 domestic violence incidents resulted in an arrest in 2014 (HMIC 2014). Those incidents where </w:t>
      </w:r>
      <w:r w:rsidR="00157EF2">
        <w:rPr>
          <w:color w:val="000000" w:themeColor="text1"/>
          <w:sz w:val="24"/>
          <w:szCs w:val="24"/>
        </w:rPr>
        <w:t>arrests are</w:t>
      </w:r>
      <w:r>
        <w:rPr>
          <w:color w:val="000000" w:themeColor="text1"/>
          <w:sz w:val="24"/>
          <w:szCs w:val="24"/>
        </w:rPr>
        <w:t xml:space="preserve"> made will usually result in bail conditions being put in place in order to safeguard the victim from their abuser</w:t>
      </w:r>
      <w:r w:rsidR="00F219E4">
        <w:rPr>
          <w:color w:val="000000" w:themeColor="text1"/>
          <w:sz w:val="24"/>
          <w:szCs w:val="24"/>
        </w:rPr>
        <w:t xml:space="preserve">. A DVPO (Domestic violence Protection order, is used in order </w:t>
      </w:r>
      <w:r w:rsidR="00F219E4" w:rsidRPr="00F219E4">
        <w:rPr>
          <w:color w:val="000000" w:themeColor="text1"/>
          <w:sz w:val="24"/>
          <w:szCs w:val="24"/>
        </w:rPr>
        <w:t xml:space="preserve">to </w:t>
      </w:r>
      <w:r w:rsidR="00F219E4">
        <w:rPr>
          <w:color w:val="000000" w:themeColor="text1"/>
          <w:sz w:val="24"/>
          <w:szCs w:val="24"/>
        </w:rPr>
        <w:t>“</w:t>
      </w:r>
      <w:r w:rsidR="00F219E4" w:rsidRPr="00F219E4">
        <w:rPr>
          <w:color w:val="000000" w:themeColor="text1"/>
          <w:sz w:val="24"/>
          <w:szCs w:val="24"/>
        </w:rPr>
        <w:t>provide short-term protection to the victim when arrest has not been made but positive action is required, or where an arrest has taken place but the investigation is in progress. This could be where a decision is made to caution the perpetrator or take no further action (NFA), or when the suspect is bailed without conditions.</w:t>
      </w:r>
      <w:r w:rsidR="00F219E4">
        <w:rPr>
          <w:color w:val="000000" w:themeColor="text1"/>
          <w:sz w:val="24"/>
          <w:szCs w:val="24"/>
        </w:rPr>
        <w:t xml:space="preserve">” (College of Policing 2015). </w:t>
      </w:r>
      <w:r w:rsidR="00157EF2">
        <w:rPr>
          <w:color w:val="000000" w:themeColor="text1"/>
          <w:sz w:val="24"/>
          <w:szCs w:val="24"/>
        </w:rPr>
        <w:t>This tool essentially provides conditions in the same way that pre charge bail, or court bail conditions do in order to safeguard the victim and can be put in place with or without the consent or input of the victim.</w:t>
      </w:r>
      <w:r w:rsidR="00AA4C56">
        <w:rPr>
          <w:color w:val="000000" w:themeColor="text1"/>
          <w:sz w:val="24"/>
          <w:szCs w:val="24"/>
        </w:rPr>
        <w:t xml:space="preserve"> </w:t>
      </w:r>
    </w:p>
    <w:p w14:paraId="602D2640" w14:textId="77777777" w:rsidR="00A84C6A" w:rsidRDefault="00A84C6A" w:rsidP="0FF883D4">
      <w:pPr>
        <w:ind w:right="237"/>
        <w:jc w:val="both"/>
        <w:rPr>
          <w:color w:val="000000" w:themeColor="text1"/>
          <w:sz w:val="24"/>
          <w:szCs w:val="24"/>
        </w:rPr>
      </w:pPr>
    </w:p>
    <w:p w14:paraId="15ADEFF0" w14:textId="5A3DEF52" w:rsidR="004F6455" w:rsidRDefault="00F219E4" w:rsidP="0FF883D4">
      <w:pPr>
        <w:ind w:right="237"/>
        <w:jc w:val="both"/>
        <w:rPr>
          <w:color w:val="000000" w:themeColor="text1"/>
          <w:sz w:val="24"/>
          <w:szCs w:val="24"/>
        </w:rPr>
      </w:pPr>
      <w:r>
        <w:rPr>
          <w:color w:val="000000" w:themeColor="text1"/>
          <w:sz w:val="24"/>
          <w:szCs w:val="24"/>
        </w:rPr>
        <w:t xml:space="preserve">These tools however are not without issue. </w:t>
      </w:r>
      <w:r w:rsidR="00A84C6A">
        <w:rPr>
          <w:color w:val="000000" w:themeColor="text1"/>
          <w:sz w:val="24"/>
          <w:szCs w:val="24"/>
        </w:rPr>
        <w:t xml:space="preserve">Similar legislation exists outside of the UK and has been criticised for the fact that it does not represent the wishes of the victim. In fact, an article in </w:t>
      </w:r>
      <w:r w:rsidR="00A84C6A" w:rsidRPr="00A84C6A">
        <w:rPr>
          <w:i/>
          <w:iCs/>
          <w:color w:val="000000" w:themeColor="text1"/>
          <w:sz w:val="24"/>
          <w:szCs w:val="24"/>
        </w:rPr>
        <w:t xml:space="preserve">Richmond </w:t>
      </w:r>
      <w:r w:rsidR="00A84C6A">
        <w:rPr>
          <w:i/>
          <w:iCs/>
          <w:color w:val="000000" w:themeColor="text1"/>
          <w:sz w:val="24"/>
          <w:szCs w:val="24"/>
        </w:rPr>
        <w:t>P</w:t>
      </w:r>
      <w:r w:rsidR="00A84C6A" w:rsidRPr="00A84C6A">
        <w:rPr>
          <w:i/>
          <w:iCs/>
          <w:color w:val="000000" w:themeColor="text1"/>
          <w:sz w:val="24"/>
          <w:szCs w:val="24"/>
        </w:rPr>
        <w:t xml:space="preserve">ublic </w:t>
      </w:r>
      <w:r w:rsidR="00A84C6A">
        <w:rPr>
          <w:i/>
          <w:iCs/>
          <w:color w:val="000000" w:themeColor="text1"/>
          <w:sz w:val="24"/>
          <w:szCs w:val="24"/>
        </w:rPr>
        <w:t>I</w:t>
      </w:r>
      <w:r w:rsidR="00A84C6A" w:rsidRPr="00A84C6A">
        <w:rPr>
          <w:i/>
          <w:iCs/>
          <w:color w:val="000000" w:themeColor="text1"/>
          <w:sz w:val="24"/>
          <w:szCs w:val="24"/>
        </w:rPr>
        <w:t xml:space="preserve">nterest </w:t>
      </w:r>
      <w:r w:rsidR="00A84C6A">
        <w:rPr>
          <w:i/>
          <w:iCs/>
          <w:color w:val="000000" w:themeColor="text1"/>
          <w:sz w:val="24"/>
          <w:szCs w:val="24"/>
        </w:rPr>
        <w:t>L</w:t>
      </w:r>
      <w:r w:rsidR="00A84C6A" w:rsidRPr="00A84C6A">
        <w:rPr>
          <w:i/>
          <w:iCs/>
          <w:color w:val="000000" w:themeColor="text1"/>
          <w:sz w:val="24"/>
          <w:szCs w:val="24"/>
        </w:rPr>
        <w:t xml:space="preserve">aw </w:t>
      </w:r>
      <w:r w:rsidR="00A84C6A">
        <w:rPr>
          <w:i/>
          <w:iCs/>
          <w:color w:val="000000" w:themeColor="text1"/>
          <w:sz w:val="24"/>
          <w:szCs w:val="24"/>
        </w:rPr>
        <w:t>R</w:t>
      </w:r>
      <w:r w:rsidR="00A84C6A" w:rsidRPr="00A84C6A">
        <w:rPr>
          <w:i/>
          <w:iCs/>
          <w:color w:val="000000" w:themeColor="text1"/>
          <w:sz w:val="24"/>
          <w:szCs w:val="24"/>
        </w:rPr>
        <w:t>eview</w:t>
      </w:r>
      <w:r w:rsidR="00A84C6A">
        <w:rPr>
          <w:i/>
          <w:iCs/>
          <w:color w:val="000000" w:themeColor="text1"/>
          <w:sz w:val="24"/>
          <w:szCs w:val="24"/>
        </w:rPr>
        <w:t>,</w:t>
      </w:r>
      <w:r w:rsidR="00A84C6A">
        <w:rPr>
          <w:color w:val="000000" w:themeColor="text1"/>
          <w:sz w:val="24"/>
          <w:szCs w:val="24"/>
        </w:rPr>
        <w:t xml:space="preserve"> argues that “such cases f</w:t>
      </w:r>
      <w:r w:rsidR="00A84C6A" w:rsidRPr="00A84C6A">
        <w:rPr>
          <w:color w:val="000000" w:themeColor="text1"/>
          <w:sz w:val="24"/>
          <w:szCs w:val="24"/>
        </w:rPr>
        <w:t>orce victims to testify against their abusers involuntarily, which creates negative consequences for all parties involved in the case as well as the community</w:t>
      </w:r>
      <w:r w:rsidR="00A84C6A">
        <w:rPr>
          <w:color w:val="000000" w:themeColor="text1"/>
          <w:sz w:val="24"/>
          <w:szCs w:val="24"/>
        </w:rPr>
        <w:t xml:space="preserve">” (Simpson, Nancy 2023). Although Simpson’s reference to affecting the community was </w:t>
      </w:r>
      <w:r w:rsidR="004F6455">
        <w:rPr>
          <w:color w:val="000000" w:themeColor="text1"/>
          <w:sz w:val="24"/>
          <w:szCs w:val="24"/>
        </w:rPr>
        <w:t xml:space="preserve">primarily </w:t>
      </w:r>
      <w:r w:rsidR="00A84C6A">
        <w:rPr>
          <w:color w:val="000000" w:themeColor="text1"/>
          <w:sz w:val="24"/>
          <w:szCs w:val="24"/>
        </w:rPr>
        <w:t xml:space="preserve">discussed in relation to Double Jeopardy and </w:t>
      </w:r>
      <w:r w:rsidR="004F6455">
        <w:rPr>
          <w:color w:val="000000" w:themeColor="text1"/>
          <w:sz w:val="24"/>
          <w:szCs w:val="24"/>
        </w:rPr>
        <w:t xml:space="preserve">the impact of that on potential further prosecutions, it does highlight other issues that may arise as a result of removing a victim’s agency. As mentioned previously, mistrust in police and the criminal justice system can impact on the likelihood of a victim supporting a prosecution against their abuser. For a person who (perhaps as a result of trauma bonding) wishes to continue a relationship with their abuser, how can a police </w:t>
      </w:r>
      <w:r w:rsidR="004F6455">
        <w:rPr>
          <w:color w:val="000000" w:themeColor="text1"/>
          <w:sz w:val="24"/>
          <w:szCs w:val="24"/>
        </w:rPr>
        <w:lastRenderedPageBreak/>
        <w:t>decision to take their freedom to chose away from them do anything other than further negatively impact their trust in the police?</w:t>
      </w:r>
      <w:r w:rsidR="00983204">
        <w:rPr>
          <w:color w:val="000000" w:themeColor="text1"/>
          <w:sz w:val="24"/>
          <w:szCs w:val="24"/>
        </w:rPr>
        <w:t xml:space="preserve"> The fact that the decision to charge for any </w:t>
      </w:r>
      <w:r w:rsidR="00157EF2">
        <w:rPr>
          <w:color w:val="000000" w:themeColor="text1"/>
          <w:sz w:val="24"/>
          <w:szCs w:val="24"/>
        </w:rPr>
        <w:t xml:space="preserve">domestic related </w:t>
      </w:r>
      <w:r w:rsidR="00983204">
        <w:rPr>
          <w:color w:val="000000" w:themeColor="text1"/>
          <w:sz w:val="24"/>
          <w:szCs w:val="24"/>
        </w:rPr>
        <w:t>offences will be made by the C</w:t>
      </w:r>
      <w:r w:rsidR="00157EF2">
        <w:rPr>
          <w:color w:val="000000" w:themeColor="text1"/>
          <w:sz w:val="24"/>
          <w:szCs w:val="24"/>
        </w:rPr>
        <w:t xml:space="preserve">rown Prosecution </w:t>
      </w:r>
      <w:r w:rsidR="00983204">
        <w:rPr>
          <w:color w:val="000000" w:themeColor="text1"/>
          <w:sz w:val="24"/>
          <w:szCs w:val="24"/>
        </w:rPr>
        <w:t>S</w:t>
      </w:r>
      <w:r w:rsidR="00157EF2">
        <w:rPr>
          <w:color w:val="000000" w:themeColor="text1"/>
          <w:sz w:val="24"/>
          <w:szCs w:val="24"/>
        </w:rPr>
        <w:t>ervice</w:t>
      </w:r>
      <w:r w:rsidR="00983204">
        <w:rPr>
          <w:color w:val="000000" w:themeColor="text1"/>
          <w:sz w:val="24"/>
          <w:szCs w:val="24"/>
        </w:rPr>
        <w:t xml:space="preserve"> is easy to overlook for victims given that it is not the CPS who entered their house and arrested their partner</w:t>
      </w:r>
      <w:r w:rsidR="002B3099">
        <w:rPr>
          <w:color w:val="000000" w:themeColor="text1"/>
          <w:sz w:val="24"/>
          <w:szCs w:val="24"/>
        </w:rPr>
        <w:t>.</w:t>
      </w:r>
      <w:r w:rsidR="00E91FEC">
        <w:rPr>
          <w:color w:val="000000" w:themeColor="text1"/>
          <w:sz w:val="24"/>
          <w:szCs w:val="24"/>
        </w:rPr>
        <w:t xml:space="preserve"> </w:t>
      </w:r>
      <w:r w:rsidR="002B3099">
        <w:rPr>
          <w:color w:val="000000" w:themeColor="text1"/>
          <w:sz w:val="24"/>
          <w:szCs w:val="24"/>
        </w:rPr>
        <w:t>After all</w:t>
      </w:r>
      <w:r w:rsidR="00E91FEC">
        <w:rPr>
          <w:color w:val="000000" w:themeColor="text1"/>
          <w:sz w:val="24"/>
          <w:szCs w:val="24"/>
        </w:rPr>
        <w:t xml:space="preserve">, research in the Journal of Interpersonal violence </w:t>
      </w:r>
      <w:r w:rsidR="002B3099">
        <w:rPr>
          <w:color w:val="000000" w:themeColor="text1"/>
          <w:sz w:val="24"/>
          <w:szCs w:val="24"/>
        </w:rPr>
        <w:t>suggested that victims believe that their abuser requires rehabilitation rather than punishment (Bennet et al 1999).</w:t>
      </w:r>
      <w:r w:rsidR="00E91FEC">
        <w:rPr>
          <w:color w:val="000000" w:themeColor="text1"/>
          <w:sz w:val="24"/>
          <w:szCs w:val="24"/>
        </w:rPr>
        <w:t xml:space="preserve">  It is therefore imperative that police explain in detail the next steps following the arrest especially the possibility of a victimless prosecution. </w:t>
      </w:r>
      <w:r w:rsidR="002B3099">
        <w:rPr>
          <w:color w:val="000000" w:themeColor="text1"/>
          <w:sz w:val="24"/>
          <w:szCs w:val="24"/>
        </w:rPr>
        <w:t xml:space="preserve">By better explaining the next steps and the involvement of the CPS in the charging decision it can help mitigate any damage to the victim’s trust in the </w:t>
      </w:r>
      <w:r w:rsidR="00AA4C56">
        <w:rPr>
          <w:color w:val="000000" w:themeColor="text1"/>
          <w:sz w:val="24"/>
          <w:szCs w:val="24"/>
        </w:rPr>
        <w:t>police if</w:t>
      </w:r>
      <w:r w:rsidR="002B3099">
        <w:rPr>
          <w:color w:val="000000" w:themeColor="text1"/>
          <w:sz w:val="24"/>
          <w:szCs w:val="24"/>
        </w:rPr>
        <w:t xml:space="preserve"> their partner is charged despite the</w:t>
      </w:r>
      <w:r w:rsidR="00AA4C56">
        <w:rPr>
          <w:color w:val="000000" w:themeColor="text1"/>
          <w:sz w:val="24"/>
          <w:szCs w:val="24"/>
        </w:rPr>
        <w:t>ir withdrawal of support.</w:t>
      </w:r>
    </w:p>
    <w:p w14:paraId="78BEC491" w14:textId="77777777" w:rsidR="002B3099" w:rsidRDefault="002B3099" w:rsidP="0FF883D4">
      <w:pPr>
        <w:ind w:right="237"/>
        <w:jc w:val="both"/>
        <w:rPr>
          <w:color w:val="000000" w:themeColor="text1"/>
          <w:sz w:val="24"/>
          <w:szCs w:val="24"/>
        </w:rPr>
      </w:pPr>
    </w:p>
    <w:p w14:paraId="77DBAF7E" w14:textId="1CF70B27" w:rsidR="00E91FEC" w:rsidRDefault="007C7C4A" w:rsidP="00E91FEC">
      <w:pPr>
        <w:ind w:right="237"/>
        <w:jc w:val="both"/>
        <w:rPr>
          <w:color w:val="000000" w:themeColor="text1"/>
          <w:sz w:val="24"/>
          <w:szCs w:val="24"/>
        </w:rPr>
      </w:pPr>
      <w:r>
        <w:rPr>
          <w:color w:val="000000" w:themeColor="text1"/>
          <w:sz w:val="24"/>
          <w:szCs w:val="24"/>
        </w:rPr>
        <w:t xml:space="preserve"> </w:t>
      </w:r>
      <w:r w:rsidR="00E91FEC">
        <w:rPr>
          <w:color w:val="000000" w:themeColor="text1"/>
          <w:sz w:val="24"/>
          <w:szCs w:val="24"/>
        </w:rPr>
        <w:t>In conclusion, the availability of Domestic Violence Protection Orders</w:t>
      </w:r>
      <w:r w:rsidR="002B3099">
        <w:rPr>
          <w:color w:val="000000" w:themeColor="text1"/>
          <w:sz w:val="24"/>
          <w:szCs w:val="24"/>
        </w:rPr>
        <w:t xml:space="preserve">, and victimless prosecution gives officers a tool which can be used to overcome </w:t>
      </w:r>
      <w:r w:rsidR="00AA4C56">
        <w:rPr>
          <w:color w:val="000000" w:themeColor="text1"/>
          <w:sz w:val="24"/>
          <w:szCs w:val="24"/>
        </w:rPr>
        <w:t xml:space="preserve">some of the more common challenges faced when trying to prosecute perpetrators of domestic violence by taking the choice away from victims and prioritising safeguarding above all else. These tools are not without drawbacks, however. As discussed above, trust in the police can prevent victims of domestic abuse from reporting, and the use of these tools carries with it the risk that removing a victim’s agency will further damage their trust in the police, potentially preventing them from reporting again in the future, which may then endanger them further. That being said, the importance of safeguarding victims cannot be </w:t>
      </w:r>
      <w:r>
        <w:rPr>
          <w:color w:val="000000" w:themeColor="text1"/>
          <w:sz w:val="24"/>
          <w:szCs w:val="24"/>
        </w:rPr>
        <w:t xml:space="preserve">ignored, so every domestic incident police attend should be dealt with as though these tools, as once the window to gather initial evidence has passed, that evidence (such as disclosure statements) may be lost entirely. These tools should therefore be considered a last resort which must be prepared for in every instance. Alongside this, utilising third party support services, safeguarding systems and communicating regularly with the victim should be a priority, as </w:t>
      </w:r>
      <w:r w:rsidR="00E91FEC">
        <w:rPr>
          <w:color w:val="000000" w:themeColor="text1"/>
          <w:sz w:val="24"/>
          <w:szCs w:val="24"/>
        </w:rPr>
        <w:t>“</w:t>
      </w:r>
      <w:r w:rsidR="00E91FEC" w:rsidRPr="00157EF2">
        <w:rPr>
          <w:color w:val="000000" w:themeColor="text1"/>
          <w:sz w:val="24"/>
          <w:szCs w:val="24"/>
        </w:rPr>
        <w:t>Providing consistent reminders of the factual aspects of the violence can help offset memory changes associated with delayed increases in the traumatically formed bond.</w:t>
      </w:r>
      <w:r w:rsidR="00E91FEC">
        <w:rPr>
          <w:color w:val="000000" w:themeColor="text1"/>
          <w:sz w:val="24"/>
          <w:szCs w:val="24"/>
        </w:rPr>
        <w:t>” (</w:t>
      </w:r>
      <w:r w:rsidR="00E91FEC" w:rsidRPr="00157EF2">
        <w:rPr>
          <w:color w:val="000000" w:themeColor="text1"/>
          <w:sz w:val="24"/>
          <w:szCs w:val="24"/>
        </w:rPr>
        <w:t>Dutton, D. G., &amp; Painter, S. 1993</w:t>
      </w:r>
      <w:r w:rsidR="00E91FEC">
        <w:rPr>
          <w:color w:val="000000" w:themeColor="text1"/>
          <w:sz w:val="24"/>
          <w:szCs w:val="24"/>
        </w:rPr>
        <w:t>)</w:t>
      </w:r>
      <w:r>
        <w:rPr>
          <w:color w:val="000000" w:themeColor="text1"/>
          <w:sz w:val="24"/>
          <w:szCs w:val="24"/>
        </w:rPr>
        <w:t>. Afterall, it would be better to maintain victim support than seek to prosecute without it.</w:t>
      </w:r>
    </w:p>
    <w:p w14:paraId="74F9D597" w14:textId="77777777" w:rsidR="004F6455" w:rsidRDefault="004F6455" w:rsidP="0FF883D4">
      <w:pPr>
        <w:ind w:right="237"/>
        <w:jc w:val="both"/>
        <w:rPr>
          <w:color w:val="000000" w:themeColor="text1"/>
          <w:sz w:val="24"/>
          <w:szCs w:val="24"/>
        </w:rPr>
      </w:pPr>
    </w:p>
    <w:p w14:paraId="7226E781" w14:textId="3BCB3424" w:rsidR="00253724" w:rsidRDefault="007C7C4A" w:rsidP="0FF883D4">
      <w:pPr>
        <w:ind w:right="237"/>
        <w:jc w:val="both"/>
        <w:rPr>
          <w:color w:val="000000" w:themeColor="text1"/>
          <w:sz w:val="24"/>
          <w:szCs w:val="24"/>
        </w:rPr>
      </w:pPr>
      <w:r>
        <w:rPr>
          <w:color w:val="000000" w:themeColor="text1"/>
          <w:sz w:val="24"/>
          <w:szCs w:val="24"/>
        </w:rPr>
        <w:t xml:space="preserve"> </w:t>
      </w:r>
      <w:r w:rsidR="004F6455">
        <w:rPr>
          <w:color w:val="000000" w:themeColor="text1"/>
          <w:sz w:val="24"/>
          <w:szCs w:val="24"/>
        </w:rPr>
        <w:t xml:space="preserve">With that in mind, </w:t>
      </w:r>
      <w:r w:rsidR="007630DD">
        <w:rPr>
          <w:color w:val="000000" w:themeColor="text1"/>
          <w:sz w:val="24"/>
          <w:szCs w:val="24"/>
        </w:rPr>
        <w:t>the call that I attended required me to use the NDM to decide how best to proceed. Policy dictated much of my actions – carry out a thorough investigation, record initial disclosures and attendance on body worn video, take positive action</w:t>
      </w:r>
      <w:r w:rsidR="00983204">
        <w:rPr>
          <w:color w:val="000000" w:themeColor="text1"/>
          <w:sz w:val="24"/>
          <w:szCs w:val="24"/>
        </w:rPr>
        <w:t>. In this instance, to arrest the victim’s partner on suspicion of assault.</w:t>
      </w:r>
      <w:r w:rsidR="00253724">
        <w:rPr>
          <w:color w:val="000000" w:themeColor="text1"/>
          <w:sz w:val="24"/>
          <w:szCs w:val="24"/>
        </w:rPr>
        <w:t xml:space="preserve"> </w:t>
      </w:r>
      <w:r w:rsidR="00E91FEC">
        <w:rPr>
          <w:color w:val="000000" w:themeColor="text1"/>
          <w:sz w:val="24"/>
          <w:szCs w:val="24"/>
        </w:rPr>
        <w:t>The initial actions I took considered that the victim might choose to withdraw at any point, and made sure to lay the groundwork for potential victimless prosecution or application of a DVPO</w:t>
      </w:r>
      <w:r w:rsidR="00AA4C56">
        <w:rPr>
          <w:color w:val="000000" w:themeColor="text1"/>
          <w:sz w:val="24"/>
          <w:szCs w:val="24"/>
        </w:rPr>
        <w:t xml:space="preserve">, whilst explaining clearly the availability of support, and putting that support in place in the hopes that it will help maintain the victim’s ongoing </w:t>
      </w:r>
      <w:r w:rsidR="00976A2A">
        <w:rPr>
          <w:color w:val="000000" w:themeColor="text1"/>
          <w:sz w:val="24"/>
          <w:szCs w:val="24"/>
        </w:rPr>
        <w:t>engagement</w:t>
      </w:r>
      <w:r w:rsidR="00AA4C56">
        <w:rPr>
          <w:color w:val="000000" w:themeColor="text1"/>
          <w:sz w:val="24"/>
          <w:szCs w:val="24"/>
        </w:rPr>
        <w:t>.</w:t>
      </w:r>
    </w:p>
    <w:p w14:paraId="25268CC2" w14:textId="77777777" w:rsidR="00A3643B" w:rsidRDefault="00A3643B" w:rsidP="0FF883D4">
      <w:pPr>
        <w:ind w:right="237"/>
        <w:jc w:val="both"/>
        <w:rPr>
          <w:color w:val="000000" w:themeColor="text1"/>
          <w:sz w:val="24"/>
          <w:szCs w:val="24"/>
        </w:rPr>
      </w:pPr>
    </w:p>
    <w:p w14:paraId="5448B818" w14:textId="77777777" w:rsidR="00F300AF" w:rsidRDefault="00F300AF" w:rsidP="0FF883D4">
      <w:pPr>
        <w:ind w:right="237"/>
        <w:jc w:val="both"/>
        <w:rPr>
          <w:color w:val="000000" w:themeColor="text1"/>
          <w:sz w:val="24"/>
          <w:szCs w:val="24"/>
        </w:rPr>
      </w:pPr>
    </w:p>
    <w:p w14:paraId="13C2926B" w14:textId="6F911242" w:rsidR="00F300AF" w:rsidRDefault="00976A2A" w:rsidP="0FF883D4">
      <w:pPr>
        <w:ind w:right="237"/>
        <w:jc w:val="both"/>
        <w:rPr>
          <w:color w:val="000000" w:themeColor="text1"/>
          <w:sz w:val="24"/>
          <w:szCs w:val="24"/>
        </w:rPr>
      </w:pPr>
      <w:r>
        <w:rPr>
          <w:color w:val="000000" w:themeColor="text1"/>
          <w:sz w:val="24"/>
          <w:szCs w:val="24"/>
        </w:rPr>
        <w:t>Word count 2156</w:t>
      </w:r>
    </w:p>
    <w:p w14:paraId="37D6CFA2" w14:textId="77777777" w:rsidR="00253724" w:rsidRDefault="00253724" w:rsidP="0FF883D4">
      <w:pPr>
        <w:ind w:right="237"/>
        <w:jc w:val="both"/>
        <w:rPr>
          <w:color w:val="000000" w:themeColor="text1"/>
          <w:sz w:val="24"/>
          <w:szCs w:val="24"/>
        </w:rPr>
      </w:pPr>
    </w:p>
    <w:p w14:paraId="5AEDB2D1" w14:textId="77777777" w:rsidR="00253724" w:rsidRPr="00E676F7" w:rsidRDefault="00253724"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lastRenderedPageBreak/>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w:t>
      </w:r>
      <w:r w:rsidR="00147DE3" w:rsidRPr="00E676F7">
        <w:rPr>
          <w:sz w:val="24"/>
          <w:szCs w:val="24"/>
        </w:rPr>
        <w:lastRenderedPageBreak/>
        <w:t>that you are aware of the importance of ensuring that the work submitted is your original work</w:t>
      </w:r>
      <w:r w:rsidR="00EA28F1">
        <w:rPr>
          <w:sz w:val="24"/>
          <w:szCs w:val="24"/>
        </w:rPr>
        <w:t xml:space="preserve">. </w:t>
      </w:r>
    </w:p>
    <w:p w14:paraId="4DAC42F8" w14:textId="77777777" w:rsidR="002B3099" w:rsidRDefault="002B3099" w:rsidP="002B3099">
      <w:pPr>
        <w:keepNext/>
        <w:spacing w:before="240" w:after="60"/>
        <w:ind w:right="237"/>
        <w:jc w:val="both"/>
        <w:rPr>
          <w:sz w:val="24"/>
          <w:szCs w:val="24"/>
        </w:rPr>
      </w:pPr>
      <w:r w:rsidRPr="002B3099">
        <w:rPr>
          <w:sz w:val="24"/>
          <w:szCs w:val="24"/>
        </w:rPr>
        <w:t>(arrange alphabetically by the authors' surnames)</w:t>
      </w:r>
    </w:p>
    <w:p w14:paraId="4E7569C9" w14:textId="77777777" w:rsidR="002B3099" w:rsidRPr="002B3099" w:rsidRDefault="002B3099" w:rsidP="002B3099">
      <w:pPr>
        <w:keepNext/>
        <w:spacing w:before="240" w:after="60"/>
        <w:ind w:right="237"/>
        <w:jc w:val="both"/>
        <w:rPr>
          <w:sz w:val="24"/>
          <w:szCs w:val="24"/>
        </w:rPr>
      </w:pPr>
    </w:p>
    <w:p w14:paraId="432A47B7" w14:textId="77777777" w:rsidR="00C85EEC" w:rsidRDefault="00C85EEC" w:rsidP="002B3099">
      <w:pPr>
        <w:keepNext/>
        <w:spacing w:before="240" w:after="60"/>
        <w:ind w:right="237"/>
        <w:jc w:val="both"/>
      </w:pPr>
    </w:p>
    <w:p w14:paraId="5EDDC6E8" w14:textId="77777777" w:rsidR="00C85EEC" w:rsidRDefault="00C85EEC" w:rsidP="002B3099">
      <w:pPr>
        <w:keepNext/>
        <w:spacing w:before="240" w:after="60"/>
        <w:ind w:right="237"/>
        <w:jc w:val="both"/>
      </w:pPr>
    </w:p>
    <w:p w14:paraId="441E4C65" w14:textId="6199A3F2" w:rsidR="002B3099" w:rsidRPr="00753ED8" w:rsidRDefault="002B3099" w:rsidP="002B3099">
      <w:pPr>
        <w:keepNext/>
        <w:spacing w:before="240" w:after="60"/>
        <w:ind w:right="237"/>
        <w:jc w:val="both"/>
      </w:pPr>
      <w:r w:rsidRPr="00753ED8">
        <w:t>Bennet et al. (1999). Systemic Obstacles to the Criminal Prosecution of a Battering Partner. Journal of Interpersonal Violence. 14(7), pp.761-772.</w:t>
      </w:r>
    </w:p>
    <w:p w14:paraId="3D38C773" w14:textId="623C7340" w:rsidR="00AE00C7" w:rsidRPr="00753ED8" w:rsidRDefault="003D12E4" w:rsidP="00EA28F1">
      <w:pPr>
        <w:keepNext/>
        <w:spacing w:before="240" w:after="60"/>
        <w:ind w:right="237"/>
        <w:jc w:val="both"/>
      </w:pPr>
      <w:r w:rsidRPr="00753ED8">
        <w:t>BMG Research. (2019). Public Perceptions of Policing in England and Wales 2018. [Online]. BMG Research. Last Updated: January 2019. Available at: https://www.bmgresearch.co.uk//wp-content/uploads/2019/01/1578-HMICFRS-Public-Perceptions-of-Policin [Accessed 29 July 2024].</w:t>
      </w:r>
    </w:p>
    <w:p w14:paraId="5153B904" w14:textId="77777777" w:rsidR="00F219E4" w:rsidRPr="00753ED8" w:rsidRDefault="00AE00C7" w:rsidP="00EA28F1">
      <w:pPr>
        <w:keepNext/>
        <w:spacing w:before="240" w:after="60"/>
        <w:ind w:right="237"/>
        <w:jc w:val="both"/>
      </w:pPr>
      <w:r w:rsidRPr="00753ED8">
        <w:t>College of Policing. (2013). </w:t>
      </w:r>
      <w:r w:rsidRPr="00753ED8">
        <w:rPr>
          <w:i/>
          <w:iCs/>
        </w:rPr>
        <w:t>National Decision Model</w:t>
      </w:r>
      <w:r w:rsidRPr="00753ED8">
        <w:t>. [Online]. College Of Policing. Last Updated: 24.01.2024. Available at: https://www.college.police.uk/app/national-decision-model/national-decision-model#the-model [Accessed 29 July 2024].</w:t>
      </w:r>
    </w:p>
    <w:p w14:paraId="07A3C143" w14:textId="3F0826A8" w:rsidR="000B7E09" w:rsidRDefault="000B7E09" w:rsidP="00EA28F1">
      <w:pPr>
        <w:keepNext/>
        <w:spacing w:before="240" w:after="60"/>
        <w:ind w:right="237"/>
        <w:jc w:val="both"/>
      </w:pPr>
      <w:r w:rsidRPr="000B7E09">
        <w:t>College of Policing. (2021). </w:t>
      </w:r>
      <w:r w:rsidRPr="000B7E09">
        <w:rPr>
          <w:i/>
          <w:iCs/>
        </w:rPr>
        <w:t>Introduction to Vulnerability related Risk</w:t>
      </w:r>
      <w:r w:rsidRPr="000B7E09">
        <w:t>. [Online]. College of Policing. Last Updated: 18.11.2021. Available at: https://www.college.police.uk/guidance/vulnerability-related-risks/introduction-vulnerability-relate</w:t>
      </w:r>
      <w:r>
        <w:t>d-risk</w:t>
      </w:r>
      <w:r w:rsidRPr="000B7E09">
        <w:t xml:space="preserve"> [Accessed 30 July 2024].</w:t>
      </w:r>
    </w:p>
    <w:p w14:paraId="76F79075" w14:textId="57BF3FD1" w:rsidR="00C85EEC" w:rsidRPr="00753ED8" w:rsidRDefault="00C85EEC" w:rsidP="00C85EEC">
      <w:pPr>
        <w:keepNext/>
        <w:spacing w:before="240" w:after="60"/>
        <w:ind w:right="237"/>
        <w:jc w:val="both"/>
      </w:pPr>
      <w:r w:rsidRPr="00C85EEC">
        <w:t>College of Policing. (2021). </w:t>
      </w:r>
      <w:r w:rsidRPr="00C85EEC">
        <w:rPr>
          <w:i/>
          <w:iCs/>
        </w:rPr>
        <w:t>Recognising and responding to vulnerability-related risks</w:t>
      </w:r>
      <w:r w:rsidRPr="00C85EEC">
        <w:t>. [Online]. College of Policing. Last Updated: November 2021. Available at:https://assets.college.police.uk/s3fs-public/2021-11/Recognising-responding-vulnerability-related-ri [Accessed 30 July 2024</w:t>
      </w:r>
    </w:p>
    <w:p w14:paraId="13845B46" w14:textId="511E5560" w:rsidR="00382696" w:rsidRPr="00753ED8" w:rsidRDefault="007D6035" w:rsidP="00EA28F1">
      <w:pPr>
        <w:keepNext/>
        <w:spacing w:before="240" w:after="60"/>
        <w:ind w:right="237"/>
        <w:jc w:val="both"/>
      </w:pPr>
      <w:r w:rsidRPr="00753ED8">
        <w:t>CPS. (2024). </w:t>
      </w:r>
      <w:r w:rsidRPr="00753ED8">
        <w:rPr>
          <w:i/>
          <w:iCs/>
        </w:rPr>
        <w:t>CPS data summary, quarter 2, 2023-2024</w:t>
      </w:r>
      <w:r w:rsidRPr="00753ED8">
        <w:t>. [Online]. CPS. Last Updated: 18.01.2024. Available at: https://www.cps.gov.uk/publication/cps-data-summary-quarter-2-2023-2024 [Accessed 29 July 2024].</w:t>
      </w:r>
    </w:p>
    <w:p w14:paraId="396100B3" w14:textId="7E718BDF" w:rsidR="00D22BF6" w:rsidRPr="00753ED8" w:rsidRDefault="00FB67CA" w:rsidP="00EA28F1">
      <w:pPr>
        <w:keepNext/>
        <w:spacing w:before="240" w:after="60"/>
        <w:ind w:right="237"/>
        <w:jc w:val="both"/>
      </w:pPr>
      <w:r w:rsidRPr="00753ED8">
        <w:t xml:space="preserve">Dutton, D. G., &amp; Painter, S. (1993). Emotional attachments in abusive relationships: A test of traumatic bonding theory. Violence and Victims, 8(2), 105–120. </w:t>
      </w:r>
      <w:hyperlink r:id="rId16" w:history="1">
        <w:r w:rsidR="00D22BF6" w:rsidRPr="00753ED8">
          <w:rPr>
            <w:rStyle w:val="Hyperlink"/>
          </w:rPr>
          <w:t>https://doi.org/10.1891/0886-6708.8.2.105</w:t>
        </w:r>
      </w:hyperlink>
    </w:p>
    <w:p w14:paraId="28FFEBD7" w14:textId="7B25803B" w:rsidR="00D22BF6" w:rsidRDefault="00D22BF6" w:rsidP="00EA28F1">
      <w:pPr>
        <w:keepNext/>
        <w:spacing w:before="240" w:after="60"/>
        <w:ind w:right="237"/>
        <w:jc w:val="both"/>
      </w:pPr>
      <w:r w:rsidRPr="00753ED8">
        <w:t>Femicide census. (2024). </w:t>
      </w:r>
      <w:r w:rsidRPr="00753ED8">
        <w:rPr>
          <w:i/>
          <w:iCs/>
        </w:rPr>
        <w:t>Femicide Census Report</w:t>
      </w:r>
      <w:r w:rsidRPr="00753ED8">
        <w:t>. [Online]. femicide census. Available at: https://www.femicidecensus.org/wp-content/uploads/2024/07/2021-Femicide-Census-Report.pdf [Accessed 29 July 2024].</w:t>
      </w:r>
    </w:p>
    <w:p w14:paraId="745C918C" w14:textId="39514709" w:rsidR="00A318FD" w:rsidRDefault="00A318FD" w:rsidP="00EA28F1">
      <w:pPr>
        <w:keepNext/>
        <w:spacing w:before="240" w:after="60"/>
        <w:ind w:right="237"/>
        <w:jc w:val="both"/>
      </w:pPr>
      <w:r w:rsidRPr="00A318FD">
        <w:t>Freckelton, I. (2019) ‘Attention Deficit Hyperactivity Disorder (ADHD) and the Criminal Law</w:t>
      </w:r>
      <w:r w:rsidRPr="00A318FD">
        <w:rPr>
          <w:vertAlign w:val="superscript"/>
        </w:rPr>
        <w:t>1</w:t>
      </w:r>
      <w:r w:rsidRPr="00A318FD">
        <w:t>’, </w:t>
      </w:r>
      <w:r w:rsidRPr="00A318FD">
        <w:rPr>
          <w:i/>
          <w:iCs/>
        </w:rPr>
        <w:t>Psychiatry, Psychology and Law</w:t>
      </w:r>
      <w:r w:rsidRPr="00A318FD">
        <w:t>, 26(6), pp. 817–840. doi: 10.1080/13218719.2019.1695266.</w:t>
      </w:r>
    </w:p>
    <w:p w14:paraId="5F90F310" w14:textId="197C3878" w:rsidR="00183ED8" w:rsidRDefault="00183ED8" w:rsidP="00EA28F1">
      <w:pPr>
        <w:keepNext/>
        <w:spacing w:before="240" w:after="60"/>
        <w:ind w:right="237"/>
        <w:jc w:val="both"/>
      </w:pPr>
      <w:r w:rsidRPr="00183ED8">
        <w:t>Ginsberg, Y., Hirvikoski, T. &amp; Lindefors, N. Attention Deficit Hyperactivity Disorder (ADHD) among longer-term prison inmates is a prevalent, persistent and disabling disorder. BMC Psychiatry 10, 112 (2010). https://doi.org/10.1186/1471-244X-10-112</w:t>
      </w:r>
    </w:p>
    <w:p w14:paraId="3AA1CAB6" w14:textId="177AEE2F" w:rsidR="00EF1A89" w:rsidRDefault="00A318FD" w:rsidP="00EA28F1">
      <w:pPr>
        <w:keepNext/>
        <w:spacing w:before="240" w:after="60"/>
        <w:ind w:right="237"/>
        <w:jc w:val="both"/>
      </w:pPr>
      <w:r>
        <w:t>Gibbs, G</w:t>
      </w:r>
      <w:r w:rsidR="00EF1A89" w:rsidRPr="00EF1A89">
        <w:t>. (</w:t>
      </w:r>
      <w:r w:rsidR="00EF1A89">
        <w:t>1988</w:t>
      </w:r>
      <w:r w:rsidR="00EF1A89" w:rsidRPr="00EF1A89">
        <w:t>). </w:t>
      </w:r>
      <w:r w:rsidR="00EF1A89" w:rsidRPr="00EF1A89">
        <w:rPr>
          <w:i/>
          <w:iCs/>
        </w:rPr>
        <w:t>Learning by doing</w:t>
      </w:r>
      <w:r w:rsidR="00EF1A89" w:rsidRPr="00EF1A89">
        <w:t>. [Online]. Oxford centre for Staff and Learning Development. Available at: https://stephenp.net/wp-content/uploads/2015/12/learning-by-doing-graham-gibbs.pdf [Accessed 30 July 2024].</w:t>
      </w:r>
    </w:p>
    <w:p w14:paraId="6FF59418" w14:textId="656CFF46" w:rsidR="00B57D3B" w:rsidRPr="00753ED8" w:rsidRDefault="00B57D3B" w:rsidP="00EA28F1">
      <w:pPr>
        <w:keepNext/>
        <w:spacing w:before="240" w:after="60"/>
        <w:ind w:right="237"/>
        <w:jc w:val="both"/>
      </w:pPr>
      <w:r w:rsidRPr="00B57D3B">
        <w:lastRenderedPageBreak/>
        <w:t>Henning C, Summerfeldt LJ, Parker JDA. (2022). ADHD and Academic Sucesss in University Students: The Important Role of Impaired Attention.. </w:t>
      </w:r>
      <w:r w:rsidRPr="00B57D3B">
        <w:rPr>
          <w:i/>
          <w:iCs/>
        </w:rPr>
        <w:t>J Atten Disord</w:t>
      </w:r>
      <w:r w:rsidRPr="00B57D3B">
        <w:t>. Apr;26(6), pp.893-901. [Online]. Available at: https://www.ncbi.nlm.nih.gov/pmc/articles/PMC8859654/ [Accessed 1 August 2024].</w:t>
      </w:r>
    </w:p>
    <w:p w14:paraId="66A26A95" w14:textId="1014ECF0" w:rsidR="00BC1EF6" w:rsidRDefault="00BC1EF6" w:rsidP="00EA28F1">
      <w:pPr>
        <w:keepNext/>
        <w:spacing w:before="240" w:after="60"/>
        <w:ind w:right="237"/>
        <w:jc w:val="both"/>
      </w:pPr>
      <w:r w:rsidRPr="00753ED8">
        <w:t>HMIC. (2014). </w:t>
      </w:r>
      <w:r w:rsidRPr="00753ED8">
        <w:rPr>
          <w:i/>
          <w:iCs/>
        </w:rPr>
        <w:t>South Wales Police’s approach to tackling domestic abuse</w:t>
      </w:r>
      <w:r w:rsidRPr="00753ED8">
        <w:t>. [Online]. HMIC.gov. Last Updated:2014.</w:t>
      </w:r>
      <w:r w:rsidR="00A84C6A" w:rsidRPr="00753ED8">
        <w:t xml:space="preserve"> </w:t>
      </w:r>
      <w:r w:rsidRPr="00753ED8">
        <w:t>Availableat:https://assets-micfrs.justiceinspectorates.gov.uk/uploads/2014/03/south-wales-approach-to-tackling- [Accessed 29 July 2024].</w:t>
      </w:r>
    </w:p>
    <w:p w14:paraId="0C239E7E" w14:textId="14E8EE1B" w:rsidR="00CF566E" w:rsidRPr="00CF566E" w:rsidRDefault="00CF566E" w:rsidP="00EA28F1">
      <w:pPr>
        <w:keepNext/>
        <w:spacing w:before="240" w:after="60"/>
        <w:ind w:right="237"/>
        <w:jc w:val="both"/>
      </w:pPr>
      <w:r>
        <w:t xml:space="preserve">IPCC (2009) </w:t>
      </w:r>
      <w:r>
        <w:rPr>
          <w:i/>
          <w:iCs/>
        </w:rPr>
        <w:t>IPCC report into the contact between Fiona Pilkinton and Leicestershire Constabulary 2004-2007,</w:t>
      </w:r>
      <w:r>
        <w:t xml:space="preserve"> IPPC Ref: 2009016872, IPCC, Available at: </w:t>
      </w:r>
      <w:hyperlink r:id="rId17" w:history="1">
        <w:r w:rsidRPr="007B1FB5">
          <w:rPr>
            <w:rStyle w:val="Hyperlink"/>
          </w:rPr>
          <w:t>https://www.report-it.org.uk/files/ipcc_report-fiona-pilkington-leicestershire.pdf</w:t>
        </w:r>
      </w:hyperlink>
      <w:r>
        <w:t xml:space="preserve"> [Accessed 01 August 2024]</w:t>
      </w:r>
    </w:p>
    <w:p w14:paraId="79D14B9F" w14:textId="77BE6C11" w:rsidR="00382696" w:rsidRDefault="00382696" w:rsidP="00EA28F1">
      <w:pPr>
        <w:keepNext/>
        <w:spacing w:before="240" w:after="60"/>
        <w:ind w:right="237"/>
        <w:jc w:val="both"/>
      </w:pPr>
      <w:r w:rsidRPr="00753ED8">
        <w:t>JOHNSON and FORSYTH. (2021). </w:t>
      </w:r>
      <w:r w:rsidRPr="00753ED8">
        <w:rPr>
          <w:i/>
          <w:iCs/>
        </w:rPr>
        <w:t>Victimless prosecution? Applying and resisting Res Gestae in domestic assault cases</w:t>
      </w:r>
      <w:r w:rsidRPr="00753ED8">
        <w:t>. [Online]. Exchange Chambers. Last Updated: 4.11.2021. Available at: https://www.exchangechambers.co.uk/victimless-prosecution-applying-and-resisting-res-gestae/ [Accessed 29 July 2024].</w:t>
      </w:r>
    </w:p>
    <w:p w14:paraId="7DBED491" w14:textId="7EEB5272" w:rsidR="009B3E4C" w:rsidRDefault="009B3E4C" w:rsidP="00EA28F1">
      <w:pPr>
        <w:keepNext/>
        <w:spacing w:before="240" w:after="60"/>
        <w:ind w:right="237"/>
        <w:jc w:val="both"/>
      </w:pPr>
      <w:r w:rsidRPr="009B3E4C">
        <w:t>NEURODIVERSITY IN THE CRIMINAL JUSTICE SYSTEM A review of evidence. (n.d.). [online] </w:t>
      </w:r>
      <w:r w:rsidRPr="009B3E4C">
        <w:rPr>
          <w:i/>
          <w:iCs/>
        </w:rPr>
        <w:t>Justice Inspectorates</w:t>
      </w:r>
      <w:r w:rsidRPr="009B3E4C">
        <w:t>, London: Criminal Justice Joint Inspection, pp.3–77. Available at: https://www.justiceinspectorates.gov.uk/cjji/wp-content/uploads/sites/2/2021/07/Neurodiversity-evidence-review-web-2021.pdf [Accessed 1 Aug. 2024].</w:t>
      </w:r>
    </w:p>
    <w:p w14:paraId="7BC5EC89" w14:textId="77777777" w:rsidR="00F407CD" w:rsidRPr="00F407CD" w:rsidRDefault="00F407CD" w:rsidP="00F407CD">
      <w:pPr>
        <w:keepNext/>
        <w:spacing w:before="240" w:after="60"/>
        <w:ind w:right="237"/>
        <w:jc w:val="both"/>
      </w:pPr>
      <w:r w:rsidRPr="00F407CD">
        <w:t xml:space="preserve">Ngo, F.T. (2020) ‘Stalking Victimization: Examining the Impact of Police Action and Inaction on Victim-Reported Outcome’, </w:t>
      </w:r>
      <w:r w:rsidRPr="00F407CD">
        <w:rPr>
          <w:i/>
          <w:iCs/>
        </w:rPr>
        <w:t>Journal of police and criminal psychology</w:t>
      </w:r>
      <w:r w:rsidRPr="00F407CD">
        <w:t>, 35(2), pp. 146–156. Available at: https://doi.org/10.1007/s11896-019-09320-x.</w:t>
      </w:r>
    </w:p>
    <w:p w14:paraId="1A7579B9" w14:textId="4BBFA6B6" w:rsidR="007D6035" w:rsidRDefault="00F242B8" w:rsidP="00EA28F1">
      <w:pPr>
        <w:keepNext/>
        <w:spacing w:before="240" w:after="60"/>
        <w:ind w:right="237"/>
        <w:jc w:val="both"/>
      </w:pPr>
      <w:r w:rsidRPr="00753ED8">
        <w:t>Office for National Statistics. (2023). </w:t>
      </w:r>
      <w:r w:rsidRPr="00753ED8">
        <w:rPr>
          <w:i/>
          <w:iCs/>
        </w:rPr>
        <w:t>Domestic abuse in England and Wales overview: November 2023</w:t>
      </w:r>
      <w:r w:rsidRPr="00753ED8">
        <w:t>. [Online]. Office for National Statistics. Last Updated: 24.11.23. Available at: https://www.ons.gov.uk/peoplepopulationandcommunity/crimeandjustice/bulletins/domesticabuseinengland [Accessed 29 July 2024].</w:t>
      </w:r>
    </w:p>
    <w:p w14:paraId="56102626" w14:textId="1E754E82" w:rsidR="00FF75DC" w:rsidRDefault="00FF75DC" w:rsidP="00EA28F1">
      <w:pPr>
        <w:keepNext/>
        <w:spacing w:before="240" w:after="60"/>
        <w:ind w:right="237"/>
        <w:jc w:val="both"/>
      </w:pPr>
      <w:r w:rsidRPr="00FF75DC">
        <w:t>Pathé, M. (2002) </w:t>
      </w:r>
      <w:r w:rsidRPr="00FF75DC">
        <w:rPr>
          <w:i/>
          <w:iCs/>
        </w:rPr>
        <w:t>Surviving Stalking</w:t>
      </w:r>
      <w:r w:rsidRPr="00FF75DC">
        <w:t>. Cambridge: Cambridge University Press.</w:t>
      </w:r>
    </w:p>
    <w:p w14:paraId="2ADCC02B" w14:textId="125C388A" w:rsidR="00FB36BC" w:rsidRDefault="00FB36BC" w:rsidP="00EA28F1">
      <w:pPr>
        <w:keepNext/>
        <w:spacing w:before="240" w:after="60"/>
        <w:ind w:right="237"/>
        <w:jc w:val="both"/>
      </w:pPr>
      <w:r w:rsidRPr="00FB36BC">
        <w:t>Safe Lives. (</w:t>
      </w:r>
      <w:r>
        <w:t>No date</w:t>
      </w:r>
      <w:r w:rsidRPr="00FB36BC">
        <w:t>). </w:t>
      </w:r>
      <w:r w:rsidRPr="00FB36BC">
        <w:rPr>
          <w:i/>
          <w:iCs/>
        </w:rPr>
        <w:t>Dash Risk Checklist</w:t>
      </w:r>
      <w:r w:rsidRPr="00FB36BC">
        <w:t>. [Online]. Safe Lifes. Available at: https://safelives.org.uk/resources-library/dash-risk-checklist/ [Accessed 1 August 2024].</w:t>
      </w:r>
    </w:p>
    <w:p w14:paraId="593BCF8C" w14:textId="3BF10A11" w:rsidR="001C4357" w:rsidRDefault="001C4357" w:rsidP="00EA28F1">
      <w:pPr>
        <w:keepNext/>
        <w:spacing w:before="240" w:after="60"/>
        <w:ind w:right="237"/>
        <w:jc w:val="both"/>
      </w:pPr>
      <w:r w:rsidRPr="001C4357">
        <w:t>SEBP. (2024). </w:t>
      </w:r>
      <w:r w:rsidRPr="001C4357">
        <w:rPr>
          <w:i/>
          <w:iCs/>
        </w:rPr>
        <w:t>What is EBP</w:t>
      </w:r>
      <w:r w:rsidRPr="001C4357">
        <w:t>. [Online]. Society of Evidence Based Policing. Available at: https://www.sebp.police.uk/about/ebp-explained [Accessed 1 August 2024].</w:t>
      </w:r>
    </w:p>
    <w:p w14:paraId="653CB2EB" w14:textId="77777777" w:rsidR="00420726" w:rsidRPr="00420726" w:rsidRDefault="00420726" w:rsidP="00420726">
      <w:pPr>
        <w:keepNext/>
        <w:spacing w:before="240" w:after="60"/>
        <w:ind w:right="237"/>
        <w:jc w:val="both"/>
      </w:pPr>
      <w:r w:rsidRPr="00420726">
        <w:t>Sherman, L. (1998). </w:t>
      </w:r>
      <w:r w:rsidRPr="00420726">
        <w:rPr>
          <w:i/>
          <w:iCs/>
        </w:rPr>
        <w:t>Evidence-based policing</w:t>
      </w:r>
      <w:r w:rsidRPr="00420726">
        <w:t>. Washington, DC: National Policing Institute. </w:t>
      </w:r>
      <w:hyperlink r:id="rId18" w:history="1">
        <w:r w:rsidRPr="00420726">
          <w:rPr>
            <w:rStyle w:val="Hyperlink"/>
          </w:rPr>
          <w:t>https://www.policinginstitute.org/publication/evidence-based-policing/</w:t>
        </w:r>
      </w:hyperlink>
    </w:p>
    <w:p w14:paraId="4274B0F8" w14:textId="3C25B627" w:rsidR="007D6035" w:rsidRPr="00753ED8" w:rsidRDefault="00A318FD" w:rsidP="00EA28F1">
      <w:pPr>
        <w:keepNext/>
        <w:spacing w:before="240" w:after="60"/>
        <w:ind w:right="237"/>
        <w:jc w:val="both"/>
      </w:pPr>
      <w:r>
        <w:t>Simpson, N</w:t>
      </w:r>
      <w:r w:rsidR="00A84C6A" w:rsidRPr="00753ED8">
        <w:t>. (2023). Benefits and Drawbacks of No-Drop Policies and Evidence-Based Prosecution. </w:t>
      </w:r>
      <w:r w:rsidR="00A84C6A" w:rsidRPr="00753ED8">
        <w:rPr>
          <w:i/>
          <w:iCs/>
        </w:rPr>
        <w:t>Richmond Public Interest Law Review</w:t>
      </w:r>
      <w:r w:rsidR="00A84C6A" w:rsidRPr="00753ED8">
        <w:t>. 26(3), p.157. [Online]. Available at: https://scholarship.richmond.edu/cgi/viewcontent.cgi?article=1573&amp;context=pilr [Accessed 29 July 2024].</w:t>
      </w:r>
    </w:p>
    <w:sectPr w:rsidR="007D6035" w:rsidRPr="00753ED8" w:rsidSect="00C85EEC">
      <w:type w:val="continuous"/>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4C9"/>
    <w:rsid w:val="00003990"/>
    <w:rsid w:val="000045B8"/>
    <w:rsid w:val="00020EEC"/>
    <w:rsid w:val="00025650"/>
    <w:rsid w:val="00026FAB"/>
    <w:rsid w:val="00027B1F"/>
    <w:rsid w:val="0003088B"/>
    <w:rsid w:val="000325D9"/>
    <w:rsid w:val="000372B2"/>
    <w:rsid w:val="0004079F"/>
    <w:rsid w:val="00045B87"/>
    <w:rsid w:val="00045C07"/>
    <w:rsid w:val="00054FC7"/>
    <w:rsid w:val="0005561A"/>
    <w:rsid w:val="00055D43"/>
    <w:rsid w:val="00056FAC"/>
    <w:rsid w:val="00057751"/>
    <w:rsid w:val="0006009E"/>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E09"/>
    <w:rsid w:val="000C378F"/>
    <w:rsid w:val="000C6892"/>
    <w:rsid w:val="000C6FFE"/>
    <w:rsid w:val="000D0BB6"/>
    <w:rsid w:val="000E26B0"/>
    <w:rsid w:val="000F065D"/>
    <w:rsid w:val="000F1599"/>
    <w:rsid w:val="000F1769"/>
    <w:rsid w:val="000F6196"/>
    <w:rsid w:val="000F7ECD"/>
    <w:rsid w:val="0010222D"/>
    <w:rsid w:val="00102E64"/>
    <w:rsid w:val="0010312C"/>
    <w:rsid w:val="00106DC7"/>
    <w:rsid w:val="00112391"/>
    <w:rsid w:val="001148A9"/>
    <w:rsid w:val="00114F52"/>
    <w:rsid w:val="0012135C"/>
    <w:rsid w:val="001273E5"/>
    <w:rsid w:val="00130E83"/>
    <w:rsid w:val="001347F8"/>
    <w:rsid w:val="001354A4"/>
    <w:rsid w:val="0013674D"/>
    <w:rsid w:val="00137BB5"/>
    <w:rsid w:val="00137E05"/>
    <w:rsid w:val="001447F6"/>
    <w:rsid w:val="00146232"/>
    <w:rsid w:val="00147DE3"/>
    <w:rsid w:val="00150794"/>
    <w:rsid w:val="001571A4"/>
    <w:rsid w:val="00157EF2"/>
    <w:rsid w:val="001608C4"/>
    <w:rsid w:val="00171418"/>
    <w:rsid w:val="0017796D"/>
    <w:rsid w:val="00183ED8"/>
    <w:rsid w:val="00190913"/>
    <w:rsid w:val="001961CF"/>
    <w:rsid w:val="001A59BB"/>
    <w:rsid w:val="001A6A51"/>
    <w:rsid w:val="001A79C4"/>
    <w:rsid w:val="001B331A"/>
    <w:rsid w:val="001C0E74"/>
    <w:rsid w:val="001C4357"/>
    <w:rsid w:val="001C6CEC"/>
    <w:rsid w:val="001D229F"/>
    <w:rsid w:val="001D6162"/>
    <w:rsid w:val="001E6FAD"/>
    <w:rsid w:val="001E7592"/>
    <w:rsid w:val="001F0A7A"/>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3724"/>
    <w:rsid w:val="00255D8E"/>
    <w:rsid w:val="002657E9"/>
    <w:rsid w:val="0026665E"/>
    <w:rsid w:val="00270EEB"/>
    <w:rsid w:val="0027147E"/>
    <w:rsid w:val="00274DE8"/>
    <w:rsid w:val="002761F4"/>
    <w:rsid w:val="002775E1"/>
    <w:rsid w:val="00277979"/>
    <w:rsid w:val="002808EB"/>
    <w:rsid w:val="0028095D"/>
    <w:rsid w:val="00287010"/>
    <w:rsid w:val="00291ADD"/>
    <w:rsid w:val="00294868"/>
    <w:rsid w:val="00295CA1"/>
    <w:rsid w:val="002A291A"/>
    <w:rsid w:val="002A5604"/>
    <w:rsid w:val="002B1701"/>
    <w:rsid w:val="002B23C3"/>
    <w:rsid w:val="002B3099"/>
    <w:rsid w:val="002B443A"/>
    <w:rsid w:val="002B5B35"/>
    <w:rsid w:val="002C256A"/>
    <w:rsid w:val="002C2905"/>
    <w:rsid w:val="002C496D"/>
    <w:rsid w:val="002D05EB"/>
    <w:rsid w:val="002D2F29"/>
    <w:rsid w:val="002D2FD3"/>
    <w:rsid w:val="002D6EC3"/>
    <w:rsid w:val="002E2695"/>
    <w:rsid w:val="002E7017"/>
    <w:rsid w:val="002F4F6E"/>
    <w:rsid w:val="003015C3"/>
    <w:rsid w:val="0030698D"/>
    <w:rsid w:val="0031350A"/>
    <w:rsid w:val="00316815"/>
    <w:rsid w:val="003168CA"/>
    <w:rsid w:val="00321255"/>
    <w:rsid w:val="0032230D"/>
    <w:rsid w:val="00322A0B"/>
    <w:rsid w:val="00331629"/>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2696"/>
    <w:rsid w:val="00385414"/>
    <w:rsid w:val="00390074"/>
    <w:rsid w:val="0039122F"/>
    <w:rsid w:val="00394EC2"/>
    <w:rsid w:val="0039762B"/>
    <w:rsid w:val="003A0C37"/>
    <w:rsid w:val="003A1B6B"/>
    <w:rsid w:val="003A2F82"/>
    <w:rsid w:val="003A46C0"/>
    <w:rsid w:val="003A600E"/>
    <w:rsid w:val="003A6513"/>
    <w:rsid w:val="003A71E2"/>
    <w:rsid w:val="003B148D"/>
    <w:rsid w:val="003B16C7"/>
    <w:rsid w:val="003C19F1"/>
    <w:rsid w:val="003C4186"/>
    <w:rsid w:val="003C458C"/>
    <w:rsid w:val="003C6185"/>
    <w:rsid w:val="003C792B"/>
    <w:rsid w:val="003D0D2D"/>
    <w:rsid w:val="003D12E4"/>
    <w:rsid w:val="003D1A20"/>
    <w:rsid w:val="003D4710"/>
    <w:rsid w:val="003E16D7"/>
    <w:rsid w:val="003E197E"/>
    <w:rsid w:val="003E1CFE"/>
    <w:rsid w:val="003F6791"/>
    <w:rsid w:val="004046F0"/>
    <w:rsid w:val="0040668F"/>
    <w:rsid w:val="00410024"/>
    <w:rsid w:val="00412677"/>
    <w:rsid w:val="00417925"/>
    <w:rsid w:val="00420726"/>
    <w:rsid w:val="004348AE"/>
    <w:rsid w:val="00435E9A"/>
    <w:rsid w:val="004376C0"/>
    <w:rsid w:val="0044115F"/>
    <w:rsid w:val="0044223A"/>
    <w:rsid w:val="00446792"/>
    <w:rsid w:val="00446F80"/>
    <w:rsid w:val="00450C83"/>
    <w:rsid w:val="00451851"/>
    <w:rsid w:val="00453343"/>
    <w:rsid w:val="004578E4"/>
    <w:rsid w:val="004608B9"/>
    <w:rsid w:val="00460ADB"/>
    <w:rsid w:val="00465312"/>
    <w:rsid w:val="00465947"/>
    <w:rsid w:val="004672C1"/>
    <w:rsid w:val="00470BB1"/>
    <w:rsid w:val="004718F7"/>
    <w:rsid w:val="00471C5D"/>
    <w:rsid w:val="00473153"/>
    <w:rsid w:val="004743AF"/>
    <w:rsid w:val="00482C17"/>
    <w:rsid w:val="004911B4"/>
    <w:rsid w:val="0049196A"/>
    <w:rsid w:val="004923DA"/>
    <w:rsid w:val="00492A70"/>
    <w:rsid w:val="00493434"/>
    <w:rsid w:val="004962F9"/>
    <w:rsid w:val="004968E2"/>
    <w:rsid w:val="004A07F1"/>
    <w:rsid w:val="004A14C4"/>
    <w:rsid w:val="004A2A49"/>
    <w:rsid w:val="004B600B"/>
    <w:rsid w:val="004B6822"/>
    <w:rsid w:val="004B69F6"/>
    <w:rsid w:val="004C06D4"/>
    <w:rsid w:val="004C2D3A"/>
    <w:rsid w:val="004D03C4"/>
    <w:rsid w:val="004D0BF1"/>
    <w:rsid w:val="004D24D2"/>
    <w:rsid w:val="004D35A4"/>
    <w:rsid w:val="004D445F"/>
    <w:rsid w:val="004D7E0F"/>
    <w:rsid w:val="004E087B"/>
    <w:rsid w:val="004E44A4"/>
    <w:rsid w:val="004E6DF8"/>
    <w:rsid w:val="004E7B3A"/>
    <w:rsid w:val="004E7B8B"/>
    <w:rsid w:val="004E7BDD"/>
    <w:rsid w:val="004F1E21"/>
    <w:rsid w:val="004F6455"/>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66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1D87"/>
    <w:rsid w:val="005D3B67"/>
    <w:rsid w:val="005D3F07"/>
    <w:rsid w:val="005D4153"/>
    <w:rsid w:val="005D583E"/>
    <w:rsid w:val="005E13EA"/>
    <w:rsid w:val="005E53BD"/>
    <w:rsid w:val="005F0682"/>
    <w:rsid w:val="005F21CC"/>
    <w:rsid w:val="00606E27"/>
    <w:rsid w:val="006108C9"/>
    <w:rsid w:val="00615C7E"/>
    <w:rsid w:val="0062158D"/>
    <w:rsid w:val="00621C18"/>
    <w:rsid w:val="00630F39"/>
    <w:rsid w:val="006326D1"/>
    <w:rsid w:val="00632E0A"/>
    <w:rsid w:val="00633165"/>
    <w:rsid w:val="00636B6C"/>
    <w:rsid w:val="006447DE"/>
    <w:rsid w:val="00644B4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2D8D"/>
    <w:rsid w:val="006D3C7E"/>
    <w:rsid w:val="006D5970"/>
    <w:rsid w:val="006D66C5"/>
    <w:rsid w:val="006E481E"/>
    <w:rsid w:val="006E795F"/>
    <w:rsid w:val="00700249"/>
    <w:rsid w:val="0070604C"/>
    <w:rsid w:val="007069CD"/>
    <w:rsid w:val="00710D69"/>
    <w:rsid w:val="007110E6"/>
    <w:rsid w:val="0071161E"/>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3ED8"/>
    <w:rsid w:val="0075704F"/>
    <w:rsid w:val="00757D0A"/>
    <w:rsid w:val="007630DD"/>
    <w:rsid w:val="00763B2D"/>
    <w:rsid w:val="00767022"/>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C7C4A"/>
    <w:rsid w:val="007D0A07"/>
    <w:rsid w:val="007D0C96"/>
    <w:rsid w:val="007D133D"/>
    <w:rsid w:val="007D3EB4"/>
    <w:rsid w:val="007D3F16"/>
    <w:rsid w:val="007D6035"/>
    <w:rsid w:val="007D78CC"/>
    <w:rsid w:val="007E02D9"/>
    <w:rsid w:val="007E4617"/>
    <w:rsid w:val="007F3F7E"/>
    <w:rsid w:val="007F5497"/>
    <w:rsid w:val="008028C1"/>
    <w:rsid w:val="008121F9"/>
    <w:rsid w:val="00813CEC"/>
    <w:rsid w:val="0081534C"/>
    <w:rsid w:val="008171E4"/>
    <w:rsid w:val="008208EA"/>
    <w:rsid w:val="00823205"/>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6491"/>
    <w:rsid w:val="008573E0"/>
    <w:rsid w:val="00861035"/>
    <w:rsid w:val="00861038"/>
    <w:rsid w:val="00865008"/>
    <w:rsid w:val="00866B50"/>
    <w:rsid w:val="008708F1"/>
    <w:rsid w:val="008724EB"/>
    <w:rsid w:val="00880539"/>
    <w:rsid w:val="008859E8"/>
    <w:rsid w:val="0088737B"/>
    <w:rsid w:val="00892716"/>
    <w:rsid w:val="00893067"/>
    <w:rsid w:val="008933DE"/>
    <w:rsid w:val="00893F47"/>
    <w:rsid w:val="00895FCE"/>
    <w:rsid w:val="00897F3E"/>
    <w:rsid w:val="008A1BA8"/>
    <w:rsid w:val="008A21B4"/>
    <w:rsid w:val="008A4576"/>
    <w:rsid w:val="008B07DE"/>
    <w:rsid w:val="008B28E7"/>
    <w:rsid w:val="008C14C7"/>
    <w:rsid w:val="008C2FFB"/>
    <w:rsid w:val="008C6EEA"/>
    <w:rsid w:val="008D2716"/>
    <w:rsid w:val="008D5813"/>
    <w:rsid w:val="008D634E"/>
    <w:rsid w:val="008D778A"/>
    <w:rsid w:val="008E2202"/>
    <w:rsid w:val="008E73F0"/>
    <w:rsid w:val="008F22BD"/>
    <w:rsid w:val="009079BD"/>
    <w:rsid w:val="00912BD9"/>
    <w:rsid w:val="00916CFB"/>
    <w:rsid w:val="00920E5B"/>
    <w:rsid w:val="009249F8"/>
    <w:rsid w:val="00926436"/>
    <w:rsid w:val="0093018C"/>
    <w:rsid w:val="00932CCA"/>
    <w:rsid w:val="00950C54"/>
    <w:rsid w:val="009544C0"/>
    <w:rsid w:val="00954FA4"/>
    <w:rsid w:val="00956AE9"/>
    <w:rsid w:val="00964CC6"/>
    <w:rsid w:val="0096645E"/>
    <w:rsid w:val="00976A2A"/>
    <w:rsid w:val="00983204"/>
    <w:rsid w:val="00991FDA"/>
    <w:rsid w:val="009927A1"/>
    <w:rsid w:val="0099774D"/>
    <w:rsid w:val="009A310E"/>
    <w:rsid w:val="009A5F3B"/>
    <w:rsid w:val="009B0B61"/>
    <w:rsid w:val="009B28C0"/>
    <w:rsid w:val="009B395A"/>
    <w:rsid w:val="009B3E4C"/>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441"/>
    <w:rsid w:val="00A23F3B"/>
    <w:rsid w:val="00A24406"/>
    <w:rsid w:val="00A25F64"/>
    <w:rsid w:val="00A27CC2"/>
    <w:rsid w:val="00A318FD"/>
    <w:rsid w:val="00A31A69"/>
    <w:rsid w:val="00A3273B"/>
    <w:rsid w:val="00A3643B"/>
    <w:rsid w:val="00A40ED6"/>
    <w:rsid w:val="00A470EE"/>
    <w:rsid w:val="00A47621"/>
    <w:rsid w:val="00A479CD"/>
    <w:rsid w:val="00A50CFC"/>
    <w:rsid w:val="00A5429B"/>
    <w:rsid w:val="00A54D67"/>
    <w:rsid w:val="00A55A3F"/>
    <w:rsid w:val="00A56BC4"/>
    <w:rsid w:val="00A652F6"/>
    <w:rsid w:val="00A732EA"/>
    <w:rsid w:val="00A7489E"/>
    <w:rsid w:val="00A8015F"/>
    <w:rsid w:val="00A80BD2"/>
    <w:rsid w:val="00A84C6A"/>
    <w:rsid w:val="00A85039"/>
    <w:rsid w:val="00A851F7"/>
    <w:rsid w:val="00A906AA"/>
    <w:rsid w:val="00A94026"/>
    <w:rsid w:val="00A94C5E"/>
    <w:rsid w:val="00AA241A"/>
    <w:rsid w:val="00AA252C"/>
    <w:rsid w:val="00AA4C56"/>
    <w:rsid w:val="00AA666E"/>
    <w:rsid w:val="00AB5518"/>
    <w:rsid w:val="00AC01D4"/>
    <w:rsid w:val="00AC4568"/>
    <w:rsid w:val="00AC4A04"/>
    <w:rsid w:val="00AD336F"/>
    <w:rsid w:val="00AD3550"/>
    <w:rsid w:val="00AE00C7"/>
    <w:rsid w:val="00AE2564"/>
    <w:rsid w:val="00AE301F"/>
    <w:rsid w:val="00AE3302"/>
    <w:rsid w:val="00AE64B9"/>
    <w:rsid w:val="00AE7077"/>
    <w:rsid w:val="00AF256A"/>
    <w:rsid w:val="00AF5FFD"/>
    <w:rsid w:val="00AF61C2"/>
    <w:rsid w:val="00AF6CC6"/>
    <w:rsid w:val="00B011CD"/>
    <w:rsid w:val="00B0296A"/>
    <w:rsid w:val="00B12295"/>
    <w:rsid w:val="00B137BE"/>
    <w:rsid w:val="00B17FA0"/>
    <w:rsid w:val="00B24344"/>
    <w:rsid w:val="00B26769"/>
    <w:rsid w:val="00B315BD"/>
    <w:rsid w:val="00B31C91"/>
    <w:rsid w:val="00B3747F"/>
    <w:rsid w:val="00B43194"/>
    <w:rsid w:val="00B47734"/>
    <w:rsid w:val="00B50FBA"/>
    <w:rsid w:val="00B53E02"/>
    <w:rsid w:val="00B558EB"/>
    <w:rsid w:val="00B577D3"/>
    <w:rsid w:val="00B57D3B"/>
    <w:rsid w:val="00B60466"/>
    <w:rsid w:val="00B6548F"/>
    <w:rsid w:val="00B7502A"/>
    <w:rsid w:val="00B77305"/>
    <w:rsid w:val="00B816CE"/>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1EF6"/>
    <w:rsid w:val="00BC460B"/>
    <w:rsid w:val="00BC5725"/>
    <w:rsid w:val="00BD30B1"/>
    <w:rsid w:val="00BE0F7B"/>
    <w:rsid w:val="00BE10C2"/>
    <w:rsid w:val="00BE1941"/>
    <w:rsid w:val="00BE4081"/>
    <w:rsid w:val="00BF0D1F"/>
    <w:rsid w:val="00BF2285"/>
    <w:rsid w:val="00C01D14"/>
    <w:rsid w:val="00C025B4"/>
    <w:rsid w:val="00C0275F"/>
    <w:rsid w:val="00C10D2B"/>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143C"/>
    <w:rsid w:val="00C54AED"/>
    <w:rsid w:val="00C55B2F"/>
    <w:rsid w:val="00C63D00"/>
    <w:rsid w:val="00C6441B"/>
    <w:rsid w:val="00C7108B"/>
    <w:rsid w:val="00C8089F"/>
    <w:rsid w:val="00C836CC"/>
    <w:rsid w:val="00C85EEC"/>
    <w:rsid w:val="00C87A74"/>
    <w:rsid w:val="00C90A71"/>
    <w:rsid w:val="00C91574"/>
    <w:rsid w:val="00C91BC2"/>
    <w:rsid w:val="00C92C71"/>
    <w:rsid w:val="00C93F8F"/>
    <w:rsid w:val="00C94BF2"/>
    <w:rsid w:val="00CA2745"/>
    <w:rsid w:val="00CA3593"/>
    <w:rsid w:val="00CA4404"/>
    <w:rsid w:val="00CA7F4F"/>
    <w:rsid w:val="00CB0EA8"/>
    <w:rsid w:val="00CB258E"/>
    <w:rsid w:val="00CB3C8F"/>
    <w:rsid w:val="00CB75CE"/>
    <w:rsid w:val="00CC02F1"/>
    <w:rsid w:val="00CC11A6"/>
    <w:rsid w:val="00CC135E"/>
    <w:rsid w:val="00CC5529"/>
    <w:rsid w:val="00CD5D3F"/>
    <w:rsid w:val="00CD602C"/>
    <w:rsid w:val="00CE5B35"/>
    <w:rsid w:val="00CF1E90"/>
    <w:rsid w:val="00CF3DB3"/>
    <w:rsid w:val="00CF566E"/>
    <w:rsid w:val="00D052BC"/>
    <w:rsid w:val="00D06F13"/>
    <w:rsid w:val="00D07026"/>
    <w:rsid w:val="00D07BAB"/>
    <w:rsid w:val="00D111B1"/>
    <w:rsid w:val="00D11C62"/>
    <w:rsid w:val="00D22BF6"/>
    <w:rsid w:val="00D22C8F"/>
    <w:rsid w:val="00D33491"/>
    <w:rsid w:val="00D44F8E"/>
    <w:rsid w:val="00D44FD0"/>
    <w:rsid w:val="00D56E02"/>
    <w:rsid w:val="00D5733C"/>
    <w:rsid w:val="00D607EF"/>
    <w:rsid w:val="00D60F88"/>
    <w:rsid w:val="00D625E7"/>
    <w:rsid w:val="00D646BD"/>
    <w:rsid w:val="00D70239"/>
    <w:rsid w:val="00D71201"/>
    <w:rsid w:val="00D720C7"/>
    <w:rsid w:val="00D74762"/>
    <w:rsid w:val="00D77A04"/>
    <w:rsid w:val="00D81D06"/>
    <w:rsid w:val="00D8652C"/>
    <w:rsid w:val="00D876E6"/>
    <w:rsid w:val="00DA1025"/>
    <w:rsid w:val="00DA22EC"/>
    <w:rsid w:val="00DA2738"/>
    <w:rsid w:val="00DA5860"/>
    <w:rsid w:val="00DB2767"/>
    <w:rsid w:val="00DC4729"/>
    <w:rsid w:val="00DE556F"/>
    <w:rsid w:val="00E03B6D"/>
    <w:rsid w:val="00E0649E"/>
    <w:rsid w:val="00E14812"/>
    <w:rsid w:val="00E17160"/>
    <w:rsid w:val="00E35BEC"/>
    <w:rsid w:val="00E43D16"/>
    <w:rsid w:val="00E50821"/>
    <w:rsid w:val="00E50EF8"/>
    <w:rsid w:val="00E51F91"/>
    <w:rsid w:val="00E62B3F"/>
    <w:rsid w:val="00E676F7"/>
    <w:rsid w:val="00E7086E"/>
    <w:rsid w:val="00E7374A"/>
    <w:rsid w:val="00E73C41"/>
    <w:rsid w:val="00E7598F"/>
    <w:rsid w:val="00E76F60"/>
    <w:rsid w:val="00E83D90"/>
    <w:rsid w:val="00E83F28"/>
    <w:rsid w:val="00E83F91"/>
    <w:rsid w:val="00E9107A"/>
    <w:rsid w:val="00E91F62"/>
    <w:rsid w:val="00E91FEC"/>
    <w:rsid w:val="00E929FD"/>
    <w:rsid w:val="00E93240"/>
    <w:rsid w:val="00E9479B"/>
    <w:rsid w:val="00EA28F1"/>
    <w:rsid w:val="00EA4D48"/>
    <w:rsid w:val="00EB2173"/>
    <w:rsid w:val="00EB62E6"/>
    <w:rsid w:val="00ED1B30"/>
    <w:rsid w:val="00ED250E"/>
    <w:rsid w:val="00ED6535"/>
    <w:rsid w:val="00EE149A"/>
    <w:rsid w:val="00EE1AC1"/>
    <w:rsid w:val="00EE39D6"/>
    <w:rsid w:val="00EE413C"/>
    <w:rsid w:val="00EE52AD"/>
    <w:rsid w:val="00EF1A89"/>
    <w:rsid w:val="00F01F92"/>
    <w:rsid w:val="00F06D5D"/>
    <w:rsid w:val="00F10A08"/>
    <w:rsid w:val="00F139CF"/>
    <w:rsid w:val="00F20FB0"/>
    <w:rsid w:val="00F219E4"/>
    <w:rsid w:val="00F220FE"/>
    <w:rsid w:val="00F22AC5"/>
    <w:rsid w:val="00F242B8"/>
    <w:rsid w:val="00F254D1"/>
    <w:rsid w:val="00F300AF"/>
    <w:rsid w:val="00F30E17"/>
    <w:rsid w:val="00F32B82"/>
    <w:rsid w:val="00F4043E"/>
    <w:rsid w:val="00F407CD"/>
    <w:rsid w:val="00F40CB5"/>
    <w:rsid w:val="00F41BBC"/>
    <w:rsid w:val="00F43B9D"/>
    <w:rsid w:val="00F444F0"/>
    <w:rsid w:val="00F50847"/>
    <w:rsid w:val="00F5256A"/>
    <w:rsid w:val="00F53F27"/>
    <w:rsid w:val="00F546D1"/>
    <w:rsid w:val="00F5625F"/>
    <w:rsid w:val="00F6060E"/>
    <w:rsid w:val="00F6513F"/>
    <w:rsid w:val="00F66272"/>
    <w:rsid w:val="00F6ACA0"/>
    <w:rsid w:val="00F709C0"/>
    <w:rsid w:val="00F8610A"/>
    <w:rsid w:val="00F927A1"/>
    <w:rsid w:val="00F92E4D"/>
    <w:rsid w:val="00F94392"/>
    <w:rsid w:val="00FA08C5"/>
    <w:rsid w:val="00FA20D1"/>
    <w:rsid w:val="00FA3764"/>
    <w:rsid w:val="00FA56ED"/>
    <w:rsid w:val="00FB36BC"/>
    <w:rsid w:val="00FB5FA6"/>
    <w:rsid w:val="00FB67CA"/>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7D2"/>
    <w:rsid w:val="00FE1F6A"/>
    <w:rsid w:val="00FF0070"/>
    <w:rsid w:val="00FF31EC"/>
    <w:rsid w:val="00FF5F6A"/>
    <w:rsid w:val="00FF6BE0"/>
    <w:rsid w:val="00FF75DC"/>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FB6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99038">
      <w:bodyDiv w:val="1"/>
      <w:marLeft w:val="0"/>
      <w:marRight w:val="0"/>
      <w:marTop w:val="0"/>
      <w:marBottom w:val="0"/>
      <w:divBdr>
        <w:top w:val="none" w:sz="0" w:space="0" w:color="auto"/>
        <w:left w:val="none" w:sz="0" w:space="0" w:color="auto"/>
        <w:bottom w:val="none" w:sz="0" w:space="0" w:color="auto"/>
        <w:right w:val="none" w:sz="0" w:space="0" w:color="auto"/>
      </w:divBdr>
      <w:divsChild>
        <w:div w:id="854078918">
          <w:marLeft w:val="0"/>
          <w:marRight w:val="0"/>
          <w:marTop w:val="0"/>
          <w:marBottom w:val="0"/>
          <w:divBdr>
            <w:top w:val="none" w:sz="0" w:space="0" w:color="auto"/>
            <w:left w:val="none" w:sz="0" w:space="0" w:color="auto"/>
            <w:bottom w:val="none" w:sz="0" w:space="0" w:color="auto"/>
            <w:right w:val="none" w:sz="0" w:space="0" w:color="auto"/>
          </w:divBdr>
          <w:divsChild>
            <w:div w:id="160079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6705">
      <w:bodyDiv w:val="1"/>
      <w:marLeft w:val="0"/>
      <w:marRight w:val="0"/>
      <w:marTop w:val="0"/>
      <w:marBottom w:val="0"/>
      <w:divBdr>
        <w:top w:val="none" w:sz="0" w:space="0" w:color="auto"/>
        <w:left w:val="none" w:sz="0" w:space="0" w:color="auto"/>
        <w:bottom w:val="none" w:sz="0" w:space="0" w:color="auto"/>
        <w:right w:val="none" w:sz="0" w:space="0" w:color="auto"/>
      </w:divBdr>
      <w:divsChild>
        <w:div w:id="1869415784">
          <w:marLeft w:val="0"/>
          <w:marRight w:val="0"/>
          <w:marTop w:val="0"/>
          <w:marBottom w:val="0"/>
          <w:divBdr>
            <w:top w:val="none" w:sz="0" w:space="0" w:color="auto"/>
            <w:left w:val="none" w:sz="0" w:space="0" w:color="auto"/>
            <w:bottom w:val="none" w:sz="0" w:space="0" w:color="auto"/>
            <w:right w:val="none" w:sz="0" w:space="0" w:color="auto"/>
          </w:divBdr>
          <w:divsChild>
            <w:div w:id="1074011888">
              <w:marLeft w:val="0"/>
              <w:marRight w:val="0"/>
              <w:marTop w:val="0"/>
              <w:marBottom w:val="0"/>
              <w:divBdr>
                <w:top w:val="none" w:sz="0" w:space="0" w:color="auto"/>
                <w:left w:val="none" w:sz="0" w:space="0" w:color="auto"/>
                <w:bottom w:val="none" w:sz="0" w:space="0" w:color="auto"/>
                <w:right w:val="none" w:sz="0" w:space="0" w:color="auto"/>
              </w:divBdr>
            </w:div>
            <w:div w:id="1763067848">
              <w:marLeft w:val="0"/>
              <w:marRight w:val="0"/>
              <w:marTop w:val="0"/>
              <w:marBottom w:val="0"/>
              <w:divBdr>
                <w:top w:val="none" w:sz="0" w:space="0" w:color="auto"/>
                <w:left w:val="none" w:sz="0" w:space="0" w:color="auto"/>
                <w:bottom w:val="none" w:sz="0" w:space="0" w:color="auto"/>
                <w:right w:val="none" w:sz="0" w:space="0" w:color="auto"/>
              </w:divBdr>
            </w:div>
          </w:divsChild>
        </w:div>
        <w:div w:id="972173137">
          <w:marLeft w:val="0"/>
          <w:marRight w:val="0"/>
          <w:marTop w:val="0"/>
          <w:marBottom w:val="0"/>
          <w:divBdr>
            <w:top w:val="none" w:sz="0" w:space="0" w:color="auto"/>
            <w:left w:val="none" w:sz="0" w:space="0" w:color="auto"/>
            <w:bottom w:val="none" w:sz="0" w:space="0" w:color="auto"/>
            <w:right w:val="none" w:sz="0" w:space="0" w:color="auto"/>
          </w:divBdr>
          <w:divsChild>
            <w:div w:id="1868907041">
              <w:marLeft w:val="0"/>
              <w:marRight w:val="0"/>
              <w:marTop w:val="0"/>
              <w:marBottom w:val="0"/>
              <w:divBdr>
                <w:top w:val="none" w:sz="0" w:space="0" w:color="auto"/>
                <w:left w:val="none" w:sz="0" w:space="0" w:color="auto"/>
                <w:bottom w:val="none" w:sz="0" w:space="0" w:color="auto"/>
                <w:right w:val="none" w:sz="0" w:space="0" w:color="auto"/>
              </w:divBdr>
            </w:div>
            <w:div w:id="14352402">
              <w:marLeft w:val="0"/>
              <w:marRight w:val="0"/>
              <w:marTop w:val="0"/>
              <w:marBottom w:val="0"/>
              <w:divBdr>
                <w:top w:val="none" w:sz="0" w:space="0" w:color="auto"/>
                <w:left w:val="none" w:sz="0" w:space="0" w:color="auto"/>
                <w:bottom w:val="none" w:sz="0" w:space="0" w:color="auto"/>
                <w:right w:val="none" w:sz="0" w:space="0" w:color="auto"/>
              </w:divBdr>
            </w:div>
          </w:divsChild>
        </w:div>
        <w:div w:id="611320778">
          <w:marLeft w:val="0"/>
          <w:marRight w:val="0"/>
          <w:marTop w:val="0"/>
          <w:marBottom w:val="0"/>
          <w:divBdr>
            <w:top w:val="none" w:sz="0" w:space="0" w:color="auto"/>
            <w:left w:val="none" w:sz="0" w:space="0" w:color="auto"/>
            <w:bottom w:val="none" w:sz="0" w:space="0" w:color="auto"/>
            <w:right w:val="none" w:sz="0" w:space="0" w:color="auto"/>
          </w:divBdr>
          <w:divsChild>
            <w:div w:id="1178808893">
              <w:marLeft w:val="0"/>
              <w:marRight w:val="0"/>
              <w:marTop w:val="0"/>
              <w:marBottom w:val="0"/>
              <w:divBdr>
                <w:top w:val="none" w:sz="0" w:space="0" w:color="auto"/>
                <w:left w:val="none" w:sz="0" w:space="0" w:color="auto"/>
                <w:bottom w:val="none" w:sz="0" w:space="0" w:color="auto"/>
                <w:right w:val="none" w:sz="0" w:space="0" w:color="auto"/>
              </w:divBdr>
            </w:div>
            <w:div w:id="1721705695">
              <w:marLeft w:val="0"/>
              <w:marRight w:val="0"/>
              <w:marTop w:val="0"/>
              <w:marBottom w:val="0"/>
              <w:divBdr>
                <w:top w:val="none" w:sz="0" w:space="0" w:color="auto"/>
                <w:left w:val="none" w:sz="0" w:space="0" w:color="auto"/>
                <w:bottom w:val="none" w:sz="0" w:space="0" w:color="auto"/>
                <w:right w:val="none" w:sz="0" w:space="0" w:color="auto"/>
              </w:divBdr>
            </w:div>
          </w:divsChild>
        </w:div>
        <w:div w:id="1812018259">
          <w:marLeft w:val="0"/>
          <w:marRight w:val="0"/>
          <w:marTop w:val="0"/>
          <w:marBottom w:val="0"/>
          <w:divBdr>
            <w:top w:val="none" w:sz="0" w:space="0" w:color="auto"/>
            <w:left w:val="none" w:sz="0" w:space="0" w:color="auto"/>
            <w:bottom w:val="none" w:sz="0" w:space="0" w:color="auto"/>
            <w:right w:val="none" w:sz="0" w:space="0" w:color="auto"/>
          </w:divBdr>
        </w:div>
        <w:div w:id="1884781274">
          <w:marLeft w:val="0"/>
          <w:marRight w:val="0"/>
          <w:marTop w:val="0"/>
          <w:marBottom w:val="0"/>
          <w:divBdr>
            <w:top w:val="none" w:sz="0" w:space="0" w:color="auto"/>
            <w:left w:val="none" w:sz="0" w:space="0" w:color="auto"/>
            <w:bottom w:val="none" w:sz="0" w:space="0" w:color="auto"/>
            <w:right w:val="none" w:sz="0" w:space="0" w:color="auto"/>
          </w:divBdr>
        </w:div>
        <w:div w:id="972908419">
          <w:marLeft w:val="0"/>
          <w:marRight w:val="0"/>
          <w:marTop w:val="0"/>
          <w:marBottom w:val="0"/>
          <w:divBdr>
            <w:top w:val="none" w:sz="0" w:space="0" w:color="auto"/>
            <w:left w:val="none" w:sz="0" w:space="0" w:color="auto"/>
            <w:bottom w:val="none" w:sz="0" w:space="0" w:color="auto"/>
            <w:right w:val="none" w:sz="0" w:space="0" w:color="auto"/>
          </w:divBdr>
        </w:div>
        <w:div w:id="932931062">
          <w:marLeft w:val="0"/>
          <w:marRight w:val="0"/>
          <w:marTop w:val="0"/>
          <w:marBottom w:val="0"/>
          <w:divBdr>
            <w:top w:val="none" w:sz="0" w:space="0" w:color="auto"/>
            <w:left w:val="none" w:sz="0" w:space="0" w:color="auto"/>
            <w:bottom w:val="none" w:sz="0" w:space="0" w:color="auto"/>
            <w:right w:val="none" w:sz="0" w:space="0" w:color="auto"/>
          </w:divBdr>
        </w:div>
        <w:div w:id="1095828256">
          <w:marLeft w:val="0"/>
          <w:marRight w:val="0"/>
          <w:marTop w:val="0"/>
          <w:marBottom w:val="0"/>
          <w:divBdr>
            <w:top w:val="none" w:sz="0" w:space="0" w:color="auto"/>
            <w:left w:val="none" w:sz="0" w:space="0" w:color="auto"/>
            <w:bottom w:val="none" w:sz="0" w:space="0" w:color="auto"/>
            <w:right w:val="none" w:sz="0" w:space="0" w:color="auto"/>
          </w:divBdr>
        </w:div>
        <w:div w:id="1506555619">
          <w:marLeft w:val="0"/>
          <w:marRight w:val="0"/>
          <w:marTop w:val="0"/>
          <w:marBottom w:val="0"/>
          <w:divBdr>
            <w:top w:val="none" w:sz="0" w:space="0" w:color="auto"/>
            <w:left w:val="none" w:sz="0" w:space="0" w:color="auto"/>
            <w:bottom w:val="none" w:sz="0" w:space="0" w:color="auto"/>
            <w:right w:val="none" w:sz="0" w:space="0" w:color="auto"/>
          </w:divBdr>
        </w:div>
        <w:div w:id="1117406553">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9784531">
      <w:bodyDiv w:val="1"/>
      <w:marLeft w:val="0"/>
      <w:marRight w:val="0"/>
      <w:marTop w:val="0"/>
      <w:marBottom w:val="0"/>
      <w:divBdr>
        <w:top w:val="none" w:sz="0" w:space="0" w:color="auto"/>
        <w:left w:val="none" w:sz="0" w:space="0" w:color="auto"/>
        <w:bottom w:val="none" w:sz="0" w:space="0" w:color="auto"/>
        <w:right w:val="none" w:sz="0" w:space="0" w:color="auto"/>
      </w:divBdr>
      <w:divsChild>
        <w:div w:id="284699738">
          <w:marLeft w:val="0"/>
          <w:marRight w:val="0"/>
          <w:marTop w:val="0"/>
          <w:marBottom w:val="0"/>
          <w:divBdr>
            <w:top w:val="none" w:sz="0" w:space="0" w:color="auto"/>
            <w:left w:val="none" w:sz="0" w:space="0" w:color="auto"/>
            <w:bottom w:val="none" w:sz="0" w:space="0" w:color="auto"/>
            <w:right w:val="none" w:sz="0" w:space="0" w:color="auto"/>
          </w:divBdr>
          <w:divsChild>
            <w:div w:id="7451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486498">
      <w:bodyDiv w:val="1"/>
      <w:marLeft w:val="0"/>
      <w:marRight w:val="0"/>
      <w:marTop w:val="0"/>
      <w:marBottom w:val="0"/>
      <w:divBdr>
        <w:top w:val="none" w:sz="0" w:space="0" w:color="auto"/>
        <w:left w:val="none" w:sz="0" w:space="0" w:color="auto"/>
        <w:bottom w:val="none" w:sz="0" w:space="0" w:color="auto"/>
        <w:right w:val="none" w:sz="0" w:space="0" w:color="auto"/>
      </w:divBdr>
      <w:divsChild>
        <w:div w:id="974411609">
          <w:marLeft w:val="0"/>
          <w:marRight w:val="0"/>
          <w:marTop w:val="0"/>
          <w:marBottom w:val="0"/>
          <w:divBdr>
            <w:top w:val="none" w:sz="0" w:space="0" w:color="auto"/>
            <w:left w:val="none" w:sz="0" w:space="0" w:color="auto"/>
            <w:bottom w:val="none" w:sz="0" w:space="0" w:color="auto"/>
            <w:right w:val="none" w:sz="0" w:space="0" w:color="auto"/>
          </w:divBdr>
          <w:divsChild>
            <w:div w:id="33484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2267">
      <w:bodyDiv w:val="1"/>
      <w:marLeft w:val="0"/>
      <w:marRight w:val="0"/>
      <w:marTop w:val="0"/>
      <w:marBottom w:val="0"/>
      <w:divBdr>
        <w:top w:val="none" w:sz="0" w:space="0" w:color="auto"/>
        <w:left w:val="none" w:sz="0" w:space="0" w:color="auto"/>
        <w:bottom w:val="none" w:sz="0" w:space="0" w:color="auto"/>
        <w:right w:val="none" w:sz="0" w:space="0" w:color="auto"/>
      </w:divBdr>
      <w:divsChild>
        <w:div w:id="1999308444">
          <w:marLeft w:val="0"/>
          <w:marRight w:val="0"/>
          <w:marTop w:val="0"/>
          <w:marBottom w:val="0"/>
          <w:divBdr>
            <w:top w:val="none" w:sz="0" w:space="0" w:color="auto"/>
            <w:left w:val="none" w:sz="0" w:space="0" w:color="auto"/>
            <w:bottom w:val="none" w:sz="0" w:space="0" w:color="auto"/>
            <w:right w:val="none" w:sz="0" w:space="0" w:color="auto"/>
          </w:divBdr>
          <w:divsChild>
            <w:div w:id="109825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5987">
      <w:bodyDiv w:val="1"/>
      <w:marLeft w:val="0"/>
      <w:marRight w:val="0"/>
      <w:marTop w:val="0"/>
      <w:marBottom w:val="0"/>
      <w:divBdr>
        <w:top w:val="none" w:sz="0" w:space="0" w:color="auto"/>
        <w:left w:val="none" w:sz="0" w:space="0" w:color="auto"/>
        <w:bottom w:val="none" w:sz="0" w:space="0" w:color="auto"/>
        <w:right w:val="none" w:sz="0" w:space="0" w:color="auto"/>
      </w:divBdr>
      <w:divsChild>
        <w:div w:id="2058889621">
          <w:marLeft w:val="0"/>
          <w:marRight w:val="0"/>
          <w:marTop w:val="0"/>
          <w:marBottom w:val="0"/>
          <w:divBdr>
            <w:top w:val="none" w:sz="0" w:space="0" w:color="auto"/>
            <w:left w:val="none" w:sz="0" w:space="0" w:color="auto"/>
            <w:bottom w:val="none" w:sz="0" w:space="0" w:color="auto"/>
            <w:right w:val="none" w:sz="0" w:space="0" w:color="auto"/>
          </w:divBdr>
          <w:divsChild>
            <w:div w:id="285089207">
              <w:marLeft w:val="0"/>
              <w:marRight w:val="0"/>
              <w:marTop w:val="0"/>
              <w:marBottom w:val="0"/>
              <w:divBdr>
                <w:top w:val="none" w:sz="0" w:space="0" w:color="auto"/>
                <w:left w:val="none" w:sz="0" w:space="0" w:color="auto"/>
                <w:bottom w:val="none" w:sz="0" w:space="0" w:color="auto"/>
                <w:right w:val="none" w:sz="0" w:space="0" w:color="auto"/>
              </w:divBdr>
            </w:div>
            <w:div w:id="276445988">
              <w:marLeft w:val="0"/>
              <w:marRight w:val="0"/>
              <w:marTop w:val="0"/>
              <w:marBottom w:val="0"/>
              <w:divBdr>
                <w:top w:val="none" w:sz="0" w:space="0" w:color="auto"/>
                <w:left w:val="none" w:sz="0" w:space="0" w:color="auto"/>
                <w:bottom w:val="none" w:sz="0" w:space="0" w:color="auto"/>
                <w:right w:val="none" w:sz="0" w:space="0" w:color="auto"/>
              </w:divBdr>
            </w:div>
          </w:divsChild>
        </w:div>
        <w:div w:id="2099254484">
          <w:marLeft w:val="0"/>
          <w:marRight w:val="0"/>
          <w:marTop w:val="0"/>
          <w:marBottom w:val="0"/>
          <w:divBdr>
            <w:top w:val="none" w:sz="0" w:space="0" w:color="auto"/>
            <w:left w:val="none" w:sz="0" w:space="0" w:color="auto"/>
            <w:bottom w:val="none" w:sz="0" w:space="0" w:color="auto"/>
            <w:right w:val="none" w:sz="0" w:space="0" w:color="auto"/>
          </w:divBdr>
          <w:divsChild>
            <w:div w:id="983849754">
              <w:marLeft w:val="0"/>
              <w:marRight w:val="0"/>
              <w:marTop w:val="0"/>
              <w:marBottom w:val="0"/>
              <w:divBdr>
                <w:top w:val="none" w:sz="0" w:space="0" w:color="auto"/>
                <w:left w:val="none" w:sz="0" w:space="0" w:color="auto"/>
                <w:bottom w:val="none" w:sz="0" w:space="0" w:color="auto"/>
                <w:right w:val="none" w:sz="0" w:space="0" w:color="auto"/>
              </w:divBdr>
            </w:div>
            <w:div w:id="407464647">
              <w:marLeft w:val="0"/>
              <w:marRight w:val="0"/>
              <w:marTop w:val="0"/>
              <w:marBottom w:val="0"/>
              <w:divBdr>
                <w:top w:val="none" w:sz="0" w:space="0" w:color="auto"/>
                <w:left w:val="none" w:sz="0" w:space="0" w:color="auto"/>
                <w:bottom w:val="none" w:sz="0" w:space="0" w:color="auto"/>
                <w:right w:val="none" w:sz="0" w:space="0" w:color="auto"/>
              </w:divBdr>
            </w:div>
          </w:divsChild>
        </w:div>
        <w:div w:id="289551624">
          <w:marLeft w:val="0"/>
          <w:marRight w:val="0"/>
          <w:marTop w:val="0"/>
          <w:marBottom w:val="0"/>
          <w:divBdr>
            <w:top w:val="none" w:sz="0" w:space="0" w:color="auto"/>
            <w:left w:val="none" w:sz="0" w:space="0" w:color="auto"/>
            <w:bottom w:val="none" w:sz="0" w:space="0" w:color="auto"/>
            <w:right w:val="none" w:sz="0" w:space="0" w:color="auto"/>
          </w:divBdr>
          <w:divsChild>
            <w:div w:id="566766193">
              <w:marLeft w:val="0"/>
              <w:marRight w:val="0"/>
              <w:marTop w:val="0"/>
              <w:marBottom w:val="0"/>
              <w:divBdr>
                <w:top w:val="none" w:sz="0" w:space="0" w:color="auto"/>
                <w:left w:val="none" w:sz="0" w:space="0" w:color="auto"/>
                <w:bottom w:val="none" w:sz="0" w:space="0" w:color="auto"/>
                <w:right w:val="none" w:sz="0" w:space="0" w:color="auto"/>
              </w:divBdr>
            </w:div>
            <w:div w:id="1220288648">
              <w:marLeft w:val="0"/>
              <w:marRight w:val="0"/>
              <w:marTop w:val="0"/>
              <w:marBottom w:val="0"/>
              <w:divBdr>
                <w:top w:val="none" w:sz="0" w:space="0" w:color="auto"/>
                <w:left w:val="none" w:sz="0" w:space="0" w:color="auto"/>
                <w:bottom w:val="none" w:sz="0" w:space="0" w:color="auto"/>
                <w:right w:val="none" w:sz="0" w:space="0" w:color="auto"/>
              </w:divBdr>
            </w:div>
          </w:divsChild>
        </w:div>
        <w:div w:id="177812682">
          <w:marLeft w:val="0"/>
          <w:marRight w:val="0"/>
          <w:marTop w:val="0"/>
          <w:marBottom w:val="0"/>
          <w:divBdr>
            <w:top w:val="none" w:sz="0" w:space="0" w:color="auto"/>
            <w:left w:val="none" w:sz="0" w:space="0" w:color="auto"/>
            <w:bottom w:val="none" w:sz="0" w:space="0" w:color="auto"/>
            <w:right w:val="none" w:sz="0" w:space="0" w:color="auto"/>
          </w:divBdr>
        </w:div>
        <w:div w:id="1384059958">
          <w:marLeft w:val="0"/>
          <w:marRight w:val="0"/>
          <w:marTop w:val="0"/>
          <w:marBottom w:val="0"/>
          <w:divBdr>
            <w:top w:val="none" w:sz="0" w:space="0" w:color="auto"/>
            <w:left w:val="none" w:sz="0" w:space="0" w:color="auto"/>
            <w:bottom w:val="none" w:sz="0" w:space="0" w:color="auto"/>
            <w:right w:val="none" w:sz="0" w:space="0" w:color="auto"/>
          </w:divBdr>
        </w:div>
        <w:div w:id="2006319263">
          <w:marLeft w:val="0"/>
          <w:marRight w:val="0"/>
          <w:marTop w:val="0"/>
          <w:marBottom w:val="0"/>
          <w:divBdr>
            <w:top w:val="none" w:sz="0" w:space="0" w:color="auto"/>
            <w:left w:val="none" w:sz="0" w:space="0" w:color="auto"/>
            <w:bottom w:val="none" w:sz="0" w:space="0" w:color="auto"/>
            <w:right w:val="none" w:sz="0" w:space="0" w:color="auto"/>
          </w:divBdr>
        </w:div>
        <w:div w:id="1434937841">
          <w:marLeft w:val="0"/>
          <w:marRight w:val="0"/>
          <w:marTop w:val="0"/>
          <w:marBottom w:val="0"/>
          <w:divBdr>
            <w:top w:val="none" w:sz="0" w:space="0" w:color="auto"/>
            <w:left w:val="none" w:sz="0" w:space="0" w:color="auto"/>
            <w:bottom w:val="none" w:sz="0" w:space="0" w:color="auto"/>
            <w:right w:val="none" w:sz="0" w:space="0" w:color="auto"/>
          </w:divBdr>
        </w:div>
        <w:div w:id="2016153681">
          <w:marLeft w:val="0"/>
          <w:marRight w:val="0"/>
          <w:marTop w:val="0"/>
          <w:marBottom w:val="0"/>
          <w:divBdr>
            <w:top w:val="none" w:sz="0" w:space="0" w:color="auto"/>
            <w:left w:val="none" w:sz="0" w:space="0" w:color="auto"/>
            <w:bottom w:val="none" w:sz="0" w:space="0" w:color="auto"/>
            <w:right w:val="none" w:sz="0" w:space="0" w:color="auto"/>
          </w:divBdr>
        </w:div>
        <w:div w:id="179005433">
          <w:marLeft w:val="0"/>
          <w:marRight w:val="0"/>
          <w:marTop w:val="0"/>
          <w:marBottom w:val="0"/>
          <w:divBdr>
            <w:top w:val="none" w:sz="0" w:space="0" w:color="auto"/>
            <w:left w:val="none" w:sz="0" w:space="0" w:color="auto"/>
            <w:bottom w:val="none" w:sz="0" w:space="0" w:color="auto"/>
            <w:right w:val="none" w:sz="0" w:space="0" w:color="auto"/>
          </w:divBdr>
        </w:div>
        <w:div w:id="1594364727">
          <w:marLeft w:val="0"/>
          <w:marRight w:val="0"/>
          <w:marTop w:val="0"/>
          <w:marBottom w:val="0"/>
          <w:divBdr>
            <w:top w:val="none" w:sz="0" w:space="0" w:color="auto"/>
            <w:left w:val="none" w:sz="0" w:space="0" w:color="auto"/>
            <w:bottom w:val="none" w:sz="0" w:space="0" w:color="auto"/>
            <w:right w:val="none" w:sz="0" w:space="0" w:color="auto"/>
          </w:divBdr>
        </w:div>
      </w:divsChild>
    </w:div>
    <w:div w:id="980113243">
      <w:bodyDiv w:val="1"/>
      <w:marLeft w:val="0"/>
      <w:marRight w:val="0"/>
      <w:marTop w:val="0"/>
      <w:marBottom w:val="0"/>
      <w:divBdr>
        <w:top w:val="none" w:sz="0" w:space="0" w:color="auto"/>
        <w:left w:val="none" w:sz="0" w:space="0" w:color="auto"/>
        <w:bottom w:val="none" w:sz="0" w:space="0" w:color="auto"/>
        <w:right w:val="none" w:sz="0" w:space="0" w:color="auto"/>
      </w:divBdr>
      <w:divsChild>
        <w:div w:id="749541959">
          <w:marLeft w:val="0"/>
          <w:marRight w:val="0"/>
          <w:marTop w:val="0"/>
          <w:marBottom w:val="0"/>
          <w:divBdr>
            <w:top w:val="none" w:sz="0" w:space="0" w:color="auto"/>
            <w:left w:val="none" w:sz="0" w:space="0" w:color="auto"/>
            <w:bottom w:val="none" w:sz="0" w:space="0" w:color="auto"/>
            <w:right w:val="none" w:sz="0" w:space="0" w:color="auto"/>
          </w:divBdr>
          <w:divsChild>
            <w:div w:id="338195358">
              <w:marLeft w:val="0"/>
              <w:marRight w:val="0"/>
              <w:marTop w:val="0"/>
              <w:marBottom w:val="0"/>
              <w:divBdr>
                <w:top w:val="none" w:sz="0" w:space="0" w:color="auto"/>
                <w:left w:val="none" w:sz="0" w:space="0" w:color="auto"/>
                <w:bottom w:val="none" w:sz="0" w:space="0" w:color="auto"/>
                <w:right w:val="none" w:sz="0" w:space="0" w:color="auto"/>
              </w:divBdr>
              <w:divsChild>
                <w:div w:id="1973363835">
                  <w:marLeft w:val="0"/>
                  <w:marRight w:val="0"/>
                  <w:marTop w:val="0"/>
                  <w:marBottom w:val="0"/>
                  <w:divBdr>
                    <w:top w:val="none" w:sz="0" w:space="0" w:color="auto"/>
                    <w:left w:val="none" w:sz="0" w:space="0" w:color="auto"/>
                    <w:bottom w:val="none" w:sz="0" w:space="0" w:color="auto"/>
                    <w:right w:val="none" w:sz="0" w:space="0" w:color="auto"/>
                  </w:divBdr>
                  <w:divsChild>
                    <w:div w:id="1802528725">
                      <w:marLeft w:val="0"/>
                      <w:marRight w:val="0"/>
                      <w:marTop w:val="0"/>
                      <w:marBottom w:val="0"/>
                      <w:divBdr>
                        <w:top w:val="none" w:sz="0" w:space="0" w:color="auto"/>
                        <w:left w:val="none" w:sz="0" w:space="0" w:color="auto"/>
                        <w:bottom w:val="none" w:sz="0" w:space="0" w:color="auto"/>
                        <w:right w:val="none" w:sz="0" w:space="0" w:color="auto"/>
                      </w:divBdr>
                      <w:divsChild>
                        <w:div w:id="513150066">
                          <w:marLeft w:val="300"/>
                          <w:marRight w:val="300"/>
                          <w:marTop w:val="0"/>
                          <w:marBottom w:val="300"/>
                          <w:divBdr>
                            <w:top w:val="none" w:sz="0" w:space="0" w:color="auto"/>
                            <w:left w:val="none" w:sz="0" w:space="0" w:color="auto"/>
                            <w:bottom w:val="none" w:sz="0" w:space="0" w:color="auto"/>
                            <w:right w:val="none" w:sz="0" w:space="0" w:color="auto"/>
                          </w:divBdr>
                          <w:divsChild>
                            <w:div w:id="1195575871">
                              <w:marLeft w:val="0"/>
                              <w:marRight w:val="0"/>
                              <w:marTop w:val="0"/>
                              <w:marBottom w:val="0"/>
                              <w:divBdr>
                                <w:top w:val="none" w:sz="0" w:space="0" w:color="auto"/>
                                <w:left w:val="none" w:sz="0" w:space="0" w:color="auto"/>
                                <w:bottom w:val="none" w:sz="0" w:space="0" w:color="auto"/>
                                <w:right w:val="none" w:sz="0" w:space="0" w:color="auto"/>
                              </w:divBdr>
                              <w:divsChild>
                                <w:div w:id="1745570022">
                                  <w:marLeft w:val="0"/>
                                  <w:marRight w:val="0"/>
                                  <w:marTop w:val="0"/>
                                  <w:marBottom w:val="0"/>
                                  <w:divBdr>
                                    <w:top w:val="none" w:sz="0" w:space="0" w:color="auto"/>
                                    <w:left w:val="none" w:sz="0" w:space="0" w:color="auto"/>
                                    <w:bottom w:val="none" w:sz="0" w:space="0" w:color="auto"/>
                                    <w:right w:val="none" w:sz="0" w:space="0" w:color="auto"/>
                                  </w:divBdr>
                                  <w:divsChild>
                                    <w:div w:id="197181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6829082">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33497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897708">
      <w:bodyDiv w:val="1"/>
      <w:marLeft w:val="0"/>
      <w:marRight w:val="0"/>
      <w:marTop w:val="0"/>
      <w:marBottom w:val="0"/>
      <w:divBdr>
        <w:top w:val="none" w:sz="0" w:space="0" w:color="auto"/>
        <w:left w:val="none" w:sz="0" w:space="0" w:color="auto"/>
        <w:bottom w:val="none" w:sz="0" w:space="0" w:color="auto"/>
        <w:right w:val="none" w:sz="0" w:space="0" w:color="auto"/>
      </w:divBdr>
    </w:div>
    <w:div w:id="1860310079">
      <w:bodyDiv w:val="1"/>
      <w:marLeft w:val="0"/>
      <w:marRight w:val="0"/>
      <w:marTop w:val="0"/>
      <w:marBottom w:val="0"/>
      <w:divBdr>
        <w:top w:val="none" w:sz="0" w:space="0" w:color="auto"/>
        <w:left w:val="none" w:sz="0" w:space="0" w:color="auto"/>
        <w:bottom w:val="none" w:sz="0" w:space="0" w:color="auto"/>
        <w:right w:val="none" w:sz="0" w:space="0" w:color="auto"/>
      </w:divBdr>
      <w:divsChild>
        <w:div w:id="608895330">
          <w:marLeft w:val="0"/>
          <w:marRight w:val="0"/>
          <w:marTop w:val="0"/>
          <w:marBottom w:val="0"/>
          <w:divBdr>
            <w:top w:val="none" w:sz="0" w:space="0" w:color="auto"/>
            <w:left w:val="none" w:sz="0" w:space="0" w:color="auto"/>
            <w:bottom w:val="none" w:sz="0" w:space="0" w:color="auto"/>
            <w:right w:val="none" w:sz="0" w:space="0" w:color="auto"/>
          </w:divBdr>
          <w:divsChild>
            <w:div w:id="1162431297">
              <w:marLeft w:val="0"/>
              <w:marRight w:val="0"/>
              <w:marTop w:val="0"/>
              <w:marBottom w:val="0"/>
              <w:divBdr>
                <w:top w:val="none" w:sz="0" w:space="0" w:color="auto"/>
                <w:left w:val="none" w:sz="0" w:space="0" w:color="auto"/>
                <w:bottom w:val="none" w:sz="0" w:space="0" w:color="auto"/>
                <w:right w:val="none" w:sz="0" w:space="0" w:color="auto"/>
              </w:divBdr>
              <w:divsChild>
                <w:div w:id="221720508">
                  <w:marLeft w:val="0"/>
                  <w:marRight w:val="0"/>
                  <w:marTop w:val="0"/>
                  <w:marBottom w:val="0"/>
                  <w:divBdr>
                    <w:top w:val="none" w:sz="0" w:space="0" w:color="auto"/>
                    <w:left w:val="none" w:sz="0" w:space="0" w:color="auto"/>
                    <w:bottom w:val="none" w:sz="0" w:space="0" w:color="auto"/>
                    <w:right w:val="none" w:sz="0" w:space="0" w:color="auto"/>
                  </w:divBdr>
                  <w:divsChild>
                    <w:div w:id="1331980135">
                      <w:marLeft w:val="0"/>
                      <w:marRight w:val="0"/>
                      <w:marTop w:val="0"/>
                      <w:marBottom w:val="0"/>
                      <w:divBdr>
                        <w:top w:val="none" w:sz="0" w:space="0" w:color="auto"/>
                        <w:left w:val="none" w:sz="0" w:space="0" w:color="auto"/>
                        <w:bottom w:val="none" w:sz="0" w:space="0" w:color="auto"/>
                        <w:right w:val="none" w:sz="0" w:space="0" w:color="auto"/>
                      </w:divBdr>
                      <w:divsChild>
                        <w:div w:id="1667631270">
                          <w:marLeft w:val="300"/>
                          <w:marRight w:val="300"/>
                          <w:marTop w:val="0"/>
                          <w:marBottom w:val="300"/>
                          <w:divBdr>
                            <w:top w:val="none" w:sz="0" w:space="0" w:color="auto"/>
                            <w:left w:val="none" w:sz="0" w:space="0" w:color="auto"/>
                            <w:bottom w:val="none" w:sz="0" w:space="0" w:color="auto"/>
                            <w:right w:val="none" w:sz="0" w:space="0" w:color="auto"/>
                          </w:divBdr>
                          <w:divsChild>
                            <w:div w:id="1855342022">
                              <w:marLeft w:val="0"/>
                              <w:marRight w:val="0"/>
                              <w:marTop w:val="0"/>
                              <w:marBottom w:val="0"/>
                              <w:divBdr>
                                <w:top w:val="none" w:sz="0" w:space="0" w:color="auto"/>
                                <w:left w:val="none" w:sz="0" w:space="0" w:color="auto"/>
                                <w:bottom w:val="none" w:sz="0" w:space="0" w:color="auto"/>
                                <w:right w:val="none" w:sz="0" w:space="0" w:color="auto"/>
                              </w:divBdr>
                              <w:divsChild>
                                <w:div w:id="1266500956">
                                  <w:marLeft w:val="0"/>
                                  <w:marRight w:val="0"/>
                                  <w:marTop w:val="0"/>
                                  <w:marBottom w:val="0"/>
                                  <w:divBdr>
                                    <w:top w:val="none" w:sz="0" w:space="0" w:color="auto"/>
                                    <w:left w:val="none" w:sz="0" w:space="0" w:color="auto"/>
                                    <w:bottom w:val="none" w:sz="0" w:space="0" w:color="auto"/>
                                    <w:right w:val="none" w:sz="0" w:space="0" w:color="auto"/>
                                  </w:divBdr>
                                  <w:divsChild>
                                    <w:div w:id="91501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389916">
      <w:bodyDiv w:val="1"/>
      <w:marLeft w:val="0"/>
      <w:marRight w:val="0"/>
      <w:marTop w:val="0"/>
      <w:marBottom w:val="0"/>
      <w:divBdr>
        <w:top w:val="none" w:sz="0" w:space="0" w:color="auto"/>
        <w:left w:val="none" w:sz="0" w:space="0" w:color="auto"/>
        <w:bottom w:val="none" w:sz="0" w:space="0" w:color="auto"/>
        <w:right w:val="none" w:sz="0" w:space="0" w:color="auto"/>
      </w:divBdr>
    </w:div>
    <w:div w:id="1943099318">
      <w:bodyDiv w:val="1"/>
      <w:marLeft w:val="0"/>
      <w:marRight w:val="0"/>
      <w:marTop w:val="0"/>
      <w:marBottom w:val="0"/>
      <w:divBdr>
        <w:top w:val="none" w:sz="0" w:space="0" w:color="auto"/>
        <w:left w:val="none" w:sz="0" w:space="0" w:color="auto"/>
        <w:bottom w:val="none" w:sz="0" w:space="0" w:color="auto"/>
        <w:right w:val="none" w:sz="0" w:space="0" w:color="auto"/>
      </w:divBdr>
      <w:divsChild>
        <w:div w:id="324280374">
          <w:marLeft w:val="0"/>
          <w:marRight w:val="0"/>
          <w:marTop w:val="150"/>
          <w:marBottom w:val="0"/>
          <w:divBdr>
            <w:top w:val="none" w:sz="0" w:space="0" w:color="auto"/>
            <w:left w:val="none" w:sz="0" w:space="0" w:color="auto"/>
            <w:bottom w:val="none" w:sz="0" w:space="0" w:color="auto"/>
            <w:right w:val="none" w:sz="0" w:space="0" w:color="auto"/>
          </w:divBdr>
        </w:div>
        <w:div w:id="963191620">
          <w:marLeft w:val="0"/>
          <w:marRight w:val="0"/>
          <w:marTop w:val="0"/>
          <w:marBottom w:val="15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8683217">
      <w:bodyDiv w:val="1"/>
      <w:marLeft w:val="0"/>
      <w:marRight w:val="0"/>
      <w:marTop w:val="0"/>
      <w:marBottom w:val="0"/>
      <w:divBdr>
        <w:top w:val="none" w:sz="0" w:space="0" w:color="auto"/>
        <w:left w:val="none" w:sz="0" w:space="0" w:color="auto"/>
        <w:bottom w:val="none" w:sz="0" w:space="0" w:color="auto"/>
        <w:right w:val="none" w:sz="0" w:space="0" w:color="auto"/>
      </w:divBdr>
      <w:divsChild>
        <w:div w:id="2064717564">
          <w:marLeft w:val="0"/>
          <w:marRight w:val="0"/>
          <w:marTop w:val="150"/>
          <w:marBottom w:val="0"/>
          <w:divBdr>
            <w:top w:val="none" w:sz="0" w:space="0" w:color="auto"/>
            <w:left w:val="none" w:sz="0" w:space="0" w:color="auto"/>
            <w:bottom w:val="none" w:sz="0" w:space="0" w:color="auto"/>
            <w:right w:val="none" w:sz="0" w:space="0" w:color="auto"/>
          </w:divBdr>
        </w:div>
        <w:div w:id="1430660428">
          <w:marLeft w:val="0"/>
          <w:marRight w:val="0"/>
          <w:marTop w:val="0"/>
          <w:marBottom w:val="15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olicinginstitute.org/publication/evidence-based-policing/" TargetMode="Externa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report-it.org.uk/files/ipcc_report-fiona-pilkington-leicestershire.pdf" TargetMode="External"/><Relationship Id="rId2" Type="http://schemas.openxmlformats.org/officeDocument/2006/relationships/customXml" Target="../customXml/item2.xml"/><Relationship Id="rId16" Type="http://schemas.openxmlformats.org/officeDocument/2006/relationships/hyperlink" Target="https://doi.org/10.1891/0886-6708.8.2.10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8565</TotalTime>
  <Pages>22</Pages>
  <Words>6469</Words>
  <Characters>37244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Leeke,Ryan swp8543</cp:lastModifiedBy>
  <cp:revision>37</cp:revision>
  <cp:lastPrinted>2014-08-26T08:55:00Z</cp:lastPrinted>
  <dcterms:created xsi:type="dcterms:W3CDTF">2024-07-24T18:17:00Z</dcterms:created>
  <dcterms:modified xsi:type="dcterms:W3CDTF">2024-08-09T07:16:00Z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2024-04-07T22:50:08Z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6940006a-49da-4074-a6b4-3f8ab8cfffe6</vt:lpwstr>
  </property>
  <property fmtid="{D5CDD505-2E9C-101B-9397-08002B2CF9AE}" pid="9" name="MSIP_Label_66cf8fe5-b7b7-4df7-b38d-1c61ac2f6639_ContentBits">
    <vt:lpwstr>0</vt:lpwstr>
  </property>
</Properties>
</file>