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4B909885" w14:textId="21E87D0F" w:rsidR="003540F9" w:rsidRPr="004F7DBB" w:rsidRDefault="006A0975" w:rsidP="00C356D9">
      <w:pPr>
        <w:keepNext/>
        <w:keepLines/>
        <w:spacing w:line="360" w:lineRule="auto"/>
        <w:jc w:val="center"/>
        <w:rPr>
          <w:rFonts w:ascii="Times New Roman" w:eastAsia="Times New Roman" w:hAnsi="Times New Roman" w:cs="Times New Roman"/>
          <w:b/>
          <w:bCs/>
          <w:sz w:val="40"/>
          <w:szCs w:val="40"/>
          <w:lang w:val="en-GB"/>
        </w:rPr>
      </w:pPr>
      <w:r w:rsidRPr="006A0975">
        <w:rPr>
          <w:rFonts w:ascii="Segoe UI" w:eastAsia="Times New Roman" w:hAnsi="Segoe UI" w:cs="Segoe UI"/>
          <w:noProof/>
          <w:color w:val="000000"/>
          <w:sz w:val="18"/>
          <w:szCs w:val="18"/>
          <w:lang w:val="en-GB"/>
        </w:rPr>
        <w:drawing>
          <wp:anchor distT="0" distB="0" distL="114300" distR="114300" simplePos="0" relativeHeight="251659264" behindDoc="0" locked="0" layoutInCell="1" allowOverlap="1" wp14:anchorId="630DE3F2" wp14:editId="466CDF4F">
            <wp:simplePos x="0" y="0"/>
            <wp:positionH relativeFrom="column">
              <wp:posOffset>-419100</wp:posOffset>
            </wp:positionH>
            <wp:positionV relativeFrom="paragraph">
              <wp:posOffset>0</wp:posOffset>
            </wp:positionV>
            <wp:extent cx="2114550" cy="893445"/>
            <wp:effectExtent l="0" t="0" r="6350" b="0"/>
            <wp:wrapTopAndBottom/>
            <wp:docPr id="13775949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8934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540F9" w:rsidRPr="004F7DBB">
        <w:rPr>
          <w:rFonts w:ascii="Times New Roman" w:eastAsia="Times New Roman" w:hAnsi="Times New Roman" w:cs="Times New Roman"/>
          <w:b/>
          <w:bCs/>
          <w:sz w:val="40"/>
          <w:szCs w:val="40"/>
          <w:lang w:val="en-GB"/>
        </w:rPr>
        <w:t>BMHP50</w:t>
      </w:r>
      <w:r w:rsidR="00D765CA" w:rsidRPr="004F7DBB">
        <w:rPr>
          <w:rFonts w:ascii="Times New Roman" w:eastAsia="Times New Roman" w:hAnsi="Times New Roman" w:cs="Times New Roman"/>
          <w:b/>
          <w:bCs/>
          <w:sz w:val="40"/>
          <w:szCs w:val="40"/>
          <w:lang w:val="en-GB"/>
        </w:rPr>
        <w:t>21</w:t>
      </w:r>
    </w:p>
    <w:p w14:paraId="3405A788" w14:textId="77777777" w:rsidR="00E860A9" w:rsidRPr="004F7DBB" w:rsidRDefault="00E860A9" w:rsidP="00C356D9">
      <w:pPr>
        <w:pStyle w:val="p1"/>
        <w:jc w:val="center"/>
        <w:rPr>
          <w:rFonts w:ascii="Times New Roman" w:hAnsi="Times New Roman" w:cs="Times New Roman"/>
          <w:sz w:val="40"/>
          <w:szCs w:val="40"/>
        </w:rPr>
      </w:pPr>
      <w:bookmarkStart w:id="0" w:name="_c34ejlbigxpx" w:colFirst="0" w:colLast="0"/>
      <w:bookmarkStart w:id="1" w:name="_je3l1rfpy60c" w:colFirst="0" w:colLast="0"/>
      <w:bookmarkEnd w:id="0"/>
      <w:bookmarkEnd w:id="1"/>
      <w:r w:rsidRPr="004F7DBB">
        <w:rPr>
          <w:rStyle w:val="s1"/>
          <w:rFonts w:ascii="Times New Roman" w:hAnsi="Times New Roman" w:cs="Times New Roman"/>
          <w:sz w:val="40"/>
          <w:szCs w:val="40"/>
        </w:rPr>
        <w:t>Protecting and Supporting Families in Health and Care</w:t>
      </w:r>
    </w:p>
    <w:p w14:paraId="50C9ABEF" w14:textId="77777777" w:rsidR="003540F9" w:rsidRPr="004F7DBB" w:rsidRDefault="003540F9" w:rsidP="00C356D9">
      <w:pPr>
        <w:keepNext/>
        <w:keepLines/>
        <w:spacing w:line="360" w:lineRule="auto"/>
        <w:jc w:val="center"/>
        <w:rPr>
          <w:rFonts w:ascii="Times New Roman" w:eastAsia="Times New Roman" w:hAnsi="Times New Roman" w:cs="Times New Roman"/>
          <w:b/>
          <w:bCs/>
          <w:sz w:val="40"/>
          <w:szCs w:val="40"/>
          <w:lang w:val="en-GB"/>
        </w:rPr>
      </w:pPr>
      <w:r w:rsidRPr="004F7DBB">
        <w:rPr>
          <w:rFonts w:ascii="Times New Roman" w:eastAsia="Times New Roman" w:hAnsi="Times New Roman" w:cs="Times New Roman"/>
          <w:b/>
          <w:bCs/>
          <w:sz w:val="40"/>
          <w:szCs w:val="40"/>
          <w:lang w:val="en-GB"/>
        </w:rPr>
        <w:t>Component 1</w:t>
      </w:r>
    </w:p>
    <w:p w14:paraId="1D25AA7F" w14:textId="33BB139D" w:rsidR="0092351B" w:rsidRPr="004F7DBB" w:rsidRDefault="0092351B" w:rsidP="00C356D9">
      <w:pPr>
        <w:pStyle w:val="p1"/>
        <w:jc w:val="center"/>
        <w:rPr>
          <w:rFonts w:ascii="Times New Roman" w:hAnsi="Times New Roman" w:cs="Times New Roman"/>
          <w:sz w:val="40"/>
          <w:szCs w:val="40"/>
        </w:rPr>
      </w:pPr>
      <w:r w:rsidRPr="004F7DBB">
        <w:rPr>
          <w:rStyle w:val="s1"/>
          <w:rFonts w:ascii="Times New Roman" w:hAnsi="Times New Roman" w:cs="Times New Roman"/>
          <w:sz w:val="40"/>
          <w:szCs w:val="40"/>
        </w:rPr>
        <w:t>Individual reference list</w:t>
      </w:r>
    </w:p>
    <w:p w14:paraId="1E32D313" w14:textId="77777777" w:rsidR="003540F9" w:rsidRPr="004F7DBB" w:rsidRDefault="003540F9" w:rsidP="00C356D9">
      <w:pPr>
        <w:spacing w:after="160" w:line="360" w:lineRule="auto"/>
        <w:jc w:val="center"/>
        <w:rPr>
          <w:rFonts w:ascii="Times New Roman" w:eastAsia="Aptos" w:hAnsi="Times New Roman" w:cs="Times New Roman"/>
          <w:b/>
          <w:bCs/>
          <w:color w:val="1D2125"/>
          <w:kern w:val="2"/>
          <w:sz w:val="40"/>
          <w:szCs w:val="40"/>
          <w:lang w:val="en-GB" w:eastAsia="en-US"/>
        </w:rPr>
      </w:pPr>
    </w:p>
    <w:p w14:paraId="1ED84A89" w14:textId="12BACD53" w:rsidR="003540F9" w:rsidRPr="004F7DBB" w:rsidRDefault="003540F9" w:rsidP="00C356D9">
      <w:pPr>
        <w:spacing w:after="160" w:line="360" w:lineRule="auto"/>
        <w:jc w:val="center"/>
        <w:rPr>
          <w:rFonts w:ascii="Times New Roman" w:eastAsia="Aptos" w:hAnsi="Times New Roman" w:cs="Times New Roman"/>
          <w:b/>
          <w:bCs/>
          <w:color w:val="1D2125"/>
          <w:kern w:val="2"/>
          <w:sz w:val="40"/>
          <w:szCs w:val="40"/>
          <w:lang w:val="en-GB" w:eastAsia="en-US"/>
        </w:rPr>
      </w:pPr>
      <w:r w:rsidRPr="004F7DBB">
        <w:rPr>
          <w:rFonts w:ascii="Times New Roman" w:eastAsia="Aptos" w:hAnsi="Times New Roman" w:cs="Times New Roman"/>
          <w:b/>
          <w:bCs/>
          <w:color w:val="1D2125"/>
          <w:kern w:val="2"/>
          <w:sz w:val="40"/>
          <w:szCs w:val="40"/>
          <w:lang w:val="en-GB" w:eastAsia="en-US"/>
        </w:rPr>
        <w:t xml:space="preserve">Student name: </w:t>
      </w:r>
      <w:proofErr w:type="spellStart"/>
      <w:r w:rsidRPr="004F7DBB">
        <w:rPr>
          <w:rFonts w:ascii="Times New Roman" w:eastAsia="Aptos" w:hAnsi="Times New Roman" w:cs="Times New Roman"/>
          <w:b/>
          <w:bCs/>
          <w:color w:val="1D2125"/>
          <w:kern w:val="2"/>
          <w:sz w:val="40"/>
          <w:szCs w:val="40"/>
          <w:lang w:val="en-GB" w:eastAsia="en-US"/>
        </w:rPr>
        <w:t>Nicoleta-Gianina</w:t>
      </w:r>
      <w:proofErr w:type="spellEnd"/>
      <w:r w:rsidRPr="004F7DBB">
        <w:rPr>
          <w:rFonts w:ascii="Times New Roman" w:eastAsia="Aptos" w:hAnsi="Times New Roman" w:cs="Times New Roman"/>
          <w:b/>
          <w:bCs/>
          <w:color w:val="1D2125"/>
          <w:kern w:val="2"/>
          <w:sz w:val="40"/>
          <w:szCs w:val="40"/>
          <w:lang w:val="en-GB" w:eastAsia="en-US"/>
        </w:rPr>
        <w:t xml:space="preserve"> </w:t>
      </w:r>
      <w:proofErr w:type="spellStart"/>
      <w:r w:rsidRPr="004F7DBB">
        <w:rPr>
          <w:rFonts w:ascii="Times New Roman" w:eastAsia="Aptos" w:hAnsi="Times New Roman" w:cs="Times New Roman"/>
          <w:b/>
          <w:bCs/>
          <w:color w:val="1D2125"/>
          <w:kern w:val="2"/>
          <w:sz w:val="40"/>
          <w:szCs w:val="40"/>
          <w:lang w:val="en-GB" w:eastAsia="en-US"/>
        </w:rPr>
        <w:t>Abiaboeru</w:t>
      </w:r>
      <w:proofErr w:type="spellEnd"/>
    </w:p>
    <w:p w14:paraId="6AB019F2" w14:textId="77777777" w:rsidR="003540F9" w:rsidRPr="004F7DBB" w:rsidRDefault="003540F9" w:rsidP="00C356D9">
      <w:pPr>
        <w:spacing w:after="160" w:line="360" w:lineRule="auto"/>
        <w:jc w:val="center"/>
        <w:rPr>
          <w:rFonts w:ascii="Times New Roman" w:eastAsia="Aptos" w:hAnsi="Times New Roman" w:cs="Times New Roman"/>
          <w:b/>
          <w:bCs/>
          <w:color w:val="1D2125"/>
          <w:kern w:val="2"/>
          <w:sz w:val="40"/>
          <w:szCs w:val="40"/>
          <w:lang w:val="en-GB" w:eastAsia="en-US"/>
        </w:rPr>
      </w:pPr>
      <w:r w:rsidRPr="004F7DBB">
        <w:rPr>
          <w:rFonts w:ascii="Times New Roman" w:eastAsia="Aptos" w:hAnsi="Times New Roman" w:cs="Times New Roman"/>
          <w:b/>
          <w:bCs/>
          <w:color w:val="1D2125"/>
          <w:kern w:val="2"/>
          <w:sz w:val="40"/>
          <w:szCs w:val="40"/>
          <w:lang w:val="en-GB" w:eastAsia="en-US"/>
        </w:rPr>
        <w:t>Student number: 2527024</w:t>
      </w:r>
    </w:p>
    <w:p w14:paraId="17B4EEE7" w14:textId="77777777" w:rsidR="00753FDE" w:rsidRPr="004F7DBB" w:rsidRDefault="003540F9" w:rsidP="00C356D9">
      <w:pPr>
        <w:pStyle w:val="p1"/>
        <w:jc w:val="center"/>
        <w:rPr>
          <w:rFonts w:ascii="Times New Roman" w:hAnsi="Times New Roman" w:cs="Times New Roman"/>
          <w:sz w:val="40"/>
          <w:szCs w:val="40"/>
        </w:rPr>
      </w:pPr>
      <w:r w:rsidRPr="004F7DBB">
        <w:rPr>
          <w:rFonts w:ascii="Times New Roman" w:eastAsia="Aptos" w:hAnsi="Times New Roman" w:cs="Times New Roman"/>
          <w:b/>
          <w:bCs/>
          <w:color w:val="1D2125"/>
          <w:kern w:val="2"/>
          <w:sz w:val="40"/>
          <w:szCs w:val="40"/>
          <w:lang w:eastAsia="en-US"/>
        </w:rPr>
        <w:t xml:space="preserve">Lecturer’s name: </w:t>
      </w:r>
      <w:r w:rsidR="00753FDE" w:rsidRPr="004F7DBB">
        <w:rPr>
          <w:rStyle w:val="s1"/>
          <w:rFonts w:ascii="Times New Roman" w:hAnsi="Times New Roman" w:cs="Times New Roman"/>
          <w:sz w:val="40"/>
          <w:szCs w:val="40"/>
        </w:rPr>
        <w:t>Shaila Hussain</w:t>
      </w:r>
    </w:p>
    <w:p w14:paraId="00E05141" w14:textId="133DDD20" w:rsidR="003540F9" w:rsidRPr="004F7DBB" w:rsidRDefault="003540F9" w:rsidP="00C356D9">
      <w:pPr>
        <w:spacing w:after="160" w:line="360" w:lineRule="auto"/>
        <w:jc w:val="center"/>
        <w:rPr>
          <w:rFonts w:ascii="Times New Roman" w:eastAsia="Times New Roman" w:hAnsi="Times New Roman" w:cs="Times New Roman"/>
          <w:b/>
          <w:bCs/>
          <w:color w:val="1D2125"/>
          <w:sz w:val="40"/>
          <w:szCs w:val="40"/>
          <w:shd w:val="clear" w:color="auto" w:fill="FFFFFF"/>
          <w:lang w:val="en-GB"/>
        </w:rPr>
      </w:pPr>
    </w:p>
    <w:p w14:paraId="67D798A8" w14:textId="77777777" w:rsidR="003540F9" w:rsidRDefault="003540F9" w:rsidP="003540F9">
      <w:pPr>
        <w:spacing w:after="160" w:line="360" w:lineRule="auto"/>
        <w:rPr>
          <w:rFonts w:ascii="Times New Roman" w:eastAsia="Times New Roman" w:hAnsi="Times New Roman" w:cs="Times New Roman"/>
          <w:b/>
          <w:bCs/>
          <w:color w:val="1D2125"/>
          <w:sz w:val="40"/>
          <w:szCs w:val="40"/>
          <w:shd w:val="clear" w:color="auto" w:fill="FFFFFF"/>
          <w:lang w:val="en-GB"/>
        </w:rPr>
      </w:pPr>
    </w:p>
    <w:p w14:paraId="3DFB2227" w14:textId="77777777" w:rsidR="003540F9" w:rsidRDefault="003540F9" w:rsidP="003540F9">
      <w:pPr>
        <w:spacing w:after="160" w:line="360" w:lineRule="auto"/>
        <w:rPr>
          <w:rFonts w:ascii="Times New Roman" w:eastAsia="Times New Roman" w:hAnsi="Times New Roman" w:cs="Times New Roman"/>
          <w:b/>
          <w:bCs/>
          <w:color w:val="1D2125"/>
          <w:sz w:val="40"/>
          <w:szCs w:val="40"/>
          <w:shd w:val="clear" w:color="auto" w:fill="FFFFFF"/>
          <w:lang w:val="en-GB"/>
        </w:rPr>
      </w:pPr>
    </w:p>
    <w:p w14:paraId="24020323" w14:textId="77777777" w:rsidR="003540F9" w:rsidRDefault="003540F9" w:rsidP="003540F9">
      <w:pPr>
        <w:spacing w:after="160" w:line="360" w:lineRule="auto"/>
        <w:rPr>
          <w:rFonts w:ascii="Times New Roman" w:eastAsia="Times New Roman" w:hAnsi="Times New Roman" w:cs="Times New Roman"/>
          <w:b/>
          <w:bCs/>
          <w:color w:val="1D2125"/>
          <w:sz w:val="40"/>
          <w:szCs w:val="40"/>
          <w:shd w:val="clear" w:color="auto" w:fill="FFFFFF"/>
          <w:lang w:val="en-GB"/>
        </w:rPr>
      </w:pPr>
    </w:p>
    <w:p w14:paraId="1E1057C5" w14:textId="77777777" w:rsidR="003540F9" w:rsidRDefault="003540F9" w:rsidP="003540F9">
      <w:pPr>
        <w:spacing w:after="160" w:line="360" w:lineRule="auto"/>
        <w:rPr>
          <w:rFonts w:ascii="Times New Roman" w:eastAsia="Times New Roman" w:hAnsi="Times New Roman" w:cs="Times New Roman"/>
          <w:b/>
          <w:bCs/>
          <w:color w:val="1D2125"/>
          <w:sz w:val="40"/>
          <w:szCs w:val="40"/>
          <w:shd w:val="clear" w:color="auto" w:fill="FFFFFF"/>
          <w:lang w:val="en-GB"/>
        </w:rPr>
      </w:pPr>
    </w:p>
    <w:p w14:paraId="55151732" w14:textId="77777777" w:rsidR="003540F9" w:rsidRDefault="003540F9" w:rsidP="003540F9">
      <w:pPr>
        <w:spacing w:after="160" w:line="360" w:lineRule="auto"/>
        <w:rPr>
          <w:rFonts w:ascii="Times New Roman" w:eastAsia="Times New Roman" w:hAnsi="Times New Roman" w:cs="Times New Roman"/>
          <w:b/>
          <w:bCs/>
          <w:color w:val="1D2125"/>
          <w:sz w:val="40"/>
          <w:szCs w:val="40"/>
          <w:shd w:val="clear" w:color="auto" w:fill="FFFFFF"/>
          <w:lang w:val="en-GB"/>
        </w:rPr>
      </w:pPr>
    </w:p>
    <w:p w14:paraId="030A5100" w14:textId="77777777" w:rsidR="003540F9" w:rsidRDefault="003540F9" w:rsidP="003540F9">
      <w:pPr>
        <w:spacing w:after="160" w:line="360" w:lineRule="auto"/>
        <w:rPr>
          <w:rFonts w:ascii="Times New Roman" w:eastAsia="Times New Roman" w:hAnsi="Times New Roman" w:cs="Times New Roman"/>
          <w:b/>
          <w:bCs/>
          <w:color w:val="1D2125"/>
          <w:sz w:val="40"/>
          <w:szCs w:val="40"/>
          <w:shd w:val="clear" w:color="auto" w:fill="FFFFFF"/>
          <w:lang w:val="en-GB"/>
        </w:rPr>
      </w:pPr>
    </w:p>
    <w:p w14:paraId="3FBF0ACF" w14:textId="77777777" w:rsidR="003540F9" w:rsidRPr="003540F9" w:rsidRDefault="003540F9" w:rsidP="003540F9">
      <w:pPr>
        <w:spacing w:after="160" w:line="360" w:lineRule="auto"/>
        <w:rPr>
          <w:rFonts w:ascii="Times New Roman" w:eastAsia="Aptos" w:hAnsi="Times New Roman" w:cs="Times New Roman"/>
          <w:b/>
          <w:bCs/>
          <w:color w:val="1D2125"/>
          <w:kern w:val="2"/>
          <w:sz w:val="40"/>
          <w:szCs w:val="40"/>
          <w:lang w:val="en-GB" w:eastAsia="en-US"/>
        </w:rPr>
      </w:pPr>
    </w:p>
    <w:p w14:paraId="3899D326" w14:textId="77777777" w:rsidR="003540F9" w:rsidRPr="003540F9" w:rsidRDefault="003540F9" w:rsidP="003540F9">
      <w:pPr>
        <w:spacing w:after="160" w:line="360" w:lineRule="auto"/>
        <w:rPr>
          <w:rFonts w:ascii="Times New Roman" w:eastAsia="Aptos" w:hAnsi="Times New Roman" w:cs="Times New Roman"/>
          <w:kern w:val="2"/>
          <w:sz w:val="40"/>
          <w:szCs w:val="40"/>
          <w:lang w:val="en-GB" w:eastAsia="en-US"/>
        </w:rPr>
      </w:pPr>
    </w:p>
    <w:p w14:paraId="0000000E" w14:textId="77777777" w:rsidR="009B73F5" w:rsidRDefault="00000000">
      <w:pPr>
        <w:pStyle w:val="Heading3"/>
        <w:keepNext w:val="0"/>
        <w:keepLines w:val="0"/>
        <w:spacing w:before="280" w:line="360" w:lineRule="auto"/>
        <w:ind w:right="600"/>
        <w:jc w:val="both"/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</w:rPr>
        <w:t>Reference List</w:t>
      </w:r>
    </w:p>
    <w:p w14:paraId="0000000F" w14:textId="77777777" w:rsidR="009B73F5" w:rsidRDefault="00000000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Children Act 1989 (c.41). London: HMSO.</w:t>
      </w:r>
    </w:p>
    <w:p w14:paraId="00000010" w14:textId="77777777" w:rsidR="009B73F5" w:rsidRDefault="00000000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Children Act 2004 (c.31). London: HMSO.</w:t>
      </w:r>
    </w:p>
    <w:p w14:paraId="00000011" w14:textId="77777777" w:rsidR="009B73F5" w:rsidRDefault="00000000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Dalton, L.,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Rapa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E.,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Ziebland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S.,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Rochat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T., Kelly, B.,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Hanington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L., Richter, L., et al. (2019) 'Communication with children and adolescents about the diagnosis of a life-threatening condition in their parent', </w:t>
      </w:r>
      <w:r>
        <w:rPr>
          <w:rFonts w:ascii="Times New Roman" w:eastAsia="Times New Roman" w:hAnsi="Times New Roman" w:cs="Times New Roman"/>
          <w:i/>
          <w:iCs/>
          <w:sz w:val="24"/>
          <w:szCs w:val="24"/>
        </w:rPr>
        <w:t>The Lancet</w:t>
      </w:r>
      <w:r>
        <w:rPr>
          <w:rFonts w:ascii="Times New Roman" w:eastAsia="Times New Roman" w:hAnsi="Times New Roman" w:cs="Times New Roman"/>
          <w:sz w:val="24"/>
          <w:szCs w:val="24"/>
        </w:rPr>
        <w:t>, 393(10176), pp. 1164–1176.</w:t>
      </w:r>
    </w:p>
    <w:p w14:paraId="00000012" w14:textId="77777777" w:rsidR="009B73F5" w:rsidRDefault="00000000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Davis, J., Marsh, N. and Holmes, D. (2022) </w:t>
      </w:r>
      <w:r>
        <w:rPr>
          <w:rFonts w:ascii="Times New Roman" w:eastAsia="Times New Roman" w:hAnsi="Times New Roman" w:cs="Times New Roman"/>
          <w:i/>
          <w:iCs/>
          <w:sz w:val="24"/>
          <w:szCs w:val="24"/>
        </w:rPr>
        <w:t>Safeguarding young people: Risk, rights, resilience and relationships</w:t>
      </w:r>
      <w:r>
        <w:rPr>
          <w:rFonts w:ascii="Times New Roman" w:eastAsia="Times New Roman" w:hAnsi="Times New Roman" w:cs="Times New Roman"/>
          <w:sz w:val="24"/>
          <w:szCs w:val="24"/>
        </w:rPr>
        <w:t>. pp. 111–128.</w:t>
      </w:r>
    </w:p>
    <w:p w14:paraId="00000013" w14:textId="77777777" w:rsidR="009B73F5" w:rsidRDefault="00000000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Department for Education (2023) </w:t>
      </w:r>
      <w:r>
        <w:rPr>
          <w:rFonts w:ascii="Times New Roman" w:eastAsia="Times New Roman" w:hAnsi="Times New Roman" w:cs="Times New Roman"/>
          <w:i/>
          <w:iCs/>
          <w:sz w:val="24"/>
          <w:szCs w:val="24"/>
        </w:rPr>
        <w:t>Working Together to Safeguard Children: A guide to inter-agency working</w:t>
      </w:r>
      <w:r>
        <w:rPr>
          <w:rFonts w:ascii="Times New Roman" w:eastAsia="Times New Roman" w:hAnsi="Times New Roman" w:cs="Times New Roman"/>
          <w:sz w:val="24"/>
          <w:szCs w:val="24"/>
        </w:rPr>
        <w:t>. London: Department for Education. Available at:</w:t>
      </w:r>
      <w:hyperlink r:id="rId5">
        <w:r w:rsidR="009B73F5">
          <w:rPr>
            <w:rFonts w:ascii="Times New Roman" w:eastAsia="Times New Roman" w:hAnsi="Times New Roman" w:cs="Times New Roman"/>
            <w:sz w:val="24"/>
            <w:szCs w:val="24"/>
          </w:rPr>
          <w:t xml:space="preserve"> </w:t>
        </w:r>
      </w:hyperlink>
      <w:hyperlink r:id="rId6">
        <w:r w:rsidR="009B73F5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</w:rPr>
          <w:t>https://www.gov.uk/government/publications/working-together-to-safeguard-children--2</w:t>
        </w:r>
      </w:hyperlink>
      <w:r>
        <w:rPr>
          <w:rFonts w:ascii="Times New Roman" w:eastAsia="Times New Roman" w:hAnsi="Times New Roman" w:cs="Times New Roman"/>
          <w:sz w:val="24"/>
          <w:szCs w:val="24"/>
        </w:rPr>
        <w:t xml:space="preserve"> (Accessed: 2 July 2026).</w:t>
      </w:r>
    </w:p>
    <w:p w14:paraId="00000014" w14:textId="77777777" w:rsidR="009B73F5" w:rsidRDefault="00000000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Duinkerken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E.,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Snoek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F.J. and de Wit, M. (2020) 'The cognitive and psychological effects of living with type 1 diabetes: A narrative review', </w:t>
      </w:r>
      <w:r>
        <w:rPr>
          <w:rFonts w:ascii="Times New Roman" w:eastAsia="Times New Roman" w:hAnsi="Times New Roman" w:cs="Times New Roman"/>
          <w:i/>
          <w:iCs/>
          <w:sz w:val="24"/>
          <w:szCs w:val="24"/>
        </w:rPr>
        <w:t>Diabetic Medicine</w:t>
      </w:r>
      <w:r>
        <w:rPr>
          <w:rFonts w:ascii="Times New Roman" w:eastAsia="Times New Roman" w:hAnsi="Times New Roman" w:cs="Times New Roman"/>
          <w:sz w:val="24"/>
          <w:szCs w:val="24"/>
        </w:rPr>
        <w:t>, 37(4), pp. 555–563.</w:t>
      </w:r>
    </w:p>
    <w:p w14:paraId="00000015" w14:textId="77777777" w:rsidR="009B73F5" w:rsidRDefault="00000000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Guedj-Bourdiau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M.J.,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Guilé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J.M.,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Garny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de la Rivière, S., Pace, U., Cohen, D. and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Benarous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X. (2021) 'Unmet needs and classical pitfalls in the management of adolescents with behavioral problems in emergency', </w:t>
      </w:r>
      <w:r>
        <w:rPr>
          <w:rFonts w:ascii="Times New Roman" w:eastAsia="Times New Roman" w:hAnsi="Times New Roman" w:cs="Times New Roman"/>
          <w:i/>
          <w:iCs/>
          <w:sz w:val="24"/>
          <w:szCs w:val="24"/>
        </w:rPr>
        <w:t>Frontiers in Psychiatry</w:t>
      </w:r>
      <w:r>
        <w:rPr>
          <w:rFonts w:ascii="Times New Roman" w:eastAsia="Times New Roman" w:hAnsi="Times New Roman" w:cs="Times New Roman"/>
          <w:sz w:val="24"/>
          <w:szCs w:val="24"/>
        </w:rPr>
        <w:t>, 12, 527569.</w:t>
      </w:r>
    </w:p>
    <w:p w14:paraId="00000016" w14:textId="4AA40EF6" w:rsidR="009B73F5" w:rsidRDefault="00000000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National Institute for Health and Care Excellence (2015, updated 2023) </w:t>
      </w:r>
      <w:r>
        <w:rPr>
          <w:rFonts w:ascii="Times New Roman" w:eastAsia="Times New Roman" w:hAnsi="Times New Roman" w:cs="Times New Roman"/>
          <w:i/>
          <w:iCs/>
          <w:sz w:val="24"/>
          <w:szCs w:val="24"/>
        </w:rPr>
        <w:t>Diabetes (type 1 and type 2) in children and young people: Diagnosis and management (NG18)</w:t>
      </w:r>
      <w:r>
        <w:rPr>
          <w:rFonts w:ascii="Times New Roman" w:eastAsia="Times New Roman" w:hAnsi="Times New Roman" w:cs="Times New Roman"/>
          <w:sz w:val="24"/>
          <w:szCs w:val="24"/>
        </w:rPr>
        <w:t>. London: NICE. Available at:</w:t>
      </w:r>
      <w:hyperlink r:id="rId7">
        <w:r w:rsidR="009B73F5">
          <w:rPr>
            <w:rFonts w:ascii="Times New Roman" w:eastAsia="Times New Roman" w:hAnsi="Times New Roman" w:cs="Times New Roman"/>
            <w:sz w:val="24"/>
            <w:szCs w:val="24"/>
          </w:rPr>
          <w:t xml:space="preserve"> </w:t>
        </w:r>
      </w:hyperlink>
      <w:hyperlink r:id="rId8">
        <w:r w:rsidR="009B73F5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</w:rPr>
          <w:t>https://www.nice.org.uk/guidance/ng18</w:t>
        </w:r>
      </w:hyperlink>
      <w:r>
        <w:rPr>
          <w:rFonts w:ascii="Times New Roman" w:eastAsia="Times New Roman" w:hAnsi="Times New Roman" w:cs="Times New Roman"/>
          <w:sz w:val="24"/>
          <w:szCs w:val="24"/>
        </w:rPr>
        <w:t xml:space="preserve"> (Accessed: </w:t>
      </w:r>
      <w:r w:rsidR="00476566">
        <w:rPr>
          <w:rFonts w:ascii="Times New Roman" w:eastAsia="Times New Roman" w:hAnsi="Times New Roman" w:cs="Times New Roman"/>
          <w:sz w:val="24"/>
          <w:szCs w:val="24"/>
        </w:rPr>
        <w:t>4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July 2026).</w:t>
      </w:r>
    </w:p>
    <w:p w14:paraId="00000017" w14:textId="77777777" w:rsidR="009B73F5" w:rsidRDefault="00000000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Veale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D., Robins, E., Thomson, A.B. and Gilbert, P. (2023) 'No safety without emotional safety', </w:t>
      </w:r>
      <w:r>
        <w:rPr>
          <w:rFonts w:ascii="Times New Roman" w:eastAsia="Times New Roman" w:hAnsi="Times New Roman" w:cs="Times New Roman"/>
          <w:i/>
          <w:iCs/>
          <w:sz w:val="24"/>
          <w:szCs w:val="24"/>
        </w:rPr>
        <w:t>The Lancet Psychiatry</w:t>
      </w:r>
      <w:r>
        <w:rPr>
          <w:rFonts w:ascii="Times New Roman" w:eastAsia="Times New Roman" w:hAnsi="Times New Roman" w:cs="Times New Roman"/>
          <w:sz w:val="24"/>
          <w:szCs w:val="24"/>
        </w:rPr>
        <w:t>, 10(1), pp. 65–70.</w:t>
      </w:r>
    </w:p>
    <w:p w14:paraId="00000018" w14:textId="77777777" w:rsidR="009B73F5" w:rsidRDefault="00000000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Yang, Y. and Hayes, J.A. (2020) 'Causes and consequences of burnout among mental health professionals: A practice-oriented review of recent empirical literature', </w:t>
      </w:r>
      <w:r>
        <w:rPr>
          <w:rFonts w:ascii="Times New Roman" w:eastAsia="Times New Roman" w:hAnsi="Times New Roman" w:cs="Times New Roman"/>
          <w:i/>
          <w:iCs/>
          <w:sz w:val="24"/>
          <w:szCs w:val="24"/>
        </w:rPr>
        <w:t>Psychotherapy</w:t>
      </w:r>
      <w:r>
        <w:rPr>
          <w:rFonts w:ascii="Times New Roman" w:eastAsia="Times New Roman" w:hAnsi="Times New Roman" w:cs="Times New Roman"/>
          <w:sz w:val="24"/>
          <w:szCs w:val="24"/>
        </w:rPr>
        <w:t>, 57(3), p. 426.</w:t>
      </w:r>
    </w:p>
    <w:p w14:paraId="00000019" w14:textId="77777777" w:rsidR="009B73F5" w:rsidRDefault="009B73F5">
      <w:pPr>
        <w:spacing w:before="240" w:after="240" w:line="360" w:lineRule="auto"/>
        <w:ind w:right="600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0000001A" w14:textId="77777777" w:rsidR="009B73F5" w:rsidRDefault="009B73F5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0000001B" w14:textId="77777777" w:rsidR="009B73F5" w:rsidRDefault="009B73F5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sectPr w:rsidR="009B73F5">
      <w:pgSz w:w="12240" w:h="15840"/>
      <w:pgMar w:top="1440" w:right="1440" w:bottom="1440" w:left="1440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-BoldMT">
    <w:altName w:val="Arial"/>
    <w:panose1 w:val="020B0604020202020204"/>
    <w:charset w:val="00"/>
    <w:family w:val="roman"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33"/>
  <w:embedTrueTypeFonts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B73F5"/>
    <w:rsid w:val="003540F9"/>
    <w:rsid w:val="004471C4"/>
    <w:rsid w:val="00476566"/>
    <w:rsid w:val="004F7DBB"/>
    <w:rsid w:val="006A0975"/>
    <w:rsid w:val="00753FDE"/>
    <w:rsid w:val="00886630"/>
    <w:rsid w:val="0092351B"/>
    <w:rsid w:val="009B73F5"/>
    <w:rsid w:val="00C356D9"/>
    <w:rsid w:val="00D765CA"/>
    <w:rsid w:val="00E860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0463CEA"/>
  <w15:docId w15:val="{DDFB9676-30CF-4443-B695-A1639BE87B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iCs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link w:val="TitleChar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character" w:customStyle="1" w:styleId="TitleChar">
    <w:name w:val="Title Char"/>
    <w:basedOn w:val="DefaultParagraphFont"/>
    <w:link w:val="Title"/>
    <w:uiPriority w:val="10"/>
    <w:rsid w:val="003540F9"/>
    <w:rPr>
      <w:sz w:val="52"/>
      <w:szCs w:val="52"/>
    </w:rPr>
  </w:style>
  <w:style w:type="paragraph" w:customStyle="1" w:styleId="p1">
    <w:name w:val="p1"/>
    <w:basedOn w:val="Normal"/>
    <w:rsid w:val="00753FDE"/>
    <w:pPr>
      <w:spacing w:line="240" w:lineRule="auto"/>
    </w:pPr>
    <w:rPr>
      <w:rFonts w:eastAsiaTheme="minorEastAsia"/>
      <w:color w:val="000000"/>
      <w:sz w:val="17"/>
      <w:szCs w:val="17"/>
      <w:lang w:val="en-GB"/>
    </w:rPr>
  </w:style>
  <w:style w:type="character" w:customStyle="1" w:styleId="s1">
    <w:name w:val="s1"/>
    <w:basedOn w:val="DefaultParagraphFont"/>
    <w:rsid w:val="00753FDE"/>
    <w:rPr>
      <w:rFonts w:ascii="Arial-BoldMT" w:hAnsi="Arial-BoldMT" w:hint="default"/>
      <w:b/>
      <w:bCs/>
      <w:i w:val="0"/>
      <w:iCs w:val="0"/>
      <w:sz w:val="17"/>
      <w:szCs w:val="17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A0975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ice.org.uk/guidance/ng18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nice.org.uk/guidance/ng18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gov.uk/government/publications/working-together-to-safeguard-children--2" TargetMode="External"/><Relationship Id="rId5" Type="http://schemas.openxmlformats.org/officeDocument/2006/relationships/hyperlink" Target="https://www.gov.uk/government/publications/working-together-to-safeguard-children--2" TargetMode="External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341</Words>
  <Characters>1948</Characters>
  <Application>Microsoft Office Word</Application>
  <DocSecurity>0</DocSecurity>
  <Lines>16</Lines>
  <Paragraphs>4</Paragraphs>
  <ScaleCrop>false</ScaleCrop>
  <Company/>
  <LinksUpToDate>false</LinksUpToDate>
  <CharactersWithSpaces>2285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Nicoleta Gianina Abiaboeru (2527024)</cp:lastModifiedBy>
  <cp:revision>11</cp:revision>
  <dcterms:created xsi:type="dcterms:W3CDTF">2026-07-18T08:46:00Z</dcterms:created>
  <dcterms:modified xsi:type="dcterms:W3CDTF">2026-07-18T08:51:00Z</dcterms:modified>
</cp:coreProperties>
</file>