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391C9F" w14:textId="77777777" w:rsidR="00EE6B38" w:rsidRDefault="00EE6B38" w:rsidP="00EE6B38">
      <w:pPr>
        <w:tabs>
          <w:tab w:val="left" w:pos="7800"/>
        </w:tabs>
      </w:pPr>
      <w:r>
        <w:tab/>
      </w:r>
    </w:p>
    <w:p w14:paraId="432690F2" w14:textId="77777777" w:rsidR="005B4411" w:rsidRPr="005B4411" w:rsidRDefault="00EE6B38" w:rsidP="005B4411">
      <w:pPr>
        <w:spacing w:line="360" w:lineRule="auto"/>
        <w:jc w:val="center"/>
        <w:rPr>
          <w:rFonts w:ascii="Arial" w:hAnsi="Arial" w:cs="Arial"/>
          <w:b/>
          <w:bCs/>
          <w:sz w:val="56"/>
          <w:szCs w:val="56"/>
        </w:rPr>
      </w:pPr>
      <w:r w:rsidRPr="005B4411">
        <w:rPr>
          <w:rFonts w:ascii="Arial" w:hAnsi="Arial" w:cs="Arial"/>
          <w:b/>
          <w:bCs/>
          <w:sz w:val="56"/>
          <w:szCs w:val="56"/>
        </w:rPr>
        <w:t xml:space="preserve">Report Case Study: </w:t>
      </w:r>
    </w:p>
    <w:p w14:paraId="2AF7B478" w14:textId="4B8B897E" w:rsidR="00EE6B38" w:rsidRPr="005B4411" w:rsidRDefault="00EE6B38" w:rsidP="005B4411">
      <w:pPr>
        <w:spacing w:line="360" w:lineRule="auto"/>
        <w:jc w:val="center"/>
        <w:rPr>
          <w:rFonts w:ascii="Arial" w:hAnsi="Arial" w:cs="Arial"/>
          <w:b/>
          <w:bCs/>
          <w:sz w:val="56"/>
          <w:szCs w:val="56"/>
        </w:rPr>
      </w:pPr>
      <w:r w:rsidRPr="005B4411">
        <w:rPr>
          <w:rFonts w:ascii="Arial" w:hAnsi="Arial" w:cs="Arial"/>
          <w:b/>
          <w:bCs/>
          <w:sz w:val="56"/>
          <w:szCs w:val="56"/>
        </w:rPr>
        <w:t xml:space="preserve">Urban Heights Hotel </w:t>
      </w:r>
    </w:p>
    <w:p w14:paraId="403B60FF" w14:textId="77777777" w:rsidR="005B4411" w:rsidRDefault="005B4411" w:rsidP="00EE6B38">
      <w:pPr>
        <w:spacing w:line="360" w:lineRule="auto"/>
        <w:jc w:val="center"/>
        <w:rPr>
          <w:rFonts w:ascii="Arial" w:hAnsi="Arial" w:cs="Arial"/>
          <w:b/>
          <w:bCs/>
          <w:sz w:val="44"/>
          <w:szCs w:val="44"/>
        </w:rPr>
      </w:pPr>
    </w:p>
    <w:p w14:paraId="76B53C8A" w14:textId="77777777" w:rsidR="005B4411" w:rsidRDefault="005B4411" w:rsidP="00EE6B38">
      <w:pPr>
        <w:spacing w:line="360" w:lineRule="auto"/>
        <w:jc w:val="center"/>
        <w:rPr>
          <w:rFonts w:ascii="Arial" w:hAnsi="Arial" w:cs="Arial"/>
          <w:b/>
          <w:bCs/>
          <w:sz w:val="44"/>
          <w:szCs w:val="44"/>
        </w:rPr>
      </w:pPr>
    </w:p>
    <w:p w14:paraId="3AB3D325" w14:textId="77777777" w:rsidR="005B4411" w:rsidRDefault="005B4411" w:rsidP="00EE6B38">
      <w:pPr>
        <w:spacing w:line="360" w:lineRule="auto"/>
        <w:jc w:val="center"/>
        <w:rPr>
          <w:rFonts w:ascii="Arial" w:hAnsi="Arial" w:cs="Arial"/>
          <w:b/>
          <w:bCs/>
          <w:sz w:val="44"/>
          <w:szCs w:val="44"/>
        </w:rPr>
      </w:pPr>
    </w:p>
    <w:p w14:paraId="7445C61C" w14:textId="77777777" w:rsidR="005B4411" w:rsidRDefault="005B4411" w:rsidP="00EE6B38">
      <w:pPr>
        <w:spacing w:line="360" w:lineRule="auto"/>
        <w:jc w:val="center"/>
        <w:rPr>
          <w:rFonts w:ascii="Arial" w:hAnsi="Arial" w:cs="Arial"/>
          <w:b/>
          <w:bCs/>
          <w:sz w:val="44"/>
          <w:szCs w:val="44"/>
        </w:rPr>
      </w:pPr>
    </w:p>
    <w:p w14:paraId="018CA4F0" w14:textId="77777777" w:rsidR="005B4411" w:rsidRDefault="005B4411" w:rsidP="00EE6B38">
      <w:pPr>
        <w:spacing w:line="360" w:lineRule="auto"/>
        <w:jc w:val="center"/>
        <w:rPr>
          <w:rFonts w:ascii="Arial" w:hAnsi="Arial" w:cs="Arial"/>
          <w:b/>
          <w:bCs/>
          <w:sz w:val="44"/>
          <w:szCs w:val="44"/>
        </w:rPr>
      </w:pPr>
    </w:p>
    <w:p w14:paraId="2631DCAA" w14:textId="77777777" w:rsidR="005B4411" w:rsidRPr="00EE6B38" w:rsidRDefault="005B4411" w:rsidP="00EE6B38">
      <w:pPr>
        <w:spacing w:line="360" w:lineRule="auto"/>
        <w:jc w:val="center"/>
        <w:rPr>
          <w:rFonts w:ascii="Arial" w:hAnsi="Arial" w:cs="Arial"/>
          <w:b/>
          <w:bCs/>
          <w:sz w:val="44"/>
          <w:szCs w:val="44"/>
        </w:rPr>
      </w:pPr>
    </w:p>
    <w:p w14:paraId="6D4A174B" w14:textId="65290E7F" w:rsidR="00EE6B38" w:rsidRPr="005B4411" w:rsidRDefault="00EE6B38" w:rsidP="005B4411">
      <w:pPr>
        <w:spacing w:line="276" w:lineRule="auto"/>
        <w:jc w:val="left"/>
        <w:rPr>
          <w:rFonts w:ascii="Arial" w:hAnsi="Arial" w:cs="Arial"/>
          <w:b/>
          <w:bCs/>
          <w:sz w:val="32"/>
          <w:szCs w:val="32"/>
        </w:rPr>
      </w:pPr>
      <w:r w:rsidRPr="005B4411">
        <w:rPr>
          <w:rFonts w:ascii="Arial" w:hAnsi="Arial" w:cs="Arial"/>
          <w:b/>
          <w:bCs/>
          <w:sz w:val="32"/>
          <w:szCs w:val="32"/>
        </w:rPr>
        <w:t>Student name: Alexandra-Andreea Anghel (2226451)</w:t>
      </w:r>
    </w:p>
    <w:p w14:paraId="2C38E652" w14:textId="69534915" w:rsidR="005B4411" w:rsidRPr="005B4411" w:rsidRDefault="005B4411" w:rsidP="005B4411">
      <w:pPr>
        <w:spacing w:line="276" w:lineRule="auto"/>
        <w:jc w:val="left"/>
        <w:rPr>
          <w:rFonts w:ascii="Arial" w:hAnsi="Arial" w:cs="Arial"/>
          <w:b/>
          <w:bCs/>
          <w:sz w:val="32"/>
          <w:szCs w:val="32"/>
        </w:rPr>
      </w:pPr>
      <w:r w:rsidRPr="005B4411">
        <w:rPr>
          <w:rFonts w:ascii="Arial" w:hAnsi="Arial" w:cs="Arial"/>
          <w:b/>
          <w:bCs/>
          <w:sz w:val="32"/>
          <w:szCs w:val="32"/>
        </w:rPr>
        <w:t xml:space="preserve">Tutor name: </w:t>
      </w:r>
      <w:proofErr w:type="spellStart"/>
      <w:r w:rsidRPr="005B4411">
        <w:rPr>
          <w:rFonts w:ascii="Arial" w:hAnsi="Arial" w:cs="Arial"/>
          <w:b/>
          <w:bCs/>
          <w:sz w:val="32"/>
          <w:szCs w:val="32"/>
        </w:rPr>
        <w:t>Dr.</w:t>
      </w:r>
      <w:proofErr w:type="spellEnd"/>
      <w:r w:rsidRPr="005B4411">
        <w:rPr>
          <w:rFonts w:ascii="Arial" w:hAnsi="Arial" w:cs="Arial"/>
          <w:b/>
          <w:bCs/>
          <w:sz w:val="32"/>
          <w:szCs w:val="32"/>
        </w:rPr>
        <w:t xml:space="preserve"> Ernest </w:t>
      </w:r>
      <w:proofErr w:type="spellStart"/>
      <w:r w:rsidRPr="005B4411">
        <w:rPr>
          <w:rFonts w:ascii="Arial" w:hAnsi="Arial" w:cs="Arial"/>
          <w:b/>
          <w:bCs/>
          <w:sz w:val="32"/>
          <w:szCs w:val="32"/>
        </w:rPr>
        <w:t>Wavei</w:t>
      </w:r>
      <w:proofErr w:type="spellEnd"/>
    </w:p>
    <w:p w14:paraId="5A4335B3" w14:textId="77777777" w:rsidR="005B4411" w:rsidRPr="005B4411" w:rsidRDefault="00EE6B38" w:rsidP="005B4411">
      <w:pPr>
        <w:pStyle w:val="Heading1"/>
        <w:shd w:val="clear" w:color="auto" w:fill="FFFFFF"/>
        <w:spacing w:before="0" w:line="276" w:lineRule="auto"/>
        <w:rPr>
          <w:rFonts w:ascii="Arial" w:hAnsi="Arial" w:cs="Arial"/>
          <w:b/>
          <w:bCs/>
          <w:color w:val="auto"/>
          <w:sz w:val="32"/>
          <w:szCs w:val="32"/>
        </w:rPr>
      </w:pPr>
      <w:bookmarkStart w:id="0" w:name="_Toc168095746"/>
      <w:r w:rsidRPr="005B4411">
        <w:rPr>
          <w:rFonts w:ascii="Arial" w:hAnsi="Arial" w:cs="Arial"/>
          <w:b/>
          <w:bCs/>
          <w:color w:val="auto"/>
          <w:sz w:val="32"/>
          <w:szCs w:val="32"/>
        </w:rPr>
        <w:t xml:space="preserve">Module Name: </w:t>
      </w:r>
      <w:r w:rsidR="005B4411" w:rsidRPr="005B4411">
        <w:rPr>
          <w:rFonts w:ascii="Arial" w:hAnsi="Arial" w:cs="Arial"/>
          <w:b/>
          <w:bCs/>
          <w:color w:val="auto"/>
          <w:sz w:val="32"/>
          <w:szCs w:val="32"/>
        </w:rPr>
        <w:t>Financial Management for the Hotel Industry (BMIH</w:t>
      </w:r>
      <w:proofErr w:type="gramStart"/>
      <w:r w:rsidR="005B4411" w:rsidRPr="005B4411">
        <w:rPr>
          <w:rFonts w:ascii="Arial" w:hAnsi="Arial" w:cs="Arial"/>
          <w:b/>
          <w:bCs/>
          <w:color w:val="auto"/>
          <w:sz w:val="32"/>
          <w:szCs w:val="32"/>
        </w:rPr>
        <w:t>5007,BMIH</w:t>
      </w:r>
      <w:proofErr w:type="gramEnd"/>
      <w:r w:rsidR="005B4411" w:rsidRPr="005B4411">
        <w:rPr>
          <w:rFonts w:ascii="Arial" w:hAnsi="Arial" w:cs="Arial"/>
          <w:b/>
          <w:bCs/>
          <w:color w:val="auto"/>
          <w:sz w:val="32"/>
          <w:szCs w:val="32"/>
        </w:rPr>
        <w:t>5002)</w:t>
      </w:r>
      <w:bookmarkEnd w:id="0"/>
    </w:p>
    <w:p w14:paraId="7A926D67" w14:textId="4639FE52" w:rsidR="005B4411" w:rsidRPr="005B4411" w:rsidRDefault="005B4411" w:rsidP="005B4411">
      <w:pPr>
        <w:spacing w:line="276" w:lineRule="auto"/>
        <w:jc w:val="left"/>
        <w:rPr>
          <w:rFonts w:ascii="Arial" w:hAnsi="Arial" w:cs="Arial"/>
          <w:b/>
          <w:bCs/>
          <w:sz w:val="32"/>
          <w:szCs w:val="32"/>
        </w:rPr>
      </w:pPr>
      <w:r w:rsidRPr="005B4411">
        <w:rPr>
          <w:rFonts w:ascii="Arial" w:hAnsi="Arial" w:cs="Arial"/>
          <w:b/>
          <w:bCs/>
          <w:sz w:val="32"/>
          <w:szCs w:val="32"/>
        </w:rPr>
        <w:t>Word count:</w:t>
      </w:r>
      <w:r w:rsidR="00CD15C4">
        <w:rPr>
          <w:rFonts w:ascii="Arial" w:hAnsi="Arial" w:cs="Arial"/>
          <w:b/>
          <w:bCs/>
          <w:sz w:val="32"/>
          <w:szCs w:val="32"/>
        </w:rPr>
        <w:t xml:space="preserve"> 2164 words</w:t>
      </w:r>
    </w:p>
    <w:p w14:paraId="2230E15B" w14:textId="77777777" w:rsidR="005B4411" w:rsidRPr="005B4411" w:rsidRDefault="005B4411" w:rsidP="005B4411"/>
    <w:p w14:paraId="64FD6718" w14:textId="5F6FEAF1" w:rsidR="00EE6B38" w:rsidRDefault="00EE6B38" w:rsidP="00EE6B38">
      <w:pPr>
        <w:jc w:val="center"/>
      </w:pPr>
    </w:p>
    <w:p w14:paraId="4E6C832B" w14:textId="77777777" w:rsidR="00EE6B38" w:rsidRDefault="00EE6B38" w:rsidP="00EE6B38">
      <w:pPr>
        <w:spacing w:line="256" w:lineRule="auto"/>
      </w:pPr>
      <w:r>
        <w:br w:type="page"/>
      </w:r>
    </w:p>
    <w:sdt>
      <w:sdtPr>
        <w:rPr>
          <w:rFonts w:ascii="Times New Roman" w:eastAsiaTheme="minorHAnsi" w:hAnsi="Times New Roman" w:cstheme="minorBidi"/>
          <w:b/>
          <w:color w:val="auto"/>
          <w:sz w:val="24"/>
          <w:szCs w:val="22"/>
          <w:lang w:val="en-GB"/>
        </w:rPr>
        <w:id w:val="887995188"/>
        <w:docPartObj>
          <w:docPartGallery w:val="Table of Contents"/>
          <w:docPartUnique/>
        </w:docPartObj>
      </w:sdtPr>
      <w:sdtEndPr>
        <w:rPr>
          <w:b w:val="0"/>
        </w:rPr>
      </w:sdtEndPr>
      <w:sdtContent>
        <w:p w14:paraId="33F0EA41" w14:textId="77777777" w:rsidR="00EE6B38" w:rsidRPr="00C351C0" w:rsidRDefault="00EE6B38" w:rsidP="00C351C0">
          <w:pPr>
            <w:pStyle w:val="TOCHeading"/>
            <w:spacing w:line="480" w:lineRule="auto"/>
            <w:jc w:val="center"/>
            <w:rPr>
              <w:rFonts w:ascii="Arial" w:hAnsi="Arial" w:cs="Arial"/>
              <w:color w:val="auto"/>
              <w:sz w:val="24"/>
              <w:szCs w:val="24"/>
            </w:rPr>
          </w:pPr>
          <w:r w:rsidRPr="00C351C0">
            <w:rPr>
              <w:rFonts w:ascii="Arial" w:eastAsiaTheme="minorHAnsi" w:hAnsi="Arial" w:cs="Arial"/>
              <w:b/>
              <w:color w:val="auto"/>
              <w:sz w:val="24"/>
              <w:szCs w:val="24"/>
            </w:rPr>
            <w:t xml:space="preserve"> </w:t>
          </w:r>
          <w:r w:rsidRPr="00C351C0">
            <w:rPr>
              <w:rFonts w:ascii="Arial" w:hAnsi="Arial" w:cs="Arial"/>
              <w:b/>
              <w:bCs/>
              <w:color w:val="auto"/>
            </w:rPr>
            <w:t>Table of Contents</w:t>
          </w:r>
        </w:p>
        <w:p w14:paraId="5D985C24" w14:textId="02F5B3C7" w:rsidR="00CD15C4" w:rsidRPr="001A3235" w:rsidRDefault="00EE6B38" w:rsidP="00C351C0">
          <w:pPr>
            <w:pStyle w:val="TOC1"/>
            <w:tabs>
              <w:tab w:val="right" w:leader="dot" w:pos="9016"/>
            </w:tabs>
            <w:rPr>
              <w:rFonts w:ascii="Arial" w:eastAsiaTheme="minorEastAsia" w:hAnsi="Arial" w:cs="Arial"/>
              <w:noProof/>
              <w:kern w:val="2"/>
              <w:szCs w:val="24"/>
              <w:lang w:eastAsia="en-GB"/>
            </w:rPr>
          </w:pPr>
          <w:r w:rsidRPr="00C351C0">
            <w:rPr>
              <w:rFonts w:ascii="Arial" w:hAnsi="Arial" w:cs="Arial"/>
              <w:b/>
              <w:bCs/>
              <w:noProof/>
              <w:szCs w:val="24"/>
            </w:rPr>
            <w:fldChar w:fldCharType="begin"/>
          </w:r>
          <w:r w:rsidRPr="00C351C0">
            <w:rPr>
              <w:rFonts w:ascii="Arial" w:hAnsi="Arial" w:cs="Arial"/>
              <w:b/>
              <w:bCs/>
              <w:noProof/>
              <w:szCs w:val="24"/>
            </w:rPr>
            <w:instrText xml:space="preserve"> TOC \o "1-3" \h \z \u </w:instrText>
          </w:r>
          <w:r w:rsidRPr="00C351C0">
            <w:rPr>
              <w:rFonts w:ascii="Arial" w:hAnsi="Arial" w:cs="Arial"/>
              <w:b/>
              <w:bCs/>
              <w:noProof/>
              <w:szCs w:val="24"/>
            </w:rPr>
            <w:fldChar w:fldCharType="separate"/>
          </w:r>
        </w:p>
        <w:p w14:paraId="3913B495" w14:textId="6BC0D196" w:rsidR="00CD15C4" w:rsidRPr="001A3235" w:rsidRDefault="00000000" w:rsidP="00C351C0">
          <w:pPr>
            <w:pStyle w:val="TOC1"/>
            <w:tabs>
              <w:tab w:val="right" w:leader="dot" w:pos="9016"/>
            </w:tabs>
            <w:rPr>
              <w:rFonts w:ascii="Arial" w:eastAsiaTheme="minorEastAsia" w:hAnsi="Arial" w:cs="Arial"/>
              <w:noProof/>
              <w:kern w:val="2"/>
              <w:szCs w:val="24"/>
              <w:lang w:eastAsia="en-GB"/>
            </w:rPr>
          </w:pPr>
          <w:hyperlink w:anchor="_Toc168095747" w:history="1">
            <w:r w:rsidR="00CD15C4" w:rsidRPr="001A3235">
              <w:rPr>
                <w:rStyle w:val="Hyperlink"/>
                <w:rFonts w:ascii="Arial" w:hAnsi="Arial" w:cs="Arial"/>
                <w:noProof/>
                <w:szCs w:val="24"/>
              </w:rPr>
              <w:t>Introduction</w:t>
            </w:r>
            <w:r w:rsidR="00CD15C4" w:rsidRPr="001A3235">
              <w:rPr>
                <w:rFonts w:ascii="Arial" w:hAnsi="Arial" w:cs="Arial"/>
                <w:noProof/>
                <w:webHidden/>
                <w:szCs w:val="24"/>
              </w:rPr>
              <w:tab/>
            </w:r>
            <w:r w:rsidR="00CD15C4" w:rsidRPr="001A3235">
              <w:rPr>
                <w:rFonts w:ascii="Arial" w:hAnsi="Arial" w:cs="Arial"/>
                <w:noProof/>
                <w:webHidden/>
                <w:szCs w:val="24"/>
              </w:rPr>
              <w:fldChar w:fldCharType="begin"/>
            </w:r>
            <w:r w:rsidR="00CD15C4" w:rsidRPr="001A3235">
              <w:rPr>
                <w:rFonts w:ascii="Arial" w:hAnsi="Arial" w:cs="Arial"/>
                <w:noProof/>
                <w:webHidden/>
                <w:szCs w:val="24"/>
              </w:rPr>
              <w:instrText xml:space="preserve"> PAGEREF _Toc168095747 \h </w:instrText>
            </w:r>
            <w:r w:rsidR="00CD15C4" w:rsidRPr="001A3235">
              <w:rPr>
                <w:rFonts w:ascii="Arial" w:hAnsi="Arial" w:cs="Arial"/>
                <w:noProof/>
                <w:webHidden/>
                <w:szCs w:val="24"/>
              </w:rPr>
            </w:r>
            <w:r w:rsidR="00CD15C4" w:rsidRPr="001A3235">
              <w:rPr>
                <w:rFonts w:ascii="Arial" w:hAnsi="Arial" w:cs="Arial"/>
                <w:noProof/>
                <w:webHidden/>
                <w:szCs w:val="24"/>
              </w:rPr>
              <w:fldChar w:fldCharType="separate"/>
            </w:r>
            <w:r w:rsidR="00C351C0" w:rsidRPr="001A3235">
              <w:rPr>
                <w:rFonts w:ascii="Arial" w:hAnsi="Arial" w:cs="Arial"/>
                <w:noProof/>
                <w:webHidden/>
                <w:szCs w:val="24"/>
              </w:rPr>
              <w:t>3</w:t>
            </w:r>
            <w:r w:rsidR="00CD15C4" w:rsidRPr="001A3235">
              <w:rPr>
                <w:rFonts w:ascii="Arial" w:hAnsi="Arial" w:cs="Arial"/>
                <w:noProof/>
                <w:webHidden/>
                <w:szCs w:val="24"/>
              </w:rPr>
              <w:fldChar w:fldCharType="end"/>
            </w:r>
          </w:hyperlink>
        </w:p>
        <w:p w14:paraId="44039A5C" w14:textId="1AC1987D" w:rsidR="00CD15C4" w:rsidRPr="001A3235" w:rsidRDefault="00000000" w:rsidP="00C351C0">
          <w:pPr>
            <w:pStyle w:val="TOC1"/>
            <w:tabs>
              <w:tab w:val="right" w:leader="dot" w:pos="9016"/>
            </w:tabs>
            <w:rPr>
              <w:rFonts w:ascii="Arial" w:hAnsi="Arial" w:cs="Arial"/>
              <w:noProof/>
              <w:szCs w:val="24"/>
            </w:rPr>
          </w:pPr>
          <w:hyperlink w:anchor="_Toc168095748" w:history="1">
            <w:r w:rsidR="00CD15C4" w:rsidRPr="001A3235">
              <w:rPr>
                <w:rStyle w:val="Hyperlink"/>
                <w:rFonts w:ascii="Arial" w:hAnsi="Arial" w:cs="Arial"/>
                <w:noProof/>
                <w:szCs w:val="24"/>
              </w:rPr>
              <w:t>Evaluation of the Patterns and Trends on the Financial Performance</w:t>
            </w:r>
            <w:r w:rsidR="00CD15C4" w:rsidRPr="001A3235">
              <w:rPr>
                <w:rFonts w:ascii="Arial" w:hAnsi="Arial" w:cs="Arial"/>
                <w:noProof/>
                <w:webHidden/>
                <w:szCs w:val="24"/>
              </w:rPr>
              <w:tab/>
            </w:r>
            <w:r w:rsidR="00CD15C4" w:rsidRPr="001A3235">
              <w:rPr>
                <w:rFonts w:ascii="Arial" w:hAnsi="Arial" w:cs="Arial"/>
                <w:noProof/>
                <w:webHidden/>
                <w:szCs w:val="24"/>
              </w:rPr>
              <w:fldChar w:fldCharType="begin"/>
            </w:r>
            <w:r w:rsidR="00CD15C4" w:rsidRPr="001A3235">
              <w:rPr>
                <w:rFonts w:ascii="Arial" w:hAnsi="Arial" w:cs="Arial"/>
                <w:noProof/>
                <w:webHidden/>
                <w:szCs w:val="24"/>
              </w:rPr>
              <w:instrText xml:space="preserve"> PAGEREF _Toc168095748 \h </w:instrText>
            </w:r>
            <w:r w:rsidR="00CD15C4" w:rsidRPr="001A3235">
              <w:rPr>
                <w:rFonts w:ascii="Arial" w:hAnsi="Arial" w:cs="Arial"/>
                <w:noProof/>
                <w:webHidden/>
                <w:szCs w:val="24"/>
              </w:rPr>
            </w:r>
            <w:r w:rsidR="00CD15C4" w:rsidRPr="001A3235">
              <w:rPr>
                <w:rFonts w:ascii="Arial" w:hAnsi="Arial" w:cs="Arial"/>
                <w:noProof/>
                <w:webHidden/>
                <w:szCs w:val="24"/>
              </w:rPr>
              <w:fldChar w:fldCharType="separate"/>
            </w:r>
            <w:r w:rsidR="00C351C0" w:rsidRPr="001A3235">
              <w:rPr>
                <w:rFonts w:ascii="Arial" w:hAnsi="Arial" w:cs="Arial"/>
                <w:noProof/>
                <w:webHidden/>
                <w:szCs w:val="24"/>
              </w:rPr>
              <w:t>4</w:t>
            </w:r>
            <w:r w:rsidR="00CD15C4" w:rsidRPr="001A3235">
              <w:rPr>
                <w:rFonts w:ascii="Arial" w:hAnsi="Arial" w:cs="Arial"/>
                <w:noProof/>
                <w:webHidden/>
                <w:szCs w:val="24"/>
              </w:rPr>
              <w:fldChar w:fldCharType="end"/>
            </w:r>
          </w:hyperlink>
        </w:p>
        <w:p w14:paraId="399C7140" w14:textId="321FFEF3" w:rsidR="001A3235" w:rsidRPr="001A3235" w:rsidRDefault="001A3235" w:rsidP="001A3235">
          <w:pPr>
            <w:rPr>
              <w:rFonts w:ascii="Arial" w:hAnsi="Arial" w:cs="Arial"/>
            </w:rPr>
          </w:pPr>
          <w:r w:rsidRPr="001A3235">
            <w:rPr>
              <w:rFonts w:ascii="Arial" w:hAnsi="Arial" w:cs="Arial"/>
            </w:rPr>
            <w:t>Profitability………………………………………………………………………………</w:t>
          </w:r>
          <w:r w:rsidR="00BB539B">
            <w:rPr>
              <w:rFonts w:ascii="Arial" w:hAnsi="Arial" w:cs="Arial"/>
            </w:rPr>
            <w:t>...</w:t>
          </w:r>
          <w:r w:rsidRPr="001A3235">
            <w:rPr>
              <w:rFonts w:ascii="Arial" w:hAnsi="Arial" w:cs="Arial"/>
            </w:rPr>
            <w:t>….5</w:t>
          </w:r>
        </w:p>
        <w:p w14:paraId="528AA2F0" w14:textId="08E8F0D2" w:rsidR="001A3235" w:rsidRPr="001A3235" w:rsidRDefault="001A3235" w:rsidP="001A3235">
          <w:pPr>
            <w:rPr>
              <w:rFonts w:ascii="Arial" w:hAnsi="Arial" w:cs="Arial"/>
            </w:rPr>
          </w:pPr>
          <w:r w:rsidRPr="001A3235">
            <w:rPr>
              <w:rFonts w:ascii="Arial" w:hAnsi="Arial" w:cs="Arial"/>
            </w:rPr>
            <w:t>Liquidity……………………………………………………………………………………….7</w:t>
          </w:r>
        </w:p>
        <w:p w14:paraId="1072C277" w14:textId="603E2D13" w:rsidR="001A3235" w:rsidRPr="001A3235" w:rsidRDefault="001A3235" w:rsidP="001A3235">
          <w:pPr>
            <w:rPr>
              <w:rFonts w:ascii="Arial" w:hAnsi="Arial" w:cs="Arial"/>
            </w:rPr>
          </w:pPr>
          <w:r w:rsidRPr="001A3235">
            <w:rPr>
              <w:rFonts w:ascii="Arial" w:hAnsi="Arial" w:cs="Arial"/>
            </w:rPr>
            <w:t>Solvency………………………………………………………………………………</w:t>
          </w:r>
          <w:proofErr w:type="gramStart"/>
          <w:r w:rsidRPr="001A3235">
            <w:rPr>
              <w:rFonts w:ascii="Arial" w:hAnsi="Arial" w:cs="Arial"/>
            </w:rPr>
            <w:t>…</w:t>
          </w:r>
          <w:r w:rsidR="00BB539B">
            <w:rPr>
              <w:rFonts w:ascii="Arial" w:hAnsi="Arial" w:cs="Arial"/>
            </w:rPr>
            <w:t>..</w:t>
          </w:r>
          <w:proofErr w:type="gramEnd"/>
          <w:r w:rsidRPr="001A3235">
            <w:rPr>
              <w:rFonts w:ascii="Arial" w:hAnsi="Arial" w:cs="Arial"/>
            </w:rPr>
            <w:t>….8</w:t>
          </w:r>
        </w:p>
        <w:p w14:paraId="59459A48" w14:textId="78B5B228" w:rsidR="00CD15C4" w:rsidRPr="001A3235" w:rsidRDefault="00000000" w:rsidP="00C351C0">
          <w:pPr>
            <w:pStyle w:val="TOC1"/>
            <w:tabs>
              <w:tab w:val="right" w:leader="dot" w:pos="9016"/>
            </w:tabs>
            <w:rPr>
              <w:rFonts w:ascii="Arial" w:eastAsiaTheme="minorEastAsia" w:hAnsi="Arial" w:cs="Arial"/>
              <w:noProof/>
              <w:kern w:val="2"/>
              <w:szCs w:val="24"/>
              <w:lang w:eastAsia="en-GB"/>
            </w:rPr>
          </w:pPr>
          <w:hyperlink w:anchor="_Toc168095749" w:history="1">
            <w:r w:rsidR="00CD15C4" w:rsidRPr="001A3235">
              <w:rPr>
                <w:rStyle w:val="Hyperlink"/>
                <w:rFonts w:ascii="Arial" w:hAnsi="Arial" w:cs="Arial"/>
                <w:noProof/>
                <w:szCs w:val="24"/>
              </w:rPr>
              <w:t>Identification of the Key Reasons Behind Decline in Profitability</w:t>
            </w:r>
            <w:r w:rsidR="00CD15C4" w:rsidRPr="001A3235">
              <w:rPr>
                <w:rFonts w:ascii="Arial" w:hAnsi="Arial" w:cs="Arial"/>
                <w:noProof/>
                <w:webHidden/>
                <w:szCs w:val="24"/>
              </w:rPr>
              <w:tab/>
            </w:r>
            <w:r w:rsidR="00CD15C4" w:rsidRPr="001A3235">
              <w:rPr>
                <w:rFonts w:ascii="Arial" w:hAnsi="Arial" w:cs="Arial"/>
                <w:noProof/>
                <w:webHidden/>
                <w:szCs w:val="24"/>
              </w:rPr>
              <w:fldChar w:fldCharType="begin"/>
            </w:r>
            <w:r w:rsidR="00CD15C4" w:rsidRPr="001A3235">
              <w:rPr>
                <w:rFonts w:ascii="Arial" w:hAnsi="Arial" w:cs="Arial"/>
                <w:noProof/>
                <w:webHidden/>
                <w:szCs w:val="24"/>
              </w:rPr>
              <w:instrText xml:space="preserve"> PAGEREF _Toc168095749 \h </w:instrText>
            </w:r>
            <w:r w:rsidR="00CD15C4" w:rsidRPr="001A3235">
              <w:rPr>
                <w:rFonts w:ascii="Arial" w:hAnsi="Arial" w:cs="Arial"/>
                <w:noProof/>
                <w:webHidden/>
                <w:szCs w:val="24"/>
              </w:rPr>
            </w:r>
            <w:r w:rsidR="00CD15C4" w:rsidRPr="001A3235">
              <w:rPr>
                <w:rFonts w:ascii="Arial" w:hAnsi="Arial" w:cs="Arial"/>
                <w:noProof/>
                <w:webHidden/>
                <w:szCs w:val="24"/>
              </w:rPr>
              <w:fldChar w:fldCharType="separate"/>
            </w:r>
            <w:r w:rsidR="00C351C0" w:rsidRPr="001A3235">
              <w:rPr>
                <w:rFonts w:ascii="Arial" w:hAnsi="Arial" w:cs="Arial"/>
                <w:noProof/>
                <w:webHidden/>
                <w:szCs w:val="24"/>
              </w:rPr>
              <w:t>9</w:t>
            </w:r>
            <w:r w:rsidR="00CD15C4" w:rsidRPr="001A3235">
              <w:rPr>
                <w:rFonts w:ascii="Arial" w:hAnsi="Arial" w:cs="Arial"/>
                <w:noProof/>
                <w:webHidden/>
                <w:szCs w:val="24"/>
              </w:rPr>
              <w:fldChar w:fldCharType="end"/>
            </w:r>
          </w:hyperlink>
        </w:p>
        <w:p w14:paraId="5E3C9458" w14:textId="7C296237" w:rsidR="00CD15C4" w:rsidRPr="001A3235" w:rsidRDefault="00000000" w:rsidP="00C351C0">
          <w:pPr>
            <w:pStyle w:val="TOC1"/>
            <w:tabs>
              <w:tab w:val="right" w:leader="dot" w:pos="9016"/>
            </w:tabs>
            <w:rPr>
              <w:rFonts w:ascii="Arial" w:eastAsiaTheme="minorEastAsia" w:hAnsi="Arial" w:cs="Arial"/>
              <w:noProof/>
              <w:kern w:val="2"/>
              <w:szCs w:val="24"/>
              <w:lang w:eastAsia="en-GB"/>
            </w:rPr>
          </w:pPr>
          <w:hyperlink w:anchor="_Toc168095750" w:history="1">
            <w:r w:rsidR="00CD15C4" w:rsidRPr="001A3235">
              <w:rPr>
                <w:rStyle w:val="Hyperlink"/>
                <w:rFonts w:ascii="Arial" w:hAnsi="Arial" w:cs="Arial"/>
                <w:noProof/>
                <w:szCs w:val="24"/>
              </w:rPr>
              <w:t>Conclusion</w:t>
            </w:r>
            <w:r w:rsidR="00CD15C4" w:rsidRPr="001A3235">
              <w:rPr>
                <w:rFonts w:ascii="Arial" w:hAnsi="Arial" w:cs="Arial"/>
                <w:noProof/>
                <w:webHidden/>
                <w:szCs w:val="24"/>
              </w:rPr>
              <w:tab/>
            </w:r>
            <w:r w:rsidR="00CD15C4" w:rsidRPr="001A3235">
              <w:rPr>
                <w:rFonts w:ascii="Arial" w:hAnsi="Arial" w:cs="Arial"/>
                <w:noProof/>
                <w:webHidden/>
                <w:szCs w:val="24"/>
              </w:rPr>
              <w:fldChar w:fldCharType="begin"/>
            </w:r>
            <w:r w:rsidR="00CD15C4" w:rsidRPr="001A3235">
              <w:rPr>
                <w:rFonts w:ascii="Arial" w:hAnsi="Arial" w:cs="Arial"/>
                <w:noProof/>
                <w:webHidden/>
                <w:szCs w:val="24"/>
              </w:rPr>
              <w:instrText xml:space="preserve"> PAGEREF _Toc168095750 \h </w:instrText>
            </w:r>
            <w:r w:rsidR="00CD15C4" w:rsidRPr="001A3235">
              <w:rPr>
                <w:rFonts w:ascii="Arial" w:hAnsi="Arial" w:cs="Arial"/>
                <w:noProof/>
                <w:webHidden/>
                <w:szCs w:val="24"/>
              </w:rPr>
            </w:r>
            <w:r w:rsidR="00CD15C4" w:rsidRPr="001A3235">
              <w:rPr>
                <w:rFonts w:ascii="Arial" w:hAnsi="Arial" w:cs="Arial"/>
                <w:noProof/>
                <w:webHidden/>
                <w:szCs w:val="24"/>
              </w:rPr>
              <w:fldChar w:fldCharType="separate"/>
            </w:r>
            <w:r w:rsidR="00C351C0" w:rsidRPr="001A3235">
              <w:rPr>
                <w:rFonts w:ascii="Arial" w:hAnsi="Arial" w:cs="Arial"/>
                <w:noProof/>
                <w:webHidden/>
                <w:szCs w:val="24"/>
              </w:rPr>
              <w:t>10</w:t>
            </w:r>
            <w:r w:rsidR="00CD15C4" w:rsidRPr="001A3235">
              <w:rPr>
                <w:rFonts w:ascii="Arial" w:hAnsi="Arial" w:cs="Arial"/>
                <w:noProof/>
                <w:webHidden/>
                <w:szCs w:val="24"/>
              </w:rPr>
              <w:fldChar w:fldCharType="end"/>
            </w:r>
          </w:hyperlink>
        </w:p>
        <w:p w14:paraId="5513EC27" w14:textId="401F5D19" w:rsidR="00CD15C4" w:rsidRPr="001A3235" w:rsidRDefault="00000000" w:rsidP="00C351C0">
          <w:pPr>
            <w:pStyle w:val="TOC1"/>
            <w:tabs>
              <w:tab w:val="right" w:leader="dot" w:pos="9016"/>
            </w:tabs>
            <w:rPr>
              <w:rFonts w:ascii="Arial" w:eastAsiaTheme="minorEastAsia" w:hAnsi="Arial" w:cs="Arial"/>
              <w:noProof/>
              <w:kern w:val="2"/>
              <w:szCs w:val="24"/>
              <w:lang w:eastAsia="en-GB"/>
            </w:rPr>
          </w:pPr>
          <w:hyperlink w:anchor="_Toc168095751" w:history="1">
            <w:r w:rsidR="00CD15C4" w:rsidRPr="001A3235">
              <w:rPr>
                <w:rStyle w:val="Hyperlink"/>
                <w:rFonts w:ascii="Arial" w:hAnsi="Arial" w:cs="Arial"/>
                <w:noProof/>
                <w:szCs w:val="24"/>
              </w:rPr>
              <w:t>Recommendation of A Comprehensive Turnaround Strategy</w:t>
            </w:r>
            <w:r w:rsidR="00CD15C4" w:rsidRPr="001A3235">
              <w:rPr>
                <w:rFonts w:ascii="Arial" w:hAnsi="Arial" w:cs="Arial"/>
                <w:noProof/>
                <w:webHidden/>
                <w:szCs w:val="24"/>
              </w:rPr>
              <w:tab/>
            </w:r>
            <w:r w:rsidR="00CD15C4" w:rsidRPr="001A3235">
              <w:rPr>
                <w:rFonts w:ascii="Arial" w:hAnsi="Arial" w:cs="Arial"/>
                <w:noProof/>
                <w:webHidden/>
                <w:szCs w:val="24"/>
              </w:rPr>
              <w:fldChar w:fldCharType="begin"/>
            </w:r>
            <w:r w:rsidR="00CD15C4" w:rsidRPr="001A3235">
              <w:rPr>
                <w:rFonts w:ascii="Arial" w:hAnsi="Arial" w:cs="Arial"/>
                <w:noProof/>
                <w:webHidden/>
                <w:szCs w:val="24"/>
              </w:rPr>
              <w:instrText xml:space="preserve"> PAGEREF _Toc168095751 \h </w:instrText>
            </w:r>
            <w:r w:rsidR="00CD15C4" w:rsidRPr="001A3235">
              <w:rPr>
                <w:rFonts w:ascii="Arial" w:hAnsi="Arial" w:cs="Arial"/>
                <w:noProof/>
                <w:webHidden/>
                <w:szCs w:val="24"/>
              </w:rPr>
            </w:r>
            <w:r w:rsidR="00CD15C4" w:rsidRPr="001A3235">
              <w:rPr>
                <w:rFonts w:ascii="Arial" w:hAnsi="Arial" w:cs="Arial"/>
                <w:noProof/>
                <w:webHidden/>
                <w:szCs w:val="24"/>
              </w:rPr>
              <w:fldChar w:fldCharType="separate"/>
            </w:r>
            <w:r w:rsidR="00C351C0" w:rsidRPr="001A3235">
              <w:rPr>
                <w:rFonts w:ascii="Arial" w:hAnsi="Arial" w:cs="Arial"/>
                <w:noProof/>
                <w:webHidden/>
                <w:szCs w:val="24"/>
              </w:rPr>
              <w:t>11</w:t>
            </w:r>
            <w:r w:rsidR="00CD15C4" w:rsidRPr="001A3235">
              <w:rPr>
                <w:rFonts w:ascii="Arial" w:hAnsi="Arial" w:cs="Arial"/>
                <w:noProof/>
                <w:webHidden/>
                <w:szCs w:val="24"/>
              </w:rPr>
              <w:fldChar w:fldCharType="end"/>
            </w:r>
          </w:hyperlink>
        </w:p>
        <w:p w14:paraId="78577B7E" w14:textId="4A52896E" w:rsidR="00CD15C4" w:rsidRPr="00C351C0" w:rsidRDefault="00000000" w:rsidP="00C351C0">
          <w:pPr>
            <w:pStyle w:val="TOC1"/>
            <w:tabs>
              <w:tab w:val="right" w:leader="dot" w:pos="9016"/>
            </w:tabs>
            <w:rPr>
              <w:rFonts w:ascii="Arial" w:eastAsiaTheme="minorEastAsia" w:hAnsi="Arial" w:cs="Arial"/>
              <w:noProof/>
              <w:kern w:val="2"/>
              <w:szCs w:val="24"/>
              <w:lang w:eastAsia="en-GB"/>
            </w:rPr>
          </w:pPr>
          <w:hyperlink w:anchor="_Toc168095752" w:history="1">
            <w:r w:rsidR="00CD15C4" w:rsidRPr="001A3235">
              <w:rPr>
                <w:rStyle w:val="Hyperlink"/>
                <w:rFonts w:ascii="Arial" w:hAnsi="Arial" w:cs="Arial"/>
                <w:noProof/>
                <w:szCs w:val="24"/>
              </w:rPr>
              <w:t>Reference</w:t>
            </w:r>
            <w:r w:rsidR="00CD15C4" w:rsidRPr="001A3235">
              <w:rPr>
                <w:rFonts w:ascii="Arial" w:hAnsi="Arial" w:cs="Arial"/>
                <w:noProof/>
                <w:webHidden/>
                <w:szCs w:val="24"/>
              </w:rPr>
              <w:tab/>
            </w:r>
            <w:r w:rsidR="00CD15C4" w:rsidRPr="001A3235">
              <w:rPr>
                <w:rFonts w:ascii="Arial" w:hAnsi="Arial" w:cs="Arial"/>
                <w:noProof/>
                <w:webHidden/>
                <w:szCs w:val="24"/>
              </w:rPr>
              <w:fldChar w:fldCharType="begin"/>
            </w:r>
            <w:r w:rsidR="00CD15C4" w:rsidRPr="001A3235">
              <w:rPr>
                <w:rFonts w:ascii="Arial" w:hAnsi="Arial" w:cs="Arial"/>
                <w:noProof/>
                <w:webHidden/>
                <w:szCs w:val="24"/>
              </w:rPr>
              <w:instrText xml:space="preserve"> PAGEREF _Toc168095752 \h </w:instrText>
            </w:r>
            <w:r w:rsidR="00CD15C4" w:rsidRPr="001A3235">
              <w:rPr>
                <w:rFonts w:ascii="Arial" w:hAnsi="Arial" w:cs="Arial"/>
                <w:noProof/>
                <w:webHidden/>
                <w:szCs w:val="24"/>
              </w:rPr>
            </w:r>
            <w:r w:rsidR="00CD15C4" w:rsidRPr="001A3235">
              <w:rPr>
                <w:rFonts w:ascii="Arial" w:hAnsi="Arial" w:cs="Arial"/>
                <w:noProof/>
                <w:webHidden/>
                <w:szCs w:val="24"/>
              </w:rPr>
              <w:fldChar w:fldCharType="separate"/>
            </w:r>
            <w:r w:rsidR="00C351C0" w:rsidRPr="001A3235">
              <w:rPr>
                <w:rFonts w:ascii="Arial" w:hAnsi="Arial" w:cs="Arial"/>
                <w:noProof/>
                <w:webHidden/>
                <w:szCs w:val="24"/>
              </w:rPr>
              <w:t>13</w:t>
            </w:r>
            <w:r w:rsidR="00CD15C4" w:rsidRPr="001A3235">
              <w:rPr>
                <w:rFonts w:ascii="Arial" w:hAnsi="Arial" w:cs="Arial"/>
                <w:noProof/>
                <w:webHidden/>
                <w:szCs w:val="24"/>
              </w:rPr>
              <w:fldChar w:fldCharType="end"/>
            </w:r>
          </w:hyperlink>
        </w:p>
        <w:p w14:paraId="11F36B17" w14:textId="4F297D1F" w:rsidR="00EE6B38" w:rsidRDefault="00EE6B38" w:rsidP="00C351C0">
          <w:pPr>
            <w:rPr>
              <w:color w:val="000000" w:themeColor="text1"/>
              <w:lang w:val="en-US"/>
            </w:rPr>
          </w:pPr>
          <w:r w:rsidRPr="00C351C0">
            <w:rPr>
              <w:rFonts w:ascii="Arial" w:hAnsi="Arial" w:cs="Arial"/>
              <w:b/>
              <w:bCs/>
              <w:noProof/>
              <w:szCs w:val="24"/>
            </w:rPr>
            <w:fldChar w:fldCharType="end"/>
          </w:r>
        </w:p>
      </w:sdtContent>
    </w:sdt>
    <w:p w14:paraId="166C30A3" w14:textId="710E909E" w:rsidR="005B4411" w:rsidRDefault="00EE6B38" w:rsidP="005B4411">
      <w:pPr>
        <w:spacing w:line="360" w:lineRule="auto"/>
        <w:jc w:val="center"/>
        <w:rPr>
          <w:rFonts w:ascii="Arial" w:hAnsi="Arial" w:cs="Arial"/>
          <w:b/>
          <w:bCs/>
          <w:sz w:val="44"/>
          <w:szCs w:val="44"/>
        </w:rPr>
      </w:pPr>
      <w:r>
        <w:rPr>
          <w:rFonts w:eastAsiaTheme="majorEastAsia" w:cstheme="majorBidi"/>
          <w:b/>
          <w:szCs w:val="32"/>
        </w:rPr>
        <w:br w:type="page"/>
      </w:r>
      <w:bookmarkStart w:id="1" w:name="_Hlk168558980"/>
      <w:r w:rsidR="005B4411" w:rsidRPr="00EE6B38">
        <w:rPr>
          <w:rFonts w:ascii="Arial" w:hAnsi="Arial" w:cs="Arial"/>
          <w:b/>
          <w:bCs/>
          <w:sz w:val="44"/>
          <w:szCs w:val="44"/>
        </w:rPr>
        <w:lastRenderedPageBreak/>
        <w:t xml:space="preserve">Report Case Study: Urban Heights Hotel </w:t>
      </w:r>
      <w:bookmarkEnd w:id="1"/>
    </w:p>
    <w:p w14:paraId="04686AC2" w14:textId="77777777" w:rsidR="005B4411" w:rsidRPr="00CD15C4" w:rsidRDefault="005B4411" w:rsidP="005B4411">
      <w:pPr>
        <w:spacing w:line="360" w:lineRule="auto"/>
        <w:jc w:val="center"/>
        <w:rPr>
          <w:rFonts w:ascii="Arial" w:hAnsi="Arial" w:cs="Arial"/>
          <w:b/>
          <w:bCs/>
          <w:sz w:val="44"/>
          <w:szCs w:val="44"/>
        </w:rPr>
      </w:pPr>
    </w:p>
    <w:p w14:paraId="28A9634D" w14:textId="0553472F" w:rsidR="00CD15C4" w:rsidRDefault="00EE6B38" w:rsidP="00457E71">
      <w:pPr>
        <w:pStyle w:val="Heading1"/>
        <w:spacing w:line="240" w:lineRule="auto"/>
        <w:rPr>
          <w:rFonts w:ascii="Arial" w:hAnsi="Arial" w:cs="Arial"/>
          <w:b/>
          <w:bCs/>
          <w:color w:val="auto"/>
        </w:rPr>
      </w:pPr>
      <w:bookmarkStart w:id="2" w:name="_Toc168095747"/>
      <w:r w:rsidRPr="00CD15C4">
        <w:rPr>
          <w:rFonts w:ascii="Arial" w:hAnsi="Arial" w:cs="Arial"/>
          <w:b/>
          <w:bCs/>
          <w:color w:val="auto"/>
        </w:rPr>
        <w:t>Introduction</w:t>
      </w:r>
      <w:bookmarkEnd w:id="2"/>
    </w:p>
    <w:p w14:paraId="081DECD7" w14:textId="77777777" w:rsidR="00457E71" w:rsidRPr="00457E71" w:rsidRDefault="00457E71" w:rsidP="00457E71">
      <w:pPr>
        <w:spacing w:line="240" w:lineRule="auto"/>
      </w:pPr>
    </w:p>
    <w:p w14:paraId="73AE0074" w14:textId="77777777" w:rsidR="001A3235" w:rsidRPr="001A3235" w:rsidRDefault="00EE6B38" w:rsidP="001A3235">
      <w:pPr>
        <w:spacing w:line="360" w:lineRule="auto"/>
        <w:rPr>
          <w:rFonts w:ascii="Arial" w:hAnsi="Arial" w:cs="Arial"/>
        </w:rPr>
      </w:pPr>
      <w:r>
        <w:rPr>
          <w:color w:val="FF0000"/>
        </w:rPr>
        <w:tab/>
      </w:r>
      <w:r w:rsidR="001A3235" w:rsidRPr="001A3235">
        <w:rPr>
          <w:rFonts w:ascii="Arial" w:hAnsi="Arial" w:cs="Arial"/>
        </w:rPr>
        <w:t>Located in the urban area, the Urban Heights is the hotel that offers the hospitality services relating to the hotel with event, bar, and restaurant facilities. The company has long been making a significantly financial performance; however, the recent few years has been extremely challenging for this company. The Urban Heights Hotel and resort has faced a major drop in sales, customer satisfaction, and the occupancy rates. These are the key areas of the hotels, a decline in this implies a threat of their survival. This condition of the Urban Heights Hotel has led its owners to think about the existing financial situation of the hotel. The owner is extremely concerned about the business’s viability and hence, need the expert intervention to assess and evaluate the existing financial condition facing the Urban Heights Hotel and assess if the business can be saved through the turnaround strategy.</w:t>
      </w:r>
    </w:p>
    <w:p w14:paraId="75546377" w14:textId="77777777" w:rsidR="001A3235" w:rsidRPr="001A3235" w:rsidRDefault="001A3235" w:rsidP="001A3235">
      <w:pPr>
        <w:spacing w:line="360" w:lineRule="auto"/>
        <w:ind w:firstLine="720"/>
        <w:rPr>
          <w:rFonts w:ascii="Arial" w:hAnsi="Arial" w:cs="Arial"/>
        </w:rPr>
      </w:pPr>
      <w:r w:rsidRPr="001A3235">
        <w:rPr>
          <w:rFonts w:ascii="Arial" w:hAnsi="Arial" w:cs="Arial"/>
        </w:rPr>
        <w:t xml:space="preserve">Hence, this paper aims to undertake financial analysis of the Urban Heights Hotel. The main objectives of this paper are evaluating the patterns and trends in the financial performance of the hotel over the previous 3 years by focusing on the key financial areas. Further, the main reasons behind the fall in the performance will be identified, taking into consideration the present economy and real-world events. Lastly, a comprehensive turnaround strategy will be developed to strengthen the financial health of the hotels and help restoring its reputation and enable viable financial results for the owner. </w:t>
      </w:r>
    </w:p>
    <w:p w14:paraId="0E5257E1" w14:textId="4178B9DA" w:rsidR="00EE6B38" w:rsidRDefault="00EE6B38" w:rsidP="001A3235">
      <w:pPr>
        <w:spacing w:line="360" w:lineRule="auto"/>
        <w:rPr>
          <w:rFonts w:ascii="Arial" w:hAnsi="Arial" w:cs="Arial"/>
        </w:rPr>
      </w:pPr>
      <w:r w:rsidRPr="00CD15C4">
        <w:rPr>
          <w:rFonts w:ascii="Arial" w:hAnsi="Arial" w:cs="Arial"/>
        </w:rPr>
        <w:t xml:space="preserve"> </w:t>
      </w:r>
    </w:p>
    <w:p w14:paraId="4CCE08A4" w14:textId="77777777" w:rsidR="00457E71" w:rsidRDefault="00457E71" w:rsidP="00CD15C4">
      <w:pPr>
        <w:spacing w:line="360" w:lineRule="auto"/>
        <w:ind w:firstLine="720"/>
        <w:rPr>
          <w:rFonts w:ascii="Arial" w:hAnsi="Arial" w:cs="Arial"/>
        </w:rPr>
      </w:pPr>
    </w:p>
    <w:p w14:paraId="6EC557C2" w14:textId="77777777" w:rsidR="00457E71" w:rsidRPr="00CD15C4" w:rsidRDefault="00457E71" w:rsidP="00CD15C4">
      <w:pPr>
        <w:spacing w:line="360" w:lineRule="auto"/>
        <w:ind w:firstLine="720"/>
        <w:rPr>
          <w:rFonts w:ascii="Arial" w:hAnsi="Arial" w:cs="Arial"/>
        </w:rPr>
      </w:pPr>
    </w:p>
    <w:p w14:paraId="0801F97B" w14:textId="77777777" w:rsidR="00EE6B38" w:rsidRDefault="00EE6B38" w:rsidP="00457E71">
      <w:pPr>
        <w:pStyle w:val="Heading1"/>
        <w:spacing w:line="240" w:lineRule="auto"/>
        <w:rPr>
          <w:rFonts w:ascii="Arial" w:hAnsi="Arial" w:cs="Arial"/>
          <w:b/>
          <w:bCs/>
          <w:color w:val="auto"/>
        </w:rPr>
      </w:pPr>
      <w:bookmarkStart w:id="3" w:name="_Toc168095748"/>
      <w:r w:rsidRPr="00CD15C4">
        <w:rPr>
          <w:rFonts w:ascii="Arial" w:hAnsi="Arial" w:cs="Arial"/>
          <w:b/>
          <w:bCs/>
          <w:color w:val="auto"/>
        </w:rPr>
        <w:lastRenderedPageBreak/>
        <w:t>Evaluation of the Patterns and Trends on the Financial Performance</w:t>
      </w:r>
      <w:bookmarkEnd w:id="3"/>
    </w:p>
    <w:p w14:paraId="6567D45F" w14:textId="77777777" w:rsidR="00457E71" w:rsidRPr="00457E71" w:rsidRDefault="00457E71" w:rsidP="00457E71">
      <w:pPr>
        <w:spacing w:line="240" w:lineRule="auto"/>
      </w:pPr>
    </w:p>
    <w:p w14:paraId="4ECC93A3" w14:textId="77777777" w:rsidR="00EE6B38" w:rsidRPr="00CD15C4" w:rsidRDefault="00EE6B38" w:rsidP="00CD15C4">
      <w:pPr>
        <w:spacing w:line="360" w:lineRule="auto"/>
        <w:rPr>
          <w:rFonts w:ascii="Arial" w:hAnsi="Arial" w:cs="Arial"/>
        </w:rPr>
      </w:pPr>
      <w:r>
        <w:tab/>
      </w:r>
      <w:r w:rsidRPr="00CD15C4">
        <w:rPr>
          <w:rFonts w:ascii="Arial" w:hAnsi="Arial" w:cs="Arial"/>
        </w:rPr>
        <w:t xml:space="preserve">In business, financial managers and the shareholders/investors are always engaged in decision-making process by </w:t>
      </w:r>
      <w:proofErr w:type="spellStart"/>
      <w:r w:rsidRPr="00CD15C4">
        <w:rPr>
          <w:rFonts w:ascii="Arial" w:hAnsi="Arial" w:cs="Arial"/>
        </w:rPr>
        <w:t>analyzing</w:t>
      </w:r>
      <w:proofErr w:type="spellEnd"/>
      <w:r w:rsidRPr="00CD15C4">
        <w:rPr>
          <w:rFonts w:ascii="Arial" w:hAnsi="Arial" w:cs="Arial"/>
        </w:rPr>
        <w:t xml:space="preserve"> the financial statements. The financial statement’s analysis requires the application of the tools, techniques, and various other methods to assess the company’s financial condition, thereby making business decisions or investment decisions (Hasanaj and Kuqi 2019). By closely looking at and examining the figures of the financial statements, the managers and the analysts will be in a better position to make sound decisions (</w:t>
      </w:r>
      <w:proofErr w:type="spellStart"/>
      <w:r w:rsidRPr="00CD15C4">
        <w:rPr>
          <w:rFonts w:ascii="Arial" w:hAnsi="Arial" w:cs="Arial"/>
        </w:rPr>
        <w:t>Fridson</w:t>
      </w:r>
      <w:proofErr w:type="spellEnd"/>
      <w:r w:rsidRPr="00CD15C4">
        <w:rPr>
          <w:rFonts w:ascii="Arial" w:hAnsi="Arial" w:cs="Arial"/>
        </w:rPr>
        <w:t xml:space="preserve"> and Alvarez 2022).</w:t>
      </w:r>
    </w:p>
    <w:p w14:paraId="28D9EE93" w14:textId="77777777" w:rsidR="001A3235" w:rsidRPr="001A3235" w:rsidRDefault="00EE6B38" w:rsidP="001A3235">
      <w:pPr>
        <w:spacing w:line="360" w:lineRule="auto"/>
        <w:rPr>
          <w:rFonts w:ascii="Arial" w:hAnsi="Arial" w:cs="Arial"/>
        </w:rPr>
      </w:pPr>
      <w:r w:rsidRPr="00CD15C4">
        <w:rPr>
          <w:rFonts w:ascii="Arial" w:hAnsi="Arial" w:cs="Arial"/>
        </w:rPr>
        <w:tab/>
      </w:r>
      <w:r w:rsidR="001A3235" w:rsidRPr="001A3235">
        <w:rPr>
          <w:rFonts w:ascii="Arial" w:hAnsi="Arial" w:cs="Arial"/>
        </w:rPr>
        <w:t xml:space="preserve">The hospitality industry is going through the major </w:t>
      </w:r>
      <w:proofErr w:type="spellStart"/>
      <w:r w:rsidR="001A3235" w:rsidRPr="001A3235">
        <w:rPr>
          <w:rFonts w:ascii="Arial" w:hAnsi="Arial" w:cs="Arial"/>
        </w:rPr>
        <w:t>set back</w:t>
      </w:r>
      <w:proofErr w:type="spellEnd"/>
      <w:r w:rsidR="001A3235" w:rsidRPr="001A3235">
        <w:rPr>
          <w:rFonts w:ascii="Arial" w:hAnsi="Arial" w:cs="Arial"/>
        </w:rPr>
        <w:t xml:space="preserve"> in the past few years because of the changing customer’s preferences, market expectations, and the COVID-19’s impact on the industry. Hence, since the Urban Heights operate in the hospitality industry, it also faced the severe impacts of these trends, patterns, and crisis, causing the severe drop in its financial performance. The present situation facing the Urban Heights, if not assessed and managed, may threaten the existence of the hotel in the </w:t>
      </w:r>
      <w:proofErr w:type="gramStart"/>
      <w:r w:rsidR="001A3235" w:rsidRPr="001A3235">
        <w:rPr>
          <w:rFonts w:ascii="Arial" w:hAnsi="Arial" w:cs="Arial"/>
        </w:rPr>
        <w:t>long-run</w:t>
      </w:r>
      <w:proofErr w:type="gramEnd"/>
      <w:r w:rsidR="001A3235" w:rsidRPr="001A3235">
        <w:rPr>
          <w:rFonts w:ascii="Arial" w:hAnsi="Arial" w:cs="Arial"/>
        </w:rPr>
        <w:t xml:space="preserve">. Given this, the patterns and trends of the financial condition of Urban Heights are </w:t>
      </w:r>
      <w:proofErr w:type="spellStart"/>
      <w:r w:rsidR="001A3235" w:rsidRPr="001A3235">
        <w:rPr>
          <w:rFonts w:ascii="Arial" w:hAnsi="Arial" w:cs="Arial"/>
        </w:rPr>
        <w:t>analyzed</w:t>
      </w:r>
      <w:proofErr w:type="spellEnd"/>
      <w:r w:rsidR="001A3235" w:rsidRPr="001A3235">
        <w:rPr>
          <w:rFonts w:ascii="Arial" w:hAnsi="Arial" w:cs="Arial"/>
        </w:rPr>
        <w:t xml:space="preserve"> using its financial statements and the key measures, such as the profitability, liquidity, and gearing in the below points.</w:t>
      </w:r>
    </w:p>
    <w:p w14:paraId="1948B7A6" w14:textId="4BA248EE" w:rsidR="00EE6B38" w:rsidRPr="00CD15C4" w:rsidRDefault="00EE6B38" w:rsidP="00CD15C4">
      <w:pPr>
        <w:spacing w:line="360" w:lineRule="auto"/>
        <w:rPr>
          <w:rFonts w:ascii="Arial" w:hAnsi="Arial" w:cs="Arial"/>
        </w:rPr>
      </w:pPr>
    </w:p>
    <w:tbl>
      <w:tblPr>
        <w:tblW w:w="6225" w:type="dxa"/>
        <w:jc w:val="center"/>
        <w:tblLook w:val="04A0" w:firstRow="1" w:lastRow="0" w:firstColumn="1" w:lastColumn="0" w:noHBand="0" w:noVBand="1"/>
      </w:tblPr>
      <w:tblGrid>
        <w:gridCol w:w="1980"/>
        <w:gridCol w:w="1751"/>
        <w:gridCol w:w="1751"/>
        <w:gridCol w:w="1751"/>
      </w:tblGrid>
      <w:tr w:rsidR="00EE6B38" w:rsidRPr="00CD15C4" w14:paraId="341CD3FE" w14:textId="77777777" w:rsidTr="00EE6B38">
        <w:trPr>
          <w:trHeight w:val="300"/>
          <w:jc w:val="center"/>
        </w:trPr>
        <w:tc>
          <w:tcPr>
            <w:tcW w:w="1980" w:type="dxa"/>
            <w:tcBorders>
              <w:top w:val="single" w:sz="8" w:space="0" w:color="auto"/>
              <w:left w:val="single" w:sz="8" w:space="0" w:color="auto"/>
              <w:bottom w:val="single" w:sz="4" w:space="0" w:color="auto"/>
              <w:right w:val="single" w:sz="4" w:space="0" w:color="auto"/>
            </w:tcBorders>
            <w:shd w:val="clear" w:color="auto" w:fill="FFD966"/>
            <w:noWrap/>
            <w:vAlign w:val="bottom"/>
            <w:hideMark/>
          </w:tcPr>
          <w:p w14:paraId="15BA1035"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w:t>
            </w:r>
          </w:p>
        </w:tc>
        <w:tc>
          <w:tcPr>
            <w:tcW w:w="1415" w:type="dxa"/>
            <w:tcBorders>
              <w:top w:val="single" w:sz="8" w:space="0" w:color="auto"/>
              <w:left w:val="nil"/>
              <w:bottom w:val="single" w:sz="4" w:space="0" w:color="auto"/>
              <w:right w:val="single" w:sz="4" w:space="0" w:color="auto"/>
            </w:tcBorders>
            <w:shd w:val="clear" w:color="auto" w:fill="FFD966"/>
            <w:noWrap/>
            <w:vAlign w:val="bottom"/>
            <w:hideMark/>
          </w:tcPr>
          <w:p w14:paraId="1E0C7DE0" w14:textId="77777777" w:rsidR="00EE6B38" w:rsidRPr="00CD15C4" w:rsidRDefault="00EE6B38" w:rsidP="00457E71">
            <w:pPr>
              <w:spacing w:after="0" w:line="240" w:lineRule="auto"/>
              <w:jc w:val="righ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2021</w:t>
            </w:r>
          </w:p>
        </w:tc>
        <w:tc>
          <w:tcPr>
            <w:tcW w:w="1415" w:type="dxa"/>
            <w:tcBorders>
              <w:top w:val="single" w:sz="8" w:space="0" w:color="auto"/>
              <w:left w:val="nil"/>
              <w:bottom w:val="single" w:sz="4" w:space="0" w:color="auto"/>
              <w:right w:val="single" w:sz="4" w:space="0" w:color="auto"/>
            </w:tcBorders>
            <w:shd w:val="clear" w:color="auto" w:fill="FFD966"/>
            <w:noWrap/>
            <w:vAlign w:val="bottom"/>
            <w:hideMark/>
          </w:tcPr>
          <w:p w14:paraId="6045ABD3" w14:textId="77777777" w:rsidR="00EE6B38" w:rsidRPr="00CD15C4" w:rsidRDefault="00EE6B38" w:rsidP="00457E71">
            <w:pPr>
              <w:spacing w:after="0" w:line="240" w:lineRule="auto"/>
              <w:jc w:val="righ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2022</w:t>
            </w:r>
          </w:p>
        </w:tc>
        <w:tc>
          <w:tcPr>
            <w:tcW w:w="1415" w:type="dxa"/>
            <w:tcBorders>
              <w:top w:val="single" w:sz="8" w:space="0" w:color="auto"/>
              <w:left w:val="nil"/>
              <w:bottom w:val="single" w:sz="4" w:space="0" w:color="auto"/>
              <w:right w:val="single" w:sz="8" w:space="0" w:color="auto"/>
            </w:tcBorders>
            <w:shd w:val="clear" w:color="auto" w:fill="FFD966"/>
            <w:noWrap/>
            <w:vAlign w:val="bottom"/>
            <w:hideMark/>
          </w:tcPr>
          <w:p w14:paraId="6BDDB95B" w14:textId="77777777" w:rsidR="00EE6B38" w:rsidRPr="00CD15C4" w:rsidRDefault="00EE6B38" w:rsidP="00457E71">
            <w:pPr>
              <w:spacing w:after="0" w:line="240" w:lineRule="auto"/>
              <w:jc w:val="righ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2023</w:t>
            </w:r>
          </w:p>
        </w:tc>
      </w:tr>
      <w:tr w:rsidR="00EE6B38" w:rsidRPr="00CD15C4" w14:paraId="39E8281B" w14:textId="77777777" w:rsidTr="00EE6B38">
        <w:trPr>
          <w:trHeight w:val="300"/>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50FD7B88"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Revenue</w:t>
            </w:r>
          </w:p>
        </w:tc>
        <w:tc>
          <w:tcPr>
            <w:tcW w:w="1415" w:type="dxa"/>
            <w:tcBorders>
              <w:top w:val="nil"/>
              <w:left w:val="nil"/>
              <w:bottom w:val="single" w:sz="4" w:space="0" w:color="auto"/>
              <w:right w:val="single" w:sz="4" w:space="0" w:color="auto"/>
            </w:tcBorders>
            <w:shd w:val="clear" w:color="auto" w:fill="BDD7EE"/>
            <w:noWrap/>
            <w:vAlign w:val="bottom"/>
            <w:hideMark/>
          </w:tcPr>
          <w:p w14:paraId="2778FC74"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£2,500,000.00 </w:t>
            </w:r>
          </w:p>
        </w:tc>
        <w:tc>
          <w:tcPr>
            <w:tcW w:w="1415" w:type="dxa"/>
            <w:tcBorders>
              <w:top w:val="nil"/>
              <w:left w:val="nil"/>
              <w:bottom w:val="single" w:sz="4" w:space="0" w:color="auto"/>
              <w:right w:val="single" w:sz="4" w:space="0" w:color="auto"/>
            </w:tcBorders>
            <w:shd w:val="clear" w:color="auto" w:fill="BDD7EE"/>
            <w:noWrap/>
            <w:vAlign w:val="bottom"/>
            <w:hideMark/>
          </w:tcPr>
          <w:p w14:paraId="6779C521"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£2,200,000.00 </w:t>
            </w:r>
          </w:p>
        </w:tc>
        <w:tc>
          <w:tcPr>
            <w:tcW w:w="1415" w:type="dxa"/>
            <w:tcBorders>
              <w:top w:val="nil"/>
              <w:left w:val="nil"/>
              <w:bottom w:val="single" w:sz="4" w:space="0" w:color="auto"/>
              <w:right w:val="single" w:sz="8" w:space="0" w:color="auto"/>
            </w:tcBorders>
            <w:shd w:val="clear" w:color="auto" w:fill="BDD7EE"/>
            <w:noWrap/>
            <w:vAlign w:val="bottom"/>
            <w:hideMark/>
          </w:tcPr>
          <w:p w14:paraId="458C7EC5"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£1,800,000.00 </w:t>
            </w:r>
          </w:p>
        </w:tc>
      </w:tr>
      <w:tr w:rsidR="00EE6B38" w:rsidRPr="00CD15C4" w14:paraId="77D05EEB" w14:textId="77777777" w:rsidTr="00EE6B38">
        <w:trPr>
          <w:trHeight w:val="315"/>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1A5753CD"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Operating Expenses</w:t>
            </w:r>
          </w:p>
        </w:tc>
        <w:tc>
          <w:tcPr>
            <w:tcW w:w="1415" w:type="dxa"/>
            <w:tcBorders>
              <w:top w:val="nil"/>
              <w:left w:val="nil"/>
              <w:bottom w:val="single" w:sz="4" w:space="0" w:color="auto"/>
              <w:right w:val="single" w:sz="4" w:space="0" w:color="auto"/>
            </w:tcBorders>
            <w:shd w:val="clear" w:color="auto" w:fill="BDD7EE"/>
            <w:noWrap/>
            <w:vAlign w:val="bottom"/>
            <w:hideMark/>
          </w:tcPr>
          <w:p w14:paraId="23369799"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£1,800,000.00 </w:t>
            </w:r>
          </w:p>
        </w:tc>
        <w:tc>
          <w:tcPr>
            <w:tcW w:w="1415" w:type="dxa"/>
            <w:tcBorders>
              <w:top w:val="nil"/>
              <w:left w:val="nil"/>
              <w:bottom w:val="single" w:sz="4" w:space="0" w:color="auto"/>
              <w:right w:val="single" w:sz="4" w:space="0" w:color="auto"/>
            </w:tcBorders>
            <w:shd w:val="clear" w:color="auto" w:fill="BDD7EE"/>
            <w:noWrap/>
            <w:vAlign w:val="bottom"/>
            <w:hideMark/>
          </w:tcPr>
          <w:p w14:paraId="00627DEF"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£2,000,000.00 </w:t>
            </w:r>
          </w:p>
        </w:tc>
        <w:tc>
          <w:tcPr>
            <w:tcW w:w="1415" w:type="dxa"/>
            <w:tcBorders>
              <w:top w:val="nil"/>
              <w:left w:val="nil"/>
              <w:bottom w:val="single" w:sz="4" w:space="0" w:color="auto"/>
              <w:right w:val="single" w:sz="8" w:space="0" w:color="auto"/>
            </w:tcBorders>
            <w:shd w:val="clear" w:color="auto" w:fill="BDD7EE"/>
            <w:noWrap/>
            <w:vAlign w:val="bottom"/>
            <w:hideMark/>
          </w:tcPr>
          <w:p w14:paraId="5D85F9E3"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£2,300,000.00 </w:t>
            </w:r>
          </w:p>
        </w:tc>
      </w:tr>
      <w:tr w:rsidR="00EE6B38" w:rsidRPr="00CD15C4" w14:paraId="0542B5D8" w14:textId="77777777" w:rsidTr="00EE6B38">
        <w:trPr>
          <w:trHeight w:val="315"/>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0FD6435A"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Net Income</w:t>
            </w:r>
          </w:p>
        </w:tc>
        <w:tc>
          <w:tcPr>
            <w:tcW w:w="1415" w:type="dxa"/>
            <w:tcBorders>
              <w:top w:val="nil"/>
              <w:left w:val="nil"/>
              <w:bottom w:val="single" w:sz="4" w:space="0" w:color="auto"/>
              <w:right w:val="single" w:sz="4" w:space="0" w:color="auto"/>
            </w:tcBorders>
            <w:shd w:val="clear" w:color="auto" w:fill="BDD7EE"/>
            <w:noWrap/>
            <w:vAlign w:val="bottom"/>
            <w:hideMark/>
          </w:tcPr>
          <w:p w14:paraId="29E28F6A"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£700,000.00 </w:t>
            </w:r>
          </w:p>
        </w:tc>
        <w:tc>
          <w:tcPr>
            <w:tcW w:w="1415" w:type="dxa"/>
            <w:tcBorders>
              <w:top w:val="nil"/>
              <w:left w:val="nil"/>
              <w:bottom w:val="single" w:sz="4" w:space="0" w:color="auto"/>
              <w:right w:val="single" w:sz="4" w:space="0" w:color="auto"/>
            </w:tcBorders>
            <w:shd w:val="clear" w:color="auto" w:fill="BDD7EE"/>
            <w:noWrap/>
            <w:vAlign w:val="bottom"/>
            <w:hideMark/>
          </w:tcPr>
          <w:p w14:paraId="73A4A66D"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£200,000.00 </w:t>
            </w:r>
          </w:p>
        </w:tc>
        <w:tc>
          <w:tcPr>
            <w:tcW w:w="1415" w:type="dxa"/>
            <w:tcBorders>
              <w:top w:val="nil"/>
              <w:left w:val="nil"/>
              <w:bottom w:val="single" w:sz="4" w:space="0" w:color="auto"/>
              <w:right w:val="single" w:sz="8" w:space="0" w:color="auto"/>
            </w:tcBorders>
            <w:shd w:val="clear" w:color="auto" w:fill="BDD7EE"/>
            <w:noWrap/>
            <w:vAlign w:val="bottom"/>
            <w:hideMark/>
          </w:tcPr>
          <w:p w14:paraId="0E91AA66"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£500,000.00 </w:t>
            </w:r>
          </w:p>
        </w:tc>
      </w:tr>
      <w:tr w:rsidR="00EE6B38" w:rsidRPr="00CD15C4" w14:paraId="687251A7" w14:textId="77777777" w:rsidTr="00EE6B38">
        <w:trPr>
          <w:trHeight w:val="300"/>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6B46C814"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NP Margin</w:t>
            </w:r>
          </w:p>
        </w:tc>
        <w:tc>
          <w:tcPr>
            <w:tcW w:w="1415" w:type="dxa"/>
            <w:tcBorders>
              <w:top w:val="nil"/>
              <w:left w:val="nil"/>
              <w:bottom w:val="single" w:sz="4" w:space="0" w:color="auto"/>
              <w:right w:val="single" w:sz="4" w:space="0" w:color="auto"/>
            </w:tcBorders>
            <w:shd w:val="clear" w:color="auto" w:fill="BDD7EE"/>
            <w:noWrap/>
            <w:vAlign w:val="bottom"/>
            <w:hideMark/>
          </w:tcPr>
          <w:p w14:paraId="15769257"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28%</w:t>
            </w:r>
          </w:p>
        </w:tc>
        <w:tc>
          <w:tcPr>
            <w:tcW w:w="1415" w:type="dxa"/>
            <w:tcBorders>
              <w:top w:val="nil"/>
              <w:left w:val="nil"/>
              <w:bottom w:val="single" w:sz="4" w:space="0" w:color="auto"/>
              <w:right w:val="single" w:sz="4" w:space="0" w:color="auto"/>
            </w:tcBorders>
            <w:shd w:val="clear" w:color="auto" w:fill="BDD7EE"/>
            <w:noWrap/>
            <w:vAlign w:val="bottom"/>
            <w:hideMark/>
          </w:tcPr>
          <w:p w14:paraId="00D8DCD1"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9%</w:t>
            </w:r>
          </w:p>
        </w:tc>
        <w:tc>
          <w:tcPr>
            <w:tcW w:w="1415" w:type="dxa"/>
            <w:tcBorders>
              <w:top w:val="nil"/>
              <w:left w:val="nil"/>
              <w:bottom w:val="single" w:sz="4" w:space="0" w:color="auto"/>
              <w:right w:val="single" w:sz="8" w:space="0" w:color="auto"/>
            </w:tcBorders>
            <w:shd w:val="clear" w:color="auto" w:fill="BDD7EE"/>
            <w:noWrap/>
            <w:vAlign w:val="bottom"/>
            <w:hideMark/>
          </w:tcPr>
          <w:p w14:paraId="1A9BDCCD"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-28%</w:t>
            </w:r>
          </w:p>
        </w:tc>
      </w:tr>
      <w:tr w:rsidR="00EE6B38" w:rsidRPr="00CD15C4" w14:paraId="7837BBBC" w14:textId="77777777" w:rsidTr="00EE6B38">
        <w:trPr>
          <w:trHeight w:val="300"/>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04B36D51"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ROA</w:t>
            </w:r>
          </w:p>
        </w:tc>
        <w:tc>
          <w:tcPr>
            <w:tcW w:w="1415" w:type="dxa"/>
            <w:tcBorders>
              <w:top w:val="nil"/>
              <w:left w:val="nil"/>
              <w:bottom w:val="single" w:sz="4" w:space="0" w:color="auto"/>
              <w:right w:val="single" w:sz="4" w:space="0" w:color="auto"/>
            </w:tcBorders>
            <w:shd w:val="clear" w:color="auto" w:fill="BDD7EE"/>
            <w:noWrap/>
            <w:vAlign w:val="bottom"/>
            <w:hideMark/>
          </w:tcPr>
          <w:p w14:paraId="72757EF6"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13%</w:t>
            </w:r>
          </w:p>
        </w:tc>
        <w:tc>
          <w:tcPr>
            <w:tcW w:w="1415" w:type="dxa"/>
            <w:tcBorders>
              <w:top w:val="nil"/>
              <w:left w:val="nil"/>
              <w:bottom w:val="single" w:sz="4" w:space="0" w:color="auto"/>
              <w:right w:val="single" w:sz="4" w:space="0" w:color="auto"/>
            </w:tcBorders>
            <w:shd w:val="clear" w:color="auto" w:fill="BDD7EE"/>
            <w:noWrap/>
            <w:vAlign w:val="bottom"/>
            <w:hideMark/>
          </w:tcPr>
          <w:p w14:paraId="20948899"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4%</w:t>
            </w:r>
          </w:p>
        </w:tc>
        <w:tc>
          <w:tcPr>
            <w:tcW w:w="1415" w:type="dxa"/>
            <w:tcBorders>
              <w:top w:val="nil"/>
              <w:left w:val="nil"/>
              <w:bottom w:val="single" w:sz="4" w:space="0" w:color="auto"/>
              <w:right w:val="single" w:sz="8" w:space="0" w:color="auto"/>
            </w:tcBorders>
            <w:shd w:val="clear" w:color="auto" w:fill="BDD7EE"/>
            <w:noWrap/>
            <w:vAlign w:val="bottom"/>
            <w:hideMark/>
          </w:tcPr>
          <w:p w14:paraId="7D491857"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-11%</w:t>
            </w:r>
          </w:p>
        </w:tc>
      </w:tr>
      <w:tr w:rsidR="00EE6B38" w:rsidRPr="00CD15C4" w14:paraId="0D33392B" w14:textId="77777777" w:rsidTr="00EE6B38">
        <w:trPr>
          <w:trHeight w:val="300"/>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0D2A1E80"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ROE</w:t>
            </w:r>
          </w:p>
        </w:tc>
        <w:tc>
          <w:tcPr>
            <w:tcW w:w="1415" w:type="dxa"/>
            <w:tcBorders>
              <w:top w:val="nil"/>
              <w:left w:val="nil"/>
              <w:bottom w:val="single" w:sz="4" w:space="0" w:color="auto"/>
              <w:right w:val="single" w:sz="4" w:space="0" w:color="auto"/>
            </w:tcBorders>
            <w:shd w:val="clear" w:color="auto" w:fill="BDD7EE"/>
            <w:noWrap/>
            <w:vAlign w:val="bottom"/>
            <w:hideMark/>
          </w:tcPr>
          <w:p w14:paraId="23E0CA13"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32%</w:t>
            </w:r>
          </w:p>
        </w:tc>
        <w:tc>
          <w:tcPr>
            <w:tcW w:w="1415" w:type="dxa"/>
            <w:tcBorders>
              <w:top w:val="nil"/>
              <w:left w:val="nil"/>
              <w:bottom w:val="single" w:sz="4" w:space="0" w:color="auto"/>
              <w:right w:val="single" w:sz="4" w:space="0" w:color="auto"/>
            </w:tcBorders>
            <w:shd w:val="clear" w:color="auto" w:fill="BDD7EE"/>
            <w:noWrap/>
            <w:vAlign w:val="bottom"/>
            <w:hideMark/>
          </w:tcPr>
          <w:p w14:paraId="01B50FE0"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11%</w:t>
            </w:r>
          </w:p>
        </w:tc>
        <w:tc>
          <w:tcPr>
            <w:tcW w:w="1415" w:type="dxa"/>
            <w:tcBorders>
              <w:top w:val="nil"/>
              <w:left w:val="nil"/>
              <w:bottom w:val="single" w:sz="4" w:space="0" w:color="auto"/>
              <w:right w:val="single" w:sz="8" w:space="0" w:color="auto"/>
            </w:tcBorders>
            <w:shd w:val="clear" w:color="auto" w:fill="BDD7EE"/>
            <w:noWrap/>
            <w:vAlign w:val="bottom"/>
            <w:hideMark/>
          </w:tcPr>
          <w:p w14:paraId="1A2EB71B"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-36%</w:t>
            </w:r>
          </w:p>
        </w:tc>
      </w:tr>
      <w:tr w:rsidR="00EE6B38" w:rsidRPr="00CD15C4" w14:paraId="11D38D5C" w14:textId="77777777" w:rsidTr="00EE6B38">
        <w:trPr>
          <w:trHeight w:val="315"/>
          <w:jc w:val="center"/>
        </w:trPr>
        <w:tc>
          <w:tcPr>
            <w:tcW w:w="1980" w:type="dxa"/>
            <w:tcBorders>
              <w:top w:val="nil"/>
              <w:left w:val="single" w:sz="8" w:space="0" w:color="auto"/>
              <w:bottom w:val="single" w:sz="4" w:space="0" w:color="auto"/>
              <w:right w:val="single" w:sz="4" w:space="0" w:color="auto"/>
            </w:tcBorders>
            <w:shd w:val="clear" w:color="auto" w:fill="E2EFDA"/>
            <w:noWrap/>
            <w:vAlign w:val="bottom"/>
            <w:hideMark/>
          </w:tcPr>
          <w:p w14:paraId="0124CD23"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Current Ratio</w:t>
            </w:r>
          </w:p>
        </w:tc>
        <w:tc>
          <w:tcPr>
            <w:tcW w:w="1415" w:type="dxa"/>
            <w:tcBorders>
              <w:top w:val="nil"/>
              <w:left w:val="nil"/>
              <w:bottom w:val="single" w:sz="4" w:space="0" w:color="auto"/>
              <w:right w:val="single" w:sz="4" w:space="0" w:color="auto"/>
            </w:tcBorders>
            <w:shd w:val="clear" w:color="auto" w:fill="BDD7EE"/>
            <w:noWrap/>
            <w:vAlign w:val="bottom"/>
            <w:hideMark/>
          </w:tcPr>
          <w:p w14:paraId="7BDE7920"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1.80 </w:t>
            </w:r>
          </w:p>
        </w:tc>
        <w:tc>
          <w:tcPr>
            <w:tcW w:w="1415" w:type="dxa"/>
            <w:tcBorders>
              <w:top w:val="nil"/>
              <w:left w:val="nil"/>
              <w:bottom w:val="single" w:sz="4" w:space="0" w:color="auto"/>
              <w:right w:val="single" w:sz="4" w:space="0" w:color="auto"/>
            </w:tcBorders>
            <w:shd w:val="clear" w:color="auto" w:fill="BDD7EE"/>
            <w:noWrap/>
            <w:vAlign w:val="bottom"/>
            <w:hideMark/>
          </w:tcPr>
          <w:p w14:paraId="20D9B06C"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1.11 </w:t>
            </w:r>
          </w:p>
        </w:tc>
        <w:tc>
          <w:tcPr>
            <w:tcW w:w="1415" w:type="dxa"/>
            <w:tcBorders>
              <w:top w:val="nil"/>
              <w:left w:val="nil"/>
              <w:bottom w:val="single" w:sz="4" w:space="0" w:color="auto"/>
              <w:right w:val="single" w:sz="8" w:space="0" w:color="auto"/>
            </w:tcBorders>
            <w:shd w:val="clear" w:color="auto" w:fill="BDD7EE"/>
            <w:noWrap/>
            <w:vAlign w:val="bottom"/>
            <w:hideMark/>
          </w:tcPr>
          <w:p w14:paraId="5A51DE8C"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0.60 </w:t>
            </w:r>
          </w:p>
        </w:tc>
      </w:tr>
      <w:tr w:rsidR="00EE6B38" w:rsidRPr="00CD15C4" w14:paraId="4CEDE834" w14:textId="77777777" w:rsidTr="00EE6B38">
        <w:trPr>
          <w:trHeight w:val="315"/>
          <w:jc w:val="center"/>
        </w:trPr>
        <w:tc>
          <w:tcPr>
            <w:tcW w:w="1980" w:type="dxa"/>
            <w:tcBorders>
              <w:top w:val="nil"/>
              <w:left w:val="single" w:sz="8" w:space="0" w:color="auto"/>
              <w:bottom w:val="nil"/>
              <w:right w:val="single" w:sz="4" w:space="0" w:color="auto"/>
            </w:tcBorders>
            <w:shd w:val="clear" w:color="auto" w:fill="E2EFDA"/>
            <w:noWrap/>
            <w:vAlign w:val="bottom"/>
            <w:hideMark/>
          </w:tcPr>
          <w:p w14:paraId="7BE2B67E"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Cash Ratio</w:t>
            </w:r>
          </w:p>
        </w:tc>
        <w:tc>
          <w:tcPr>
            <w:tcW w:w="1415" w:type="dxa"/>
            <w:tcBorders>
              <w:top w:val="nil"/>
              <w:left w:val="nil"/>
              <w:bottom w:val="single" w:sz="4" w:space="0" w:color="auto"/>
              <w:right w:val="single" w:sz="4" w:space="0" w:color="auto"/>
            </w:tcBorders>
            <w:shd w:val="clear" w:color="auto" w:fill="BDD7EE"/>
            <w:noWrap/>
            <w:vAlign w:val="bottom"/>
            <w:hideMark/>
          </w:tcPr>
          <w:p w14:paraId="43800931"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1.20 </w:t>
            </w:r>
          </w:p>
        </w:tc>
        <w:tc>
          <w:tcPr>
            <w:tcW w:w="1415" w:type="dxa"/>
            <w:tcBorders>
              <w:top w:val="nil"/>
              <w:left w:val="nil"/>
              <w:bottom w:val="single" w:sz="4" w:space="0" w:color="auto"/>
              <w:right w:val="single" w:sz="4" w:space="0" w:color="auto"/>
            </w:tcBorders>
            <w:shd w:val="clear" w:color="auto" w:fill="BDD7EE"/>
            <w:noWrap/>
            <w:vAlign w:val="bottom"/>
            <w:hideMark/>
          </w:tcPr>
          <w:p w14:paraId="21ED7BBD"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0.74 </w:t>
            </w:r>
          </w:p>
        </w:tc>
        <w:tc>
          <w:tcPr>
            <w:tcW w:w="1415" w:type="dxa"/>
            <w:tcBorders>
              <w:top w:val="nil"/>
              <w:left w:val="nil"/>
              <w:bottom w:val="single" w:sz="4" w:space="0" w:color="auto"/>
              <w:right w:val="single" w:sz="8" w:space="0" w:color="auto"/>
            </w:tcBorders>
            <w:shd w:val="clear" w:color="auto" w:fill="BDD7EE"/>
            <w:noWrap/>
            <w:vAlign w:val="bottom"/>
            <w:hideMark/>
          </w:tcPr>
          <w:p w14:paraId="2EB0BA75" w14:textId="77777777" w:rsidR="00EE6B38" w:rsidRPr="00CD15C4" w:rsidRDefault="00EE6B38" w:rsidP="00457E71">
            <w:pPr>
              <w:spacing w:after="0" w:line="240" w:lineRule="auto"/>
              <w:jc w:val="lef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 xml:space="preserve">                    0.33 </w:t>
            </w:r>
          </w:p>
        </w:tc>
      </w:tr>
      <w:tr w:rsidR="00EE6B38" w:rsidRPr="00CD15C4" w14:paraId="703173A1" w14:textId="77777777" w:rsidTr="00EE6B38">
        <w:trPr>
          <w:trHeight w:val="300"/>
          <w:jc w:val="center"/>
        </w:trPr>
        <w:tc>
          <w:tcPr>
            <w:tcW w:w="1980" w:type="dxa"/>
            <w:tcBorders>
              <w:top w:val="single" w:sz="4" w:space="0" w:color="auto"/>
              <w:left w:val="single" w:sz="8" w:space="0" w:color="auto"/>
              <w:bottom w:val="nil"/>
              <w:right w:val="single" w:sz="4" w:space="0" w:color="auto"/>
            </w:tcBorders>
            <w:shd w:val="clear" w:color="auto" w:fill="E2EFDA"/>
            <w:noWrap/>
            <w:vAlign w:val="bottom"/>
            <w:hideMark/>
          </w:tcPr>
          <w:p w14:paraId="5DF1FA97"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t>D/E Ratio</w:t>
            </w:r>
          </w:p>
        </w:tc>
        <w:tc>
          <w:tcPr>
            <w:tcW w:w="1415" w:type="dxa"/>
            <w:tcBorders>
              <w:top w:val="nil"/>
              <w:left w:val="nil"/>
              <w:bottom w:val="nil"/>
              <w:right w:val="single" w:sz="4" w:space="0" w:color="auto"/>
            </w:tcBorders>
            <w:shd w:val="clear" w:color="auto" w:fill="BDD7EE"/>
            <w:noWrap/>
            <w:vAlign w:val="bottom"/>
            <w:hideMark/>
          </w:tcPr>
          <w:p w14:paraId="27275BAF"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148%</w:t>
            </w:r>
          </w:p>
        </w:tc>
        <w:tc>
          <w:tcPr>
            <w:tcW w:w="1415" w:type="dxa"/>
            <w:tcBorders>
              <w:top w:val="nil"/>
              <w:left w:val="nil"/>
              <w:bottom w:val="nil"/>
              <w:right w:val="single" w:sz="4" w:space="0" w:color="auto"/>
            </w:tcBorders>
            <w:shd w:val="clear" w:color="auto" w:fill="BDD7EE"/>
            <w:noWrap/>
            <w:vAlign w:val="bottom"/>
            <w:hideMark/>
          </w:tcPr>
          <w:p w14:paraId="2BF50079"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179%</w:t>
            </w:r>
          </w:p>
        </w:tc>
        <w:tc>
          <w:tcPr>
            <w:tcW w:w="1415" w:type="dxa"/>
            <w:tcBorders>
              <w:top w:val="nil"/>
              <w:left w:val="nil"/>
              <w:bottom w:val="nil"/>
              <w:right w:val="single" w:sz="8" w:space="0" w:color="auto"/>
            </w:tcBorders>
            <w:shd w:val="clear" w:color="auto" w:fill="BDD7EE"/>
            <w:noWrap/>
            <w:vAlign w:val="bottom"/>
            <w:hideMark/>
          </w:tcPr>
          <w:p w14:paraId="711FE8C3"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239%</w:t>
            </w:r>
          </w:p>
        </w:tc>
      </w:tr>
      <w:tr w:rsidR="00EE6B38" w:rsidRPr="00CD15C4" w14:paraId="7A3A0823" w14:textId="77777777" w:rsidTr="00EE6B38">
        <w:trPr>
          <w:trHeight w:val="315"/>
          <w:jc w:val="center"/>
        </w:trPr>
        <w:tc>
          <w:tcPr>
            <w:tcW w:w="1980" w:type="dxa"/>
            <w:tcBorders>
              <w:top w:val="single" w:sz="4" w:space="0" w:color="auto"/>
              <w:left w:val="single" w:sz="8" w:space="0" w:color="auto"/>
              <w:bottom w:val="single" w:sz="8" w:space="0" w:color="auto"/>
              <w:right w:val="single" w:sz="4" w:space="0" w:color="auto"/>
            </w:tcBorders>
            <w:shd w:val="clear" w:color="auto" w:fill="E2EFDA"/>
            <w:noWrap/>
            <w:vAlign w:val="bottom"/>
            <w:hideMark/>
          </w:tcPr>
          <w:p w14:paraId="342DCBD1" w14:textId="77777777" w:rsidR="00EE6B38" w:rsidRPr="00CD15C4" w:rsidRDefault="00EE6B38" w:rsidP="00457E71">
            <w:pPr>
              <w:spacing w:after="0" w:line="240" w:lineRule="auto"/>
              <w:jc w:val="left"/>
              <w:rPr>
                <w:rFonts w:ascii="Arial" w:eastAsia="Times New Roman" w:hAnsi="Arial" w:cs="Arial"/>
                <w:b/>
                <w:bCs/>
                <w:color w:val="000000"/>
                <w:szCs w:val="24"/>
                <w:lang w:eastAsia="en-GB"/>
              </w:rPr>
            </w:pPr>
            <w:r w:rsidRPr="00CD15C4">
              <w:rPr>
                <w:rFonts w:ascii="Arial" w:eastAsia="Times New Roman" w:hAnsi="Arial" w:cs="Arial"/>
                <w:b/>
                <w:bCs/>
                <w:color w:val="000000"/>
                <w:szCs w:val="24"/>
                <w:lang w:eastAsia="en-GB"/>
              </w:rPr>
              <w:lastRenderedPageBreak/>
              <w:t>Debt Ratio</w:t>
            </w:r>
          </w:p>
        </w:tc>
        <w:tc>
          <w:tcPr>
            <w:tcW w:w="1415" w:type="dxa"/>
            <w:tcBorders>
              <w:top w:val="single" w:sz="4" w:space="0" w:color="auto"/>
              <w:left w:val="nil"/>
              <w:bottom w:val="single" w:sz="8" w:space="0" w:color="auto"/>
              <w:right w:val="single" w:sz="4" w:space="0" w:color="auto"/>
            </w:tcBorders>
            <w:shd w:val="clear" w:color="auto" w:fill="BDD7EE"/>
            <w:noWrap/>
            <w:vAlign w:val="bottom"/>
            <w:hideMark/>
          </w:tcPr>
          <w:p w14:paraId="5BF0F328"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60%</w:t>
            </w:r>
          </w:p>
        </w:tc>
        <w:tc>
          <w:tcPr>
            <w:tcW w:w="1415" w:type="dxa"/>
            <w:tcBorders>
              <w:top w:val="single" w:sz="4" w:space="0" w:color="auto"/>
              <w:left w:val="nil"/>
              <w:bottom w:val="single" w:sz="8" w:space="0" w:color="auto"/>
              <w:right w:val="single" w:sz="4" w:space="0" w:color="auto"/>
            </w:tcBorders>
            <w:shd w:val="clear" w:color="auto" w:fill="BDD7EE"/>
            <w:noWrap/>
            <w:vAlign w:val="bottom"/>
            <w:hideMark/>
          </w:tcPr>
          <w:p w14:paraId="45AD2464"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64%</w:t>
            </w:r>
          </w:p>
        </w:tc>
        <w:tc>
          <w:tcPr>
            <w:tcW w:w="1415" w:type="dxa"/>
            <w:tcBorders>
              <w:top w:val="single" w:sz="4" w:space="0" w:color="auto"/>
              <w:left w:val="nil"/>
              <w:bottom w:val="single" w:sz="8" w:space="0" w:color="auto"/>
              <w:right w:val="single" w:sz="8" w:space="0" w:color="auto"/>
            </w:tcBorders>
            <w:shd w:val="clear" w:color="auto" w:fill="BDD7EE"/>
            <w:noWrap/>
            <w:vAlign w:val="bottom"/>
            <w:hideMark/>
          </w:tcPr>
          <w:p w14:paraId="1E59E885" w14:textId="77777777" w:rsidR="00EE6B38" w:rsidRPr="00CD15C4" w:rsidRDefault="00EE6B38" w:rsidP="00457E71">
            <w:pPr>
              <w:spacing w:after="0" w:line="240" w:lineRule="auto"/>
              <w:jc w:val="right"/>
              <w:rPr>
                <w:rFonts w:ascii="Arial" w:eastAsia="Times New Roman" w:hAnsi="Arial" w:cs="Arial"/>
                <w:color w:val="000000"/>
                <w:szCs w:val="24"/>
                <w:lang w:eastAsia="en-GB"/>
              </w:rPr>
            </w:pPr>
            <w:r w:rsidRPr="00CD15C4">
              <w:rPr>
                <w:rFonts w:ascii="Arial" w:eastAsia="Times New Roman" w:hAnsi="Arial" w:cs="Arial"/>
                <w:color w:val="000000"/>
                <w:szCs w:val="24"/>
                <w:lang w:eastAsia="en-GB"/>
              </w:rPr>
              <w:t>71%</w:t>
            </w:r>
          </w:p>
        </w:tc>
      </w:tr>
    </w:tbl>
    <w:p w14:paraId="21D70573" w14:textId="6FA745EB" w:rsidR="00CD15C4" w:rsidRPr="00457E71" w:rsidRDefault="00EE6B38" w:rsidP="00457E71">
      <w:pPr>
        <w:spacing w:line="240" w:lineRule="auto"/>
        <w:jc w:val="center"/>
        <w:rPr>
          <w:rFonts w:ascii="Arial" w:hAnsi="Arial" w:cs="Arial"/>
          <w:b/>
          <w:bCs/>
        </w:rPr>
      </w:pPr>
      <w:r w:rsidRPr="00CD15C4">
        <w:rPr>
          <w:rFonts w:ascii="Arial" w:hAnsi="Arial" w:cs="Arial"/>
          <w:b/>
          <w:bCs/>
        </w:rPr>
        <w:t>Table 1: Financial Ratios</w:t>
      </w:r>
      <w:r w:rsidR="00457E71">
        <w:rPr>
          <w:rFonts w:ascii="Arial" w:hAnsi="Arial" w:cs="Arial"/>
          <w:b/>
          <w:bCs/>
        </w:rPr>
        <w:t>.</w:t>
      </w:r>
    </w:p>
    <w:tbl>
      <w:tblPr>
        <w:tblW w:w="6580" w:type="dxa"/>
        <w:jc w:val="center"/>
        <w:tblLook w:val="04A0" w:firstRow="1" w:lastRow="0" w:firstColumn="1" w:lastColumn="0" w:noHBand="0" w:noVBand="1"/>
      </w:tblPr>
      <w:tblGrid>
        <w:gridCol w:w="2728"/>
        <w:gridCol w:w="1418"/>
        <w:gridCol w:w="1418"/>
        <w:gridCol w:w="1418"/>
      </w:tblGrid>
      <w:tr w:rsidR="00CD15C4" w:rsidRPr="00CD15C4" w14:paraId="6604268E" w14:textId="77777777" w:rsidTr="00EE6B38">
        <w:trPr>
          <w:trHeight w:val="315"/>
          <w:jc w:val="center"/>
        </w:trPr>
        <w:tc>
          <w:tcPr>
            <w:tcW w:w="6580" w:type="dxa"/>
            <w:gridSpan w:val="4"/>
            <w:tcBorders>
              <w:top w:val="single" w:sz="8" w:space="0" w:color="auto"/>
              <w:left w:val="single" w:sz="8" w:space="0" w:color="auto"/>
              <w:bottom w:val="single" w:sz="8" w:space="0" w:color="auto"/>
              <w:right w:val="single" w:sz="8" w:space="0" w:color="000000"/>
            </w:tcBorders>
            <w:noWrap/>
            <w:vAlign w:val="bottom"/>
            <w:hideMark/>
          </w:tcPr>
          <w:p w14:paraId="69C2820D" w14:textId="77777777" w:rsidR="00EE6B38" w:rsidRPr="00CD15C4" w:rsidRDefault="00EE6B38" w:rsidP="00457E71">
            <w:pPr>
              <w:spacing w:after="0" w:line="360" w:lineRule="auto"/>
              <w:jc w:val="center"/>
              <w:rPr>
                <w:rFonts w:ascii="Arial" w:eastAsia="Times New Roman" w:hAnsi="Arial" w:cs="Arial"/>
                <w:b/>
                <w:bCs/>
                <w:szCs w:val="24"/>
                <w:lang w:eastAsia="en-GB"/>
              </w:rPr>
            </w:pPr>
            <w:r w:rsidRPr="00CD15C4">
              <w:rPr>
                <w:rFonts w:ascii="Arial" w:eastAsia="Times New Roman" w:hAnsi="Arial" w:cs="Arial"/>
                <w:b/>
                <w:bCs/>
                <w:szCs w:val="24"/>
                <w:lang w:eastAsia="en-GB"/>
              </w:rPr>
              <w:t>Balance Sheet (in GBP)</w:t>
            </w:r>
          </w:p>
        </w:tc>
      </w:tr>
      <w:tr w:rsidR="00CD15C4" w:rsidRPr="00CD15C4" w14:paraId="0C59615F"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4847FCC3"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Assets/Liability</w:t>
            </w:r>
          </w:p>
        </w:tc>
        <w:tc>
          <w:tcPr>
            <w:tcW w:w="1284" w:type="dxa"/>
            <w:tcBorders>
              <w:top w:val="nil"/>
              <w:left w:val="nil"/>
              <w:bottom w:val="single" w:sz="4" w:space="0" w:color="auto"/>
              <w:right w:val="single" w:sz="4" w:space="0" w:color="auto"/>
            </w:tcBorders>
            <w:noWrap/>
            <w:vAlign w:val="bottom"/>
            <w:hideMark/>
          </w:tcPr>
          <w:p w14:paraId="0CB8A341" w14:textId="77777777" w:rsidR="00EE6B38" w:rsidRPr="00CD15C4" w:rsidRDefault="00EE6B38" w:rsidP="00457E71">
            <w:pPr>
              <w:spacing w:after="0" w:line="360" w:lineRule="auto"/>
              <w:jc w:val="right"/>
              <w:rPr>
                <w:rFonts w:ascii="Arial" w:eastAsia="Times New Roman" w:hAnsi="Arial" w:cs="Arial"/>
                <w:b/>
                <w:bCs/>
                <w:szCs w:val="24"/>
                <w:lang w:eastAsia="en-GB"/>
              </w:rPr>
            </w:pPr>
            <w:r w:rsidRPr="00CD15C4">
              <w:rPr>
                <w:rFonts w:ascii="Arial" w:eastAsia="Times New Roman" w:hAnsi="Arial" w:cs="Arial"/>
                <w:b/>
                <w:bCs/>
                <w:szCs w:val="24"/>
                <w:lang w:eastAsia="en-GB"/>
              </w:rPr>
              <w:t>2021</w:t>
            </w:r>
          </w:p>
        </w:tc>
        <w:tc>
          <w:tcPr>
            <w:tcW w:w="1284" w:type="dxa"/>
            <w:tcBorders>
              <w:top w:val="nil"/>
              <w:left w:val="nil"/>
              <w:bottom w:val="single" w:sz="4" w:space="0" w:color="auto"/>
              <w:right w:val="single" w:sz="4" w:space="0" w:color="auto"/>
            </w:tcBorders>
            <w:noWrap/>
            <w:vAlign w:val="bottom"/>
            <w:hideMark/>
          </w:tcPr>
          <w:p w14:paraId="225BA2FF" w14:textId="77777777" w:rsidR="00EE6B38" w:rsidRPr="00CD15C4" w:rsidRDefault="00EE6B38" w:rsidP="00457E71">
            <w:pPr>
              <w:spacing w:after="0" w:line="360" w:lineRule="auto"/>
              <w:jc w:val="right"/>
              <w:rPr>
                <w:rFonts w:ascii="Arial" w:eastAsia="Times New Roman" w:hAnsi="Arial" w:cs="Arial"/>
                <w:b/>
                <w:bCs/>
                <w:szCs w:val="24"/>
                <w:lang w:eastAsia="en-GB"/>
              </w:rPr>
            </w:pPr>
            <w:r w:rsidRPr="00CD15C4">
              <w:rPr>
                <w:rFonts w:ascii="Arial" w:eastAsia="Times New Roman" w:hAnsi="Arial" w:cs="Arial"/>
                <w:b/>
                <w:bCs/>
                <w:szCs w:val="24"/>
                <w:lang w:eastAsia="en-GB"/>
              </w:rPr>
              <w:t>2022</w:t>
            </w:r>
          </w:p>
        </w:tc>
        <w:tc>
          <w:tcPr>
            <w:tcW w:w="1284" w:type="dxa"/>
            <w:tcBorders>
              <w:top w:val="nil"/>
              <w:left w:val="nil"/>
              <w:bottom w:val="single" w:sz="4" w:space="0" w:color="auto"/>
              <w:right w:val="single" w:sz="8" w:space="0" w:color="auto"/>
            </w:tcBorders>
            <w:noWrap/>
            <w:vAlign w:val="bottom"/>
            <w:hideMark/>
          </w:tcPr>
          <w:p w14:paraId="3088D4D3" w14:textId="77777777" w:rsidR="00EE6B38" w:rsidRPr="00CD15C4" w:rsidRDefault="00EE6B38" w:rsidP="00457E71">
            <w:pPr>
              <w:spacing w:after="0" w:line="360" w:lineRule="auto"/>
              <w:jc w:val="right"/>
              <w:rPr>
                <w:rFonts w:ascii="Arial" w:eastAsia="Times New Roman" w:hAnsi="Arial" w:cs="Arial"/>
                <w:b/>
                <w:bCs/>
                <w:szCs w:val="24"/>
                <w:lang w:eastAsia="en-GB"/>
              </w:rPr>
            </w:pPr>
            <w:r w:rsidRPr="00CD15C4">
              <w:rPr>
                <w:rFonts w:ascii="Arial" w:eastAsia="Times New Roman" w:hAnsi="Arial" w:cs="Arial"/>
                <w:b/>
                <w:bCs/>
                <w:szCs w:val="24"/>
                <w:lang w:eastAsia="en-GB"/>
              </w:rPr>
              <w:t>2023</w:t>
            </w:r>
          </w:p>
        </w:tc>
      </w:tr>
      <w:tr w:rsidR="00CD15C4" w:rsidRPr="00CD15C4" w14:paraId="3EAA2CFC"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5BF92E43"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Cash and Equivalents</w:t>
            </w:r>
          </w:p>
        </w:tc>
        <w:tc>
          <w:tcPr>
            <w:tcW w:w="1284" w:type="dxa"/>
            <w:tcBorders>
              <w:top w:val="nil"/>
              <w:left w:val="nil"/>
              <w:bottom w:val="single" w:sz="4" w:space="0" w:color="auto"/>
              <w:right w:val="single" w:sz="4" w:space="0" w:color="auto"/>
            </w:tcBorders>
            <w:noWrap/>
            <w:vAlign w:val="bottom"/>
            <w:hideMark/>
          </w:tcPr>
          <w:p w14:paraId="01709563"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£300,000</w:t>
            </w:r>
          </w:p>
        </w:tc>
        <w:tc>
          <w:tcPr>
            <w:tcW w:w="1284" w:type="dxa"/>
            <w:tcBorders>
              <w:top w:val="nil"/>
              <w:left w:val="nil"/>
              <w:bottom w:val="single" w:sz="4" w:space="0" w:color="auto"/>
              <w:right w:val="single" w:sz="4" w:space="0" w:color="auto"/>
            </w:tcBorders>
            <w:noWrap/>
            <w:vAlign w:val="bottom"/>
            <w:hideMark/>
          </w:tcPr>
          <w:p w14:paraId="571FB0A9"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£200,000</w:t>
            </w:r>
          </w:p>
        </w:tc>
        <w:tc>
          <w:tcPr>
            <w:tcW w:w="1284" w:type="dxa"/>
            <w:tcBorders>
              <w:top w:val="nil"/>
              <w:left w:val="nil"/>
              <w:bottom w:val="single" w:sz="4" w:space="0" w:color="auto"/>
              <w:right w:val="single" w:sz="8" w:space="0" w:color="auto"/>
            </w:tcBorders>
            <w:noWrap/>
            <w:vAlign w:val="bottom"/>
            <w:hideMark/>
          </w:tcPr>
          <w:p w14:paraId="75C917FD"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£100,000</w:t>
            </w:r>
          </w:p>
        </w:tc>
      </w:tr>
      <w:tr w:rsidR="00CD15C4" w:rsidRPr="00CD15C4" w14:paraId="3875EC59"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218CA4ED"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Accounts Receivables</w:t>
            </w:r>
          </w:p>
        </w:tc>
        <w:tc>
          <w:tcPr>
            <w:tcW w:w="1284" w:type="dxa"/>
            <w:tcBorders>
              <w:top w:val="nil"/>
              <w:left w:val="nil"/>
              <w:bottom w:val="single" w:sz="4" w:space="0" w:color="auto"/>
              <w:right w:val="single" w:sz="4" w:space="0" w:color="auto"/>
            </w:tcBorders>
            <w:noWrap/>
            <w:vAlign w:val="bottom"/>
            <w:hideMark/>
          </w:tcPr>
          <w:p w14:paraId="2B9FE8B9"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£150,000</w:t>
            </w:r>
          </w:p>
        </w:tc>
        <w:tc>
          <w:tcPr>
            <w:tcW w:w="1284" w:type="dxa"/>
            <w:tcBorders>
              <w:top w:val="nil"/>
              <w:left w:val="nil"/>
              <w:bottom w:val="single" w:sz="4" w:space="0" w:color="auto"/>
              <w:right w:val="single" w:sz="4" w:space="0" w:color="auto"/>
            </w:tcBorders>
            <w:noWrap/>
            <w:vAlign w:val="bottom"/>
            <w:hideMark/>
          </w:tcPr>
          <w:p w14:paraId="30AFC5C5"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£100,000</w:t>
            </w:r>
          </w:p>
        </w:tc>
        <w:tc>
          <w:tcPr>
            <w:tcW w:w="1284" w:type="dxa"/>
            <w:tcBorders>
              <w:top w:val="nil"/>
              <w:left w:val="nil"/>
              <w:bottom w:val="single" w:sz="4" w:space="0" w:color="auto"/>
              <w:right w:val="single" w:sz="8" w:space="0" w:color="auto"/>
            </w:tcBorders>
            <w:noWrap/>
            <w:vAlign w:val="bottom"/>
            <w:hideMark/>
          </w:tcPr>
          <w:p w14:paraId="6242D1C2"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£80,000</w:t>
            </w:r>
          </w:p>
        </w:tc>
      </w:tr>
      <w:tr w:rsidR="00CD15C4" w:rsidRPr="00CD15C4" w14:paraId="4992033B"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1EF8E940"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Property and Equivalent</w:t>
            </w:r>
          </w:p>
        </w:tc>
        <w:tc>
          <w:tcPr>
            <w:tcW w:w="1284" w:type="dxa"/>
            <w:tcBorders>
              <w:top w:val="nil"/>
              <w:left w:val="nil"/>
              <w:bottom w:val="single" w:sz="4" w:space="0" w:color="auto"/>
              <w:right w:val="single" w:sz="4" w:space="0" w:color="auto"/>
            </w:tcBorders>
            <w:noWrap/>
            <w:vAlign w:val="bottom"/>
            <w:hideMark/>
          </w:tcPr>
          <w:p w14:paraId="4E190AB3"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£5,000,000</w:t>
            </w:r>
          </w:p>
        </w:tc>
        <w:tc>
          <w:tcPr>
            <w:tcW w:w="1284" w:type="dxa"/>
            <w:tcBorders>
              <w:top w:val="nil"/>
              <w:left w:val="nil"/>
              <w:bottom w:val="single" w:sz="4" w:space="0" w:color="auto"/>
              <w:right w:val="single" w:sz="4" w:space="0" w:color="auto"/>
            </w:tcBorders>
            <w:noWrap/>
            <w:vAlign w:val="bottom"/>
            <w:hideMark/>
          </w:tcPr>
          <w:p w14:paraId="31BC55B0"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£4,800,000</w:t>
            </w:r>
          </w:p>
        </w:tc>
        <w:tc>
          <w:tcPr>
            <w:tcW w:w="1284" w:type="dxa"/>
            <w:tcBorders>
              <w:top w:val="nil"/>
              <w:left w:val="nil"/>
              <w:bottom w:val="single" w:sz="4" w:space="0" w:color="auto"/>
              <w:right w:val="single" w:sz="8" w:space="0" w:color="auto"/>
            </w:tcBorders>
            <w:noWrap/>
            <w:vAlign w:val="bottom"/>
            <w:hideMark/>
          </w:tcPr>
          <w:p w14:paraId="2130008E"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£4,500,000</w:t>
            </w:r>
          </w:p>
        </w:tc>
      </w:tr>
      <w:tr w:rsidR="00CD15C4" w:rsidRPr="00CD15C4" w14:paraId="38092B93"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0192B864"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Total Assets</w:t>
            </w:r>
          </w:p>
        </w:tc>
        <w:tc>
          <w:tcPr>
            <w:tcW w:w="1284" w:type="dxa"/>
            <w:tcBorders>
              <w:top w:val="nil"/>
              <w:left w:val="nil"/>
              <w:bottom w:val="single" w:sz="4" w:space="0" w:color="auto"/>
              <w:right w:val="single" w:sz="4" w:space="0" w:color="auto"/>
            </w:tcBorders>
            <w:noWrap/>
            <w:vAlign w:val="bottom"/>
            <w:hideMark/>
          </w:tcPr>
          <w:p w14:paraId="74B89284"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£5,450,000</w:t>
            </w:r>
          </w:p>
        </w:tc>
        <w:tc>
          <w:tcPr>
            <w:tcW w:w="1284" w:type="dxa"/>
            <w:tcBorders>
              <w:top w:val="nil"/>
              <w:left w:val="nil"/>
              <w:bottom w:val="single" w:sz="4" w:space="0" w:color="auto"/>
              <w:right w:val="single" w:sz="4" w:space="0" w:color="auto"/>
            </w:tcBorders>
            <w:noWrap/>
            <w:vAlign w:val="bottom"/>
            <w:hideMark/>
          </w:tcPr>
          <w:p w14:paraId="67D9C903"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£5,100,000</w:t>
            </w:r>
          </w:p>
        </w:tc>
        <w:tc>
          <w:tcPr>
            <w:tcW w:w="1284" w:type="dxa"/>
            <w:tcBorders>
              <w:top w:val="nil"/>
              <w:left w:val="nil"/>
              <w:bottom w:val="single" w:sz="4" w:space="0" w:color="auto"/>
              <w:right w:val="single" w:sz="8" w:space="0" w:color="auto"/>
            </w:tcBorders>
            <w:noWrap/>
            <w:vAlign w:val="bottom"/>
            <w:hideMark/>
          </w:tcPr>
          <w:p w14:paraId="29017599"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£4,680,000</w:t>
            </w:r>
          </w:p>
        </w:tc>
      </w:tr>
      <w:tr w:rsidR="00CD15C4" w:rsidRPr="00CD15C4" w14:paraId="52C391F4"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52D97AB2"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Accounts Payable</w:t>
            </w:r>
          </w:p>
        </w:tc>
        <w:tc>
          <w:tcPr>
            <w:tcW w:w="1284" w:type="dxa"/>
            <w:tcBorders>
              <w:top w:val="nil"/>
              <w:left w:val="nil"/>
              <w:bottom w:val="single" w:sz="4" w:space="0" w:color="auto"/>
              <w:right w:val="single" w:sz="4" w:space="0" w:color="auto"/>
            </w:tcBorders>
            <w:noWrap/>
            <w:vAlign w:val="bottom"/>
            <w:hideMark/>
          </w:tcPr>
          <w:p w14:paraId="7C44E5C3"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£250,000</w:t>
            </w:r>
          </w:p>
        </w:tc>
        <w:tc>
          <w:tcPr>
            <w:tcW w:w="1284" w:type="dxa"/>
            <w:tcBorders>
              <w:top w:val="nil"/>
              <w:left w:val="nil"/>
              <w:bottom w:val="single" w:sz="4" w:space="0" w:color="auto"/>
              <w:right w:val="single" w:sz="4" w:space="0" w:color="auto"/>
            </w:tcBorders>
            <w:noWrap/>
            <w:vAlign w:val="bottom"/>
            <w:hideMark/>
          </w:tcPr>
          <w:p w14:paraId="7A2F67A4"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£270,000</w:t>
            </w:r>
          </w:p>
        </w:tc>
        <w:tc>
          <w:tcPr>
            <w:tcW w:w="1284" w:type="dxa"/>
            <w:tcBorders>
              <w:top w:val="nil"/>
              <w:left w:val="nil"/>
              <w:bottom w:val="single" w:sz="4" w:space="0" w:color="auto"/>
              <w:right w:val="single" w:sz="8" w:space="0" w:color="auto"/>
            </w:tcBorders>
            <w:noWrap/>
            <w:vAlign w:val="bottom"/>
            <w:hideMark/>
          </w:tcPr>
          <w:p w14:paraId="07A7FDE3"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£300,000</w:t>
            </w:r>
          </w:p>
        </w:tc>
      </w:tr>
      <w:tr w:rsidR="00CD15C4" w:rsidRPr="00CD15C4" w14:paraId="2B92AAD5"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33C32917"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Long-term debt</w:t>
            </w:r>
          </w:p>
        </w:tc>
        <w:tc>
          <w:tcPr>
            <w:tcW w:w="1284" w:type="dxa"/>
            <w:tcBorders>
              <w:top w:val="nil"/>
              <w:left w:val="nil"/>
              <w:bottom w:val="single" w:sz="4" w:space="0" w:color="auto"/>
              <w:right w:val="single" w:sz="4" w:space="0" w:color="auto"/>
            </w:tcBorders>
            <w:noWrap/>
            <w:vAlign w:val="bottom"/>
            <w:hideMark/>
          </w:tcPr>
          <w:p w14:paraId="610C1CF6"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£3,000,000</w:t>
            </w:r>
          </w:p>
        </w:tc>
        <w:tc>
          <w:tcPr>
            <w:tcW w:w="1284" w:type="dxa"/>
            <w:tcBorders>
              <w:top w:val="nil"/>
              <w:left w:val="nil"/>
              <w:bottom w:val="single" w:sz="4" w:space="0" w:color="auto"/>
              <w:right w:val="single" w:sz="4" w:space="0" w:color="auto"/>
            </w:tcBorders>
            <w:noWrap/>
            <w:vAlign w:val="bottom"/>
            <w:hideMark/>
          </w:tcPr>
          <w:p w14:paraId="28BFFFC1"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£3,000,000</w:t>
            </w:r>
          </w:p>
        </w:tc>
        <w:tc>
          <w:tcPr>
            <w:tcW w:w="1284" w:type="dxa"/>
            <w:tcBorders>
              <w:top w:val="nil"/>
              <w:left w:val="nil"/>
              <w:bottom w:val="single" w:sz="4" w:space="0" w:color="auto"/>
              <w:right w:val="single" w:sz="8" w:space="0" w:color="auto"/>
            </w:tcBorders>
            <w:noWrap/>
            <w:vAlign w:val="bottom"/>
            <w:hideMark/>
          </w:tcPr>
          <w:p w14:paraId="68C368A7"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£3,000,000</w:t>
            </w:r>
          </w:p>
        </w:tc>
      </w:tr>
      <w:tr w:rsidR="00CD15C4" w:rsidRPr="00CD15C4" w14:paraId="36A26754" w14:textId="77777777" w:rsidTr="00EE6B38">
        <w:trPr>
          <w:trHeight w:val="300"/>
          <w:jc w:val="center"/>
        </w:trPr>
        <w:tc>
          <w:tcPr>
            <w:tcW w:w="2728" w:type="dxa"/>
            <w:tcBorders>
              <w:top w:val="nil"/>
              <w:left w:val="single" w:sz="8" w:space="0" w:color="auto"/>
              <w:bottom w:val="single" w:sz="4" w:space="0" w:color="auto"/>
              <w:right w:val="single" w:sz="4" w:space="0" w:color="auto"/>
            </w:tcBorders>
            <w:noWrap/>
            <w:vAlign w:val="bottom"/>
            <w:hideMark/>
          </w:tcPr>
          <w:p w14:paraId="34B070E4"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Total Liabilities</w:t>
            </w:r>
          </w:p>
        </w:tc>
        <w:tc>
          <w:tcPr>
            <w:tcW w:w="1284" w:type="dxa"/>
            <w:tcBorders>
              <w:top w:val="nil"/>
              <w:left w:val="nil"/>
              <w:bottom w:val="single" w:sz="4" w:space="0" w:color="auto"/>
              <w:right w:val="single" w:sz="4" w:space="0" w:color="auto"/>
            </w:tcBorders>
            <w:noWrap/>
            <w:vAlign w:val="bottom"/>
            <w:hideMark/>
          </w:tcPr>
          <w:p w14:paraId="6FE7A78D"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£3,250,000</w:t>
            </w:r>
          </w:p>
        </w:tc>
        <w:tc>
          <w:tcPr>
            <w:tcW w:w="1284" w:type="dxa"/>
            <w:tcBorders>
              <w:top w:val="nil"/>
              <w:left w:val="nil"/>
              <w:bottom w:val="single" w:sz="4" w:space="0" w:color="auto"/>
              <w:right w:val="single" w:sz="4" w:space="0" w:color="auto"/>
            </w:tcBorders>
            <w:noWrap/>
            <w:vAlign w:val="bottom"/>
            <w:hideMark/>
          </w:tcPr>
          <w:p w14:paraId="2513CC6D"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£3,270,000</w:t>
            </w:r>
          </w:p>
        </w:tc>
        <w:tc>
          <w:tcPr>
            <w:tcW w:w="1284" w:type="dxa"/>
            <w:tcBorders>
              <w:top w:val="nil"/>
              <w:left w:val="nil"/>
              <w:bottom w:val="single" w:sz="4" w:space="0" w:color="auto"/>
              <w:right w:val="single" w:sz="8" w:space="0" w:color="auto"/>
            </w:tcBorders>
            <w:noWrap/>
            <w:vAlign w:val="bottom"/>
            <w:hideMark/>
          </w:tcPr>
          <w:p w14:paraId="03964359"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£3,300,000</w:t>
            </w:r>
          </w:p>
        </w:tc>
      </w:tr>
      <w:tr w:rsidR="00CD15C4" w:rsidRPr="00CD15C4" w14:paraId="273A5581" w14:textId="77777777" w:rsidTr="00EE6B38">
        <w:trPr>
          <w:trHeight w:val="315"/>
          <w:jc w:val="center"/>
        </w:trPr>
        <w:tc>
          <w:tcPr>
            <w:tcW w:w="2728" w:type="dxa"/>
            <w:tcBorders>
              <w:top w:val="nil"/>
              <w:left w:val="single" w:sz="8" w:space="0" w:color="auto"/>
              <w:bottom w:val="single" w:sz="8" w:space="0" w:color="auto"/>
              <w:right w:val="single" w:sz="4" w:space="0" w:color="auto"/>
            </w:tcBorders>
            <w:noWrap/>
            <w:vAlign w:val="bottom"/>
            <w:hideMark/>
          </w:tcPr>
          <w:p w14:paraId="0F62CB9F" w14:textId="77777777" w:rsidR="00EE6B38" w:rsidRPr="00CD15C4" w:rsidRDefault="00EE6B38" w:rsidP="00457E71">
            <w:pPr>
              <w:spacing w:after="0" w:line="360" w:lineRule="auto"/>
              <w:jc w:val="left"/>
              <w:rPr>
                <w:rFonts w:ascii="Arial" w:eastAsia="Times New Roman" w:hAnsi="Arial" w:cs="Arial"/>
                <w:szCs w:val="24"/>
                <w:lang w:eastAsia="en-GB"/>
              </w:rPr>
            </w:pPr>
            <w:r w:rsidRPr="00CD15C4">
              <w:rPr>
                <w:rFonts w:ascii="Arial" w:eastAsia="Times New Roman" w:hAnsi="Arial" w:cs="Arial"/>
                <w:szCs w:val="24"/>
                <w:lang w:eastAsia="en-GB"/>
              </w:rPr>
              <w:t>Equity</w:t>
            </w:r>
          </w:p>
        </w:tc>
        <w:tc>
          <w:tcPr>
            <w:tcW w:w="1284" w:type="dxa"/>
            <w:tcBorders>
              <w:top w:val="nil"/>
              <w:left w:val="nil"/>
              <w:bottom w:val="single" w:sz="8" w:space="0" w:color="auto"/>
              <w:right w:val="single" w:sz="4" w:space="0" w:color="auto"/>
            </w:tcBorders>
            <w:noWrap/>
            <w:vAlign w:val="bottom"/>
            <w:hideMark/>
          </w:tcPr>
          <w:p w14:paraId="5C2A5EE3"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£2,200,000</w:t>
            </w:r>
          </w:p>
        </w:tc>
        <w:tc>
          <w:tcPr>
            <w:tcW w:w="1284" w:type="dxa"/>
            <w:tcBorders>
              <w:top w:val="nil"/>
              <w:left w:val="nil"/>
              <w:bottom w:val="single" w:sz="8" w:space="0" w:color="auto"/>
              <w:right w:val="single" w:sz="4" w:space="0" w:color="auto"/>
            </w:tcBorders>
            <w:noWrap/>
            <w:vAlign w:val="bottom"/>
            <w:hideMark/>
          </w:tcPr>
          <w:p w14:paraId="60871948"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£1,830,000</w:t>
            </w:r>
          </w:p>
        </w:tc>
        <w:tc>
          <w:tcPr>
            <w:tcW w:w="1284" w:type="dxa"/>
            <w:tcBorders>
              <w:top w:val="nil"/>
              <w:left w:val="nil"/>
              <w:bottom w:val="single" w:sz="8" w:space="0" w:color="auto"/>
              <w:right w:val="single" w:sz="8" w:space="0" w:color="auto"/>
            </w:tcBorders>
            <w:noWrap/>
            <w:vAlign w:val="bottom"/>
            <w:hideMark/>
          </w:tcPr>
          <w:p w14:paraId="39E1D1CC" w14:textId="77777777" w:rsidR="00EE6B38" w:rsidRPr="00CD15C4" w:rsidRDefault="00EE6B38" w:rsidP="00457E71">
            <w:pPr>
              <w:spacing w:after="0" w:line="360" w:lineRule="auto"/>
              <w:jc w:val="right"/>
              <w:rPr>
                <w:rFonts w:ascii="Arial" w:eastAsia="Times New Roman" w:hAnsi="Arial" w:cs="Arial"/>
                <w:szCs w:val="24"/>
                <w:lang w:eastAsia="en-GB"/>
              </w:rPr>
            </w:pPr>
            <w:r w:rsidRPr="00CD15C4">
              <w:rPr>
                <w:rFonts w:ascii="Arial" w:eastAsia="Times New Roman" w:hAnsi="Arial" w:cs="Arial"/>
                <w:szCs w:val="24"/>
                <w:lang w:eastAsia="en-GB"/>
              </w:rPr>
              <w:t>£1,380,000</w:t>
            </w:r>
          </w:p>
        </w:tc>
      </w:tr>
    </w:tbl>
    <w:p w14:paraId="2434F25E" w14:textId="77777777" w:rsidR="00457E71" w:rsidRPr="00457E71" w:rsidRDefault="00457E71" w:rsidP="00457E71">
      <w:pPr>
        <w:spacing w:line="240" w:lineRule="auto"/>
        <w:jc w:val="center"/>
        <w:rPr>
          <w:rFonts w:ascii="Arial" w:hAnsi="Arial" w:cs="Arial"/>
          <w:b/>
          <w:bCs/>
          <w:szCs w:val="24"/>
        </w:rPr>
      </w:pPr>
    </w:p>
    <w:p w14:paraId="03EEF9E7" w14:textId="7D9A517C" w:rsidR="00EE6B38" w:rsidRDefault="00EE6B38" w:rsidP="00457E71">
      <w:pPr>
        <w:spacing w:line="240" w:lineRule="auto"/>
        <w:jc w:val="center"/>
        <w:rPr>
          <w:rFonts w:ascii="Arial" w:hAnsi="Arial" w:cs="Arial"/>
          <w:b/>
          <w:bCs/>
          <w:szCs w:val="24"/>
        </w:rPr>
      </w:pPr>
      <w:r w:rsidRPr="00457E71">
        <w:rPr>
          <w:rFonts w:ascii="Arial" w:hAnsi="Arial" w:cs="Arial"/>
          <w:b/>
          <w:bCs/>
          <w:szCs w:val="24"/>
        </w:rPr>
        <w:t>Table 2: Balance Sheet of Urban Heights</w:t>
      </w:r>
    </w:p>
    <w:p w14:paraId="71F5D7B8" w14:textId="77777777" w:rsidR="00457E71" w:rsidRPr="00457E71" w:rsidRDefault="00457E71" w:rsidP="00457E71">
      <w:pPr>
        <w:spacing w:line="240" w:lineRule="auto"/>
        <w:jc w:val="center"/>
        <w:rPr>
          <w:rFonts w:ascii="Arial" w:hAnsi="Arial" w:cs="Arial"/>
          <w:b/>
          <w:bCs/>
          <w:szCs w:val="24"/>
          <w:lang w:val="en-US"/>
        </w:rPr>
      </w:pPr>
    </w:p>
    <w:p w14:paraId="10186AEB" w14:textId="77777777" w:rsidR="00457E71" w:rsidRDefault="00457E71" w:rsidP="00EE6B38">
      <w:pPr>
        <w:rPr>
          <w:rFonts w:ascii="Arial" w:hAnsi="Arial" w:cs="Arial"/>
          <w:b/>
          <w:bCs/>
          <w:sz w:val="40"/>
          <w:szCs w:val="40"/>
        </w:rPr>
      </w:pPr>
    </w:p>
    <w:p w14:paraId="01F5C3B3" w14:textId="11554A84" w:rsidR="00EE6B38" w:rsidRPr="00457E71" w:rsidRDefault="00EE6B38" w:rsidP="00EE6B38">
      <w:pPr>
        <w:rPr>
          <w:rFonts w:ascii="Arial" w:hAnsi="Arial" w:cs="Arial"/>
          <w:b/>
          <w:bCs/>
          <w:color w:val="000000" w:themeColor="text1"/>
          <w:sz w:val="40"/>
          <w:szCs w:val="40"/>
        </w:rPr>
      </w:pPr>
      <w:r w:rsidRPr="00457E71">
        <w:rPr>
          <w:rFonts w:ascii="Arial" w:hAnsi="Arial" w:cs="Arial"/>
          <w:b/>
          <w:bCs/>
          <w:sz w:val="40"/>
          <w:szCs w:val="40"/>
        </w:rPr>
        <w:t>Profitability</w:t>
      </w:r>
    </w:p>
    <w:p w14:paraId="4C616705" w14:textId="16126D3D" w:rsidR="00EE6B38" w:rsidRDefault="00EE6B38" w:rsidP="00EE6B38">
      <w:pPr>
        <w:jc w:val="center"/>
        <w:rPr>
          <w:b/>
          <w:bCs/>
        </w:rPr>
      </w:pPr>
      <w:r>
        <w:rPr>
          <w:noProof/>
        </w:rPr>
        <w:drawing>
          <wp:inline distT="0" distB="0" distL="0" distR="0" wp14:anchorId="77A0E52C" wp14:editId="4CD01F67">
            <wp:extent cx="4584700" cy="2755900"/>
            <wp:effectExtent l="0" t="0" r="6350" b="6350"/>
            <wp:docPr id="5" name="Chart 3">
              <a:extLst xmlns:a="http://schemas.openxmlformats.org/drawingml/2006/main">
                <a:ext uri="{FF2B5EF4-FFF2-40B4-BE49-F238E27FC236}">
                  <a16:creationId xmlns:a16="http://schemas.microsoft.com/office/drawing/2014/main" id="{012B280C-80E0-4E52-AA92-2E77552DFC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FB9FF1D" w14:textId="77777777" w:rsidR="00EE6B38" w:rsidRPr="00457E71" w:rsidRDefault="00EE6B38" w:rsidP="00EE6B38">
      <w:pPr>
        <w:jc w:val="center"/>
        <w:rPr>
          <w:b/>
          <w:bCs/>
        </w:rPr>
      </w:pPr>
      <w:r w:rsidRPr="00457E71">
        <w:rPr>
          <w:b/>
          <w:bCs/>
        </w:rPr>
        <w:lastRenderedPageBreak/>
        <w:t>Figure 3: Revenue, OE, and NI of Urban Heights.</w:t>
      </w:r>
    </w:p>
    <w:p w14:paraId="2D7CD347" w14:textId="4C223E4E" w:rsidR="00EE6B38" w:rsidRDefault="00EE6B38" w:rsidP="00EE6B38">
      <w:pPr>
        <w:jc w:val="center"/>
      </w:pPr>
      <w:r>
        <w:rPr>
          <w:noProof/>
        </w:rPr>
        <w:drawing>
          <wp:inline distT="0" distB="0" distL="0" distR="0" wp14:anchorId="7284B2A1" wp14:editId="67519DDD">
            <wp:extent cx="5740400" cy="2705100"/>
            <wp:effectExtent l="0" t="0" r="12700" b="0"/>
            <wp:docPr id="4" name="Chart 2">
              <a:extLst xmlns:a="http://schemas.openxmlformats.org/drawingml/2006/main">
                <a:ext uri="{FF2B5EF4-FFF2-40B4-BE49-F238E27FC236}">
                  <a16:creationId xmlns:a16="http://schemas.microsoft.com/office/drawing/2014/main" id="{4A000C16-AACC-4C80-A43A-BF5EB20847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8C2192B" w14:textId="77777777" w:rsidR="00EE6B38" w:rsidRPr="00457E71" w:rsidRDefault="00EE6B38" w:rsidP="00EE6B38">
      <w:pPr>
        <w:jc w:val="center"/>
        <w:rPr>
          <w:rFonts w:ascii="Arial" w:hAnsi="Arial" w:cs="Arial"/>
          <w:b/>
          <w:bCs/>
        </w:rPr>
      </w:pPr>
      <w:r w:rsidRPr="00457E71">
        <w:rPr>
          <w:rFonts w:ascii="Arial" w:hAnsi="Arial" w:cs="Arial"/>
          <w:b/>
          <w:bCs/>
        </w:rPr>
        <w:t>Figure 4: Profitability of Urban Heights.</w:t>
      </w:r>
    </w:p>
    <w:p w14:paraId="394C6050" w14:textId="77777777" w:rsidR="00EE6B38" w:rsidRDefault="00EE6B38" w:rsidP="00457E71">
      <w:pPr>
        <w:spacing w:line="360" w:lineRule="auto"/>
        <w:rPr>
          <w:rFonts w:ascii="Arial" w:hAnsi="Arial" w:cs="Arial"/>
        </w:rPr>
      </w:pPr>
      <w:r>
        <w:tab/>
      </w:r>
      <w:r w:rsidRPr="00457E71">
        <w:rPr>
          <w:rFonts w:ascii="Arial" w:hAnsi="Arial" w:cs="Arial"/>
        </w:rPr>
        <w:t>Profitability is a crucial aspect of the business, as a business cannot survive without adequate profitability condition. The entities must be able to make adequate profits and returns (</w:t>
      </w:r>
      <w:proofErr w:type="spellStart"/>
      <w:r w:rsidRPr="00457E71">
        <w:rPr>
          <w:rFonts w:ascii="Arial" w:hAnsi="Arial" w:cs="Arial"/>
        </w:rPr>
        <w:t>Shahnia</w:t>
      </w:r>
      <w:proofErr w:type="spellEnd"/>
      <w:r w:rsidRPr="00457E71">
        <w:rPr>
          <w:rFonts w:ascii="Arial" w:hAnsi="Arial" w:cs="Arial"/>
        </w:rPr>
        <w:t xml:space="preserve"> et al., 2020). Urban Heights has faced an extreme decline in its profitability as demonstrated in the above figures. The external events and the internal business failure have led to impact the hotel’s revenue, thereby increasing operating expenses, and eventually, impacting the net income. Urban Heights’s NP margin has excessively dropped over the previous 3 years. In 2023, its margin becomes negative. It reveals the inability of Urban Heights in making adequate profit. Further, Urban Heights’s ROA also excessively dropped over the previous 3 years, revealing its inability to generate adequate returns from the overall assets’ utilization. It seems that the hotel’s inefficient assets’ utilization has led to create negative returns. Lastly, Urban Heights’s ROE dropped to (36) % in 2023 after two years of generating positive returns, indicating its inability in generating adequate returns for the shareholders.</w:t>
      </w:r>
    </w:p>
    <w:p w14:paraId="7A500D6C" w14:textId="77777777" w:rsidR="00457E71" w:rsidRDefault="00457E71" w:rsidP="00457E71">
      <w:pPr>
        <w:spacing w:line="360" w:lineRule="auto"/>
        <w:rPr>
          <w:rFonts w:ascii="Arial" w:hAnsi="Arial" w:cs="Arial"/>
        </w:rPr>
      </w:pPr>
    </w:p>
    <w:p w14:paraId="200AD817" w14:textId="77777777" w:rsidR="00457E71" w:rsidRDefault="00457E71" w:rsidP="00457E71">
      <w:pPr>
        <w:spacing w:line="360" w:lineRule="auto"/>
        <w:rPr>
          <w:rFonts w:ascii="Arial" w:hAnsi="Arial" w:cs="Arial"/>
        </w:rPr>
      </w:pPr>
    </w:p>
    <w:p w14:paraId="2AD69FC6" w14:textId="77777777" w:rsidR="00457E71" w:rsidRDefault="00457E71" w:rsidP="00457E71">
      <w:pPr>
        <w:spacing w:line="360" w:lineRule="auto"/>
        <w:rPr>
          <w:rFonts w:ascii="Arial" w:hAnsi="Arial" w:cs="Arial"/>
        </w:rPr>
      </w:pPr>
    </w:p>
    <w:p w14:paraId="7B9A74C7" w14:textId="77777777" w:rsidR="00457E71" w:rsidRPr="00457E71" w:rsidRDefault="00457E71" w:rsidP="00457E71">
      <w:pPr>
        <w:spacing w:line="360" w:lineRule="auto"/>
        <w:rPr>
          <w:rFonts w:ascii="Arial" w:hAnsi="Arial" w:cs="Arial"/>
        </w:rPr>
      </w:pPr>
    </w:p>
    <w:p w14:paraId="4217A0CC" w14:textId="77777777" w:rsidR="00EE6B38" w:rsidRPr="00457E71" w:rsidRDefault="00EE6B38" w:rsidP="00EE6B38">
      <w:pPr>
        <w:rPr>
          <w:rFonts w:ascii="Arial" w:hAnsi="Arial" w:cs="Arial"/>
          <w:b/>
          <w:bCs/>
          <w:sz w:val="40"/>
          <w:szCs w:val="40"/>
        </w:rPr>
      </w:pPr>
      <w:r w:rsidRPr="00457E71">
        <w:rPr>
          <w:rFonts w:ascii="Arial" w:hAnsi="Arial" w:cs="Arial"/>
          <w:b/>
          <w:bCs/>
          <w:sz w:val="40"/>
          <w:szCs w:val="40"/>
        </w:rPr>
        <w:t>Liquidity</w:t>
      </w:r>
    </w:p>
    <w:p w14:paraId="1F8093BE" w14:textId="0E400F75" w:rsidR="00EE6B38" w:rsidRDefault="00EE6B38" w:rsidP="00EE6B38">
      <w:pPr>
        <w:jc w:val="center"/>
      </w:pPr>
      <w:r>
        <w:rPr>
          <w:noProof/>
        </w:rPr>
        <w:drawing>
          <wp:inline distT="0" distB="0" distL="0" distR="0" wp14:anchorId="67C5CF2F" wp14:editId="24FD5325">
            <wp:extent cx="4584700" cy="2755900"/>
            <wp:effectExtent l="0" t="0" r="6350" b="6350"/>
            <wp:docPr id="3" name="Chart 1">
              <a:extLst xmlns:a="http://schemas.openxmlformats.org/drawingml/2006/main">
                <a:ext uri="{FF2B5EF4-FFF2-40B4-BE49-F238E27FC236}">
                  <a16:creationId xmlns:a16="http://schemas.microsoft.com/office/drawing/2014/main" id="{8CEC3103-772C-402E-96CE-FD2F384AF6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2B0AD80" w14:textId="77777777" w:rsidR="00EE6B38" w:rsidRPr="00457E71" w:rsidRDefault="00EE6B38" w:rsidP="00EE6B38">
      <w:pPr>
        <w:jc w:val="center"/>
        <w:rPr>
          <w:rFonts w:ascii="Arial" w:hAnsi="Arial" w:cs="Arial"/>
          <w:b/>
          <w:bCs/>
        </w:rPr>
      </w:pPr>
      <w:r w:rsidRPr="00457E71">
        <w:rPr>
          <w:rFonts w:ascii="Arial" w:hAnsi="Arial" w:cs="Arial"/>
          <w:b/>
          <w:bCs/>
        </w:rPr>
        <w:t>Figure 5: Liquidity of Urban Heights.</w:t>
      </w:r>
    </w:p>
    <w:p w14:paraId="6EFCDA4B" w14:textId="77777777" w:rsidR="00EE6B38" w:rsidRDefault="00EE6B38" w:rsidP="00457E71">
      <w:pPr>
        <w:spacing w:line="360" w:lineRule="auto"/>
        <w:rPr>
          <w:rFonts w:ascii="Arial" w:hAnsi="Arial" w:cs="Arial"/>
        </w:rPr>
      </w:pPr>
      <w:r>
        <w:tab/>
      </w:r>
      <w:r w:rsidRPr="00457E71">
        <w:rPr>
          <w:rFonts w:ascii="Arial" w:hAnsi="Arial" w:cs="Arial"/>
        </w:rPr>
        <w:t>Liquidity position involves the entity’s position in meeting in obligations on time. It can significantly affect the company’s value (</w:t>
      </w:r>
      <w:proofErr w:type="spellStart"/>
      <w:r w:rsidRPr="00457E71">
        <w:rPr>
          <w:rFonts w:ascii="Arial" w:hAnsi="Arial" w:cs="Arial"/>
        </w:rPr>
        <w:t>Reschiwati</w:t>
      </w:r>
      <w:proofErr w:type="spellEnd"/>
      <w:r w:rsidRPr="00457E71">
        <w:rPr>
          <w:rFonts w:ascii="Arial" w:hAnsi="Arial" w:cs="Arial"/>
        </w:rPr>
        <w:t xml:space="preserve">, </w:t>
      </w:r>
      <w:proofErr w:type="spellStart"/>
      <w:r w:rsidRPr="00457E71">
        <w:rPr>
          <w:rFonts w:ascii="Arial" w:hAnsi="Arial" w:cs="Arial"/>
        </w:rPr>
        <w:t>Syahdina</w:t>
      </w:r>
      <w:proofErr w:type="spellEnd"/>
      <w:r w:rsidRPr="00457E71">
        <w:rPr>
          <w:rFonts w:ascii="Arial" w:hAnsi="Arial" w:cs="Arial"/>
        </w:rPr>
        <w:t xml:space="preserve"> and </w:t>
      </w:r>
      <w:proofErr w:type="spellStart"/>
      <w:r w:rsidRPr="00457E71">
        <w:rPr>
          <w:rFonts w:ascii="Arial" w:hAnsi="Arial" w:cs="Arial"/>
        </w:rPr>
        <w:t>Handayani</w:t>
      </w:r>
      <w:proofErr w:type="spellEnd"/>
      <w:r w:rsidRPr="00457E71">
        <w:rPr>
          <w:rFonts w:ascii="Arial" w:hAnsi="Arial" w:cs="Arial"/>
        </w:rPr>
        <w:t xml:space="preserve"> 2020); (</w:t>
      </w:r>
      <w:proofErr w:type="spellStart"/>
      <w:r w:rsidRPr="00457E71">
        <w:rPr>
          <w:rFonts w:ascii="Arial" w:hAnsi="Arial" w:cs="Arial"/>
        </w:rPr>
        <w:t>Markonah</w:t>
      </w:r>
      <w:proofErr w:type="spellEnd"/>
      <w:r w:rsidRPr="00457E71">
        <w:rPr>
          <w:rFonts w:ascii="Arial" w:hAnsi="Arial" w:cs="Arial"/>
        </w:rPr>
        <w:t>, Salim and Franciska 2020). Urban Heights’s liquidity position has weakened over the previous 3 years as indicated by the figure above. The current ratio shows that Urban Heights is unable to pay off its near-terms obligations due to rise in the debts and inadequate short-term assets, such as cash to meet obligations. The ratio continuously declined over the years. Similarly, the cash ratio also declined over the years, indicating the inability of Urban Heights to pay off its near-term obligations using the most liquid assets, i.e., cash.</w:t>
      </w:r>
    </w:p>
    <w:p w14:paraId="4E01885F" w14:textId="77777777" w:rsidR="00457E71" w:rsidRDefault="00457E71" w:rsidP="00457E71">
      <w:pPr>
        <w:spacing w:line="360" w:lineRule="auto"/>
        <w:rPr>
          <w:rFonts w:ascii="Arial" w:hAnsi="Arial" w:cs="Arial"/>
        </w:rPr>
      </w:pPr>
    </w:p>
    <w:p w14:paraId="51D3F43D" w14:textId="77777777" w:rsidR="00457E71" w:rsidRDefault="00457E71" w:rsidP="00457E71">
      <w:pPr>
        <w:spacing w:line="360" w:lineRule="auto"/>
        <w:rPr>
          <w:rFonts w:ascii="Arial" w:hAnsi="Arial" w:cs="Arial"/>
        </w:rPr>
      </w:pPr>
    </w:p>
    <w:p w14:paraId="7B9D538F" w14:textId="77777777" w:rsidR="00457E71" w:rsidRDefault="00457E71" w:rsidP="00457E71">
      <w:pPr>
        <w:spacing w:line="360" w:lineRule="auto"/>
        <w:rPr>
          <w:rFonts w:ascii="Arial" w:hAnsi="Arial" w:cs="Arial"/>
        </w:rPr>
      </w:pPr>
    </w:p>
    <w:p w14:paraId="3212493C" w14:textId="77777777" w:rsidR="00457E71" w:rsidRDefault="00457E71" w:rsidP="00457E71">
      <w:pPr>
        <w:spacing w:line="360" w:lineRule="auto"/>
        <w:rPr>
          <w:rFonts w:ascii="Arial" w:hAnsi="Arial" w:cs="Arial"/>
        </w:rPr>
      </w:pPr>
    </w:p>
    <w:p w14:paraId="72D4FDB5" w14:textId="77777777" w:rsidR="00457E71" w:rsidRPr="00457E71" w:rsidRDefault="00457E71" w:rsidP="00457E71">
      <w:pPr>
        <w:spacing w:line="360" w:lineRule="auto"/>
        <w:rPr>
          <w:rFonts w:ascii="Arial" w:hAnsi="Arial" w:cs="Arial"/>
        </w:rPr>
      </w:pPr>
    </w:p>
    <w:p w14:paraId="754F646E" w14:textId="77777777" w:rsidR="00EE6B38" w:rsidRPr="00457E71" w:rsidRDefault="00EE6B38" w:rsidP="00EE6B38">
      <w:pPr>
        <w:rPr>
          <w:rFonts w:ascii="Arial" w:hAnsi="Arial" w:cs="Arial"/>
          <w:b/>
          <w:bCs/>
          <w:sz w:val="40"/>
          <w:szCs w:val="40"/>
        </w:rPr>
      </w:pPr>
      <w:r w:rsidRPr="00457E71">
        <w:rPr>
          <w:rFonts w:ascii="Arial" w:hAnsi="Arial" w:cs="Arial"/>
          <w:b/>
          <w:bCs/>
          <w:sz w:val="40"/>
          <w:szCs w:val="40"/>
        </w:rPr>
        <w:t>Solvency</w:t>
      </w:r>
    </w:p>
    <w:p w14:paraId="01CCD377" w14:textId="05F7AAE7" w:rsidR="00EE6B38" w:rsidRDefault="00EE6B38" w:rsidP="00EE6B38">
      <w:pPr>
        <w:jc w:val="center"/>
      </w:pPr>
      <w:r>
        <w:rPr>
          <w:noProof/>
        </w:rPr>
        <w:drawing>
          <wp:inline distT="0" distB="0" distL="0" distR="0" wp14:anchorId="2AAA324A" wp14:editId="71DB5278">
            <wp:extent cx="4584700" cy="2794000"/>
            <wp:effectExtent l="0" t="0" r="6350" b="6350"/>
            <wp:docPr id="1" name="Chart 1">
              <a:extLst xmlns:a="http://schemas.openxmlformats.org/drawingml/2006/main">
                <a:ext uri="{FF2B5EF4-FFF2-40B4-BE49-F238E27FC236}">
                  <a16:creationId xmlns:a16="http://schemas.microsoft.com/office/drawing/2014/main" id="{7F241FCE-8D6C-4F5C-86CB-A5AC4CCD2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D92751" w14:textId="77777777" w:rsidR="00EE6B38" w:rsidRPr="00457E71" w:rsidRDefault="00EE6B38" w:rsidP="00EE6B38">
      <w:pPr>
        <w:jc w:val="center"/>
        <w:rPr>
          <w:rFonts w:ascii="Arial" w:hAnsi="Arial" w:cs="Arial"/>
          <w:b/>
          <w:bCs/>
        </w:rPr>
      </w:pPr>
      <w:r w:rsidRPr="00457E71">
        <w:rPr>
          <w:rFonts w:ascii="Arial" w:hAnsi="Arial" w:cs="Arial"/>
          <w:b/>
          <w:bCs/>
        </w:rPr>
        <w:t>Figure 6: Solvency of Urban Heights.</w:t>
      </w:r>
    </w:p>
    <w:p w14:paraId="0AC612EB" w14:textId="77777777" w:rsidR="00EE6B38" w:rsidRDefault="00EE6B38" w:rsidP="00457E71">
      <w:pPr>
        <w:spacing w:line="360" w:lineRule="auto"/>
        <w:rPr>
          <w:rFonts w:ascii="Arial" w:hAnsi="Arial" w:cs="Arial"/>
        </w:rPr>
      </w:pPr>
      <w:r>
        <w:tab/>
      </w:r>
      <w:r w:rsidRPr="00457E71">
        <w:rPr>
          <w:rFonts w:ascii="Arial" w:hAnsi="Arial" w:cs="Arial"/>
        </w:rPr>
        <w:t>A solvency position shows the entity’s use of different sources of finance to fund the operations and the degree to which the assets and business is financed through debt/equity (</w:t>
      </w:r>
      <w:proofErr w:type="spellStart"/>
      <w:r w:rsidRPr="00457E71">
        <w:rPr>
          <w:rFonts w:ascii="Arial" w:hAnsi="Arial" w:cs="Arial"/>
        </w:rPr>
        <w:t>Marjohan</w:t>
      </w:r>
      <w:proofErr w:type="spellEnd"/>
      <w:r w:rsidRPr="00457E71">
        <w:rPr>
          <w:rFonts w:ascii="Arial" w:hAnsi="Arial" w:cs="Arial"/>
        </w:rPr>
        <w:t xml:space="preserve"> 2020). An understanding of the key drivers threatening the entity’s solvency position is important to deal with the financial distress (</w:t>
      </w:r>
      <w:proofErr w:type="spellStart"/>
      <w:r w:rsidRPr="00457E71">
        <w:rPr>
          <w:rFonts w:ascii="Arial" w:hAnsi="Arial" w:cs="Arial"/>
        </w:rPr>
        <w:t>Horobet</w:t>
      </w:r>
      <w:proofErr w:type="spellEnd"/>
      <w:r w:rsidRPr="00457E71">
        <w:rPr>
          <w:rFonts w:ascii="Arial" w:hAnsi="Arial" w:cs="Arial"/>
        </w:rPr>
        <w:t xml:space="preserve"> et al., 2021). Urban Heights continues to face worse solvency position as shown in the figure above. The D/E ratio shows that Urban Heights is using a high debt level to finance its operations compared to the equity investments. Similarly, the debt ratio shows that Urban Heights is using a high extent of debt to finance its assets. Both these ratios show a major dependence on debt sourcing. This level of dependence is likely to threaten the hotel’s survival. </w:t>
      </w:r>
    </w:p>
    <w:p w14:paraId="0DAD21C1" w14:textId="77777777" w:rsidR="00C351C0" w:rsidRDefault="00C351C0" w:rsidP="00457E71">
      <w:pPr>
        <w:spacing w:line="360" w:lineRule="auto"/>
        <w:rPr>
          <w:rFonts w:ascii="Arial" w:hAnsi="Arial" w:cs="Arial"/>
        </w:rPr>
      </w:pPr>
    </w:p>
    <w:p w14:paraId="7DA62918" w14:textId="77777777" w:rsidR="00C351C0" w:rsidRDefault="00C351C0" w:rsidP="00457E71">
      <w:pPr>
        <w:spacing w:line="360" w:lineRule="auto"/>
        <w:rPr>
          <w:rFonts w:ascii="Arial" w:hAnsi="Arial" w:cs="Arial"/>
        </w:rPr>
      </w:pPr>
    </w:p>
    <w:p w14:paraId="041366C1" w14:textId="77777777" w:rsidR="00C351C0" w:rsidRPr="00457E71" w:rsidRDefault="00C351C0" w:rsidP="00457E71">
      <w:pPr>
        <w:spacing w:line="360" w:lineRule="auto"/>
        <w:rPr>
          <w:rFonts w:ascii="Arial" w:hAnsi="Arial" w:cs="Arial"/>
        </w:rPr>
      </w:pPr>
    </w:p>
    <w:p w14:paraId="6BD0663C" w14:textId="77777777" w:rsidR="00EE6B38" w:rsidRPr="00C351C0" w:rsidRDefault="00EE6B38" w:rsidP="00C351C0">
      <w:pPr>
        <w:pStyle w:val="Heading1"/>
        <w:spacing w:line="240" w:lineRule="auto"/>
        <w:rPr>
          <w:rFonts w:ascii="Arial" w:hAnsi="Arial" w:cs="Arial"/>
          <w:b/>
          <w:bCs/>
          <w:color w:val="auto"/>
        </w:rPr>
      </w:pPr>
      <w:bookmarkStart w:id="4" w:name="_Toc168095749"/>
      <w:r w:rsidRPr="00C351C0">
        <w:rPr>
          <w:rFonts w:ascii="Arial" w:hAnsi="Arial" w:cs="Arial"/>
          <w:b/>
          <w:bCs/>
          <w:color w:val="auto"/>
        </w:rPr>
        <w:lastRenderedPageBreak/>
        <w:t>Identification of the Key Reasons Behind Decline in Profitability</w:t>
      </w:r>
      <w:bookmarkEnd w:id="4"/>
    </w:p>
    <w:p w14:paraId="01F8CB2F" w14:textId="77777777" w:rsidR="00457E71" w:rsidRPr="00457E71" w:rsidRDefault="00457E71" w:rsidP="00C351C0">
      <w:pPr>
        <w:spacing w:line="240" w:lineRule="auto"/>
      </w:pPr>
    </w:p>
    <w:p w14:paraId="34EEF3B9" w14:textId="77777777" w:rsidR="00EE6B38" w:rsidRPr="00C351C0" w:rsidRDefault="00EE6B38" w:rsidP="00C351C0">
      <w:pPr>
        <w:spacing w:line="360" w:lineRule="auto"/>
        <w:rPr>
          <w:rFonts w:ascii="Arial" w:hAnsi="Arial" w:cs="Arial"/>
        </w:rPr>
      </w:pPr>
      <w:r>
        <w:tab/>
      </w:r>
      <w:r w:rsidRPr="00C351C0">
        <w:rPr>
          <w:rFonts w:ascii="Arial" w:hAnsi="Arial" w:cs="Arial"/>
        </w:rPr>
        <w:t>A drop in the profitability of Urban Heights can be attributed to both internal failures of the hotel and external failures, such as pandemic. These internal failure and external events have caused the Urban Heights to face a major drop in its sales, occupation rates, reputation, and the customer satisfaction. Just like various other industries, hospitality industry was major affected by the COVID-19 (Anguera-Torrell, Aznar-Alarcón and Vives-Perez 2021).</w:t>
      </w:r>
    </w:p>
    <w:p w14:paraId="4E08D7A6" w14:textId="77777777" w:rsidR="00EE6B38" w:rsidRPr="00C351C0" w:rsidRDefault="00EE6B38" w:rsidP="00C351C0">
      <w:pPr>
        <w:spacing w:line="360" w:lineRule="auto"/>
        <w:ind w:firstLine="720"/>
        <w:rPr>
          <w:rFonts w:ascii="Arial" w:hAnsi="Arial" w:cs="Arial"/>
        </w:rPr>
      </w:pPr>
      <w:r w:rsidRPr="00C351C0">
        <w:rPr>
          <w:rFonts w:ascii="Arial" w:hAnsi="Arial" w:cs="Arial"/>
        </w:rPr>
        <w:t xml:space="preserve"> This event has led to the severe decline in the industry revenues. This industry is more vulnerable to the external shocks compared to the other industry. The higher fixed costs, fixed assets, and the higher leverage structures makes this industry more susceptible to the external events, such as the pandemic (Zhang, Chang and Wu 2022). It has created the working capital and cash issues for the industry (</w:t>
      </w:r>
      <w:proofErr w:type="spellStart"/>
      <w:r w:rsidRPr="00C351C0">
        <w:rPr>
          <w:rFonts w:ascii="Arial" w:hAnsi="Arial" w:cs="Arial"/>
        </w:rPr>
        <w:t>Mijinke</w:t>
      </w:r>
      <w:proofErr w:type="spellEnd"/>
      <w:r w:rsidRPr="00C351C0">
        <w:rPr>
          <w:rFonts w:ascii="Arial" w:hAnsi="Arial" w:cs="Arial"/>
        </w:rPr>
        <w:t xml:space="preserve">, Obermann and Hamers 2020). The event has created a major volatility and fall in the hotels’ financial health due to the legislative mandates, travel restrictions, shut-downs, a major decline in the spending and confidence of the customers, a sudden reduction in the demand sales, and drop in the occupancy rates (Sheel 2020); (Wieczorek-Kosmala 2021). </w:t>
      </w:r>
    </w:p>
    <w:p w14:paraId="4445D42B" w14:textId="77777777" w:rsidR="00EE6B38" w:rsidRPr="00C351C0" w:rsidRDefault="00EE6B38" w:rsidP="00C351C0">
      <w:pPr>
        <w:spacing w:line="360" w:lineRule="auto"/>
        <w:ind w:firstLine="720"/>
        <w:rPr>
          <w:rFonts w:ascii="Arial" w:hAnsi="Arial" w:cs="Arial"/>
        </w:rPr>
      </w:pPr>
      <w:r w:rsidRPr="00C351C0">
        <w:rPr>
          <w:rFonts w:ascii="Arial" w:hAnsi="Arial" w:cs="Arial"/>
        </w:rPr>
        <w:t>All these has increased the overall costs of the hospitality businesses, which made it difficult for them to bear. The hospitality businesses indicated insufficient or low financial slack holdings. Hence, the hospitality businesses’ abilities to sustain the existing liquidity tensions occurred due to the pandemic are questionable, necessitating the need to design the interventions that could help preventing bankruptcy in this industry (Wieczorek-Kosmala 2021). The other trends impacting the hospitality businesses are rising customers’ expectations, technology, and sustainability. All these are changing the dynamics of the hospitality industry (Aksoy et al., 2022); (</w:t>
      </w:r>
      <w:proofErr w:type="spellStart"/>
      <w:r w:rsidRPr="00C351C0">
        <w:rPr>
          <w:rFonts w:ascii="Arial" w:hAnsi="Arial" w:cs="Arial"/>
        </w:rPr>
        <w:t>Dominioni</w:t>
      </w:r>
      <w:proofErr w:type="spellEnd"/>
      <w:r w:rsidRPr="00C351C0">
        <w:rPr>
          <w:rFonts w:ascii="Arial" w:hAnsi="Arial" w:cs="Arial"/>
        </w:rPr>
        <w:t xml:space="preserve"> 2023).</w:t>
      </w:r>
    </w:p>
    <w:p w14:paraId="45E95FCB" w14:textId="77777777" w:rsidR="00EE6B38" w:rsidRPr="00C351C0" w:rsidRDefault="00EE6B38" w:rsidP="00C351C0">
      <w:pPr>
        <w:spacing w:line="360" w:lineRule="auto"/>
        <w:rPr>
          <w:rFonts w:ascii="Arial" w:hAnsi="Arial" w:cs="Arial"/>
        </w:rPr>
      </w:pPr>
      <w:r w:rsidRPr="00C351C0">
        <w:rPr>
          <w:rFonts w:ascii="Arial" w:hAnsi="Arial" w:cs="Arial"/>
        </w:rPr>
        <w:tab/>
        <w:t xml:space="preserve">Looking back to the ratios, it is important to understand the reasons behind the decline in the different aspects of the financial performance. The profitability declined because of the increased costs of the business. Urban Heights has been struggling to make sufficient sales due to the external impacts, which led to add a huge cost and </w:t>
      </w:r>
      <w:r w:rsidRPr="00C351C0">
        <w:rPr>
          <w:rFonts w:ascii="Arial" w:hAnsi="Arial" w:cs="Arial"/>
        </w:rPr>
        <w:lastRenderedPageBreak/>
        <w:t xml:space="preserve">expenses to the business, thereby leading to the drop in the margin and a failure to make enough returns from utilizing the resources and returns for the shareholders. </w:t>
      </w:r>
    </w:p>
    <w:p w14:paraId="250CD759" w14:textId="77777777" w:rsidR="00EE6B38" w:rsidRPr="00C351C0" w:rsidRDefault="00EE6B38" w:rsidP="00C351C0">
      <w:pPr>
        <w:spacing w:line="360" w:lineRule="auto"/>
        <w:ind w:firstLine="720"/>
        <w:rPr>
          <w:rFonts w:ascii="Arial" w:hAnsi="Arial" w:cs="Arial"/>
        </w:rPr>
      </w:pPr>
      <w:r w:rsidRPr="00C351C0">
        <w:rPr>
          <w:rFonts w:ascii="Arial" w:hAnsi="Arial" w:cs="Arial"/>
        </w:rPr>
        <w:t xml:space="preserve">A decline in the liquidity position is linked to the profitability (Christopoulos et al., 2019). Since the business is unable to make sufficient sales and income, the debt continues to rise to meet the day-to-day expenses. Also, Urban Heights is </w:t>
      </w:r>
      <w:proofErr w:type="gramStart"/>
      <w:r w:rsidRPr="00C351C0">
        <w:rPr>
          <w:rFonts w:ascii="Arial" w:hAnsi="Arial" w:cs="Arial"/>
        </w:rPr>
        <w:t>making due</w:t>
      </w:r>
      <w:proofErr w:type="gramEnd"/>
      <w:r w:rsidRPr="00C351C0">
        <w:rPr>
          <w:rFonts w:ascii="Arial" w:hAnsi="Arial" w:cs="Arial"/>
        </w:rPr>
        <w:t xml:space="preserve"> payments to its suppliers on time but unable to get payments from its customers, causing a huge impact on the company’s working capital. Also, a huge drop in the cash position is alarming situation for Urban Heights. In the absence of cash, it may not stay in the business for a long-term. Lastly, the solvency position of Urban Heights suggests that the company’s survival is questionable due to its excessive debt use. While a debt use offers various benefits, such as tax benefit, its extensive use may lead the company toward bankruptcy and creates agency costs (</w:t>
      </w:r>
      <w:proofErr w:type="spellStart"/>
      <w:r w:rsidRPr="00C351C0">
        <w:rPr>
          <w:rFonts w:ascii="Arial" w:hAnsi="Arial" w:cs="Arial"/>
        </w:rPr>
        <w:t>Bărbuță-Mișu</w:t>
      </w:r>
      <w:proofErr w:type="spellEnd"/>
      <w:r w:rsidRPr="00C351C0">
        <w:rPr>
          <w:rFonts w:ascii="Arial" w:hAnsi="Arial" w:cs="Arial"/>
        </w:rPr>
        <w:t xml:space="preserve"> and Madaleno 2020); (Ricca, </w:t>
      </w:r>
      <w:proofErr w:type="spellStart"/>
      <w:r w:rsidRPr="00C351C0">
        <w:rPr>
          <w:rFonts w:ascii="Arial" w:hAnsi="Arial" w:cs="Arial"/>
        </w:rPr>
        <w:t>Jucá</w:t>
      </w:r>
      <w:proofErr w:type="spellEnd"/>
      <w:r w:rsidRPr="00C351C0">
        <w:rPr>
          <w:rFonts w:ascii="Arial" w:hAnsi="Arial" w:cs="Arial"/>
        </w:rPr>
        <w:t xml:space="preserve"> and Junior 2021). </w:t>
      </w:r>
    </w:p>
    <w:p w14:paraId="78AE3AAF" w14:textId="77777777" w:rsidR="00EE6B38" w:rsidRPr="00C351C0" w:rsidRDefault="00EE6B38" w:rsidP="00C351C0">
      <w:pPr>
        <w:pStyle w:val="Heading1"/>
        <w:spacing w:line="240" w:lineRule="auto"/>
        <w:rPr>
          <w:rFonts w:ascii="Arial" w:hAnsi="Arial" w:cs="Arial"/>
          <w:b/>
          <w:bCs/>
          <w:color w:val="auto"/>
        </w:rPr>
      </w:pPr>
      <w:bookmarkStart w:id="5" w:name="_Toc168095750"/>
      <w:r w:rsidRPr="00C351C0">
        <w:rPr>
          <w:rFonts w:ascii="Arial" w:hAnsi="Arial" w:cs="Arial"/>
          <w:b/>
          <w:bCs/>
          <w:color w:val="auto"/>
        </w:rPr>
        <w:t>Conclusion</w:t>
      </w:r>
      <w:bookmarkEnd w:id="5"/>
    </w:p>
    <w:p w14:paraId="51755FFF" w14:textId="77777777" w:rsidR="00C351C0" w:rsidRPr="00C351C0" w:rsidRDefault="00C351C0" w:rsidP="00C351C0">
      <w:pPr>
        <w:spacing w:line="240" w:lineRule="auto"/>
      </w:pPr>
    </w:p>
    <w:p w14:paraId="4F0E451B" w14:textId="77777777" w:rsidR="00EE6B38" w:rsidRDefault="00EE6B38" w:rsidP="00C351C0">
      <w:pPr>
        <w:spacing w:line="360" w:lineRule="auto"/>
        <w:rPr>
          <w:rFonts w:ascii="Arial" w:hAnsi="Arial" w:cs="Arial"/>
        </w:rPr>
      </w:pPr>
      <w:r>
        <w:tab/>
      </w:r>
      <w:r w:rsidRPr="00C351C0">
        <w:rPr>
          <w:rFonts w:ascii="Arial" w:hAnsi="Arial" w:cs="Arial"/>
        </w:rPr>
        <w:t xml:space="preserve">The analysis of the financial condition of Urban Heights has revealed a sharp decline in the hotel’s financial performance. The profitability analysis revealed the inability of the hotel to make adequate earnings, the liquidity analysis revealed the inability of the hotel to pay its near-term obligations and a lack of enough liquid to survive, and the solvency revealed an extensive dependence on debt to operate the business. All these indicates that the existing financial condition is threatening the hotel’s survival for long. The key reasons behind the reduced profitability can be attributed to both internal failure of the hotel to adapt to the changes and meet the changing customers need and the external events, such as the pandemic, resulting in the failure to make enough revenue and increased costs of operating the business. Lastly, based on the existing worsen financial condition of the hotel, a comprehensive turnaround strategy will be developed and suggested to help Urban Heights to boost its financial condition and improve its image in customers, thereby promoting a long-term sustainable growth and gaining competitiveness. </w:t>
      </w:r>
    </w:p>
    <w:p w14:paraId="2D1FE6A2" w14:textId="77777777" w:rsidR="00C351C0" w:rsidRDefault="00C351C0" w:rsidP="00C351C0">
      <w:pPr>
        <w:spacing w:line="360" w:lineRule="auto"/>
        <w:rPr>
          <w:rFonts w:ascii="Arial" w:hAnsi="Arial" w:cs="Arial"/>
        </w:rPr>
      </w:pPr>
    </w:p>
    <w:p w14:paraId="0A470723" w14:textId="77777777" w:rsidR="00C351C0" w:rsidRDefault="00C351C0" w:rsidP="00C351C0">
      <w:pPr>
        <w:spacing w:line="360" w:lineRule="auto"/>
        <w:rPr>
          <w:rFonts w:ascii="Arial" w:hAnsi="Arial" w:cs="Arial"/>
        </w:rPr>
      </w:pPr>
    </w:p>
    <w:p w14:paraId="0EBC2344" w14:textId="77777777" w:rsidR="00C351C0" w:rsidRDefault="00C351C0" w:rsidP="00C351C0">
      <w:pPr>
        <w:spacing w:line="360" w:lineRule="auto"/>
        <w:rPr>
          <w:rFonts w:ascii="Arial" w:hAnsi="Arial" w:cs="Arial"/>
        </w:rPr>
      </w:pPr>
    </w:p>
    <w:p w14:paraId="6C603FB3" w14:textId="77777777" w:rsidR="00C351C0" w:rsidRPr="00C351C0" w:rsidRDefault="00C351C0" w:rsidP="00C351C0">
      <w:pPr>
        <w:spacing w:line="360" w:lineRule="auto"/>
        <w:rPr>
          <w:rFonts w:ascii="Arial" w:hAnsi="Arial" w:cs="Arial"/>
        </w:rPr>
      </w:pPr>
    </w:p>
    <w:p w14:paraId="717E0E9F" w14:textId="77777777" w:rsidR="00EE6B38" w:rsidRDefault="00EE6B38" w:rsidP="00C351C0">
      <w:pPr>
        <w:pStyle w:val="Heading1"/>
        <w:spacing w:line="240" w:lineRule="auto"/>
        <w:rPr>
          <w:rFonts w:ascii="Arial" w:hAnsi="Arial" w:cs="Arial"/>
          <w:b/>
          <w:bCs/>
          <w:color w:val="auto"/>
        </w:rPr>
      </w:pPr>
      <w:bookmarkStart w:id="6" w:name="_Toc168095751"/>
      <w:r w:rsidRPr="00C351C0">
        <w:rPr>
          <w:rFonts w:ascii="Arial" w:hAnsi="Arial" w:cs="Arial"/>
          <w:b/>
          <w:bCs/>
          <w:color w:val="auto"/>
        </w:rPr>
        <w:t>Recommendation of A Comprehensive Turnaround Strategy</w:t>
      </w:r>
      <w:bookmarkEnd w:id="6"/>
    </w:p>
    <w:p w14:paraId="76C1DAEA" w14:textId="77777777" w:rsidR="00C351C0" w:rsidRPr="00C351C0" w:rsidRDefault="00C351C0" w:rsidP="00C351C0">
      <w:pPr>
        <w:spacing w:line="360" w:lineRule="auto"/>
        <w:rPr>
          <w:rFonts w:ascii="Arial" w:hAnsi="Arial" w:cs="Arial"/>
        </w:rPr>
      </w:pPr>
    </w:p>
    <w:p w14:paraId="0C03E699" w14:textId="77777777" w:rsidR="00EE6B38" w:rsidRPr="00C351C0" w:rsidRDefault="00EE6B38" w:rsidP="00C351C0">
      <w:pPr>
        <w:spacing w:line="360" w:lineRule="auto"/>
        <w:rPr>
          <w:rFonts w:ascii="Arial" w:hAnsi="Arial" w:cs="Arial"/>
        </w:rPr>
      </w:pPr>
      <w:r w:rsidRPr="00C351C0">
        <w:rPr>
          <w:rFonts w:ascii="Arial" w:hAnsi="Arial" w:cs="Arial"/>
        </w:rPr>
        <w:tab/>
        <w:t>Turnaround strategies is the activities that are used to prevent decline and drive the upturn cycle, indicating the objectives that required to be achievement. It could be strategic focus, cost reduction, culture change, growth strategies, working capital improvements, and financial restructuring. A range of strategies can be adopted as a part of the comprehensive turnaround strategy (</w:t>
      </w:r>
      <w:proofErr w:type="spellStart"/>
      <w:r w:rsidRPr="00C351C0">
        <w:rPr>
          <w:rFonts w:ascii="Arial" w:hAnsi="Arial" w:cs="Arial"/>
        </w:rPr>
        <w:t>Gotteiner</w:t>
      </w:r>
      <w:proofErr w:type="spellEnd"/>
      <w:r w:rsidRPr="00C351C0">
        <w:rPr>
          <w:rFonts w:ascii="Arial" w:hAnsi="Arial" w:cs="Arial"/>
        </w:rPr>
        <w:t xml:space="preserve">, Mas-Machuca and Marimon 2019). </w:t>
      </w:r>
    </w:p>
    <w:p w14:paraId="0CB22060" w14:textId="77777777" w:rsidR="00EE6B38" w:rsidRPr="00C351C0" w:rsidRDefault="00EE6B38" w:rsidP="00C351C0">
      <w:pPr>
        <w:spacing w:line="360" w:lineRule="auto"/>
        <w:ind w:firstLine="720"/>
        <w:rPr>
          <w:rFonts w:ascii="Arial" w:hAnsi="Arial" w:cs="Arial"/>
        </w:rPr>
      </w:pPr>
      <w:r w:rsidRPr="00C351C0">
        <w:rPr>
          <w:rFonts w:ascii="Arial" w:hAnsi="Arial" w:cs="Arial"/>
        </w:rPr>
        <w:t>There is a significant relationship between turnaround strategy and the corporate performance (</w:t>
      </w:r>
      <w:proofErr w:type="spellStart"/>
      <w:r w:rsidRPr="00C351C0">
        <w:rPr>
          <w:rFonts w:ascii="Arial" w:hAnsi="Arial" w:cs="Arial"/>
        </w:rPr>
        <w:t>Nyagiloh</w:t>
      </w:r>
      <w:proofErr w:type="spellEnd"/>
      <w:r w:rsidRPr="00C351C0">
        <w:rPr>
          <w:rFonts w:ascii="Arial" w:hAnsi="Arial" w:cs="Arial"/>
        </w:rPr>
        <w:t xml:space="preserve"> and </w:t>
      </w:r>
      <w:proofErr w:type="spellStart"/>
      <w:r w:rsidRPr="00C351C0">
        <w:rPr>
          <w:rFonts w:ascii="Arial" w:hAnsi="Arial" w:cs="Arial"/>
        </w:rPr>
        <w:t>Kilika</w:t>
      </w:r>
      <w:proofErr w:type="spellEnd"/>
      <w:r w:rsidRPr="00C351C0">
        <w:rPr>
          <w:rFonts w:ascii="Arial" w:hAnsi="Arial" w:cs="Arial"/>
        </w:rPr>
        <w:t xml:space="preserve"> 2020). Given the existing worse financial condition of Urban Heights, a turnaround strategy is developed and suggested to boost the financial health of the hotel, its reputation, and the better financial outcomes for the hotel’s shareholders/owners. The hospitality businesses need to adapt to meet the changing expectations of the customers/</w:t>
      </w:r>
      <w:proofErr w:type="spellStart"/>
      <w:r w:rsidRPr="00C351C0">
        <w:rPr>
          <w:rFonts w:ascii="Arial" w:hAnsi="Arial" w:cs="Arial"/>
        </w:rPr>
        <w:t>travelers</w:t>
      </w:r>
      <w:proofErr w:type="spellEnd"/>
      <w:r w:rsidRPr="00C351C0">
        <w:rPr>
          <w:rFonts w:ascii="Arial" w:hAnsi="Arial" w:cs="Arial"/>
        </w:rPr>
        <w:t>, optimize the operations of the property, and determine the ways to regain revenue (</w:t>
      </w:r>
      <w:proofErr w:type="spellStart"/>
      <w:r w:rsidRPr="00C351C0">
        <w:rPr>
          <w:rFonts w:ascii="Arial" w:hAnsi="Arial" w:cs="Arial"/>
        </w:rPr>
        <w:t>Dominioni</w:t>
      </w:r>
      <w:proofErr w:type="spellEnd"/>
      <w:r w:rsidRPr="00C351C0">
        <w:rPr>
          <w:rFonts w:ascii="Arial" w:hAnsi="Arial" w:cs="Arial"/>
        </w:rPr>
        <w:t xml:space="preserve"> 2023).</w:t>
      </w:r>
    </w:p>
    <w:p w14:paraId="2890BD78" w14:textId="77777777" w:rsidR="00EE6B38" w:rsidRPr="00C351C0" w:rsidRDefault="00EE6B38" w:rsidP="00C351C0">
      <w:pPr>
        <w:spacing w:line="360" w:lineRule="auto"/>
        <w:rPr>
          <w:rFonts w:ascii="Arial" w:hAnsi="Arial" w:cs="Arial"/>
          <w:b/>
          <w:bCs/>
          <w:sz w:val="28"/>
          <w:szCs w:val="28"/>
        </w:rPr>
      </w:pPr>
      <w:r w:rsidRPr="00C351C0">
        <w:rPr>
          <w:rFonts w:ascii="Arial" w:hAnsi="Arial" w:cs="Arial"/>
          <w:b/>
          <w:bCs/>
          <w:sz w:val="28"/>
          <w:szCs w:val="28"/>
        </w:rPr>
        <w:t>Recommendation of a Turnaround Strategy for Urban Heights</w:t>
      </w:r>
    </w:p>
    <w:p w14:paraId="53C18015" w14:textId="77777777" w:rsidR="00EE6B38" w:rsidRPr="00C351C0" w:rsidRDefault="00EE6B38" w:rsidP="00C351C0">
      <w:pPr>
        <w:spacing w:line="360" w:lineRule="auto"/>
        <w:rPr>
          <w:rFonts w:ascii="Arial" w:hAnsi="Arial" w:cs="Arial"/>
          <w:b/>
          <w:bCs/>
          <w:sz w:val="28"/>
          <w:szCs w:val="28"/>
        </w:rPr>
      </w:pPr>
      <w:r w:rsidRPr="00C351C0">
        <w:rPr>
          <w:rFonts w:ascii="Arial" w:hAnsi="Arial" w:cs="Arial"/>
          <w:b/>
          <w:bCs/>
          <w:sz w:val="28"/>
          <w:szCs w:val="28"/>
        </w:rPr>
        <w:t>Operational and Financial Impacts and their Prevention</w:t>
      </w:r>
    </w:p>
    <w:p w14:paraId="415B7727" w14:textId="77777777" w:rsidR="00EE6B38" w:rsidRPr="00C351C0" w:rsidRDefault="00EE6B38" w:rsidP="00C351C0">
      <w:pPr>
        <w:spacing w:line="360" w:lineRule="auto"/>
        <w:ind w:firstLine="720"/>
        <w:rPr>
          <w:rFonts w:ascii="Arial" w:hAnsi="Arial" w:cs="Arial"/>
        </w:rPr>
      </w:pPr>
      <w:r w:rsidRPr="00C351C0">
        <w:rPr>
          <w:rFonts w:ascii="Arial" w:hAnsi="Arial" w:cs="Arial"/>
        </w:rPr>
        <w:t>It is advised to Urban Heights to make cash flow forecast for the coming months and minimize the discretionary capital and operational expenditure. To conserve cash, where possible, postpone or reconsider the maintenance and capital expenditure. Putting in place the pricing models and revenue management system to quickly respond to the market developments. Further, the company must also assess the debt or equity funding sources to fund the operations (</w:t>
      </w:r>
      <w:proofErr w:type="spellStart"/>
      <w:r w:rsidRPr="00C351C0">
        <w:rPr>
          <w:rFonts w:ascii="Arial" w:hAnsi="Arial" w:cs="Arial"/>
        </w:rPr>
        <w:t>Mijinke</w:t>
      </w:r>
      <w:proofErr w:type="spellEnd"/>
      <w:r w:rsidRPr="00C351C0">
        <w:rPr>
          <w:rFonts w:ascii="Arial" w:hAnsi="Arial" w:cs="Arial"/>
        </w:rPr>
        <w:t>, Obermann and Hamers 2020).</w:t>
      </w:r>
    </w:p>
    <w:p w14:paraId="6CF6DE9E" w14:textId="77777777" w:rsidR="00EE6B38" w:rsidRPr="00C351C0" w:rsidRDefault="00EE6B38" w:rsidP="00C351C0">
      <w:pPr>
        <w:spacing w:line="360" w:lineRule="auto"/>
        <w:rPr>
          <w:rFonts w:ascii="Arial" w:hAnsi="Arial" w:cs="Arial"/>
          <w:b/>
          <w:bCs/>
          <w:sz w:val="28"/>
          <w:szCs w:val="28"/>
        </w:rPr>
      </w:pPr>
      <w:r w:rsidRPr="00C351C0">
        <w:rPr>
          <w:rFonts w:ascii="Arial" w:hAnsi="Arial" w:cs="Arial"/>
          <w:b/>
          <w:bCs/>
          <w:sz w:val="28"/>
          <w:szCs w:val="28"/>
        </w:rPr>
        <w:t>Business Innovation</w:t>
      </w:r>
    </w:p>
    <w:p w14:paraId="55C7503A" w14:textId="77777777" w:rsidR="00EE6B38" w:rsidRDefault="00EE6B38" w:rsidP="00C351C0">
      <w:pPr>
        <w:spacing w:line="360" w:lineRule="auto"/>
        <w:rPr>
          <w:rFonts w:ascii="Arial" w:hAnsi="Arial" w:cs="Arial"/>
        </w:rPr>
      </w:pPr>
      <w:r w:rsidRPr="00C351C0">
        <w:rPr>
          <w:rFonts w:ascii="Arial" w:hAnsi="Arial" w:cs="Arial"/>
        </w:rPr>
        <w:lastRenderedPageBreak/>
        <w:tab/>
        <w:t xml:space="preserve">Urban Heights must adopt the business model innovation as its turnaround strategy. It can use innovation on the different components of the existing business model to deal with the decline in the performance (Hosseinzadeh </w:t>
      </w:r>
      <w:proofErr w:type="spellStart"/>
      <w:r w:rsidRPr="00C351C0">
        <w:rPr>
          <w:rFonts w:ascii="Arial" w:hAnsi="Arial" w:cs="Arial"/>
        </w:rPr>
        <w:t>Shahri</w:t>
      </w:r>
      <w:proofErr w:type="spellEnd"/>
      <w:r w:rsidRPr="00C351C0">
        <w:rPr>
          <w:rFonts w:ascii="Arial" w:hAnsi="Arial" w:cs="Arial"/>
        </w:rPr>
        <w:t xml:space="preserve"> and Nematollahi </w:t>
      </w:r>
      <w:proofErr w:type="spellStart"/>
      <w:r w:rsidRPr="00C351C0">
        <w:rPr>
          <w:rFonts w:ascii="Arial" w:hAnsi="Arial" w:cs="Arial"/>
        </w:rPr>
        <w:t>Sarvestani</w:t>
      </w:r>
      <w:proofErr w:type="spellEnd"/>
      <w:r w:rsidRPr="00C351C0">
        <w:rPr>
          <w:rFonts w:ascii="Arial" w:hAnsi="Arial" w:cs="Arial"/>
        </w:rPr>
        <w:t xml:space="preserve"> 2020). The leaders need to re-evaluate their existing business practices, and where requirement, new and innovative strategies must be employed to improve the decline in the performance and restoring consumer confidence in the business. It could assist hotels expand their innovative responses and sustain for the long-term (Sharma et al., 2021).</w:t>
      </w:r>
    </w:p>
    <w:p w14:paraId="373AA64E" w14:textId="77777777" w:rsidR="00C351C0" w:rsidRDefault="00C351C0" w:rsidP="00C351C0">
      <w:pPr>
        <w:spacing w:line="360" w:lineRule="auto"/>
        <w:rPr>
          <w:rFonts w:ascii="Arial" w:hAnsi="Arial" w:cs="Arial"/>
        </w:rPr>
      </w:pPr>
    </w:p>
    <w:p w14:paraId="1B984213" w14:textId="77777777" w:rsidR="00C351C0" w:rsidRPr="00C351C0" w:rsidRDefault="00C351C0" w:rsidP="00C351C0">
      <w:pPr>
        <w:spacing w:line="360" w:lineRule="auto"/>
        <w:rPr>
          <w:rFonts w:ascii="Arial" w:hAnsi="Arial" w:cs="Arial"/>
        </w:rPr>
      </w:pPr>
    </w:p>
    <w:p w14:paraId="5A5DB296" w14:textId="77777777" w:rsidR="00EE6B38" w:rsidRPr="00C351C0" w:rsidRDefault="00EE6B38" w:rsidP="00C351C0">
      <w:pPr>
        <w:spacing w:line="360" w:lineRule="auto"/>
        <w:rPr>
          <w:rFonts w:ascii="Arial" w:hAnsi="Arial" w:cs="Arial"/>
          <w:b/>
          <w:bCs/>
          <w:sz w:val="28"/>
          <w:szCs w:val="28"/>
          <w:lang w:val="en-US"/>
        </w:rPr>
      </w:pPr>
      <w:r w:rsidRPr="00C351C0">
        <w:rPr>
          <w:rFonts w:ascii="Arial" w:hAnsi="Arial" w:cs="Arial"/>
          <w:b/>
          <w:bCs/>
          <w:sz w:val="28"/>
          <w:szCs w:val="28"/>
        </w:rPr>
        <w:t>Occupancy Planning</w:t>
      </w:r>
    </w:p>
    <w:p w14:paraId="57990573" w14:textId="77777777" w:rsidR="00EE6B38" w:rsidRPr="00C351C0" w:rsidRDefault="00EE6B38" w:rsidP="00C351C0">
      <w:pPr>
        <w:spacing w:line="360" w:lineRule="auto"/>
        <w:ind w:firstLine="720"/>
        <w:rPr>
          <w:rFonts w:ascii="Arial" w:hAnsi="Arial" w:cs="Arial"/>
        </w:rPr>
      </w:pPr>
      <w:r w:rsidRPr="00C351C0">
        <w:rPr>
          <w:rFonts w:ascii="Arial" w:hAnsi="Arial" w:cs="Arial"/>
        </w:rPr>
        <w:t>Urban Heights needs to assess the reducing occupancy rates. It must assess the nature of the impact, i.e., short-term or permanent, and accordingly create the effective plan to prevent this issue (</w:t>
      </w:r>
      <w:proofErr w:type="spellStart"/>
      <w:r w:rsidRPr="00C351C0">
        <w:rPr>
          <w:rFonts w:ascii="Arial" w:hAnsi="Arial" w:cs="Arial"/>
        </w:rPr>
        <w:t>Mijinke</w:t>
      </w:r>
      <w:proofErr w:type="spellEnd"/>
      <w:r w:rsidRPr="00C351C0">
        <w:rPr>
          <w:rFonts w:ascii="Arial" w:hAnsi="Arial" w:cs="Arial"/>
        </w:rPr>
        <w:t xml:space="preserve">, Obermann and Hamers 2020). </w:t>
      </w:r>
    </w:p>
    <w:p w14:paraId="2472E844" w14:textId="77777777" w:rsidR="00EE6B38" w:rsidRPr="00C351C0" w:rsidRDefault="00EE6B38" w:rsidP="00C351C0">
      <w:pPr>
        <w:spacing w:line="360" w:lineRule="auto"/>
        <w:rPr>
          <w:rFonts w:ascii="Arial" w:hAnsi="Arial" w:cs="Arial"/>
          <w:b/>
          <w:bCs/>
          <w:sz w:val="28"/>
          <w:szCs w:val="28"/>
        </w:rPr>
      </w:pPr>
      <w:r w:rsidRPr="00C351C0">
        <w:rPr>
          <w:rFonts w:ascii="Arial" w:hAnsi="Arial" w:cs="Arial"/>
          <w:b/>
          <w:bCs/>
          <w:sz w:val="28"/>
          <w:szCs w:val="28"/>
        </w:rPr>
        <w:t>Actively Reviewing Plans</w:t>
      </w:r>
    </w:p>
    <w:p w14:paraId="67454A39" w14:textId="77777777" w:rsidR="00EE6B38" w:rsidRDefault="00EE6B38" w:rsidP="00C351C0">
      <w:pPr>
        <w:spacing w:line="360" w:lineRule="auto"/>
        <w:ind w:firstLine="720"/>
        <w:rPr>
          <w:rFonts w:ascii="Arial" w:hAnsi="Arial" w:cs="Arial"/>
        </w:rPr>
      </w:pPr>
      <w:r w:rsidRPr="00C351C0">
        <w:rPr>
          <w:rFonts w:ascii="Arial" w:hAnsi="Arial" w:cs="Arial"/>
        </w:rPr>
        <w:t xml:space="preserve">Given the dynamic and </w:t>
      </w:r>
      <w:proofErr w:type="gramStart"/>
      <w:r w:rsidRPr="00C351C0">
        <w:rPr>
          <w:rFonts w:ascii="Arial" w:hAnsi="Arial" w:cs="Arial"/>
        </w:rPr>
        <w:t>fast-pace</w:t>
      </w:r>
      <w:proofErr w:type="gramEnd"/>
      <w:r w:rsidRPr="00C351C0">
        <w:rPr>
          <w:rFonts w:ascii="Arial" w:hAnsi="Arial" w:cs="Arial"/>
        </w:rPr>
        <w:t xml:space="preserve"> environment of the hotel industry, it is suggested to Urban Heights to stay abreast of the changes occurring and the key impacts these may have. It requires the leaders to be prepared to respond quickly to the external changes. The existing situation facing Urban Heights the biggest lesson and its leaders must devote themselves in utilizing this downtime to reassess the business, develop new products, becoming more flexible, and looking for more new opportunities, and training the employees to deal with such situations in future (</w:t>
      </w:r>
      <w:proofErr w:type="spellStart"/>
      <w:r w:rsidRPr="00C351C0">
        <w:rPr>
          <w:rFonts w:ascii="Arial" w:hAnsi="Arial" w:cs="Arial"/>
        </w:rPr>
        <w:t>Mijinke</w:t>
      </w:r>
      <w:proofErr w:type="spellEnd"/>
      <w:r w:rsidRPr="00C351C0">
        <w:rPr>
          <w:rFonts w:ascii="Arial" w:hAnsi="Arial" w:cs="Arial"/>
        </w:rPr>
        <w:t>, Obermann and Hamers 2020).</w:t>
      </w:r>
    </w:p>
    <w:p w14:paraId="69504D35" w14:textId="77777777" w:rsidR="00C351C0" w:rsidRDefault="00C351C0" w:rsidP="00C351C0">
      <w:pPr>
        <w:spacing w:line="360" w:lineRule="auto"/>
        <w:ind w:firstLine="720"/>
        <w:rPr>
          <w:rFonts w:ascii="Arial" w:hAnsi="Arial" w:cs="Arial"/>
        </w:rPr>
      </w:pPr>
    </w:p>
    <w:p w14:paraId="48B33804" w14:textId="77777777" w:rsidR="00C351C0" w:rsidRDefault="00C351C0" w:rsidP="00C351C0">
      <w:pPr>
        <w:spacing w:line="360" w:lineRule="auto"/>
        <w:ind w:firstLine="720"/>
        <w:rPr>
          <w:rFonts w:ascii="Arial" w:hAnsi="Arial" w:cs="Arial"/>
        </w:rPr>
      </w:pPr>
    </w:p>
    <w:p w14:paraId="3B7CBC79" w14:textId="77777777" w:rsidR="00C351C0" w:rsidRDefault="00C351C0" w:rsidP="00C351C0">
      <w:pPr>
        <w:spacing w:line="360" w:lineRule="auto"/>
        <w:ind w:firstLine="720"/>
        <w:rPr>
          <w:rFonts w:ascii="Arial" w:hAnsi="Arial" w:cs="Arial"/>
        </w:rPr>
      </w:pPr>
    </w:p>
    <w:p w14:paraId="40E9EBB6" w14:textId="77777777" w:rsidR="00C351C0" w:rsidRDefault="00C351C0" w:rsidP="00C351C0">
      <w:pPr>
        <w:spacing w:line="360" w:lineRule="auto"/>
        <w:ind w:firstLine="720"/>
        <w:rPr>
          <w:rFonts w:ascii="Arial" w:hAnsi="Arial" w:cs="Arial"/>
        </w:rPr>
      </w:pPr>
    </w:p>
    <w:p w14:paraId="3B38F469" w14:textId="77777777" w:rsidR="00C351C0" w:rsidRDefault="00C351C0" w:rsidP="00C351C0">
      <w:pPr>
        <w:spacing w:line="360" w:lineRule="auto"/>
        <w:ind w:firstLine="720"/>
        <w:rPr>
          <w:rFonts w:ascii="Arial" w:hAnsi="Arial" w:cs="Arial"/>
        </w:rPr>
      </w:pPr>
    </w:p>
    <w:p w14:paraId="4AE15239" w14:textId="77777777" w:rsidR="00C351C0" w:rsidRPr="00C351C0" w:rsidRDefault="00C351C0" w:rsidP="00C351C0">
      <w:pPr>
        <w:spacing w:line="360" w:lineRule="auto"/>
        <w:ind w:firstLine="720"/>
        <w:rPr>
          <w:rFonts w:ascii="Arial" w:hAnsi="Arial" w:cs="Arial"/>
        </w:rPr>
      </w:pPr>
    </w:p>
    <w:p w14:paraId="683D5E85" w14:textId="77777777" w:rsidR="00EE6B38" w:rsidRDefault="00EE6B38" w:rsidP="00C351C0">
      <w:pPr>
        <w:pStyle w:val="Heading1"/>
        <w:spacing w:line="240" w:lineRule="auto"/>
        <w:rPr>
          <w:rFonts w:ascii="Arial" w:hAnsi="Arial" w:cs="Arial"/>
          <w:b/>
          <w:bCs/>
          <w:color w:val="auto"/>
        </w:rPr>
      </w:pPr>
      <w:bookmarkStart w:id="7" w:name="_Toc168095752"/>
      <w:r w:rsidRPr="00C351C0">
        <w:rPr>
          <w:rFonts w:ascii="Arial" w:hAnsi="Arial" w:cs="Arial"/>
          <w:b/>
          <w:bCs/>
          <w:color w:val="auto"/>
        </w:rPr>
        <w:t>Reference</w:t>
      </w:r>
      <w:bookmarkEnd w:id="7"/>
      <w:r w:rsidRPr="00C351C0">
        <w:rPr>
          <w:rFonts w:ascii="Arial" w:hAnsi="Arial" w:cs="Arial"/>
          <w:b/>
          <w:bCs/>
          <w:color w:val="auto"/>
        </w:rPr>
        <w:t xml:space="preserve"> </w:t>
      </w:r>
    </w:p>
    <w:p w14:paraId="5990020F" w14:textId="77777777" w:rsidR="00C351C0" w:rsidRPr="00C351C0" w:rsidRDefault="00C351C0" w:rsidP="00C351C0">
      <w:pPr>
        <w:spacing w:line="240" w:lineRule="auto"/>
      </w:pPr>
    </w:p>
    <w:p w14:paraId="15601126" w14:textId="77777777" w:rsidR="00EE6B38" w:rsidRPr="00C351C0" w:rsidRDefault="00EE6B38" w:rsidP="00C351C0">
      <w:pPr>
        <w:spacing w:line="360" w:lineRule="auto"/>
        <w:rPr>
          <w:rFonts w:ascii="Arial" w:hAnsi="Arial" w:cs="Arial"/>
        </w:rPr>
      </w:pPr>
      <w:r w:rsidRPr="00C351C0">
        <w:rPr>
          <w:rFonts w:ascii="Arial" w:hAnsi="Arial" w:cs="Arial"/>
        </w:rPr>
        <w:t xml:space="preserve">Aksoy, L., Choi, S., </w:t>
      </w:r>
      <w:proofErr w:type="spellStart"/>
      <w:r w:rsidRPr="00C351C0">
        <w:rPr>
          <w:rFonts w:ascii="Arial" w:hAnsi="Arial" w:cs="Arial"/>
        </w:rPr>
        <w:t>Dogru</w:t>
      </w:r>
      <w:proofErr w:type="spellEnd"/>
      <w:r w:rsidRPr="00C351C0">
        <w:rPr>
          <w:rFonts w:ascii="Arial" w:hAnsi="Arial" w:cs="Arial"/>
        </w:rPr>
        <w:t xml:space="preserve">, T., </w:t>
      </w:r>
      <w:proofErr w:type="spellStart"/>
      <w:r w:rsidRPr="00C351C0">
        <w:rPr>
          <w:rFonts w:ascii="Arial" w:hAnsi="Arial" w:cs="Arial"/>
        </w:rPr>
        <w:t>Keiningham</w:t>
      </w:r>
      <w:proofErr w:type="spellEnd"/>
      <w:r w:rsidRPr="00C351C0">
        <w:rPr>
          <w:rFonts w:ascii="Arial" w:hAnsi="Arial" w:cs="Arial"/>
        </w:rPr>
        <w:t>, T., Lorenz, M., Rubin, D. and Tracey, J.B. (2022). Global trends in hospitality. </w:t>
      </w:r>
      <w:r w:rsidRPr="00C351C0">
        <w:rPr>
          <w:rFonts w:ascii="Arial" w:hAnsi="Arial" w:cs="Arial"/>
          <w:i/>
          <w:iCs/>
        </w:rPr>
        <w:t>Journal of Business Research</w:t>
      </w:r>
      <w:r w:rsidRPr="00C351C0">
        <w:rPr>
          <w:rFonts w:ascii="Arial" w:hAnsi="Arial" w:cs="Arial"/>
        </w:rPr>
        <w:t>, </w:t>
      </w:r>
      <w:r w:rsidRPr="00C351C0">
        <w:rPr>
          <w:rFonts w:ascii="Arial" w:hAnsi="Arial" w:cs="Arial"/>
          <w:i/>
          <w:iCs/>
        </w:rPr>
        <w:t>142</w:t>
      </w:r>
      <w:r w:rsidRPr="00C351C0">
        <w:rPr>
          <w:rFonts w:ascii="Arial" w:hAnsi="Arial" w:cs="Arial"/>
        </w:rPr>
        <w:t>, pp.957-973. https://doi.org/10.1016%2Fj.jbusres.2021.12.068</w:t>
      </w:r>
    </w:p>
    <w:p w14:paraId="217EA9CF" w14:textId="77777777" w:rsidR="00EE6B38" w:rsidRPr="00C351C0" w:rsidRDefault="00EE6B38" w:rsidP="00C351C0">
      <w:pPr>
        <w:spacing w:line="360" w:lineRule="auto"/>
        <w:rPr>
          <w:rFonts w:ascii="Arial" w:hAnsi="Arial" w:cs="Arial"/>
        </w:rPr>
      </w:pPr>
      <w:r w:rsidRPr="00C351C0">
        <w:rPr>
          <w:rFonts w:ascii="Arial" w:hAnsi="Arial" w:cs="Arial"/>
        </w:rPr>
        <w:t>Anguera-Torrell, O., Aznar-Alarcón, J.P. and Vives-Perez, J. (2021). COVID-19: Hotel industry response to the pandemic evolution and to the public sector economic measures. </w:t>
      </w:r>
      <w:r w:rsidRPr="00C351C0">
        <w:rPr>
          <w:rFonts w:ascii="Arial" w:hAnsi="Arial" w:cs="Arial"/>
          <w:i/>
          <w:iCs/>
        </w:rPr>
        <w:t>Tourism Recreation Research</w:t>
      </w:r>
      <w:r w:rsidRPr="00C351C0">
        <w:rPr>
          <w:rFonts w:ascii="Arial" w:hAnsi="Arial" w:cs="Arial"/>
        </w:rPr>
        <w:t>, </w:t>
      </w:r>
      <w:r w:rsidRPr="00C351C0">
        <w:rPr>
          <w:rFonts w:ascii="Arial" w:hAnsi="Arial" w:cs="Arial"/>
          <w:i/>
          <w:iCs/>
        </w:rPr>
        <w:t>46</w:t>
      </w:r>
      <w:r w:rsidRPr="00C351C0">
        <w:rPr>
          <w:rFonts w:ascii="Arial" w:hAnsi="Arial" w:cs="Arial"/>
        </w:rPr>
        <w:t xml:space="preserve">(2), pp.148-157. </w:t>
      </w:r>
      <w:hyperlink r:id="rId10" w:history="1">
        <w:r w:rsidRPr="00C351C0">
          <w:rPr>
            <w:rStyle w:val="Hyperlink"/>
            <w:rFonts w:ascii="Arial" w:hAnsi="Arial" w:cs="Arial"/>
          </w:rPr>
          <w:t>https://doi.org/10.1080/02508281.2020.1826225</w:t>
        </w:r>
      </w:hyperlink>
    </w:p>
    <w:p w14:paraId="13453D39"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Bărbuță-Mișu</w:t>
      </w:r>
      <w:proofErr w:type="spellEnd"/>
      <w:r w:rsidRPr="00C351C0">
        <w:rPr>
          <w:rFonts w:ascii="Arial" w:hAnsi="Arial" w:cs="Arial"/>
        </w:rPr>
        <w:t>, N. and Madaleno, M. (2020). Assessment of bankruptcy risk of large companies: European countries evolution analysis. </w:t>
      </w:r>
      <w:r w:rsidRPr="00C351C0">
        <w:rPr>
          <w:rFonts w:ascii="Arial" w:hAnsi="Arial" w:cs="Arial"/>
          <w:i/>
          <w:iCs/>
        </w:rPr>
        <w:t>Journal of Risk and Financial Management</w:t>
      </w:r>
      <w:r w:rsidRPr="00C351C0">
        <w:rPr>
          <w:rFonts w:ascii="Arial" w:hAnsi="Arial" w:cs="Arial"/>
        </w:rPr>
        <w:t>, </w:t>
      </w:r>
      <w:r w:rsidRPr="00C351C0">
        <w:rPr>
          <w:rFonts w:ascii="Arial" w:hAnsi="Arial" w:cs="Arial"/>
          <w:i/>
          <w:iCs/>
        </w:rPr>
        <w:t>13</w:t>
      </w:r>
      <w:r w:rsidRPr="00C351C0">
        <w:rPr>
          <w:rFonts w:ascii="Arial" w:hAnsi="Arial" w:cs="Arial"/>
        </w:rPr>
        <w:t xml:space="preserve">(3), p.58. </w:t>
      </w:r>
      <w:hyperlink r:id="rId11" w:history="1">
        <w:r w:rsidRPr="00C351C0">
          <w:rPr>
            <w:rStyle w:val="Hyperlink"/>
            <w:rFonts w:ascii="Arial" w:hAnsi="Arial" w:cs="Arial"/>
          </w:rPr>
          <w:t>https://doi.org/10.3390/jrfm13030058</w:t>
        </w:r>
      </w:hyperlink>
    </w:p>
    <w:p w14:paraId="624A7112" w14:textId="77777777" w:rsidR="00EE6B38" w:rsidRPr="00C351C0" w:rsidRDefault="00EE6B38" w:rsidP="00C351C0">
      <w:pPr>
        <w:spacing w:line="360" w:lineRule="auto"/>
        <w:rPr>
          <w:rFonts w:ascii="Arial" w:hAnsi="Arial" w:cs="Arial"/>
        </w:rPr>
      </w:pPr>
      <w:r w:rsidRPr="00C351C0">
        <w:rPr>
          <w:rFonts w:ascii="Arial" w:hAnsi="Arial" w:cs="Arial"/>
        </w:rPr>
        <w:t xml:space="preserve">Christopoulos, A.G., Dokas, I.G., </w:t>
      </w:r>
      <w:proofErr w:type="spellStart"/>
      <w:r w:rsidRPr="00C351C0">
        <w:rPr>
          <w:rFonts w:ascii="Arial" w:hAnsi="Arial" w:cs="Arial"/>
        </w:rPr>
        <w:t>Kalantonis</w:t>
      </w:r>
      <w:proofErr w:type="spellEnd"/>
      <w:r w:rsidRPr="00C351C0">
        <w:rPr>
          <w:rFonts w:ascii="Arial" w:hAnsi="Arial" w:cs="Arial"/>
        </w:rPr>
        <w:t xml:space="preserve">, P. and </w:t>
      </w:r>
      <w:proofErr w:type="spellStart"/>
      <w:r w:rsidRPr="00C351C0">
        <w:rPr>
          <w:rFonts w:ascii="Arial" w:hAnsi="Arial" w:cs="Arial"/>
        </w:rPr>
        <w:t>Koukkou</w:t>
      </w:r>
      <w:proofErr w:type="spellEnd"/>
      <w:r w:rsidRPr="00C351C0">
        <w:rPr>
          <w:rFonts w:ascii="Arial" w:hAnsi="Arial" w:cs="Arial"/>
        </w:rPr>
        <w:t>, T. (2019). Investigation of financial distress with a dynamic logit based on the linkage between liquidity and profitability status of listed firms. </w:t>
      </w:r>
      <w:r w:rsidRPr="00C351C0">
        <w:rPr>
          <w:rFonts w:ascii="Arial" w:hAnsi="Arial" w:cs="Arial"/>
          <w:i/>
          <w:iCs/>
        </w:rPr>
        <w:t>Journal of the Operational Research Society</w:t>
      </w:r>
      <w:r w:rsidRPr="00C351C0">
        <w:rPr>
          <w:rFonts w:ascii="Arial" w:hAnsi="Arial" w:cs="Arial"/>
        </w:rPr>
        <w:t>, </w:t>
      </w:r>
      <w:r w:rsidRPr="00C351C0">
        <w:rPr>
          <w:rFonts w:ascii="Arial" w:hAnsi="Arial" w:cs="Arial"/>
          <w:i/>
          <w:iCs/>
        </w:rPr>
        <w:t>70</w:t>
      </w:r>
      <w:r w:rsidRPr="00C351C0">
        <w:rPr>
          <w:rFonts w:ascii="Arial" w:hAnsi="Arial" w:cs="Arial"/>
        </w:rPr>
        <w:t xml:space="preserve">(10), pp.1817-1829. </w:t>
      </w:r>
      <w:hyperlink r:id="rId12" w:history="1">
        <w:r w:rsidRPr="00C351C0">
          <w:rPr>
            <w:rStyle w:val="Hyperlink"/>
            <w:rFonts w:ascii="Arial" w:hAnsi="Arial" w:cs="Arial"/>
          </w:rPr>
          <w:t>https://doi.org/10.1080/01605682.2018.1460017</w:t>
        </w:r>
      </w:hyperlink>
    </w:p>
    <w:p w14:paraId="5CE0B6AC"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Dominioni</w:t>
      </w:r>
      <w:proofErr w:type="spellEnd"/>
      <w:r w:rsidRPr="00C351C0">
        <w:rPr>
          <w:rFonts w:ascii="Arial" w:hAnsi="Arial" w:cs="Arial"/>
        </w:rPr>
        <w:t xml:space="preserve">, F. (2023). 5 Trends Driving </w:t>
      </w:r>
      <w:proofErr w:type="gramStart"/>
      <w:r w:rsidRPr="00C351C0">
        <w:rPr>
          <w:rFonts w:ascii="Arial" w:hAnsi="Arial" w:cs="Arial"/>
        </w:rPr>
        <w:t>The</w:t>
      </w:r>
      <w:proofErr w:type="gramEnd"/>
      <w:r w:rsidRPr="00C351C0">
        <w:rPr>
          <w:rFonts w:ascii="Arial" w:hAnsi="Arial" w:cs="Arial"/>
        </w:rPr>
        <w:t xml:space="preserve"> Hospitality Industry And What They Mean For Property Management. Forbes. Available at: </w:t>
      </w:r>
      <w:hyperlink r:id="rId13" w:history="1">
        <w:r w:rsidRPr="00C351C0">
          <w:rPr>
            <w:rStyle w:val="Hyperlink"/>
            <w:rFonts w:ascii="Arial" w:hAnsi="Arial" w:cs="Arial"/>
          </w:rPr>
          <w:t>https://www.forbes.com/sites/forbesbusinessdevelopmentcouncil/2023/04/12/5-trends-driving-the-hospitality-industry-and-what-they-mean-for-property-management/?sh=2e4ab1977d7f</w:t>
        </w:r>
      </w:hyperlink>
      <w:r w:rsidRPr="00C351C0">
        <w:rPr>
          <w:rFonts w:ascii="Arial" w:hAnsi="Arial" w:cs="Arial"/>
        </w:rPr>
        <w:t xml:space="preserve"> (Accessed: 26</w:t>
      </w:r>
      <w:r w:rsidRPr="00C351C0">
        <w:rPr>
          <w:rFonts w:ascii="Arial" w:hAnsi="Arial" w:cs="Arial"/>
          <w:vertAlign w:val="superscript"/>
        </w:rPr>
        <w:t>th</w:t>
      </w:r>
      <w:r w:rsidRPr="00C351C0">
        <w:rPr>
          <w:rFonts w:ascii="Arial" w:hAnsi="Arial" w:cs="Arial"/>
        </w:rPr>
        <w:t xml:space="preserve"> May 2024).</w:t>
      </w:r>
    </w:p>
    <w:p w14:paraId="33CCDD58"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Fridson</w:t>
      </w:r>
      <w:proofErr w:type="spellEnd"/>
      <w:r w:rsidRPr="00C351C0">
        <w:rPr>
          <w:rFonts w:ascii="Arial" w:hAnsi="Arial" w:cs="Arial"/>
        </w:rPr>
        <w:t>, M.S. and Alvarez, F. (2022). </w:t>
      </w:r>
      <w:r w:rsidRPr="00C351C0">
        <w:rPr>
          <w:rFonts w:ascii="Arial" w:hAnsi="Arial" w:cs="Arial"/>
          <w:i/>
          <w:iCs/>
        </w:rPr>
        <w:t>Financial statement analysis: a practitioner's guide</w:t>
      </w:r>
      <w:r w:rsidRPr="00C351C0">
        <w:rPr>
          <w:rFonts w:ascii="Arial" w:hAnsi="Arial" w:cs="Arial"/>
        </w:rPr>
        <w:t>. John Wiley &amp; Sons.</w:t>
      </w:r>
    </w:p>
    <w:p w14:paraId="55545248"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Gotteiner</w:t>
      </w:r>
      <w:proofErr w:type="spellEnd"/>
      <w:r w:rsidRPr="00C351C0">
        <w:rPr>
          <w:rFonts w:ascii="Arial" w:hAnsi="Arial" w:cs="Arial"/>
        </w:rPr>
        <w:t>, S., Mas-Machuca, M. and Marimon, F. (2019). Turnaround types, stages, strategies, and tactics: Putting things in order. </w:t>
      </w:r>
      <w:r w:rsidRPr="00C351C0">
        <w:rPr>
          <w:rFonts w:ascii="Arial" w:hAnsi="Arial" w:cs="Arial"/>
          <w:i/>
          <w:iCs/>
        </w:rPr>
        <w:t>European Accounting and Management Review</w:t>
      </w:r>
      <w:r w:rsidRPr="00C351C0">
        <w:rPr>
          <w:rFonts w:ascii="Arial" w:hAnsi="Arial" w:cs="Arial"/>
        </w:rPr>
        <w:t>, </w:t>
      </w:r>
      <w:r w:rsidRPr="00C351C0">
        <w:rPr>
          <w:rFonts w:ascii="Arial" w:hAnsi="Arial" w:cs="Arial"/>
          <w:i/>
          <w:iCs/>
        </w:rPr>
        <w:t>5</w:t>
      </w:r>
      <w:r w:rsidRPr="00C351C0">
        <w:rPr>
          <w:rFonts w:ascii="Arial" w:hAnsi="Arial" w:cs="Arial"/>
        </w:rPr>
        <w:t xml:space="preserve">(2), pp.12-37. Available at: </w:t>
      </w:r>
      <w:hyperlink r:id="rId14" w:history="1">
        <w:r w:rsidRPr="00C351C0">
          <w:rPr>
            <w:rStyle w:val="Hyperlink"/>
            <w:rFonts w:ascii="Arial" w:hAnsi="Arial" w:cs="Arial"/>
          </w:rPr>
          <w:t>https://deliverypdf.ssrn.com/delivery.php?ID=76706808308700602703011009207600910305405003408004506112600508509400109411312208112401100203403205</w:t>
        </w:r>
        <w:r w:rsidRPr="00C351C0">
          <w:rPr>
            <w:rStyle w:val="Hyperlink"/>
            <w:rFonts w:ascii="Arial" w:hAnsi="Arial" w:cs="Arial"/>
          </w:rPr>
          <w:lastRenderedPageBreak/>
          <w:t>4015113002126127079077067123107041047029074101002095075097098028104051055083096080007002113107089010083117075100008000126098020071079102021093088082127111&amp;EXT=pdf&amp;INDEX=TRUE</w:t>
        </w:r>
      </w:hyperlink>
      <w:r w:rsidRPr="00C351C0">
        <w:rPr>
          <w:rFonts w:ascii="Arial" w:hAnsi="Arial" w:cs="Arial"/>
        </w:rPr>
        <w:t xml:space="preserve"> (Accessed: 26</w:t>
      </w:r>
      <w:r w:rsidRPr="00C351C0">
        <w:rPr>
          <w:rFonts w:ascii="Arial" w:hAnsi="Arial" w:cs="Arial"/>
          <w:vertAlign w:val="superscript"/>
        </w:rPr>
        <w:t>th</w:t>
      </w:r>
      <w:r w:rsidRPr="00C351C0">
        <w:rPr>
          <w:rFonts w:ascii="Arial" w:hAnsi="Arial" w:cs="Arial"/>
        </w:rPr>
        <w:t xml:space="preserve"> May 2024).</w:t>
      </w:r>
    </w:p>
    <w:p w14:paraId="1EE581C7" w14:textId="77777777" w:rsidR="00EE6B38" w:rsidRPr="00C351C0" w:rsidRDefault="00EE6B38" w:rsidP="00C351C0">
      <w:pPr>
        <w:spacing w:line="360" w:lineRule="auto"/>
        <w:rPr>
          <w:rFonts w:ascii="Arial" w:hAnsi="Arial" w:cs="Arial"/>
        </w:rPr>
      </w:pPr>
      <w:r w:rsidRPr="00C351C0">
        <w:rPr>
          <w:rFonts w:ascii="Arial" w:hAnsi="Arial" w:cs="Arial"/>
        </w:rPr>
        <w:t>Hasanaj, P. and Kuqi, B. (2019). Analysis of financial statements. </w:t>
      </w:r>
      <w:r w:rsidRPr="00C351C0">
        <w:rPr>
          <w:rFonts w:ascii="Arial" w:hAnsi="Arial" w:cs="Arial"/>
          <w:i/>
          <w:iCs/>
        </w:rPr>
        <w:t>Humanities and Social Science Research</w:t>
      </w:r>
      <w:r w:rsidRPr="00C351C0">
        <w:rPr>
          <w:rFonts w:ascii="Arial" w:hAnsi="Arial" w:cs="Arial"/>
        </w:rPr>
        <w:t>, </w:t>
      </w:r>
      <w:r w:rsidRPr="00C351C0">
        <w:rPr>
          <w:rFonts w:ascii="Arial" w:hAnsi="Arial" w:cs="Arial"/>
          <w:i/>
          <w:iCs/>
        </w:rPr>
        <w:t>2</w:t>
      </w:r>
      <w:r w:rsidRPr="00C351C0">
        <w:rPr>
          <w:rFonts w:ascii="Arial" w:hAnsi="Arial" w:cs="Arial"/>
        </w:rPr>
        <w:t xml:space="preserve">(2), </w:t>
      </w:r>
      <w:proofErr w:type="gramStart"/>
      <w:r w:rsidRPr="00C351C0">
        <w:rPr>
          <w:rFonts w:ascii="Arial" w:hAnsi="Arial" w:cs="Arial"/>
        </w:rPr>
        <w:t>pp.p</w:t>
      </w:r>
      <w:proofErr w:type="gramEnd"/>
      <w:r w:rsidRPr="00C351C0">
        <w:rPr>
          <w:rFonts w:ascii="Arial" w:hAnsi="Arial" w:cs="Arial"/>
        </w:rPr>
        <w:t xml:space="preserve">17-p17. </w:t>
      </w:r>
      <w:hyperlink r:id="rId15" w:history="1">
        <w:r w:rsidRPr="00C351C0">
          <w:rPr>
            <w:rStyle w:val="Hyperlink"/>
            <w:rFonts w:ascii="Arial" w:hAnsi="Arial" w:cs="Arial"/>
          </w:rPr>
          <w:t>https://doi.org/10.30560/hssr.v2n2p17</w:t>
        </w:r>
      </w:hyperlink>
      <w:r w:rsidRPr="00C351C0">
        <w:rPr>
          <w:rFonts w:ascii="Arial" w:hAnsi="Arial" w:cs="Arial"/>
        </w:rPr>
        <w:t xml:space="preserve"> </w:t>
      </w:r>
    </w:p>
    <w:p w14:paraId="65B07F2A"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Horobet</w:t>
      </w:r>
      <w:proofErr w:type="spellEnd"/>
      <w:r w:rsidRPr="00C351C0">
        <w:rPr>
          <w:rFonts w:ascii="Arial" w:hAnsi="Arial" w:cs="Arial"/>
        </w:rPr>
        <w:t xml:space="preserve">, A., </w:t>
      </w:r>
      <w:proofErr w:type="spellStart"/>
      <w:r w:rsidRPr="00C351C0">
        <w:rPr>
          <w:rFonts w:ascii="Arial" w:hAnsi="Arial" w:cs="Arial"/>
        </w:rPr>
        <w:t>Curea</w:t>
      </w:r>
      <w:proofErr w:type="spellEnd"/>
      <w:r w:rsidRPr="00C351C0">
        <w:rPr>
          <w:rFonts w:ascii="Arial" w:hAnsi="Arial" w:cs="Arial"/>
        </w:rPr>
        <w:t xml:space="preserve">, S.C., </w:t>
      </w:r>
      <w:proofErr w:type="spellStart"/>
      <w:r w:rsidRPr="00C351C0">
        <w:rPr>
          <w:rFonts w:ascii="Arial" w:hAnsi="Arial" w:cs="Arial"/>
        </w:rPr>
        <w:t>Smedoiu</w:t>
      </w:r>
      <w:proofErr w:type="spellEnd"/>
      <w:r w:rsidRPr="00C351C0">
        <w:rPr>
          <w:rFonts w:ascii="Arial" w:hAnsi="Arial" w:cs="Arial"/>
        </w:rPr>
        <w:t xml:space="preserve"> Popoviciu, A., </w:t>
      </w:r>
      <w:proofErr w:type="spellStart"/>
      <w:r w:rsidRPr="00C351C0">
        <w:rPr>
          <w:rFonts w:ascii="Arial" w:hAnsi="Arial" w:cs="Arial"/>
        </w:rPr>
        <w:t>Botoroga</w:t>
      </w:r>
      <w:proofErr w:type="spellEnd"/>
      <w:r w:rsidRPr="00C351C0">
        <w:rPr>
          <w:rFonts w:ascii="Arial" w:hAnsi="Arial" w:cs="Arial"/>
        </w:rPr>
        <w:t xml:space="preserve">, C.A., </w:t>
      </w:r>
      <w:proofErr w:type="spellStart"/>
      <w:r w:rsidRPr="00C351C0">
        <w:rPr>
          <w:rFonts w:ascii="Arial" w:hAnsi="Arial" w:cs="Arial"/>
        </w:rPr>
        <w:t>Belascu</w:t>
      </w:r>
      <w:proofErr w:type="spellEnd"/>
      <w:r w:rsidRPr="00C351C0">
        <w:rPr>
          <w:rFonts w:ascii="Arial" w:hAnsi="Arial" w:cs="Arial"/>
        </w:rPr>
        <w:t>, L. and Dumitrescu, D.G. (2021). Solvency risk and corporate performance: A case study on European retailers. </w:t>
      </w:r>
      <w:r w:rsidRPr="00C351C0">
        <w:rPr>
          <w:rFonts w:ascii="Arial" w:hAnsi="Arial" w:cs="Arial"/>
          <w:i/>
          <w:iCs/>
        </w:rPr>
        <w:t>Journal of Risk and Financial Management</w:t>
      </w:r>
      <w:r w:rsidRPr="00C351C0">
        <w:rPr>
          <w:rFonts w:ascii="Arial" w:hAnsi="Arial" w:cs="Arial"/>
        </w:rPr>
        <w:t>, </w:t>
      </w:r>
      <w:r w:rsidRPr="00C351C0">
        <w:rPr>
          <w:rFonts w:ascii="Arial" w:hAnsi="Arial" w:cs="Arial"/>
          <w:i/>
          <w:iCs/>
        </w:rPr>
        <w:t>14</w:t>
      </w:r>
      <w:r w:rsidRPr="00C351C0">
        <w:rPr>
          <w:rFonts w:ascii="Arial" w:hAnsi="Arial" w:cs="Arial"/>
        </w:rPr>
        <w:t xml:space="preserve">(11), p.536. </w:t>
      </w:r>
      <w:hyperlink r:id="rId16" w:history="1">
        <w:r w:rsidRPr="00C351C0">
          <w:rPr>
            <w:rStyle w:val="Hyperlink"/>
            <w:rFonts w:ascii="Arial" w:hAnsi="Arial" w:cs="Arial"/>
          </w:rPr>
          <w:t>https://doi.org/10.3390/jrfm14110536</w:t>
        </w:r>
      </w:hyperlink>
    </w:p>
    <w:p w14:paraId="3F0B6039" w14:textId="77777777" w:rsidR="00EE6B38" w:rsidRPr="00C351C0" w:rsidRDefault="00EE6B38" w:rsidP="00C351C0">
      <w:pPr>
        <w:spacing w:line="360" w:lineRule="auto"/>
        <w:rPr>
          <w:rFonts w:ascii="Arial" w:hAnsi="Arial" w:cs="Arial"/>
        </w:rPr>
      </w:pPr>
      <w:r w:rsidRPr="00C351C0">
        <w:rPr>
          <w:rFonts w:ascii="Arial" w:hAnsi="Arial" w:cs="Arial"/>
        </w:rPr>
        <w:t xml:space="preserve">Hosseinzadeh </w:t>
      </w:r>
      <w:proofErr w:type="spellStart"/>
      <w:r w:rsidRPr="00C351C0">
        <w:rPr>
          <w:rFonts w:ascii="Arial" w:hAnsi="Arial" w:cs="Arial"/>
        </w:rPr>
        <w:t>Shahri</w:t>
      </w:r>
      <w:proofErr w:type="spellEnd"/>
      <w:r w:rsidRPr="00C351C0">
        <w:rPr>
          <w:rFonts w:ascii="Arial" w:hAnsi="Arial" w:cs="Arial"/>
        </w:rPr>
        <w:t xml:space="preserve">, M. and Nematollahi </w:t>
      </w:r>
      <w:proofErr w:type="spellStart"/>
      <w:r w:rsidRPr="00C351C0">
        <w:rPr>
          <w:rFonts w:ascii="Arial" w:hAnsi="Arial" w:cs="Arial"/>
        </w:rPr>
        <w:t>Sarvestani</w:t>
      </w:r>
      <w:proofErr w:type="spellEnd"/>
      <w:r w:rsidRPr="00C351C0">
        <w:rPr>
          <w:rFonts w:ascii="Arial" w:hAnsi="Arial" w:cs="Arial"/>
        </w:rPr>
        <w:t>, M. (2020). Business model innovation as a turnaround strategy. </w:t>
      </w:r>
      <w:r w:rsidRPr="00C351C0">
        <w:rPr>
          <w:rFonts w:ascii="Arial" w:hAnsi="Arial" w:cs="Arial"/>
          <w:i/>
          <w:iCs/>
        </w:rPr>
        <w:t>Journal of Strategy and Management</w:t>
      </w:r>
      <w:r w:rsidRPr="00C351C0">
        <w:rPr>
          <w:rFonts w:ascii="Arial" w:hAnsi="Arial" w:cs="Arial"/>
        </w:rPr>
        <w:t>, </w:t>
      </w:r>
      <w:r w:rsidRPr="00C351C0">
        <w:rPr>
          <w:rFonts w:ascii="Arial" w:hAnsi="Arial" w:cs="Arial"/>
          <w:i/>
          <w:iCs/>
        </w:rPr>
        <w:t>13</w:t>
      </w:r>
      <w:r w:rsidRPr="00C351C0">
        <w:rPr>
          <w:rFonts w:ascii="Arial" w:hAnsi="Arial" w:cs="Arial"/>
        </w:rPr>
        <w:t>(2), pp.241-253. https://doi.org/10.1108/JSMA-08-2019-0154</w:t>
      </w:r>
    </w:p>
    <w:p w14:paraId="32774F1D"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Marjohan</w:t>
      </w:r>
      <w:proofErr w:type="spellEnd"/>
      <w:r w:rsidRPr="00C351C0">
        <w:rPr>
          <w:rFonts w:ascii="Arial" w:hAnsi="Arial" w:cs="Arial"/>
        </w:rPr>
        <w:t xml:space="preserve">, M. (2020). The Effect Analysis of Liquidity, Solvency on Profitability and Its Impact to the Company Value at PT KS, </w:t>
      </w:r>
      <w:proofErr w:type="spellStart"/>
      <w:r w:rsidRPr="00C351C0">
        <w:rPr>
          <w:rFonts w:ascii="Arial" w:hAnsi="Arial" w:cs="Arial"/>
        </w:rPr>
        <w:t>Tbk</w:t>
      </w:r>
      <w:proofErr w:type="spellEnd"/>
      <w:r w:rsidRPr="00C351C0">
        <w:rPr>
          <w:rFonts w:ascii="Arial" w:hAnsi="Arial" w:cs="Arial"/>
        </w:rPr>
        <w:t>. </w:t>
      </w:r>
      <w:r w:rsidRPr="00C351C0">
        <w:rPr>
          <w:rFonts w:ascii="Arial" w:hAnsi="Arial" w:cs="Arial"/>
          <w:i/>
          <w:iCs/>
        </w:rPr>
        <w:t>Journal BIRCI</w:t>
      </w:r>
      <w:r w:rsidRPr="00C351C0">
        <w:rPr>
          <w:rFonts w:ascii="Arial" w:hAnsi="Arial" w:cs="Arial"/>
        </w:rPr>
        <w:t>, </w:t>
      </w:r>
      <w:r w:rsidRPr="00C351C0">
        <w:rPr>
          <w:rFonts w:ascii="Arial" w:hAnsi="Arial" w:cs="Arial"/>
          <w:i/>
          <w:iCs/>
        </w:rPr>
        <w:t>3</w:t>
      </w:r>
      <w:r w:rsidRPr="00C351C0">
        <w:rPr>
          <w:rFonts w:ascii="Arial" w:hAnsi="Arial" w:cs="Arial"/>
        </w:rPr>
        <w:t xml:space="preserve">(4), pp.3845-3860. Available at: </w:t>
      </w:r>
      <w:hyperlink r:id="rId17" w:history="1">
        <w:r w:rsidRPr="00C351C0">
          <w:rPr>
            <w:rStyle w:val="Hyperlink"/>
            <w:rFonts w:ascii="Arial" w:hAnsi="Arial" w:cs="Arial"/>
          </w:rPr>
          <w:t>https://scholar.archive.org/work/4nimrdbbijam7p2d2rgukk2txe/access/wayback/http://www.bircu-journal.com/index.php/birci/article/download/1451/pdf</w:t>
        </w:r>
      </w:hyperlink>
      <w:r w:rsidRPr="00C351C0">
        <w:rPr>
          <w:rFonts w:ascii="Arial" w:hAnsi="Arial" w:cs="Arial"/>
        </w:rPr>
        <w:t xml:space="preserve"> (Accessed: 26</w:t>
      </w:r>
      <w:r w:rsidRPr="00C351C0">
        <w:rPr>
          <w:rFonts w:ascii="Arial" w:hAnsi="Arial" w:cs="Arial"/>
          <w:vertAlign w:val="superscript"/>
        </w:rPr>
        <w:t>th</w:t>
      </w:r>
      <w:r w:rsidRPr="00C351C0">
        <w:rPr>
          <w:rFonts w:ascii="Arial" w:hAnsi="Arial" w:cs="Arial"/>
        </w:rPr>
        <w:t xml:space="preserve"> May 2024).</w:t>
      </w:r>
    </w:p>
    <w:p w14:paraId="2622CE4C"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Markonah</w:t>
      </w:r>
      <w:proofErr w:type="spellEnd"/>
      <w:r w:rsidRPr="00C351C0">
        <w:rPr>
          <w:rFonts w:ascii="Arial" w:hAnsi="Arial" w:cs="Arial"/>
        </w:rPr>
        <w:t>, M., Salim, A. and Franciska, J. (2020). Effect of profitability, leverage, and liquidity to the firm value. </w:t>
      </w:r>
      <w:r w:rsidRPr="00C351C0">
        <w:rPr>
          <w:rFonts w:ascii="Arial" w:hAnsi="Arial" w:cs="Arial"/>
          <w:i/>
          <w:iCs/>
        </w:rPr>
        <w:t>Dinasti International Journal of Economics, Finance &amp; Accounting</w:t>
      </w:r>
      <w:r w:rsidRPr="00C351C0">
        <w:rPr>
          <w:rFonts w:ascii="Arial" w:hAnsi="Arial" w:cs="Arial"/>
        </w:rPr>
        <w:t>, </w:t>
      </w:r>
      <w:r w:rsidRPr="00C351C0">
        <w:rPr>
          <w:rFonts w:ascii="Arial" w:hAnsi="Arial" w:cs="Arial"/>
          <w:i/>
          <w:iCs/>
        </w:rPr>
        <w:t>1</w:t>
      </w:r>
      <w:r w:rsidRPr="00C351C0">
        <w:rPr>
          <w:rFonts w:ascii="Arial" w:hAnsi="Arial" w:cs="Arial"/>
        </w:rPr>
        <w:t xml:space="preserve">(1), pp.83-94. </w:t>
      </w:r>
      <w:hyperlink r:id="rId18" w:history="1">
        <w:r w:rsidRPr="00C351C0">
          <w:rPr>
            <w:rStyle w:val="Hyperlink"/>
            <w:rFonts w:ascii="Arial" w:hAnsi="Arial" w:cs="Arial"/>
          </w:rPr>
          <w:t>https://doi.org/10.38035/dijefa.v1i1.225</w:t>
        </w:r>
      </w:hyperlink>
    </w:p>
    <w:p w14:paraId="20510D62"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Mijinke</w:t>
      </w:r>
      <w:proofErr w:type="spellEnd"/>
      <w:r w:rsidRPr="00C351C0">
        <w:rPr>
          <w:rFonts w:ascii="Arial" w:hAnsi="Arial" w:cs="Arial"/>
        </w:rPr>
        <w:t xml:space="preserve">, F., Obermann, W., and Hamers, T. (2020). Impact of COVID-19 on the hospitality industry. Deloitte. Available at: </w:t>
      </w:r>
      <w:hyperlink r:id="rId19" w:history="1">
        <w:r w:rsidRPr="00C351C0">
          <w:rPr>
            <w:rStyle w:val="Hyperlink"/>
            <w:rFonts w:ascii="Arial" w:hAnsi="Arial" w:cs="Arial"/>
          </w:rPr>
          <w:t>https://www2.deloitte.com/nl/nl/pages/consumer/articles/impact-of-covid-19-on-the-hospitality-industry.html</w:t>
        </w:r>
      </w:hyperlink>
      <w:r w:rsidRPr="00C351C0">
        <w:rPr>
          <w:rFonts w:ascii="Arial" w:hAnsi="Arial" w:cs="Arial"/>
        </w:rPr>
        <w:t xml:space="preserve"> (Accessed: 26</w:t>
      </w:r>
      <w:r w:rsidRPr="00C351C0">
        <w:rPr>
          <w:rFonts w:ascii="Arial" w:hAnsi="Arial" w:cs="Arial"/>
          <w:vertAlign w:val="superscript"/>
        </w:rPr>
        <w:t>th</w:t>
      </w:r>
      <w:r w:rsidRPr="00C351C0">
        <w:rPr>
          <w:rFonts w:ascii="Arial" w:hAnsi="Arial" w:cs="Arial"/>
        </w:rPr>
        <w:t xml:space="preserve"> May 2024).</w:t>
      </w:r>
    </w:p>
    <w:p w14:paraId="607B1EEC"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Nyagiloh</w:t>
      </w:r>
      <w:proofErr w:type="spellEnd"/>
      <w:r w:rsidRPr="00C351C0">
        <w:rPr>
          <w:rFonts w:ascii="Arial" w:hAnsi="Arial" w:cs="Arial"/>
        </w:rPr>
        <w:t xml:space="preserve">, K.A. and </w:t>
      </w:r>
      <w:proofErr w:type="spellStart"/>
      <w:r w:rsidRPr="00C351C0">
        <w:rPr>
          <w:rFonts w:ascii="Arial" w:hAnsi="Arial" w:cs="Arial"/>
        </w:rPr>
        <w:t>Kilika</w:t>
      </w:r>
      <w:proofErr w:type="spellEnd"/>
      <w:r w:rsidRPr="00C351C0">
        <w:rPr>
          <w:rFonts w:ascii="Arial" w:hAnsi="Arial" w:cs="Arial"/>
        </w:rPr>
        <w:t>, J.M. (2020). Theoretical review of turnaround strategy and its organizational outcomes. </w:t>
      </w:r>
      <w:r w:rsidRPr="00C351C0">
        <w:rPr>
          <w:rFonts w:ascii="Arial" w:hAnsi="Arial" w:cs="Arial"/>
          <w:i/>
          <w:iCs/>
        </w:rPr>
        <w:t>Available at SSRN 3514730</w:t>
      </w:r>
      <w:r w:rsidRPr="00C351C0">
        <w:rPr>
          <w:rFonts w:ascii="Arial" w:hAnsi="Arial" w:cs="Arial"/>
        </w:rPr>
        <w:t xml:space="preserve">. Available at: </w:t>
      </w:r>
      <w:hyperlink r:id="rId20" w:history="1">
        <w:r w:rsidRPr="00C351C0">
          <w:rPr>
            <w:rStyle w:val="Hyperlink"/>
            <w:rFonts w:ascii="Arial" w:hAnsi="Arial" w:cs="Arial"/>
          </w:rPr>
          <w:t>https://papers.ssrn.com/sol3/papers.cfm?abstract_id=3514730</w:t>
        </w:r>
      </w:hyperlink>
      <w:r w:rsidRPr="00C351C0">
        <w:rPr>
          <w:rFonts w:ascii="Arial" w:hAnsi="Arial" w:cs="Arial"/>
        </w:rPr>
        <w:t xml:space="preserve"> (Accessed: 26</w:t>
      </w:r>
      <w:r w:rsidRPr="00C351C0">
        <w:rPr>
          <w:rFonts w:ascii="Arial" w:hAnsi="Arial" w:cs="Arial"/>
          <w:vertAlign w:val="superscript"/>
        </w:rPr>
        <w:t>th</w:t>
      </w:r>
      <w:r w:rsidRPr="00C351C0">
        <w:rPr>
          <w:rFonts w:ascii="Arial" w:hAnsi="Arial" w:cs="Arial"/>
        </w:rPr>
        <w:t xml:space="preserve"> May 2024).</w:t>
      </w:r>
    </w:p>
    <w:p w14:paraId="6E5E3805" w14:textId="77777777" w:rsidR="00EE6B38" w:rsidRPr="00C351C0" w:rsidRDefault="00EE6B38" w:rsidP="00C351C0">
      <w:pPr>
        <w:spacing w:line="360" w:lineRule="auto"/>
        <w:rPr>
          <w:rFonts w:ascii="Arial" w:hAnsi="Arial" w:cs="Arial"/>
        </w:rPr>
      </w:pPr>
      <w:proofErr w:type="spellStart"/>
      <w:r w:rsidRPr="00C351C0">
        <w:rPr>
          <w:rFonts w:ascii="Arial" w:hAnsi="Arial" w:cs="Arial"/>
        </w:rPr>
        <w:lastRenderedPageBreak/>
        <w:t>Reschiwati</w:t>
      </w:r>
      <w:proofErr w:type="spellEnd"/>
      <w:r w:rsidRPr="00C351C0">
        <w:rPr>
          <w:rFonts w:ascii="Arial" w:hAnsi="Arial" w:cs="Arial"/>
        </w:rPr>
        <w:t xml:space="preserve">, R., </w:t>
      </w:r>
      <w:proofErr w:type="spellStart"/>
      <w:r w:rsidRPr="00C351C0">
        <w:rPr>
          <w:rFonts w:ascii="Arial" w:hAnsi="Arial" w:cs="Arial"/>
        </w:rPr>
        <w:t>Syahdina</w:t>
      </w:r>
      <w:proofErr w:type="spellEnd"/>
      <w:r w:rsidRPr="00C351C0">
        <w:rPr>
          <w:rFonts w:ascii="Arial" w:hAnsi="Arial" w:cs="Arial"/>
        </w:rPr>
        <w:t xml:space="preserve">, A. and </w:t>
      </w:r>
      <w:proofErr w:type="spellStart"/>
      <w:r w:rsidRPr="00C351C0">
        <w:rPr>
          <w:rFonts w:ascii="Arial" w:hAnsi="Arial" w:cs="Arial"/>
        </w:rPr>
        <w:t>Handayani</w:t>
      </w:r>
      <w:proofErr w:type="spellEnd"/>
      <w:r w:rsidRPr="00C351C0">
        <w:rPr>
          <w:rFonts w:ascii="Arial" w:hAnsi="Arial" w:cs="Arial"/>
        </w:rPr>
        <w:t>, S. (2020). Effect of liquidity, profitability, and size of companies on firm value. </w:t>
      </w:r>
      <w:r w:rsidRPr="00C351C0">
        <w:rPr>
          <w:rFonts w:ascii="Arial" w:hAnsi="Arial" w:cs="Arial"/>
          <w:i/>
          <w:iCs/>
        </w:rPr>
        <w:t xml:space="preserve">Utopia y Praxis </w:t>
      </w:r>
      <w:proofErr w:type="spellStart"/>
      <w:r w:rsidRPr="00C351C0">
        <w:rPr>
          <w:rFonts w:ascii="Arial" w:hAnsi="Arial" w:cs="Arial"/>
          <w:i/>
          <w:iCs/>
        </w:rPr>
        <w:t>Latinoamericana</w:t>
      </w:r>
      <w:proofErr w:type="spellEnd"/>
      <w:r w:rsidRPr="00C351C0">
        <w:rPr>
          <w:rFonts w:ascii="Arial" w:hAnsi="Arial" w:cs="Arial"/>
        </w:rPr>
        <w:t>, </w:t>
      </w:r>
      <w:r w:rsidRPr="00C351C0">
        <w:rPr>
          <w:rFonts w:ascii="Arial" w:hAnsi="Arial" w:cs="Arial"/>
          <w:i/>
          <w:iCs/>
        </w:rPr>
        <w:t>25</w:t>
      </w:r>
      <w:r w:rsidRPr="00C351C0">
        <w:rPr>
          <w:rFonts w:ascii="Arial" w:hAnsi="Arial" w:cs="Arial"/>
        </w:rPr>
        <w:t xml:space="preserve">(6), pp.325-332. </w:t>
      </w:r>
      <w:hyperlink r:id="rId21" w:history="1">
        <w:r w:rsidRPr="00C351C0">
          <w:rPr>
            <w:rStyle w:val="Hyperlink"/>
            <w:rFonts w:ascii="Arial" w:hAnsi="Arial" w:cs="Arial"/>
          </w:rPr>
          <w:t>https://doi.org/10.5281/zenodo.3987632</w:t>
        </w:r>
      </w:hyperlink>
    </w:p>
    <w:p w14:paraId="2F98146C" w14:textId="77777777" w:rsidR="00EE6B38" w:rsidRPr="00C351C0" w:rsidRDefault="00EE6B38" w:rsidP="00C351C0">
      <w:pPr>
        <w:spacing w:line="360" w:lineRule="auto"/>
        <w:rPr>
          <w:rFonts w:ascii="Arial" w:hAnsi="Arial" w:cs="Arial"/>
        </w:rPr>
      </w:pPr>
      <w:r w:rsidRPr="00C351C0">
        <w:rPr>
          <w:rFonts w:ascii="Arial" w:hAnsi="Arial" w:cs="Arial"/>
        </w:rPr>
        <w:t xml:space="preserve">Ricca, L.T., </w:t>
      </w:r>
      <w:proofErr w:type="spellStart"/>
      <w:r w:rsidRPr="00C351C0">
        <w:rPr>
          <w:rFonts w:ascii="Arial" w:hAnsi="Arial" w:cs="Arial"/>
        </w:rPr>
        <w:t>Jucá</w:t>
      </w:r>
      <w:proofErr w:type="spellEnd"/>
      <w:r w:rsidRPr="00C351C0">
        <w:rPr>
          <w:rFonts w:ascii="Arial" w:hAnsi="Arial" w:cs="Arial"/>
        </w:rPr>
        <w:t>, M.N. and Junior, E.H. (2021). Tax benefit and bankruptcy cost of debt. </w:t>
      </w:r>
      <w:r w:rsidRPr="00C351C0">
        <w:rPr>
          <w:rFonts w:ascii="Arial" w:hAnsi="Arial" w:cs="Arial"/>
          <w:i/>
          <w:iCs/>
        </w:rPr>
        <w:t>The Quarterly Review of Economics and Finance</w:t>
      </w:r>
      <w:r w:rsidRPr="00C351C0">
        <w:rPr>
          <w:rFonts w:ascii="Arial" w:hAnsi="Arial" w:cs="Arial"/>
        </w:rPr>
        <w:t>, </w:t>
      </w:r>
      <w:r w:rsidRPr="00C351C0">
        <w:rPr>
          <w:rFonts w:ascii="Arial" w:hAnsi="Arial" w:cs="Arial"/>
          <w:i/>
          <w:iCs/>
        </w:rPr>
        <w:t>81</w:t>
      </w:r>
      <w:r w:rsidRPr="00C351C0">
        <w:rPr>
          <w:rFonts w:ascii="Arial" w:hAnsi="Arial" w:cs="Arial"/>
        </w:rPr>
        <w:t xml:space="preserve">, pp.82-92. </w:t>
      </w:r>
      <w:hyperlink r:id="rId22" w:history="1">
        <w:r w:rsidRPr="00C351C0">
          <w:rPr>
            <w:rStyle w:val="Hyperlink"/>
            <w:rFonts w:ascii="Arial" w:hAnsi="Arial" w:cs="Arial"/>
          </w:rPr>
          <w:t>https://doi.org/10.1016/j.qref.2021.05.003</w:t>
        </w:r>
      </w:hyperlink>
    </w:p>
    <w:p w14:paraId="78544FC5" w14:textId="77777777" w:rsidR="00EE6B38" w:rsidRPr="00C351C0" w:rsidRDefault="00EE6B38" w:rsidP="00C351C0">
      <w:pPr>
        <w:spacing w:line="360" w:lineRule="auto"/>
        <w:rPr>
          <w:rFonts w:ascii="Arial" w:hAnsi="Arial" w:cs="Arial"/>
        </w:rPr>
      </w:pPr>
      <w:proofErr w:type="spellStart"/>
      <w:r w:rsidRPr="00C351C0">
        <w:rPr>
          <w:rFonts w:ascii="Arial" w:hAnsi="Arial" w:cs="Arial"/>
        </w:rPr>
        <w:t>Shahnia</w:t>
      </w:r>
      <w:proofErr w:type="spellEnd"/>
      <w:r w:rsidRPr="00C351C0">
        <w:rPr>
          <w:rFonts w:ascii="Arial" w:hAnsi="Arial" w:cs="Arial"/>
        </w:rPr>
        <w:t xml:space="preserve">, C., </w:t>
      </w:r>
      <w:proofErr w:type="spellStart"/>
      <w:r w:rsidRPr="00C351C0">
        <w:rPr>
          <w:rFonts w:ascii="Arial" w:hAnsi="Arial" w:cs="Arial"/>
        </w:rPr>
        <w:t>Purnamasari</w:t>
      </w:r>
      <w:proofErr w:type="spellEnd"/>
      <w:r w:rsidRPr="00C351C0">
        <w:rPr>
          <w:rFonts w:ascii="Arial" w:hAnsi="Arial" w:cs="Arial"/>
        </w:rPr>
        <w:t>, E., Hakim, L. and Endri, E. (2020). Determinant of profitability: Evidence from trading, service and investment companies in Indonesia. </w:t>
      </w:r>
      <w:r w:rsidRPr="00C351C0">
        <w:rPr>
          <w:rFonts w:ascii="Arial" w:hAnsi="Arial" w:cs="Arial"/>
          <w:i/>
          <w:iCs/>
        </w:rPr>
        <w:t>Accounting</w:t>
      </w:r>
      <w:r w:rsidRPr="00C351C0">
        <w:rPr>
          <w:rFonts w:ascii="Arial" w:hAnsi="Arial" w:cs="Arial"/>
        </w:rPr>
        <w:t>, </w:t>
      </w:r>
      <w:r w:rsidRPr="00C351C0">
        <w:rPr>
          <w:rFonts w:ascii="Arial" w:hAnsi="Arial" w:cs="Arial"/>
          <w:i/>
          <w:iCs/>
        </w:rPr>
        <w:t>6</w:t>
      </w:r>
      <w:r w:rsidRPr="00C351C0">
        <w:rPr>
          <w:rFonts w:ascii="Arial" w:hAnsi="Arial" w:cs="Arial"/>
        </w:rPr>
        <w:t>(5), pp.787-794. doi:10.1001/jama.2020.0442</w:t>
      </w:r>
    </w:p>
    <w:p w14:paraId="55851EEB" w14:textId="77777777" w:rsidR="00EE6B38" w:rsidRPr="00C351C0" w:rsidRDefault="00EE6B38" w:rsidP="00C351C0">
      <w:pPr>
        <w:spacing w:line="360" w:lineRule="auto"/>
        <w:rPr>
          <w:rFonts w:ascii="Arial" w:hAnsi="Arial" w:cs="Arial"/>
        </w:rPr>
      </w:pPr>
      <w:r w:rsidRPr="00C351C0">
        <w:rPr>
          <w:rFonts w:ascii="Arial" w:hAnsi="Arial" w:cs="Arial"/>
        </w:rPr>
        <w:t>Sharma, A., Shin, H., Santa-María, M.J. and Nicolau, J.L. (2021). Hotels' COVID-19 innovation and performance. </w:t>
      </w:r>
      <w:r w:rsidRPr="00C351C0">
        <w:rPr>
          <w:rFonts w:ascii="Arial" w:hAnsi="Arial" w:cs="Arial"/>
          <w:i/>
          <w:iCs/>
        </w:rPr>
        <w:t>Annals of Tourism Research</w:t>
      </w:r>
      <w:r w:rsidRPr="00C351C0">
        <w:rPr>
          <w:rFonts w:ascii="Arial" w:hAnsi="Arial" w:cs="Arial"/>
        </w:rPr>
        <w:t>, </w:t>
      </w:r>
      <w:r w:rsidRPr="00C351C0">
        <w:rPr>
          <w:rFonts w:ascii="Arial" w:hAnsi="Arial" w:cs="Arial"/>
          <w:i/>
          <w:iCs/>
        </w:rPr>
        <w:t>88</w:t>
      </w:r>
      <w:r w:rsidRPr="00C351C0">
        <w:rPr>
          <w:rFonts w:ascii="Arial" w:hAnsi="Arial" w:cs="Arial"/>
        </w:rPr>
        <w:t xml:space="preserve">, p.103180. </w:t>
      </w:r>
      <w:hyperlink r:id="rId23" w:history="1">
        <w:r w:rsidRPr="00C351C0">
          <w:rPr>
            <w:rStyle w:val="Hyperlink"/>
            <w:rFonts w:ascii="Arial" w:hAnsi="Arial" w:cs="Arial"/>
          </w:rPr>
          <w:t>https://doi.org/10.1016/j.annals.2021.103180</w:t>
        </w:r>
      </w:hyperlink>
    </w:p>
    <w:p w14:paraId="6EFFFC01" w14:textId="77777777" w:rsidR="00EE6B38" w:rsidRPr="00C351C0" w:rsidRDefault="00EE6B38" w:rsidP="00C351C0">
      <w:pPr>
        <w:spacing w:line="360" w:lineRule="auto"/>
        <w:rPr>
          <w:rFonts w:ascii="Arial" w:hAnsi="Arial" w:cs="Arial"/>
        </w:rPr>
      </w:pPr>
      <w:r w:rsidRPr="00C351C0">
        <w:rPr>
          <w:rFonts w:ascii="Arial" w:hAnsi="Arial" w:cs="Arial"/>
        </w:rPr>
        <w:t>Sheel, A. (2020). Hotel industry performance in 2019-2020, COVID-19 impact, and the JHFM index. </w:t>
      </w:r>
      <w:r w:rsidRPr="00C351C0">
        <w:rPr>
          <w:rFonts w:ascii="Arial" w:hAnsi="Arial" w:cs="Arial"/>
          <w:i/>
          <w:iCs/>
        </w:rPr>
        <w:t>Journal of Hospitality Financial Management</w:t>
      </w:r>
      <w:r w:rsidRPr="00C351C0">
        <w:rPr>
          <w:rFonts w:ascii="Arial" w:hAnsi="Arial" w:cs="Arial"/>
        </w:rPr>
        <w:t>, </w:t>
      </w:r>
      <w:r w:rsidRPr="00C351C0">
        <w:rPr>
          <w:rFonts w:ascii="Arial" w:hAnsi="Arial" w:cs="Arial"/>
          <w:i/>
          <w:iCs/>
        </w:rPr>
        <w:t>28</w:t>
      </w:r>
      <w:r w:rsidRPr="00C351C0">
        <w:rPr>
          <w:rFonts w:ascii="Arial" w:hAnsi="Arial" w:cs="Arial"/>
        </w:rPr>
        <w:t xml:space="preserve">(2), p.1. </w:t>
      </w:r>
      <w:hyperlink r:id="rId24" w:history="1">
        <w:r w:rsidRPr="00C351C0">
          <w:rPr>
            <w:rStyle w:val="Hyperlink"/>
            <w:rFonts w:ascii="Arial" w:hAnsi="Arial" w:cs="Arial"/>
          </w:rPr>
          <w:t>https://doi.org/10.7275/7m54-0b48</w:t>
        </w:r>
      </w:hyperlink>
    </w:p>
    <w:p w14:paraId="6D739C02" w14:textId="77777777" w:rsidR="00EE6B38" w:rsidRPr="00C351C0" w:rsidRDefault="00EE6B38" w:rsidP="00C351C0">
      <w:pPr>
        <w:spacing w:line="360" w:lineRule="auto"/>
        <w:rPr>
          <w:rFonts w:ascii="Arial" w:hAnsi="Arial" w:cs="Arial"/>
        </w:rPr>
      </w:pPr>
      <w:r w:rsidRPr="00C351C0">
        <w:rPr>
          <w:rFonts w:ascii="Arial" w:hAnsi="Arial" w:cs="Arial"/>
        </w:rPr>
        <w:t>Wieczorek-Kosmala, M. (2021). COVID-19 impact on the hospitality industry: Exploratory study of financial-slack-driven risk preparedness. </w:t>
      </w:r>
      <w:r w:rsidRPr="00C351C0">
        <w:rPr>
          <w:rFonts w:ascii="Arial" w:hAnsi="Arial" w:cs="Arial"/>
          <w:i/>
          <w:iCs/>
        </w:rPr>
        <w:t>International Journal of Hospitality Management</w:t>
      </w:r>
      <w:r w:rsidRPr="00C351C0">
        <w:rPr>
          <w:rFonts w:ascii="Arial" w:hAnsi="Arial" w:cs="Arial"/>
        </w:rPr>
        <w:t>, </w:t>
      </w:r>
      <w:r w:rsidRPr="00C351C0">
        <w:rPr>
          <w:rFonts w:ascii="Arial" w:hAnsi="Arial" w:cs="Arial"/>
          <w:i/>
          <w:iCs/>
        </w:rPr>
        <w:t>94</w:t>
      </w:r>
      <w:r w:rsidRPr="00C351C0">
        <w:rPr>
          <w:rFonts w:ascii="Arial" w:hAnsi="Arial" w:cs="Arial"/>
        </w:rPr>
        <w:t xml:space="preserve">, p.102799. </w:t>
      </w:r>
      <w:hyperlink r:id="rId25" w:history="1">
        <w:r w:rsidRPr="00C351C0">
          <w:rPr>
            <w:rStyle w:val="Hyperlink"/>
            <w:rFonts w:ascii="Arial" w:hAnsi="Arial" w:cs="Arial"/>
          </w:rPr>
          <w:t>https://doi.org/10.1016/j.ijhm.2020.102799</w:t>
        </w:r>
      </w:hyperlink>
    </w:p>
    <w:p w14:paraId="0734FD6E" w14:textId="77777777" w:rsidR="00EE6B38" w:rsidRPr="00C351C0" w:rsidRDefault="00EE6B38" w:rsidP="00C351C0">
      <w:pPr>
        <w:spacing w:line="360" w:lineRule="auto"/>
        <w:rPr>
          <w:rFonts w:ascii="Arial" w:hAnsi="Arial" w:cs="Arial"/>
        </w:rPr>
      </w:pPr>
      <w:r w:rsidRPr="00C351C0">
        <w:rPr>
          <w:rFonts w:ascii="Arial" w:hAnsi="Arial" w:cs="Arial"/>
        </w:rPr>
        <w:t>Zhang, X., Chang, B.G. and Wu, K.S. (2022). COVID-19 shock, financial flexibility, and hotels' performance nexus. </w:t>
      </w:r>
      <w:r w:rsidRPr="00C351C0">
        <w:rPr>
          <w:rFonts w:ascii="Arial" w:hAnsi="Arial" w:cs="Arial"/>
          <w:i/>
          <w:iCs/>
        </w:rPr>
        <w:t>Frontiers in Public Health</w:t>
      </w:r>
      <w:r w:rsidRPr="00C351C0">
        <w:rPr>
          <w:rFonts w:ascii="Arial" w:hAnsi="Arial" w:cs="Arial"/>
        </w:rPr>
        <w:t>, </w:t>
      </w:r>
      <w:r w:rsidRPr="00C351C0">
        <w:rPr>
          <w:rFonts w:ascii="Arial" w:hAnsi="Arial" w:cs="Arial"/>
          <w:i/>
          <w:iCs/>
        </w:rPr>
        <w:t>10</w:t>
      </w:r>
      <w:r w:rsidRPr="00C351C0">
        <w:rPr>
          <w:rFonts w:ascii="Arial" w:hAnsi="Arial" w:cs="Arial"/>
        </w:rPr>
        <w:t xml:space="preserve">, p.792946. </w:t>
      </w:r>
      <w:hyperlink r:id="rId26" w:history="1">
        <w:r w:rsidRPr="00C351C0">
          <w:rPr>
            <w:rStyle w:val="Hyperlink"/>
            <w:rFonts w:ascii="Arial" w:hAnsi="Arial" w:cs="Arial"/>
          </w:rPr>
          <w:t>https://doi.org/10.3389/fpubh.2022.792946</w:t>
        </w:r>
      </w:hyperlink>
    </w:p>
    <w:p w14:paraId="16EB0C73" w14:textId="77777777" w:rsidR="00EE6B38" w:rsidRDefault="00EE6B38" w:rsidP="00EE6B38"/>
    <w:p w14:paraId="4A91E60A" w14:textId="77777777" w:rsidR="00A378E3" w:rsidRPr="00EE6B38" w:rsidRDefault="00A378E3" w:rsidP="00EE6B38"/>
    <w:sectPr w:rsidR="00A378E3" w:rsidRPr="00EE6B38" w:rsidSect="001E305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3F2B62" w14:textId="77777777" w:rsidR="00F0646A" w:rsidRDefault="00F0646A">
      <w:pPr>
        <w:spacing w:after="0" w:line="240" w:lineRule="auto"/>
      </w:pPr>
      <w:r>
        <w:separator/>
      </w:r>
    </w:p>
  </w:endnote>
  <w:endnote w:type="continuationSeparator" w:id="0">
    <w:p w14:paraId="1EA8F0BA" w14:textId="77777777" w:rsidR="00F0646A" w:rsidRDefault="00F06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7769436"/>
      <w:docPartObj>
        <w:docPartGallery w:val="Page Numbers (Bottom of Page)"/>
        <w:docPartUnique/>
      </w:docPartObj>
    </w:sdtPr>
    <w:sdtEndPr>
      <w:rPr>
        <w:noProof/>
      </w:rPr>
    </w:sdtEndPr>
    <w:sdtContent>
      <w:p w14:paraId="25C59A10" w14:textId="205DEDD2" w:rsidR="00CD15C4" w:rsidRDefault="00CD15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3D28B0" w14:textId="77777777" w:rsidR="00FD3758" w:rsidRDefault="00FD3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0D9D7E" w14:textId="77777777" w:rsidR="00F0646A" w:rsidRDefault="00F0646A">
      <w:pPr>
        <w:spacing w:after="0" w:line="240" w:lineRule="auto"/>
      </w:pPr>
      <w:r>
        <w:separator/>
      </w:r>
    </w:p>
  </w:footnote>
  <w:footnote w:type="continuationSeparator" w:id="0">
    <w:p w14:paraId="4861AF05" w14:textId="77777777" w:rsidR="00F0646A" w:rsidRDefault="00F064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F16"/>
    <w:rsid w:val="00023A7E"/>
    <w:rsid w:val="001A3235"/>
    <w:rsid w:val="001E3056"/>
    <w:rsid w:val="00326F16"/>
    <w:rsid w:val="003546FC"/>
    <w:rsid w:val="00457E71"/>
    <w:rsid w:val="00475F3C"/>
    <w:rsid w:val="0052443C"/>
    <w:rsid w:val="005B4411"/>
    <w:rsid w:val="00696269"/>
    <w:rsid w:val="007113CA"/>
    <w:rsid w:val="008475BE"/>
    <w:rsid w:val="00862034"/>
    <w:rsid w:val="00A378E3"/>
    <w:rsid w:val="00AC57D3"/>
    <w:rsid w:val="00BB539B"/>
    <w:rsid w:val="00C351C0"/>
    <w:rsid w:val="00CD15C4"/>
    <w:rsid w:val="00E07E92"/>
    <w:rsid w:val="00EE6B38"/>
    <w:rsid w:val="00F0646A"/>
    <w:rsid w:val="00F71330"/>
    <w:rsid w:val="00FD3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0E130"/>
  <w15:chartTrackingRefBased/>
  <w15:docId w15:val="{724B39B8-CE39-4BB0-8E8D-15255E424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056"/>
    <w:pPr>
      <w:spacing w:after="200" w:line="48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326F16"/>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rPr>
  </w:style>
  <w:style w:type="paragraph" w:styleId="Heading2">
    <w:name w:val="heading 2"/>
    <w:basedOn w:val="Normal"/>
    <w:next w:val="Normal"/>
    <w:link w:val="Heading2Char"/>
    <w:uiPriority w:val="9"/>
    <w:semiHidden/>
    <w:unhideWhenUsed/>
    <w:qFormat/>
    <w:rsid w:val="00326F16"/>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rPr>
  </w:style>
  <w:style w:type="paragraph" w:styleId="Heading3">
    <w:name w:val="heading 3"/>
    <w:basedOn w:val="Normal"/>
    <w:next w:val="Normal"/>
    <w:link w:val="Heading3Char"/>
    <w:uiPriority w:val="9"/>
    <w:semiHidden/>
    <w:unhideWhenUsed/>
    <w:qFormat/>
    <w:rsid w:val="00326F16"/>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rPr>
  </w:style>
  <w:style w:type="paragraph" w:styleId="Heading4">
    <w:name w:val="heading 4"/>
    <w:basedOn w:val="Normal"/>
    <w:next w:val="Normal"/>
    <w:link w:val="Heading4Char"/>
    <w:uiPriority w:val="9"/>
    <w:semiHidden/>
    <w:unhideWhenUsed/>
    <w:qFormat/>
    <w:rsid w:val="00326F16"/>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rPr>
  </w:style>
  <w:style w:type="paragraph" w:styleId="Heading5">
    <w:name w:val="heading 5"/>
    <w:basedOn w:val="Normal"/>
    <w:next w:val="Normal"/>
    <w:link w:val="Heading5Char"/>
    <w:uiPriority w:val="9"/>
    <w:semiHidden/>
    <w:unhideWhenUsed/>
    <w:qFormat/>
    <w:rsid w:val="00326F16"/>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rPr>
  </w:style>
  <w:style w:type="paragraph" w:styleId="Heading6">
    <w:name w:val="heading 6"/>
    <w:basedOn w:val="Normal"/>
    <w:next w:val="Normal"/>
    <w:link w:val="Heading6Char"/>
    <w:uiPriority w:val="9"/>
    <w:semiHidden/>
    <w:unhideWhenUsed/>
    <w:qFormat/>
    <w:rsid w:val="00326F16"/>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rPr>
  </w:style>
  <w:style w:type="paragraph" w:styleId="Heading7">
    <w:name w:val="heading 7"/>
    <w:basedOn w:val="Normal"/>
    <w:next w:val="Normal"/>
    <w:link w:val="Heading7Char"/>
    <w:uiPriority w:val="9"/>
    <w:semiHidden/>
    <w:unhideWhenUsed/>
    <w:qFormat/>
    <w:rsid w:val="00326F16"/>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rPr>
  </w:style>
  <w:style w:type="paragraph" w:styleId="Heading8">
    <w:name w:val="heading 8"/>
    <w:basedOn w:val="Normal"/>
    <w:next w:val="Normal"/>
    <w:link w:val="Heading8Char"/>
    <w:uiPriority w:val="9"/>
    <w:semiHidden/>
    <w:unhideWhenUsed/>
    <w:qFormat/>
    <w:rsid w:val="00326F16"/>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rPr>
  </w:style>
  <w:style w:type="paragraph" w:styleId="Heading9">
    <w:name w:val="heading 9"/>
    <w:basedOn w:val="Normal"/>
    <w:next w:val="Normal"/>
    <w:link w:val="Heading9Char"/>
    <w:uiPriority w:val="9"/>
    <w:semiHidden/>
    <w:unhideWhenUsed/>
    <w:qFormat/>
    <w:rsid w:val="00326F16"/>
    <w:pPr>
      <w:keepNext/>
      <w:keepLines/>
      <w:spacing w:after="0" w:line="259" w:lineRule="auto"/>
      <w:jc w:val="left"/>
      <w:outlineLvl w:val="8"/>
    </w:pPr>
    <w:rPr>
      <w:rFonts w:asciiTheme="minorHAnsi" w:eastAsiaTheme="majorEastAsia" w:hAnsiTheme="minorHAnsi" w:cstheme="majorBidi"/>
      <w:color w:val="272727" w:themeColor="text1" w:themeTint="D8"/>
      <w:kern w:val="2"/>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F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F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F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F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F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F16"/>
    <w:rPr>
      <w:rFonts w:eastAsiaTheme="majorEastAsia" w:cstheme="majorBidi"/>
      <w:color w:val="272727" w:themeColor="text1" w:themeTint="D8"/>
    </w:rPr>
  </w:style>
  <w:style w:type="paragraph" w:styleId="Title">
    <w:name w:val="Title"/>
    <w:basedOn w:val="Normal"/>
    <w:next w:val="Normal"/>
    <w:link w:val="TitleChar"/>
    <w:uiPriority w:val="10"/>
    <w:qFormat/>
    <w:rsid w:val="00326F16"/>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F16"/>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rPr>
  </w:style>
  <w:style w:type="character" w:customStyle="1" w:styleId="SubtitleChar">
    <w:name w:val="Subtitle Char"/>
    <w:basedOn w:val="DefaultParagraphFont"/>
    <w:link w:val="Subtitle"/>
    <w:uiPriority w:val="11"/>
    <w:rsid w:val="00326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F16"/>
    <w:pPr>
      <w:spacing w:before="160" w:after="160" w:line="259" w:lineRule="auto"/>
      <w:jc w:val="center"/>
    </w:pPr>
    <w:rPr>
      <w:rFonts w:asciiTheme="minorHAnsi" w:hAnsiTheme="minorHAnsi"/>
      <w:i/>
      <w:iCs/>
      <w:color w:val="404040" w:themeColor="text1" w:themeTint="BF"/>
      <w:kern w:val="2"/>
      <w:sz w:val="22"/>
    </w:rPr>
  </w:style>
  <w:style w:type="character" w:customStyle="1" w:styleId="QuoteChar">
    <w:name w:val="Quote Char"/>
    <w:basedOn w:val="DefaultParagraphFont"/>
    <w:link w:val="Quote"/>
    <w:uiPriority w:val="29"/>
    <w:rsid w:val="00326F16"/>
    <w:rPr>
      <w:i/>
      <w:iCs/>
      <w:color w:val="404040" w:themeColor="text1" w:themeTint="BF"/>
    </w:rPr>
  </w:style>
  <w:style w:type="paragraph" w:styleId="ListParagraph">
    <w:name w:val="List Paragraph"/>
    <w:basedOn w:val="Normal"/>
    <w:uiPriority w:val="34"/>
    <w:qFormat/>
    <w:rsid w:val="00326F16"/>
    <w:pPr>
      <w:spacing w:after="160" w:line="259" w:lineRule="auto"/>
      <w:ind w:left="720"/>
      <w:contextualSpacing/>
      <w:jc w:val="left"/>
    </w:pPr>
    <w:rPr>
      <w:rFonts w:asciiTheme="minorHAnsi" w:hAnsiTheme="minorHAnsi"/>
      <w:kern w:val="2"/>
      <w:sz w:val="22"/>
    </w:rPr>
  </w:style>
  <w:style w:type="character" w:styleId="IntenseEmphasis">
    <w:name w:val="Intense Emphasis"/>
    <w:basedOn w:val="DefaultParagraphFont"/>
    <w:uiPriority w:val="21"/>
    <w:qFormat/>
    <w:rsid w:val="00326F16"/>
    <w:rPr>
      <w:i/>
      <w:iCs/>
      <w:color w:val="0F4761" w:themeColor="accent1" w:themeShade="BF"/>
    </w:rPr>
  </w:style>
  <w:style w:type="paragraph" w:styleId="IntenseQuote">
    <w:name w:val="Intense Quote"/>
    <w:basedOn w:val="Normal"/>
    <w:next w:val="Normal"/>
    <w:link w:val="IntenseQuoteChar"/>
    <w:uiPriority w:val="30"/>
    <w:qFormat/>
    <w:rsid w:val="00326F1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rPr>
  </w:style>
  <w:style w:type="character" w:customStyle="1" w:styleId="IntenseQuoteChar">
    <w:name w:val="Intense Quote Char"/>
    <w:basedOn w:val="DefaultParagraphFont"/>
    <w:link w:val="IntenseQuote"/>
    <w:uiPriority w:val="30"/>
    <w:rsid w:val="00326F16"/>
    <w:rPr>
      <w:i/>
      <w:iCs/>
      <w:color w:val="0F4761" w:themeColor="accent1" w:themeShade="BF"/>
    </w:rPr>
  </w:style>
  <w:style w:type="character" w:styleId="IntenseReference">
    <w:name w:val="Intense Reference"/>
    <w:basedOn w:val="DefaultParagraphFont"/>
    <w:uiPriority w:val="32"/>
    <w:qFormat/>
    <w:rsid w:val="00326F16"/>
    <w:rPr>
      <w:b/>
      <w:bCs/>
      <w:smallCaps/>
      <w:color w:val="0F4761" w:themeColor="accent1" w:themeShade="BF"/>
      <w:spacing w:val="5"/>
    </w:rPr>
  </w:style>
  <w:style w:type="character" w:styleId="Hyperlink">
    <w:name w:val="Hyperlink"/>
    <w:basedOn w:val="DefaultParagraphFont"/>
    <w:uiPriority w:val="99"/>
    <w:unhideWhenUsed/>
    <w:rsid w:val="001E3056"/>
    <w:rPr>
      <w:color w:val="467886" w:themeColor="hyperlink"/>
      <w:u w:val="single"/>
    </w:rPr>
  </w:style>
  <w:style w:type="paragraph" w:styleId="TOC1">
    <w:name w:val="toc 1"/>
    <w:basedOn w:val="Normal"/>
    <w:next w:val="Normal"/>
    <w:autoRedefine/>
    <w:uiPriority w:val="39"/>
    <w:unhideWhenUsed/>
    <w:rsid w:val="001E3056"/>
    <w:pPr>
      <w:spacing w:after="100"/>
    </w:pPr>
  </w:style>
  <w:style w:type="paragraph" w:styleId="TOC2">
    <w:name w:val="toc 2"/>
    <w:basedOn w:val="Normal"/>
    <w:next w:val="Normal"/>
    <w:autoRedefine/>
    <w:uiPriority w:val="39"/>
    <w:semiHidden/>
    <w:unhideWhenUsed/>
    <w:rsid w:val="001E3056"/>
    <w:pPr>
      <w:spacing w:after="100"/>
      <w:ind w:left="240"/>
    </w:pPr>
  </w:style>
  <w:style w:type="paragraph" w:styleId="TOCHeading">
    <w:name w:val="TOC Heading"/>
    <w:basedOn w:val="Heading1"/>
    <w:next w:val="Normal"/>
    <w:uiPriority w:val="39"/>
    <w:semiHidden/>
    <w:unhideWhenUsed/>
    <w:qFormat/>
    <w:rsid w:val="001E3056"/>
    <w:pPr>
      <w:suppressAutoHyphens/>
      <w:autoSpaceDN w:val="0"/>
      <w:spacing w:before="240" w:after="0" w:line="256" w:lineRule="auto"/>
      <w:jc w:val="both"/>
      <w:outlineLvl w:val="9"/>
    </w:pPr>
    <w:rPr>
      <w:rFonts w:eastAsia="Times New Roman" w:cs="Times New Roman"/>
      <w:kern w:val="0"/>
      <w:sz w:val="32"/>
      <w:szCs w:val="32"/>
      <w:lang w:val="en-US"/>
    </w:rPr>
  </w:style>
  <w:style w:type="paragraph" w:styleId="Footer">
    <w:name w:val="footer"/>
    <w:basedOn w:val="Normal"/>
    <w:link w:val="FooterChar"/>
    <w:uiPriority w:val="99"/>
    <w:unhideWhenUsed/>
    <w:rsid w:val="001E3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056"/>
    <w:rPr>
      <w:rFonts w:ascii="Times New Roman" w:hAnsi="Times New Roman"/>
      <w:kern w:val="0"/>
      <w:sz w:val="24"/>
    </w:rPr>
  </w:style>
  <w:style w:type="paragraph" w:styleId="Header">
    <w:name w:val="header"/>
    <w:basedOn w:val="Normal"/>
    <w:link w:val="HeaderChar"/>
    <w:uiPriority w:val="99"/>
    <w:unhideWhenUsed/>
    <w:rsid w:val="00CD1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5C4"/>
    <w:rPr>
      <w:rFonts w:ascii="Times New Roman" w:hAnsi="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5497288">
      <w:bodyDiv w:val="1"/>
      <w:marLeft w:val="0"/>
      <w:marRight w:val="0"/>
      <w:marTop w:val="0"/>
      <w:marBottom w:val="0"/>
      <w:divBdr>
        <w:top w:val="none" w:sz="0" w:space="0" w:color="auto"/>
        <w:left w:val="none" w:sz="0" w:space="0" w:color="auto"/>
        <w:bottom w:val="none" w:sz="0" w:space="0" w:color="auto"/>
        <w:right w:val="none" w:sz="0" w:space="0" w:color="auto"/>
      </w:divBdr>
    </w:div>
    <w:div w:id="1580090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www.forbes.com/sites/forbesbusinessdevelopmentcouncil/2023/04/12/5-trends-driving-the-hospitality-industry-and-what-they-mean-for-property-management/?sh=2e4ab1977d7f" TargetMode="External"/><Relationship Id="rId18" Type="http://schemas.openxmlformats.org/officeDocument/2006/relationships/hyperlink" Target="https://doi.org/10.38035/dijefa.v1i1.225" TargetMode="External"/><Relationship Id="rId26" Type="http://schemas.openxmlformats.org/officeDocument/2006/relationships/hyperlink" Target="https://doi.org/10.3389/fpubh.2022.792946" TargetMode="External"/><Relationship Id="rId3" Type="http://schemas.openxmlformats.org/officeDocument/2006/relationships/webSettings" Target="webSettings.xml"/><Relationship Id="rId21" Type="http://schemas.openxmlformats.org/officeDocument/2006/relationships/hyperlink" Target="https://doi.org/10.5281/zenodo.3987632" TargetMode="External"/><Relationship Id="rId7" Type="http://schemas.openxmlformats.org/officeDocument/2006/relationships/chart" Target="charts/chart2.xml"/><Relationship Id="rId12" Type="http://schemas.openxmlformats.org/officeDocument/2006/relationships/hyperlink" Target="https://doi.org/10.1080/01605682.2018.1460017" TargetMode="External"/><Relationship Id="rId17" Type="http://schemas.openxmlformats.org/officeDocument/2006/relationships/hyperlink" Target="https://scholar.archive.org/work/4nimrdbbijam7p2d2rgukk2txe/access/wayback/http:/www.bircu-journal.com/index.php/birci/article/download/1451/pdf" TargetMode="External"/><Relationship Id="rId25" Type="http://schemas.openxmlformats.org/officeDocument/2006/relationships/hyperlink" Target="https://doi.org/10.1016/j.ijhm.2020.102799" TargetMode="External"/><Relationship Id="rId2" Type="http://schemas.openxmlformats.org/officeDocument/2006/relationships/settings" Target="settings.xml"/><Relationship Id="rId16" Type="http://schemas.openxmlformats.org/officeDocument/2006/relationships/hyperlink" Target="https://doi.org/10.3390/jrfm14110536" TargetMode="External"/><Relationship Id="rId20" Type="http://schemas.openxmlformats.org/officeDocument/2006/relationships/hyperlink" Target="https://papers.ssrn.com/sol3/papers.cfm?abstract_id=3514730"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doi.org/10.3390/jrfm13030058" TargetMode="External"/><Relationship Id="rId24" Type="http://schemas.openxmlformats.org/officeDocument/2006/relationships/hyperlink" Target="https://doi.org/10.7275/7m54-0b48" TargetMode="External"/><Relationship Id="rId5" Type="http://schemas.openxmlformats.org/officeDocument/2006/relationships/endnotes" Target="endnotes.xml"/><Relationship Id="rId15" Type="http://schemas.openxmlformats.org/officeDocument/2006/relationships/hyperlink" Target="https://doi.org/10.30560/hssr.v2n2p17" TargetMode="External"/><Relationship Id="rId23" Type="http://schemas.openxmlformats.org/officeDocument/2006/relationships/hyperlink" Target="https://doi.org/10.1016/j.annals.2021.103180" TargetMode="External"/><Relationship Id="rId28" Type="http://schemas.openxmlformats.org/officeDocument/2006/relationships/fontTable" Target="fontTable.xml"/><Relationship Id="rId10" Type="http://schemas.openxmlformats.org/officeDocument/2006/relationships/hyperlink" Target="https://doi.org/10.1080/02508281.2020.1826225" TargetMode="External"/><Relationship Id="rId19" Type="http://schemas.openxmlformats.org/officeDocument/2006/relationships/hyperlink" Target="https://www2.deloitte.com/nl/nl/pages/consumer/articles/impact-of-covid-19-on-the-hospitality-industry.html"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hyperlink" Target="https://deliverypdf.ssrn.com/delivery.php?ID=767068083087006027030110092076009103054050034080045061126005085094001094113122081124011002034032054015113002126127079077067123107041047029074101002095075097098028104051055083096080007002113107089010083117075100008000126098020071079102021093088082127111&amp;EXT=pdf&amp;INDEX=TRUE" TargetMode="External"/><Relationship Id="rId22" Type="http://schemas.openxmlformats.org/officeDocument/2006/relationships/hyperlink" Target="https://doi.org/10.1016/j.qref.2021.05.003"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OLHP00056\Downloads\6788961_1867177131_Book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OLHP00056\Desktop\Vandana%2027.10.21\2305908-Financial%20Management\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OLHP00056\Desktop\Vandana%2027.10.21\2305908-Financial%20Management\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OLHP00056\Desktop\Vandana%2027.10.21\2305908-Financial%20Management\Book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solidFill>
                  <a:sysClr val="windowText" lastClr="000000"/>
                </a:solidFill>
              </a:rPr>
              <a:t>Revenue,</a:t>
            </a:r>
            <a:r>
              <a:rPr lang="en-GB" baseline="0">
                <a:solidFill>
                  <a:sysClr val="windowText" lastClr="000000"/>
                </a:solidFill>
              </a:rPr>
              <a:t> OE and NI (figures in GBP)</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Sheet1!$G$4</c:f>
              <c:strCache>
                <c:ptCount val="1"/>
                <c:pt idx="0">
                  <c:v>Revenue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Sheet1!$H$4:$J$4</c:f>
              <c:numCache>
                <c:formatCode>"£"#,##0_);[Red]\("£"#,##0\)</c:formatCode>
                <c:ptCount val="3"/>
                <c:pt idx="0">
                  <c:v>2500000</c:v>
                </c:pt>
                <c:pt idx="1">
                  <c:v>2200000</c:v>
                </c:pt>
                <c:pt idx="2">
                  <c:v>1800000</c:v>
                </c:pt>
              </c:numCache>
            </c:numRef>
          </c:val>
          <c:extLst>
            <c:ext xmlns:c16="http://schemas.microsoft.com/office/drawing/2014/chart" uri="{C3380CC4-5D6E-409C-BE32-E72D297353CC}">
              <c16:uniqueId val="{00000000-EE1B-43AE-8A2B-FFBAFCE7A097}"/>
            </c:ext>
          </c:extLst>
        </c:ser>
        <c:ser>
          <c:idx val="1"/>
          <c:order val="1"/>
          <c:tx>
            <c:strRef>
              <c:f>Sheet1!$G$5</c:f>
              <c:strCache>
                <c:ptCount val="1"/>
                <c:pt idx="0">
                  <c:v>Operating Expenses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Sheet1!$H$5:$J$5</c:f>
              <c:numCache>
                <c:formatCode>"£"#,##0_);[Red]\("£"#,##0\)</c:formatCode>
                <c:ptCount val="3"/>
                <c:pt idx="0">
                  <c:v>1800000</c:v>
                </c:pt>
                <c:pt idx="1">
                  <c:v>2000000</c:v>
                </c:pt>
                <c:pt idx="2">
                  <c:v>2300000</c:v>
                </c:pt>
              </c:numCache>
            </c:numRef>
          </c:val>
          <c:extLst>
            <c:ext xmlns:c16="http://schemas.microsoft.com/office/drawing/2014/chart" uri="{C3380CC4-5D6E-409C-BE32-E72D297353CC}">
              <c16:uniqueId val="{00000001-EE1B-43AE-8A2B-FFBAFCE7A097}"/>
            </c:ext>
          </c:extLst>
        </c:ser>
        <c:ser>
          <c:idx val="2"/>
          <c:order val="2"/>
          <c:tx>
            <c:strRef>
              <c:f>Sheet1!$G$6</c:f>
              <c:strCache>
                <c:ptCount val="1"/>
                <c:pt idx="0">
                  <c:v>Net Income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Sheet1!$H$6:$J$6</c:f>
              <c:numCache>
                <c:formatCode>"£"#,##0_);[Red]\("£"#,##0\)</c:formatCode>
                <c:ptCount val="3"/>
                <c:pt idx="0">
                  <c:v>700000</c:v>
                </c:pt>
                <c:pt idx="1">
                  <c:v>200000</c:v>
                </c:pt>
                <c:pt idx="2">
                  <c:v>-500000</c:v>
                </c:pt>
              </c:numCache>
            </c:numRef>
          </c:val>
          <c:extLst>
            <c:ext xmlns:c16="http://schemas.microsoft.com/office/drawing/2014/chart" uri="{C3380CC4-5D6E-409C-BE32-E72D297353CC}">
              <c16:uniqueId val="{00000002-EE1B-43AE-8A2B-FFBAFCE7A097}"/>
            </c:ext>
          </c:extLst>
        </c:ser>
        <c:dLbls>
          <c:showLegendKey val="0"/>
          <c:showVal val="0"/>
          <c:showCatName val="0"/>
          <c:showSerName val="0"/>
          <c:showPercent val="0"/>
          <c:showBubbleSize val="0"/>
        </c:dLbls>
        <c:gapWidth val="100"/>
        <c:overlap val="-24"/>
        <c:axId val="455562560"/>
        <c:axId val="454977648"/>
      </c:barChart>
      <c:catAx>
        <c:axId val="45556256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977648"/>
        <c:crosses val="autoZero"/>
        <c:auto val="1"/>
        <c:lblAlgn val="ctr"/>
        <c:lblOffset val="100"/>
        <c:noMultiLvlLbl val="0"/>
      </c:catAx>
      <c:valAx>
        <c:axId val="454977648"/>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6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solidFill>
                  <a:sysClr val="windowText" lastClr="000000"/>
                </a:solidFill>
              </a:rPr>
              <a:t>Profitability</a:t>
            </a:r>
            <a:r>
              <a:rPr lang="en-GB"/>
              <a:t>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Sheet1!$G$7</c:f>
              <c:strCache>
                <c:ptCount val="1"/>
                <c:pt idx="0">
                  <c:v>NP Margin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Sheet1!$H$3:$J$3</c:f>
              <c:numCache>
                <c:formatCode>General</c:formatCode>
                <c:ptCount val="3"/>
                <c:pt idx="0">
                  <c:v>2021</c:v>
                </c:pt>
                <c:pt idx="1">
                  <c:v>2022</c:v>
                </c:pt>
                <c:pt idx="2">
                  <c:v>2023</c:v>
                </c:pt>
              </c:numCache>
            </c:numRef>
          </c:cat>
          <c:val>
            <c:numRef>
              <c:f>Sheet1!$H$7:$J$7</c:f>
              <c:numCache>
                <c:formatCode>0%</c:formatCode>
                <c:ptCount val="3"/>
                <c:pt idx="0">
                  <c:v>0.28000000000000003</c:v>
                </c:pt>
                <c:pt idx="1">
                  <c:v>0.09</c:v>
                </c:pt>
                <c:pt idx="2">
                  <c:v>-0.28000000000000003</c:v>
                </c:pt>
              </c:numCache>
            </c:numRef>
          </c:val>
          <c:extLst>
            <c:ext xmlns:c16="http://schemas.microsoft.com/office/drawing/2014/chart" uri="{C3380CC4-5D6E-409C-BE32-E72D297353CC}">
              <c16:uniqueId val="{00000000-0929-4B9C-85F2-A450EE88ACAB}"/>
            </c:ext>
          </c:extLst>
        </c:ser>
        <c:ser>
          <c:idx val="1"/>
          <c:order val="1"/>
          <c:tx>
            <c:strRef>
              <c:f>Sheet1!$G$9</c:f>
              <c:strCache>
                <c:ptCount val="1"/>
                <c:pt idx="0">
                  <c:v>ROE</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Sheet1!$H$3:$J$3</c:f>
              <c:numCache>
                <c:formatCode>General</c:formatCode>
                <c:ptCount val="3"/>
                <c:pt idx="0">
                  <c:v>2021</c:v>
                </c:pt>
                <c:pt idx="1">
                  <c:v>2022</c:v>
                </c:pt>
                <c:pt idx="2">
                  <c:v>2023</c:v>
                </c:pt>
              </c:numCache>
            </c:numRef>
          </c:cat>
          <c:val>
            <c:numRef>
              <c:f>Sheet1!$H$9:$J$9</c:f>
              <c:numCache>
                <c:formatCode>0%</c:formatCode>
                <c:ptCount val="3"/>
                <c:pt idx="0">
                  <c:v>0.32</c:v>
                </c:pt>
                <c:pt idx="1">
                  <c:v>0.11</c:v>
                </c:pt>
                <c:pt idx="2">
                  <c:v>-0.36</c:v>
                </c:pt>
              </c:numCache>
            </c:numRef>
          </c:val>
          <c:extLst>
            <c:ext xmlns:c16="http://schemas.microsoft.com/office/drawing/2014/chart" uri="{C3380CC4-5D6E-409C-BE32-E72D297353CC}">
              <c16:uniqueId val="{00000001-0929-4B9C-85F2-A450EE88ACAB}"/>
            </c:ext>
          </c:extLst>
        </c:ser>
        <c:ser>
          <c:idx val="2"/>
          <c:order val="2"/>
          <c:tx>
            <c:strRef>
              <c:f>Sheet1!$G$8</c:f>
              <c:strCache>
                <c:ptCount val="1"/>
                <c:pt idx="0">
                  <c:v>ROA</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Sheet1!$H$3:$J$3</c:f>
              <c:numCache>
                <c:formatCode>General</c:formatCode>
                <c:ptCount val="3"/>
                <c:pt idx="0">
                  <c:v>2021</c:v>
                </c:pt>
                <c:pt idx="1">
                  <c:v>2022</c:v>
                </c:pt>
                <c:pt idx="2">
                  <c:v>2023</c:v>
                </c:pt>
              </c:numCache>
            </c:numRef>
          </c:cat>
          <c:val>
            <c:numRef>
              <c:f>Sheet1!$H$8:$J$8</c:f>
              <c:numCache>
                <c:formatCode>0%</c:formatCode>
                <c:ptCount val="3"/>
                <c:pt idx="0">
                  <c:v>0.13</c:v>
                </c:pt>
                <c:pt idx="1">
                  <c:v>0.04</c:v>
                </c:pt>
                <c:pt idx="2">
                  <c:v>-0.11</c:v>
                </c:pt>
              </c:numCache>
            </c:numRef>
          </c:val>
          <c:extLst>
            <c:ext xmlns:c16="http://schemas.microsoft.com/office/drawing/2014/chart" uri="{C3380CC4-5D6E-409C-BE32-E72D297353CC}">
              <c16:uniqueId val="{00000002-0929-4B9C-85F2-A450EE88ACAB}"/>
            </c:ext>
          </c:extLst>
        </c:ser>
        <c:dLbls>
          <c:dLblPos val="outEnd"/>
          <c:showLegendKey val="0"/>
          <c:showVal val="1"/>
          <c:showCatName val="0"/>
          <c:showSerName val="0"/>
          <c:showPercent val="0"/>
          <c:showBubbleSize val="0"/>
        </c:dLbls>
        <c:gapWidth val="444"/>
        <c:overlap val="-90"/>
        <c:axId val="596669096"/>
        <c:axId val="596668768"/>
      </c:barChart>
      <c:catAx>
        <c:axId val="5966690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96668768"/>
        <c:crosses val="autoZero"/>
        <c:auto val="1"/>
        <c:lblAlgn val="ctr"/>
        <c:lblOffset val="100"/>
        <c:noMultiLvlLbl val="0"/>
      </c:catAx>
      <c:valAx>
        <c:axId val="596668768"/>
        <c:scaling>
          <c:orientation val="minMax"/>
        </c:scaling>
        <c:delete val="1"/>
        <c:axPos val="l"/>
        <c:numFmt formatCode="0%" sourceLinked="1"/>
        <c:majorTickMark val="none"/>
        <c:minorTickMark val="none"/>
        <c:tickLblPos val="nextTo"/>
        <c:crossAx val="5966690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solidFill>
                  <a:sysClr val="windowText" lastClr="000000"/>
                </a:solidFill>
              </a:rPr>
              <a:t>Liquidity</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Sheet1!$G$10</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Sheet1!$H$3:$J$3</c:f>
              <c:numCache>
                <c:formatCode>General</c:formatCode>
                <c:ptCount val="3"/>
                <c:pt idx="0">
                  <c:v>2021</c:v>
                </c:pt>
                <c:pt idx="1">
                  <c:v>2022</c:v>
                </c:pt>
                <c:pt idx="2">
                  <c:v>2023</c:v>
                </c:pt>
              </c:numCache>
            </c:numRef>
          </c:cat>
          <c:val>
            <c:numRef>
              <c:f>Sheet1!$H$10:$J$10</c:f>
              <c:numCache>
                <c:formatCode>_(* #,##0.00_);_(* \(#,##0.00\);_(* "-"??_);_(@_)</c:formatCode>
                <c:ptCount val="3"/>
                <c:pt idx="0">
                  <c:v>1.8</c:v>
                </c:pt>
                <c:pt idx="1">
                  <c:v>1.1100000000000001</c:v>
                </c:pt>
                <c:pt idx="2">
                  <c:v>0.6</c:v>
                </c:pt>
              </c:numCache>
            </c:numRef>
          </c:val>
          <c:extLst>
            <c:ext xmlns:c16="http://schemas.microsoft.com/office/drawing/2014/chart" uri="{C3380CC4-5D6E-409C-BE32-E72D297353CC}">
              <c16:uniqueId val="{00000000-3F6C-430F-9C07-3A5B5E313BE2}"/>
            </c:ext>
          </c:extLst>
        </c:ser>
        <c:ser>
          <c:idx val="1"/>
          <c:order val="1"/>
          <c:tx>
            <c:strRef>
              <c:f>Sheet1!$G$11</c:f>
              <c:strCache>
                <c:ptCount val="1"/>
                <c:pt idx="0">
                  <c:v>Cash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Sheet1!$H$3:$J$3</c:f>
              <c:numCache>
                <c:formatCode>General</c:formatCode>
                <c:ptCount val="3"/>
                <c:pt idx="0">
                  <c:v>2021</c:v>
                </c:pt>
                <c:pt idx="1">
                  <c:v>2022</c:v>
                </c:pt>
                <c:pt idx="2">
                  <c:v>2023</c:v>
                </c:pt>
              </c:numCache>
            </c:numRef>
          </c:cat>
          <c:val>
            <c:numRef>
              <c:f>Sheet1!$H$11:$J$11</c:f>
              <c:numCache>
                <c:formatCode>_(* #,##0.00_);_(* \(#,##0.00\);_(* "-"??_);_(@_)</c:formatCode>
                <c:ptCount val="3"/>
                <c:pt idx="0">
                  <c:v>1.2</c:v>
                </c:pt>
                <c:pt idx="1">
                  <c:v>0.74</c:v>
                </c:pt>
                <c:pt idx="2">
                  <c:v>0.33</c:v>
                </c:pt>
              </c:numCache>
            </c:numRef>
          </c:val>
          <c:extLst>
            <c:ext xmlns:c16="http://schemas.microsoft.com/office/drawing/2014/chart" uri="{C3380CC4-5D6E-409C-BE32-E72D297353CC}">
              <c16:uniqueId val="{00000001-3F6C-430F-9C07-3A5B5E313BE2}"/>
            </c:ext>
          </c:extLst>
        </c:ser>
        <c:dLbls>
          <c:showLegendKey val="0"/>
          <c:showVal val="0"/>
          <c:showCatName val="0"/>
          <c:showSerName val="0"/>
          <c:showPercent val="0"/>
          <c:showBubbleSize val="0"/>
        </c:dLbls>
        <c:gapWidth val="100"/>
        <c:overlap val="-24"/>
        <c:axId val="526529000"/>
        <c:axId val="526538512"/>
      </c:barChart>
      <c:catAx>
        <c:axId val="5265290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26538512"/>
        <c:crosses val="autoZero"/>
        <c:auto val="1"/>
        <c:lblAlgn val="ctr"/>
        <c:lblOffset val="100"/>
        <c:noMultiLvlLbl val="0"/>
      </c:catAx>
      <c:valAx>
        <c:axId val="526538512"/>
        <c:scaling>
          <c:orientation val="minMax"/>
        </c:scaling>
        <c:delete val="0"/>
        <c:axPos val="l"/>
        <c:majorGridlines>
          <c:spPr>
            <a:ln w="9525" cap="flat" cmpd="sng" algn="ctr">
              <a:solidFill>
                <a:schemeClr val="tx2">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26529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Solvency</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Sheet1!$G$13</c:f>
              <c:strCache>
                <c:ptCount val="1"/>
                <c:pt idx="0">
                  <c:v>Debt Ratio</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Sheet1!$H$3:$J$3</c:f>
              <c:numCache>
                <c:formatCode>General</c:formatCode>
                <c:ptCount val="3"/>
                <c:pt idx="0">
                  <c:v>2021</c:v>
                </c:pt>
                <c:pt idx="1">
                  <c:v>2022</c:v>
                </c:pt>
                <c:pt idx="2">
                  <c:v>2023</c:v>
                </c:pt>
              </c:numCache>
            </c:numRef>
          </c:cat>
          <c:val>
            <c:numRef>
              <c:f>Sheet1!$H$13:$J$13</c:f>
              <c:numCache>
                <c:formatCode>0%</c:formatCode>
                <c:ptCount val="3"/>
                <c:pt idx="0">
                  <c:v>0.6</c:v>
                </c:pt>
                <c:pt idx="1">
                  <c:v>0.64</c:v>
                </c:pt>
                <c:pt idx="2">
                  <c:v>0.71</c:v>
                </c:pt>
              </c:numCache>
            </c:numRef>
          </c:val>
          <c:extLst>
            <c:ext xmlns:c16="http://schemas.microsoft.com/office/drawing/2014/chart" uri="{C3380CC4-5D6E-409C-BE32-E72D297353CC}">
              <c16:uniqueId val="{00000000-2692-42F7-AC11-197FB64335D1}"/>
            </c:ext>
          </c:extLst>
        </c:ser>
        <c:ser>
          <c:idx val="1"/>
          <c:order val="1"/>
          <c:tx>
            <c:strRef>
              <c:f>Sheet1!$G$12</c:f>
              <c:strCache>
                <c:ptCount val="1"/>
                <c:pt idx="0">
                  <c:v>D/E Ratio</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Sheet1!$H$3:$J$3</c:f>
              <c:numCache>
                <c:formatCode>General</c:formatCode>
                <c:ptCount val="3"/>
                <c:pt idx="0">
                  <c:v>2021</c:v>
                </c:pt>
                <c:pt idx="1">
                  <c:v>2022</c:v>
                </c:pt>
                <c:pt idx="2">
                  <c:v>2023</c:v>
                </c:pt>
              </c:numCache>
            </c:numRef>
          </c:cat>
          <c:val>
            <c:numRef>
              <c:f>Sheet1!$H$12:$J$12</c:f>
              <c:numCache>
                <c:formatCode>0%</c:formatCode>
                <c:ptCount val="3"/>
                <c:pt idx="0">
                  <c:v>1.48</c:v>
                </c:pt>
                <c:pt idx="1">
                  <c:v>1.79</c:v>
                </c:pt>
                <c:pt idx="2">
                  <c:v>2.39</c:v>
                </c:pt>
              </c:numCache>
            </c:numRef>
          </c:val>
          <c:extLst>
            <c:ext xmlns:c16="http://schemas.microsoft.com/office/drawing/2014/chart" uri="{C3380CC4-5D6E-409C-BE32-E72D297353CC}">
              <c16:uniqueId val="{00000001-2692-42F7-AC11-197FB64335D1}"/>
            </c:ext>
          </c:extLst>
        </c:ser>
        <c:dLbls>
          <c:dLblPos val="inEnd"/>
          <c:showLegendKey val="0"/>
          <c:showVal val="1"/>
          <c:showCatName val="0"/>
          <c:showSerName val="0"/>
          <c:showPercent val="0"/>
          <c:showBubbleSize val="0"/>
        </c:dLbls>
        <c:gapWidth val="315"/>
        <c:overlap val="-40"/>
        <c:axId val="597417992"/>
        <c:axId val="597413072"/>
      </c:barChart>
      <c:catAx>
        <c:axId val="59741799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97413072"/>
        <c:crosses val="autoZero"/>
        <c:auto val="1"/>
        <c:lblAlgn val="ctr"/>
        <c:lblOffset val="100"/>
        <c:noMultiLvlLbl val="0"/>
      </c:catAx>
      <c:valAx>
        <c:axId val="59741307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974179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3345</Words>
  <Characters>19072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7</cp:revision>
  <dcterms:created xsi:type="dcterms:W3CDTF">2024-05-11T22:15:00Z</dcterms:created>
  <dcterms:modified xsi:type="dcterms:W3CDTF">2024-06-06T09:11:00Z</dcterms:modified>
</cp:coreProperties>
</file>