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797241F" w:rsidR="00D8137B" w:rsidRPr="0044401C" w:rsidRDefault="32433627" w:rsidP="7336895D">
      <w:pPr>
        <w:rPr>
          <w:rFonts w:asciiTheme="minorBidi" w:hAnsiTheme="minorBidi"/>
        </w:rPr>
      </w:pPr>
      <w:r w:rsidRPr="0044401C">
        <w:rPr>
          <w:rFonts w:asciiTheme="minorBidi" w:hAnsiTheme="minorBidi"/>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Pr="0044401C" w:rsidRDefault="7336895D" w:rsidP="7336895D">
      <w:pPr>
        <w:rPr>
          <w:rFonts w:asciiTheme="minorBidi" w:hAnsiTheme="minorBidi"/>
        </w:rPr>
      </w:pPr>
    </w:p>
    <w:p w14:paraId="78777CD6" w14:textId="18A694F4" w:rsidR="32433627" w:rsidRPr="0044401C" w:rsidRDefault="32433627" w:rsidP="2F17ACDD">
      <w:pPr>
        <w:rPr>
          <w:rFonts w:asciiTheme="minorBidi" w:eastAsia="Arial" w:hAnsiTheme="minorBidi"/>
          <w:b/>
          <w:bCs/>
          <w:sz w:val="28"/>
          <w:szCs w:val="28"/>
        </w:rPr>
      </w:pPr>
      <w:r w:rsidRPr="0044401C">
        <w:rPr>
          <w:rFonts w:asciiTheme="minorBidi" w:eastAsia="Arial" w:hAnsiTheme="minorBidi"/>
          <w:b/>
          <w:bCs/>
          <w:sz w:val="28"/>
          <w:szCs w:val="28"/>
        </w:rPr>
        <w:t xml:space="preserve">BSc Professional Investigation </w:t>
      </w:r>
      <w:r w:rsidR="74C7EEBA" w:rsidRPr="0044401C">
        <w:rPr>
          <w:rFonts w:asciiTheme="minorBidi" w:eastAsia="Arial" w:hAnsiTheme="minorBidi"/>
          <w:b/>
          <w:bCs/>
          <w:sz w:val="28"/>
          <w:szCs w:val="28"/>
        </w:rPr>
        <w:t>202</w:t>
      </w:r>
      <w:r w:rsidR="0DB6E58A" w:rsidRPr="0044401C">
        <w:rPr>
          <w:rFonts w:asciiTheme="minorBidi" w:eastAsia="Arial" w:hAnsiTheme="minorBidi"/>
          <w:b/>
          <w:bCs/>
          <w:sz w:val="28"/>
          <w:szCs w:val="28"/>
        </w:rPr>
        <w:t>4</w:t>
      </w:r>
      <w:r w:rsidR="74C7EEBA" w:rsidRPr="0044401C">
        <w:rPr>
          <w:rFonts w:asciiTheme="minorBidi" w:eastAsia="Arial" w:hAnsiTheme="minorBidi"/>
          <w:b/>
          <w:bCs/>
          <w:sz w:val="28"/>
          <w:szCs w:val="28"/>
        </w:rPr>
        <w:t>/202</w:t>
      </w:r>
      <w:r w:rsidR="616AE7FF" w:rsidRPr="0044401C">
        <w:rPr>
          <w:rFonts w:asciiTheme="minorBidi" w:eastAsia="Arial" w:hAnsiTheme="minorBidi"/>
          <w:b/>
          <w:bCs/>
          <w:sz w:val="28"/>
          <w:szCs w:val="28"/>
        </w:rPr>
        <w:t>5</w:t>
      </w:r>
    </w:p>
    <w:p w14:paraId="43AF8E42" w14:textId="636DF1FF" w:rsidR="32433627" w:rsidRPr="0044401C" w:rsidRDefault="32433627" w:rsidP="2F17ACDD">
      <w:pPr>
        <w:rPr>
          <w:rFonts w:asciiTheme="minorBidi" w:eastAsia="Arial" w:hAnsiTheme="minorBidi"/>
          <w:color w:val="000000" w:themeColor="text1"/>
          <w:sz w:val="28"/>
          <w:szCs w:val="28"/>
        </w:rPr>
      </w:pPr>
      <w:r w:rsidRPr="0044401C">
        <w:rPr>
          <w:rFonts w:asciiTheme="minorBidi" w:eastAsia="Arial" w:hAnsiTheme="minorBidi"/>
          <w:b/>
          <w:bCs/>
          <w:color w:val="000000" w:themeColor="text1"/>
          <w:sz w:val="28"/>
          <w:szCs w:val="28"/>
        </w:rPr>
        <w:t>LEVEL 6 - 40 Credits</w:t>
      </w:r>
    </w:p>
    <w:p w14:paraId="69B2BA46" w14:textId="52F76722" w:rsidR="57DF25C0" w:rsidRPr="0044401C" w:rsidRDefault="57DF25C0" w:rsidP="57DF25C0">
      <w:pPr>
        <w:rPr>
          <w:rFonts w:asciiTheme="minorBidi" w:eastAsia="Arial" w:hAnsiTheme="minorBidi"/>
          <w:b/>
          <w:bCs/>
          <w:color w:val="000000" w:themeColor="text1"/>
          <w:sz w:val="28"/>
          <w:szCs w:val="28"/>
        </w:rPr>
      </w:pPr>
    </w:p>
    <w:p w14:paraId="78D6F04D" w14:textId="1A0C219A" w:rsidR="57DF25C0" w:rsidRPr="0044401C" w:rsidRDefault="57DF25C0" w:rsidP="57DF25C0">
      <w:pPr>
        <w:rPr>
          <w:rFonts w:asciiTheme="minorBidi" w:eastAsia="Arial" w:hAnsiTheme="minorBidi"/>
          <w:b/>
          <w:bCs/>
          <w:color w:val="000000" w:themeColor="text1"/>
          <w:sz w:val="28"/>
          <w:szCs w:val="28"/>
        </w:rPr>
      </w:pPr>
    </w:p>
    <w:p w14:paraId="7F34EF89" w14:textId="5D9F03E9" w:rsidR="57DF25C0" w:rsidRPr="0044401C" w:rsidRDefault="57DF25C0" w:rsidP="57DF25C0">
      <w:pPr>
        <w:rPr>
          <w:rFonts w:asciiTheme="minorBidi" w:eastAsia="Arial" w:hAnsiTheme="minorBidi"/>
          <w:b/>
          <w:bCs/>
          <w:color w:val="000000" w:themeColor="text1"/>
          <w:sz w:val="28"/>
          <w:szCs w:val="28"/>
        </w:rPr>
      </w:pPr>
    </w:p>
    <w:p w14:paraId="772420AF" w14:textId="7D921BC3" w:rsidR="7336895D" w:rsidRPr="0044401C" w:rsidRDefault="1A7CC191" w:rsidP="6F0579F7">
      <w:pPr>
        <w:pBdr>
          <w:top w:val="single" w:sz="4" w:space="4" w:color="000000"/>
          <w:left w:val="single" w:sz="4" w:space="4" w:color="000000"/>
          <w:bottom w:val="single" w:sz="4" w:space="4" w:color="000000"/>
          <w:right w:val="single" w:sz="4" w:space="4" w:color="000000"/>
        </w:pBdr>
        <w:ind w:right="237"/>
        <w:jc w:val="center"/>
        <w:rPr>
          <w:rFonts w:asciiTheme="minorBidi" w:eastAsia="Arial" w:hAnsiTheme="minorBidi"/>
          <w:b/>
          <w:bCs/>
          <w:color w:val="000000" w:themeColor="text1"/>
          <w:sz w:val="28"/>
          <w:szCs w:val="28"/>
        </w:rPr>
      </w:pPr>
      <w:r w:rsidRPr="0044401C">
        <w:rPr>
          <w:rFonts w:asciiTheme="minorBidi" w:eastAsia="Arial" w:hAnsiTheme="minorBidi"/>
          <w:b/>
          <w:bCs/>
          <w:color w:val="000000" w:themeColor="text1"/>
          <w:sz w:val="28"/>
          <w:szCs w:val="28"/>
        </w:rPr>
        <w:t xml:space="preserve">Submission Deadline: 23:59hrs Friday </w:t>
      </w:r>
      <w:r w:rsidR="4727055E" w:rsidRPr="0044401C">
        <w:rPr>
          <w:rFonts w:asciiTheme="minorBidi" w:eastAsia="Arial" w:hAnsiTheme="minorBidi"/>
          <w:b/>
          <w:bCs/>
          <w:color w:val="000000" w:themeColor="text1"/>
          <w:sz w:val="28"/>
          <w:szCs w:val="28"/>
        </w:rPr>
        <w:t>8</w:t>
      </w:r>
      <w:r w:rsidRPr="0044401C">
        <w:rPr>
          <w:rFonts w:asciiTheme="minorBidi" w:eastAsia="Arial" w:hAnsiTheme="minorBidi"/>
          <w:b/>
          <w:bCs/>
          <w:color w:val="000000" w:themeColor="text1"/>
          <w:sz w:val="28"/>
          <w:szCs w:val="28"/>
          <w:vertAlign w:val="superscript"/>
        </w:rPr>
        <w:t>th</w:t>
      </w:r>
      <w:r w:rsidRPr="0044401C">
        <w:rPr>
          <w:rFonts w:asciiTheme="minorBidi" w:eastAsia="Arial" w:hAnsiTheme="minorBidi"/>
          <w:b/>
          <w:bCs/>
          <w:color w:val="000000" w:themeColor="text1"/>
          <w:sz w:val="28"/>
          <w:szCs w:val="28"/>
        </w:rPr>
        <w:t xml:space="preserve"> May 202</w:t>
      </w:r>
      <w:r w:rsidR="589956A7" w:rsidRPr="0044401C">
        <w:rPr>
          <w:rFonts w:asciiTheme="minorBidi" w:eastAsia="Arial" w:hAnsiTheme="minorBidi"/>
          <w:b/>
          <w:bCs/>
          <w:color w:val="000000" w:themeColor="text1"/>
          <w:sz w:val="28"/>
          <w:szCs w:val="28"/>
        </w:rPr>
        <w:t>5</w:t>
      </w:r>
    </w:p>
    <w:p w14:paraId="1FDAE901" w14:textId="7B64CE28" w:rsidR="57DF25C0" w:rsidRPr="0044401C" w:rsidRDefault="57DF25C0" w:rsidP="57DF25C0">
      <w:pPr>
        <w:ind w:right="237"/>
        <w:jc w:val="center"/>
        <w:rPr>
          <w:rFonts w:asciiTheme="minorBidi" w:eastAsia="Arial" w:hAnsiTheme="minorBidi"/>
          <w:b/>
          <w:bCs/>
          <w:color w:val="000000" w:themeColor="text1"/>
          <w:sz w:val="28"/>
          <w:szCs w:val="28"/>
        </w:rPr>
      </w:pPr>
    </w:p>
    <w:p w14:paraId="54B0CE7C" w14:textId="632DF0BE" w:rsidR="57DF25C0" w:rsidRPr="0044401C" w:rsidRDefault="57DF25C0" w:rsidP="57DF25C0">
      <w:pPr>
        <w:ind w:right="237"/>
        <w:jc w:val="center"/>
        <w:rPr>
          <w:rFonts w:asciiTheme="minorBidi" w:eastAsia="Arial" w:hAnsiTheme="minorBidi"/>
          <w:b/>
          <w:bCs/>
          <w:color w:val="000000" w:themeColor="text1"/>
          <w:sz w:val="28"/>
          <w:szCs w:val="28"/>
        </w:rPr>
      </w:pPr>
    </w:p>
    <w:p w14:paraId="1741DE64" w14:textId="55BD30B3" w:rsidR="32433627" w:rsidRPr="0044401C" w:rsidRDefault="32433627" w:rsidP="2F17ACDD">
      <w:pPr>
        <w:ind w:right="237"/>
        <w:jc w:val="center"/>
        <w:rPr>
          <w:rFonts w:asciiTheme="minorBidi" w:eastAsia="Arial" w:hAnsiTheme="minorBidi"/>
          <w:b/>
          <w:bCs/>
          <w:color w:val="000000" w:themeColor="text1"/>
          <w:sz w:val="28"/>
          <w:szCs w:val="28"/>
        </w:rPr>
      </w:pPr>
      <w:r w:rsidRPr="0044401C">
        <w:rPr>
          <w:rFonts w:asciiTheme="minorBidi" w:eastAsia="Arial" w:hAnsiTheme="minorBidi"/>
          <w:b/>
          <w:bCs/>
          <w:color w:val="000000" w:themeColor="text1"/>
          <w:sz w:val="28"/>
          <w:szCs w:val="28"/>
        </w:rPr>
        <w:t>Workbook title</w:t>
      </w:r>
      <w:r w:rsidR="021C0392" w:rsidRPr="0044401C">
        <w:rPr>
          <w:rFonts w:asciiTheme="minorBidi" w:eastAsia="Arial" w:hAnsiTheme="minorBidi"/>
          <w:b/>
          <w:bCs/>
          <w:color w:val="000000" w:themeColor="text1"/>
          <w:sz w:val="28"/>
          <w:szCs w:val="28"/>
        </w:rPr>
        <w:t xml:space="preserve">: Competency Based Workbook </w:t>
      </w:r>
      <w:r w:rsidR="6E27A6BC" w:rsidRPr="0044401C">
        <w:rPr>
          <w:rFonts w:asciiTheme="minorBidi" w:eastAsia="Arial" w:hAnsiTheme="minorBidi"/>
          <w:b/>
          <w:bCs/>
          <w:color w:val="000000" w:themeColor="text1"/>
          <w:sz w:val="28"/>
          <w:szCs w:val="28"/>
        </w:rPr>
        <w:t>2</w:t>
      </w:r>
    </w:p>
    <w:p w14:paraId="46D60806" w14:textId="5032E63C" w:rsidR="49C54495" w:rsidRPr="0044401C" w:rsidRDefault="49C54495" w:rsidP="43D343CA">
      <w:pPr>
        <w:ind w:right="237"/>
        <w:jc w:val="center"/>
        <w:rPr>
          <w:rFonts w:asciiTheme="minorBidi" w:eastAsia="Arial" w:hAnsiTheme="minorBidi"/>
          <w:b/>
          <w:bCs/>
          <w:i/>
          <w:iCs/>
          <w:color w:val="0070C0"/>
          <w:sz w:val="32"/>
          <w:szCs w:val="32"/>
        </w:rPr>
      </w:pPr>
      <w:r w:rsidRPr="0044401C">
        <w:rPr>
          <w:rFonts w:asciiTheme="minorBidi" w:eastAsia="Arial" w:hAnsiTheme="minorBidi"/>
          <w:b/>
          <w:bCs/>
          <w:i/>
          <w:iCs/>
          <w:color w:val="0070C0"/>
          <w:sz w:val="32"/>
          <w:szCs w:val="32"/>
        </w:rPr>
        <w:t>Module BMPI6002</w:t>
      </w:r>
      <w:r w:rsidR="16C40648" w:rsidRPr="0044401C">
        <w:rPr>
          <w:rFonts w:asciiTheme="minorBidi" w:eastAsia="Arial" w:hAnsiTheme="minorBidi"/>
          <w:b/>
          <w:bCs/>
          <w:i/>
          <w:iCs/>
          <w:color w:val="0070C0"/>
          <w:sz w:val="32"/>
          <w:szCs w:val="32"/>
        </w:rPr>
        <w:t>D</w:t>
      </w:r>
      <w:r w:rsidRPr="0044401C">
        <w:rPr>
          <w:rFonts w:asciiTheme="minorBidi" w:eastAsia="Arial" w:hAnsiTheme="minorBidi"/>
          <w:b/>
          <w:bCs/>
          <w:i/>
          <w:iCs/>
          <w:color w:val="0070C0"/>
          <w:sz w:val="32"/>
          <w:szCs w:val="32"/>
        </w:rPr>
        <w:t xml:space="preserve"> – Professional Investigative Practice</w:t>
      </w:r>
    </w:p>
    <w:p w14:paraId="01172258" w14:textId="1D5843CB" w:rsidR="7336895D" w:rsidRPr="0044401C" w:rsidRDefault="7336895D" w:rsidP="2F17ACDD">
      <w:pPr>
        <w:ind w:right="237"/>
        <w:rPr>
          <w:rFonts w:asciiTheme="minorBidi" w:eastAsia="Arial" w:hAnsiTheme="minorBidi"/>
          <w:b/>
          <w:bCs/>
          <w:color w:val="000000" w:themeColor="text1"/>
          <w:sz w:val="32"/>
          <w:szCs w:val="32"/>
        </w:rPr>
      </w:pPr>
    </w:p>
    <w:p w14:paraId="56F74FD0" w14:textId="3B1D8CFD" w:rsidR="7336895D" w:rsidRPr="0044401C" w:rsidRDefault="7336895D" w:rsidP="7336895D">
      <w:pPr>
        <w:rPr>
          <w:rFonts w:asciiTheme="minorBidi" w:eastAsia="Arial" w:hAnsiTheme="minorBidi"/>
          <w:sz w:val="36"/>
          <w:szCs w:val="36"/>
        </w:rPr>
      </w:pPr>
    </w:p>
    <w:tbl>
      <w:tblPr>
        <w:tblStyle w:val="TableGrid"/>
        <w:tblW w:w="0" w:type="auto"/>
        <w:tblLayout w:type="fixed"/>
        <w:tblLook w:val="06A0" w:firstRow="1" w:lastRow="0" w:firstColumn="1" w:lastColumn="0" w:noHBand="1" w:noVBand="1"/>
      </w:tblPr>
      <w:tblGrid>
        <w:gridCol w:w="9015"/>
      </w:tblGrid>
      <w:tr w:rsidR="7336895D" w:rsidRPr="0044401C" w14:paraId="5364FEF4" w14:textId="77777777" w:rsidTr="57DF25C0">
        <w:trPr>
          <w:trHeight w:val="1980"/>
        </w:trPr>
        <w:tc>
          <w:tcPr>
            <w:tcW w:w="9015" w:type="dxa"/>
          </w:tcPr>
          <w:p w14:paraId="2BF5B3F1" w14:textId="6106D2B7" w:rsidR="63BD137B" w:rsidRPr="0044401C" w:rsidRDefault="5921A6C2" w:rsidP="57DF25C0">
            <w:pPr>
              <w:ind w:right="237"/>
              <w:rPr>
                <w:rFonts w:asciiTheme="minorBidi" w:eastAsia="Arial" w:hAnsiTheme="minorBidi"/>
                <w:color w:val="000000" w:themeColor="text1"/>
                <w:sz w:val="28"/>
                <w:szCs w:val="28"/>
              </w:rPr>
            </w:pPr>
            <w:r w:rsidRPr="0044401C">
              <w:rPr>
                <w:rFonts w:asciiTheme="minorBidi" w:eastAsia="Arial" w:hAnsiTheme="minorBidi"/>
                <w:b/>
                <w:bCs/>
                <w:color w:val="000000" w:themeColor="text1"/>
                <w:sz w:val="28"/>
                <w:szCs w:val="28"/>
              </w:rPr>
              <w:t xml:space="preserve">Student </w:t>
            </w:r>
            <w:r w:rsidR="364F99E9" w:rsidRPr="0044401C">
              <w:rPr>
                <w:rFonts w:asciiTheme="minorBidi" w:eastAsia="Arial" w:hAnsiTheme="minorBidi"/>
                <w:b/>
                <w:bCs/>
                <w:color w:val="000000" w:themeColor="text1"/>
                <w:sz w:val="28"/>
                <w:szCs w:val="28"/>
              </w:rPr>
              <w:t xml:space="preserve">name: </w:t>
            </w:r>
            <w:r w:rsidR="004A7A86" w:rsidRPr="0044401C">
              <w:rPr>
                <w:rFonts w:asciiTheme="minorBidi" w:eastAsia="Arial" w:hAnsiTheme="minorBidi"/>
                <w:b/>
                <w:bCs/>
                <w:color w:val="000000" w:themeColor="text1"/>
                <w:sz w:val="28"/>
                <w:szCs w:val="28"/>
              </w:rPr>
              <w:t>Wayne Staunton</w:t>
            </w:r>
          </w:p>
          <w:p w14:paraId="5EBB5AA1" w14:textId="0C17428C" w:rsidR="7336895D" w:rsidRPr="0044401C" w:rsidRDefault="7336895D" w:rsidP="57DF25C0">
            <w:pPr>
              <w:ind w:right="237"/>
              <w:rPr>
                <w:rFonts w:asciiTheme="minorBidi" w:eastAsia="Arial" w:hAnsiTheme="minorBidi"/>
                <w:color w:val="000000" w:themeColor="text1"/>
                <w:sz w:val="28"/>
                <w:szCs w:val="28"/>
              </w:rPr>
            </w:pPr>
          </w:p>
          <w:p w14:paraId="0FA944B7" w14:textId="5FDDCCD2" w:rsidR="63BD137B" w:rsidRPr="0044401C" w:rsidRDefault="07B3E417" w:rsidP="57DF25C0">
            <w:pPr>
              <w:ind w:right="237"/>
              <w:rPr>
                <w:rFonts w:asciiTheme="minorBidi" w:eastAsia="Arial" w:hAnsiTheme="minorBidi"/>
                <w:color w:val="000000" w:themeColor="text1"/>
                <w:sz w:val="28"/>
                <w:szCs w:val="28"/>
              </w:rPr>
            </w:pPr>
            <w:r w:rsidRPr="0044401C">
              <w:rPr>
                <w:rFonts w:asciiTheme="minorBidi" w:eastAsia="Arial" w:hAnsiTheme="minorBidi"/>
                <w:b/>
                <w:bCs/>
                <w:color w:val="000000" w:themeColor="text1"/>
                <w:sz w:val="28"/>
                <w:szCs w:val="28"/>
              </w:rPr>
              <w:t>Student</w:t>
            </w:r>
            <w:r w:rsidR="364F99E9" w:rsidRPr="0044401C">
              <w:rPr>
                <w:rFonts w:asciiTheme="minorBidi" w:eastAsia="Arial" w:hAnsiTheme="minorBidi"/>
                <w:b/>
                <w:bCs/>
                <w:color w:val="000000" w:themeColor="text1"/>
                <w:sz w:val="28"/>
                <w:szCs w:val="28"/>
              </w:rPr>
              <w:t>’s University Registration Number:</w:t>
            </w:r>
            <w:r w:rsidR="004A7A86" w:rsidRPr="0044401C">
              <w:rPr>
                <w:rFonts w:asciiTheme="minorBidi" w:eastAsia="Arial" w:hAnsiTheme="minorBidi"/>
                <w:b/>
                <w:bCs/>
                <w:color w:val="000000" w:themeColor="text1"/>
                <w:sz w:val="28"/>
                <w:szCs w:val="28"/>
              </w:rPr>
              <w:t xml:space="preserve"> 2222122</w:t>
            </w:r>
          </w:p>
          <w:p w14:paraId="1820B7EB" w14:textId="6079467F" w:rsidR="7336895D" w:rsidRPr="0044401C" w:rsidRDefault="7336895D" w:rsidP="57DF25C0">
            <w:pPr>
              <w:ind w:right="237"/>
              <w:rPr>
                <w:rFonts w:asciiTheme="minorBidi" w:eastAsia="Arial" w:hAnsiTheme="minorBidi"/>
                <w:color w:val="000000" w:themeColor="text1"/>
                <w:sz w:val="28"/>
                <w:szCs w:val="28"/>
              </w:rPr>
            </w:pPr>
          </w:p>
        </w:tc>
      </w:tr>
    </w:tbl>
    <w:p w14:paraId="024E0F58" w14:textId="398B655E" w:rsidR="7336895D" w:rsidRPr="0044401C" w:rsidRDefault="7336895D" w:rsidP="7336895D">
      <w:pPr>
        <w:ind w:right="237"/>
        <w:rPr>
          <w:rFonts w:asciiTheme="minorBidi" w:eastAsia="Arial" w:hAnsiTheme="minorBidi"/>
          <w:color w:val="000000" w:themeColor="text1"/>
          <w:sz w:val="32"/>
          <w:szCs w:val="32"/>
        </w:rPr>
      </w:pPr>
    </w:p>
    <w:p w14:paraId="1FCCF47F" w14:textId="00BEF892" w:rsidR="7336895D" w:rsidRPr="0044401C" w:rsidRDefault="1B3FFD0B" w:rsidP="57DF25C0">
      <w:pPr>
        <w:ind w:right="237"/>
        <w:rPr>
          <w:rFonts w:asciiTheme="minorBidi" w:eastAsia="Arial" w:hAnsiTheme="minorBidi"/>
          <w:b/>
          <w:bCs/>
          <w:i/>
          <w:iCs/>
          <w:color w:val="000000" w:themeColor="text1"/>
          <w:sz w:val="24"/>
          <w:szCs w:val="24"/>
        </w:rPr>
      </w:pPr>
      <w:r w:rsidRPr="0044401C">
        <w:rPr>
          <w:rFonts w:asciiTheme="minorBidi" w:eastAsia="Arial" w:hAnsiTheme="minorBidi"/>
          <w:b/>
          <w:bCs/>
          <w:i/>
          <w:iCs/>
          <w:color w:val="000000" w:themeColor="text1"/>
          <w:sz w:val="28"/>
          <w:szCs w:val="28"/>
        </w:rPr>
        <w:t>I</w:t>
      </w:r>
      <w:r w:rsidRPr="0044401C">
        <w:rPr>
          <w:rFonts w:asciiTheme="minorBidi" w:eastAsia="Arial" w:hAnsiTheme="minorBidi"/>
          <w:b/>
          <w:bCs/>
          <w:i/>
          <w:iCs/>
          <w:color w:val="000000" w:themeColor="text1"/>
          <w:sz w:val="24"/>
          <w:szCs w:val="24"/>
        </w:rPr>
        <w:t>nstitute of Management &amp; Health (IMH)</w:t>
      </w:r>
    </w:p>
    <w:p w14:paraId="0BF94E73" w14:textId="7C6D0D5C" w:rsidR="7336895D" w:rsidRPr="0044401C" w:rsidRDefault="0F97AE12" w:rsidP="43D343CA">
      <w:pPr>
        <w:ind w:right="237"/>
        <w:rPr>
          <w:rFonts w:asciiTheme="minorBidi" w:eastAsia="Arial" w:hAnsiTheme="minorBidi"/>
          <w:b/>
          <w:bCs/>
          <w:i/>
          <w:iCs/>
          <w:color w:val="000000" w:themeColor="text1"/>
          <w:sz w:val="24"/>
          <w:szCs w:val="24"/>
        </w:rPr>
      </w:pPr>
      <w:r w:rsidRPr="0044401C">
        <w:rPr>
          <w:rFonts w:asciiTheme="minorBidi" w:eastAsia="Arial" w:hAnsiTheme="minorBidi"/>
          <w:b/>
          <w:bCs/>
          <w:i/>
          <w:iCs/>
          <w:color w:val="000000" w:themeColor="text1"/>
          <w:sz w:val="24"/>
          <w:szCs w:val="24"/>
        </w:rPr>
        <w:t>Law, Criminology &amp; Policing</w:t>
      </w:r>
    </w:p>
    <w:p w14:paraId="67BE0DA3" w14:textId="52E493E2" w:rsidR="2F17ACDD" w:rsidRPr="0044401C" w:rsidRDefault="2F17ACDD" w:rsidP="2F17ACDD">
      <w:pPr>
        <w:ind w:right="237"/>
        <w:jc w:val="center"/>
        <w:rPr>
          <w:rFonts w:asciiTheme="minorBidi" w:eastAsia="Arial" w:hAnsiTheme="minorBidi"/>
          <w:b/>
          <w:bCs/>
          <w:color w:val="000000" w:themeColor="text1"/>
          <w:sz w:val="28"/>
          <w:szCs w:val="28"/>
        </w:rPr>
      </w:pPr>
    </w:p>
    <w:p w14:paraId="34942A2A" w14:textId="77777777" w:rsidR="005703D5" w:rsidRPr="0044401C" w:rsidRDefault="005703D5" w:rsidP="2F17ACDD">
      <w:pPr>
        <w:ind w:right="237"/>
        <w:jc w:val="center"/>
        <w:rPr>
          <w:rFonts w:asciiTheme="minorBidi" w:eastAsia="Arial" w:hAnsiTheme="minorBidi"/>
          <w:b/>
          <w:bCs/>
          <w:color w:val="000000" w:themeColor="text1"/>
          <w:sz w:val="28"/>
          <w:szCs w:val="28"/>
        </w:rPr>
      </w:pPr>
    </w:p>
    <w:p w14:paraId="478416A7" w14:textId="77777777" w:rsidR="005703D5" w:rsidRPr="0044401C" w:rsidRDefault="005703D5" w:rsidP="2F17ACDD">
      <w:pPr>
        <w:ind w:right="237"/>
        <w:jc w:val="center"/>
        <w:rPr>
          <w:rFonts w:asciiTheme="minorBidi" w:eastAsia="Arial" w:hAnsiTheme="minorBidi"/>
          <w:b/>
          <w:bCs/>
          <w:color w:val="000000" w:themeColor="text1"/>
          <w:sz w:val="28"/>
          <w:szCs w:val="28"/>
        </w:rPr>
      </w:pPr>
    </w:p>
    <w:p w14:paraId="2DFE9CEA" w14:textId="77777777" w:rsidR="005703D5" w:rsidRPr="0044401C" w:rsidRDefault="005703D5" w:rsidP="2F17ACDD">
      <w:pPr>
        <w:ind w:right="237"/>
        <w:jc w:val="center"/>
        <w:rPr>
          <w:rFonts w:asciiTheme="minorBidi" w:eastAsia="Arial" w:hAnsiTheme="minorBidi"/>
          <w:b/>
          <w:bCs/>
          <w:color w:val="000000" w:themeColor="text1"/>
          <w:sz w:val="28"/>
          <w:szCs w:val="28"/>
        </w:rPr>
      </w:pPr>
    </w:p>
    <w:p w14:paraId="3164C44B" w14:textId="3165EB3F" w:rsidR="7336895D" w:rsidRPr="0044401C" w:rsidRDefault="338C23AF" w:rsidP="2F17ACDD">
      <w:pPr>
        <w:ind w:right="237"/>
        <w:jc w:val="center"/>
        <w:rPr>
          <w:rFonts w:asciiTheme="minorBidi" w:eastAsia="Arial" w:hAnsiTheme="minorBidi"/>
          <w:color w:val="000000" w:themeColor="text1"/>
          <w:sz w:val="28"/>
          <w:szCs w:val="28"/>
        </w:rPr>
      </w:pPr>
      <w:r w:rsidRPr="0044401C">
        <w:rPr>
          <w:rFonts w:asciiTheme="minorBidi" w:eastAsia="Arial" w:hAnsiTheme="minorBidi"/>
          <w:b/>
          <w:bCs/>
          <w:color w:val="000000" w:themeColor="text1"/>
          <w:sz w:val="28"/>
          <w:szCs w:val="28"/>
        </w:rPr>
        <w:t>Workbook Guidance</w:t>
      </w:r>
    </w:p>
    <w:p w14:paraId="3ED811BB" w14:textId="6ACD60D9" w:rsidR="2F17ACDD" w:rsidRPr="0044401C" w:rsidRDefault="2F17ACDD" w:rsidP="2F17ACDD">
      <w:pPr>
        <w:ind w:right="237"/>
        <w:jc w:val="center"/>
        <w:rPr>
          <w:rFonts w:asciiTheme="minorBidi" w:eastAsia="Arial" w:hAnsiTheme="minorBidi"/>
          <w:b/>
          <w:bCs/>
          <w:color w:val="000000" w:themeColor="text1"/>
          <w:sz w:val="28"/>
          <w:szCs w:val="28"/>
        </w:rPr>
      </w:pPr>
    </w:p>
    <w:p w14:paraId="1B94AA1C" w14:textId="788A40F6" w:rsidR="7336895D" w:rsidRPr="0044401C" w:rsidRDefault="338C23AF" w:rsidP="2F17ACDD">
      <w:p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Please read these notes carefully. They provide essential information</w:t>
      </w:r>
      <w:r w:rsidR="55913D77" w:rsidRPr="0044401C">
        <w:rPr>
          <w:rFonts w:asciiTheme="minorBidi" w:eastAsia="Arial" w:hAnsiTheme="minorBidi"/>
          <w:color w:val="000000" w:themeColor="text1"/>
          <w:sz w:val="24"/>
          <w:szCs w:val="24"/>
        </w:rPr>
        <w:t xml:space="preserve"> in relation to your assessment</w:t>
      </w:r>
      <w:r w:rsidRPr="0044401C">
        <w:rPr>
          <w:rFonts w:asciiTheme="minorBidi" w:eastAsia="Arial" w:hAnsiTheme="minorBidi"/>
          <w:color w:val="000000" w:themeColor="text1"/>
          <w:sz w:val="24"/>
          <w:szCs w:val="24"/>
        </w:rPr>
        <w:t>. The documents you will use in developing your workbook are on the following pages.</w:t>
      </w:r>
    </w:p>
    <w:p w14:paraId="2D1D3C5B" w14:textId="4566A7F8" w:rsidR="7336895D" w:rsidRPr="0044401C" w:rsidRDefault="338C23AF" w:rsidP="7336895D">
      <w:pPr>
        <w:ind w:right="237"/>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What is the workbook for?</w:t>
      </w:r>
    </w:p>
    <w:p w14:paraId="2ECC5307" w14:textId="5B282A45" w:rsidR="7336895D" w:rsidRPr="0044401C" w:rsidRDefault="338C23AF" w:rsidP="7336895D">
      <w:p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The purpose of this workbook is to enable learners to demonstrate and provide evidence of how they meet the learning outcomes for the BS</w:t>
      </w:r>
      <w:r w:rsidR="17DF5312" w:rsidRPr="0044401C">
        <w:rPr>
          <w:rFonts w:asciiTheme="minorBidi" w:eastAsia="Arial" w:hAnsiTheme="minorBidi"/>
          <w:color w:val="000000" w:themeColor="text1"/>
          <w:sz w:val="24"/>
          <w:szCs w:val="24"/>
        </w:rPr>
        <w:t>c</w:t>
      </w:r>
      <w:r w:rsidRPr="0044401C">
        <w:rPr>
          <w:rFonts w:asciiTheme="minorBidi" w:eastAsia="Arial" w:hAnsiTheme="minorBidi"/>
          <w:color w:val="000000" w:themeColor="text1"/>
          <w:sz w:val="24"/>
          <w:szCs w:val="24"/>
        </w:rPr>
        <w:t xml:space="preserve"> Professional Investigation. You are being asked to outline your experiential learning based upon your theoretical understanding in a range of operational situations. </w:t>
      </w:r>
    </w:p>
    <w:p w14:paraId="7F11AEE6" w14:textId="27019A51" w:rsidR="338C23AF" w:rsidRPr="0044401C" w:rsidRDefault="338C23AF" w:rsidP="2F17ACDD">
      <w:pPr>
        <w:ind w:right="237"/>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How should the workbook be presented?</w:t>
      </w:r>
    </w:p>
    <w:p w14:paraId="1186794B" w14:textId="467827A1" w:rsidR="338C23AF" w:rsidRPr="0044401C" w:rsidRDefault="338C23AF" w:rsidP="7336895D">
      <w:pPr>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Blank electronic copies </w:t>
      </w:r>
      <w:r w:rsidR="790095D8" w:rsidRPr="0044401C">
        <w:rPr>
          <w:rFonts w:asciiTheme="minorBidi" w:eastAsia="Arial" w:hAnsiTheme="minorBidi"/>
          <w:color w:val="000000" w:themeColor="text1"/>
          <w:sz w:val="24"/>
          <w:szCs w:val="24"/>
        </w:rPr>
        <w:t xml:space="preserve">of this workbook </w:t>
      </w:r>
      <w:r w:rsidRPr="0044401C">
        <w:rPr>
          <w:rFonts w:asciiTheme="minorBidi" w:eastAsia="Arial" w:hAnsiTheme="minorBidi"/>
          <w:color w:val="000000" w:themeColor="text1"/>
          <w:sz w:val="24"/>
          <w:szCs w:val="24"/>
        </w:rPr>
        <w:t xml:space="preserve">can be found on Moodle. You must </w:t>
      </w:r>
      <w:r w:rsidR="01CB2635" w:rsidRPr="0044401C">
        <w:rPr>
          <w:rFonts w:asciiTheme="minorBidi" w:eastAsia="Arial" w:hAnsiTheme="minorBidi"/>
          <w:color w:val="000000" w:themeColor="text1"/>
          <w:sz w:val="24"/>
          <w:szCs w:val="24"/>
        </w:rPr>
        <w:t>submit your</w:t>
      </w:r>
      <w:r w:rsidR="7B648FD0" w:rsidRPr="0044401C">
        <w:rPr>
          <w:rFonts w:asciiTheme="minorBidi" w:eastAsia="Arial" w:hAnsiTheme="minorBidi"/>
          <w:color w:val="000000" w:themeColor="text1"/>
          <w:sz w:val="24"/>
          <w:szCs w:val="24"/>
        </w:rPr>
        <w:t xml:space="preserve"> assessment document</w:t>
      </w:r>
      <w:r w:rsidRPr="0044401C">
        <w:rPr>
          <w:rFonts w:asciiTheme="minorBidi" w:eastAsia="Arial" w:hAnsiTheme="minorBidi"/>
          <w:color w:val="000000" w:themeColor="text1"/>
          <w:sz w:val="24"/>
          <w:szCs w:val="24"/>
        </w:rPr>
        <w:t xml:space="preserve"> electronically</w:t>
      </w:r>
      <w:r w:rsidR="54212D63" w:rsidRPr="0044401C">
        <w:rPr>
          <w:rFonts w:asciiTheme="minorBidi" w:eastAsia="Arial" w:hAnsiTheme="minorBidi"/>
          <w:color w:val="000000" w:themeColor="text1"/>
          <w:sz w:val="24"/>
          <w:szCs w:val="24"/>
        </w:rPr>
        <w:t xml:space="preserve"> once completed,</w:t>
      </w:r>
      <w:r w:rsidRPr="0044401C">
        <w:rPr>
          <w:rFonts w:asciiTheme="minorBidi" w:eastAsia="Arial" w:hAnsiTheme="minorBidi"/>
          <w:color w:val="000000" w:themeColor="text1"/>
          <w:sz w:val="24"/>
          <w:szCs w:val="24"/>
        </w:rPr>
        <w:t xml:space="preserve"> therefore it is important that you save your work regularly and upload the final typed version through Turnitin on Moodle. </w:t>
      </w:r>
      <w:r w:rsidR="23DBD5C3" w:rsidRPr="0044401C">
        <w:rPr>
          <w:rFonts w:asciiTheme="minorBidi" w:eastAsia="Arial" w:hAnsiTheme="minorBidi"/>
          <w:color w:val="000000" w:themeColor="text1"/>
          <w:sz w:val="24"/>
          <w:szCs w:val="24"/>
        </w:rPr>
        <w:t>Further guidance will be provided by your tutor.</w:t>
      </w:r>
    </w:p>
    <w:p w14:paraId="3FB73BB8" w14:textId="27A1128A" w:rsidR="338C23AF" w:rsidRPr="0044401C" w:rsidRDefault="7F1D0A5F" w:rsidP="7336895D">
      <w:pPr>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The w</w:t>
      </w:r>
      <w:r w:rsidR="338C23AF" w:rsidRPr="0044401C">
        <w:rPr>
          <w:rFonts w:asciiTheme="minorBidi" w:eastAsia="Arial" w:hAnsiTheme="minorBidi"/>
          <w:b/>
          <w:bCs/>
          <w:color w:val="000000" w:themeColor="text1"/>
          <w:sz w:val="24"/>
          <w:szCs w:val="24"/>
        </w:rPr>
        <w:t>ord count policy</w:t>
      </w:r>
      <w:r w:rsidR="338C23AF" w:rsidRPr="0044401C">
        <w:rPr>
          <w:rFonts w:asciiTheme="minorBidi" w:eastAsia="Arial" w:hAnsiTheme="minorBidi"/>
          <w:color w:val="000000" w:themeColor="text1"/>
          <w:sz w:val="24"/>
          <w:szCs w:val="24"/>
        </w:rPr>
        <w:t xml:space="preserve"> can be found in chapter 7 of the Academic Quality</w:t>
      </w:r>
      <w:r w:rsidR="6211F24A" w:rsidRPr="0044401C">
        <w:rPr>
          <w:rFonts w:asciiTheme="minorBidi" w:eastAsia="Arial" w:hAnsiTheme="minorBidi"/>
          <w:color w:val="000000" w:themeColor="text1"/>
          <w:sz w:val="24"/>
          <w:szCs w:val="24"/>
        </w:rPr>
        <w:t xml:space="preserve"> Handbook</w:t>
      </w:r>
      <w:r w:rsidR="338C23AF" w:rsidRPr="0044401C">
        <w:rPr>
          <w:rFonts w:asciiTheme="minorBidi" w:eastAsia="Arial" w:hAnsiTheme="minorBidi"/>
          <w:color w:val="000000" w:themeColor="text1"/>
          <w:sz w:val="24"/>
          <w:szCs w:val="24"/>
        </w:rPr>
        <w:t xml:space="preserve"> under section 7.7 (this applies to presenting work above and under the specified word count).  </w:t>
      </w:r>
    </w:p>
    <w:p w14:paraId="270B5ABB" w14:textId="3474EEFA" w:rsidR="338C23AF" w:rsidRPr="0044401C" w:rsidRDefault="338C23AF" w:rsidP="2F17ACDD">
      <w:pPr>
        <w:jc w:val="both"/>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w:t>
      </w:r>
      <w:hyperlink r:id="rId6">
        <w:r w:rsidRPr="0044401C">
          <w:rPr>
            <w:rStyle w:val="Hyperlink"/>
            <w:rFonts w:asciiTheme="minorBidi" w:eastAsia="Arial" w:hAnsiTheme="minorBidi"/>
            <w:sz w:val="20"/>
            <w:szCs w:val="20"/>
          </w:rPr>
          <w:t>https://www.uwtsd.ac.uk/media/uwtsd-website/content-assets/documents/academic-office/aqh-chapters/chapters---en/Chapter_07_Assessment_Taught_Programmes_Pages_72-79-UPDATED-05-11-2019.pdf</w:t>
        </w:r>
      </w:hyperlink>
      <w:r w:rsidRPr="0044401C">
        <w:rPr>
          <w:rFonts w:asciiTheme="minorBidi" w:eastAsia="Arial" w:hAnsiTheme="minorBidi"/>
          <w:color w:val="0000FF"/>
          <w:sz w:val="20"/>
          <w:szCs w:val="20"/>
          <w:u w:val="single"/>
        </w:rPr>
        <w:t xml:space="preserve">) </w:t>
      </w:r>
    </w:p>
    <w:p w14:paraId="6F37D0AC" w14:textId="7F00DADF" w:rsidR="338C23AF" w:rsidRPr="0044401C" w:rsidRDefault="338C23AF" w:rsidP="69B3A30A">
      <w:pPr>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Reflective practice</w:t>
      </w:r>
      <w:r w:rsidRPr="0044401C">
        <w:rPr>
          <w:rFonts w:asciiTheme="minorBidi" w:eastAsia="Arial" w:hAnsiTheme="minorBidi"/>
          <w:color w:val="000000" w:themeColor="text1"/>
          <w:sz w:val="24"/>
          <w:szCs w:val="24"/>
        </w:rPr>
        <w:t xml:space="preserve"> is a core aspect for your workbooks and although there is a variety of useful resources on Moodle, there is one </w:t>
      </w:r>
      <w:r w:rsidR="7C3FC7FE" w:rsidRPr="0044401C">
        <w:rPr>
          <w:rFonts w:asciiTheme="minorBidi" w:eastAsia="Arial" w:hAnsiTheme="minorBidi"/>
          <w:color w:val="000000" w:themeColor="text1"/>
          <w:sz w:val="24"/>
          <w:szCs w:val="24"/>
        </w:rPr>
        <w:t>book</w:t>
      </w:r>
      <w:r w:rsidRPr="0044401C">
        <w:rPr>
          <w:rFonts w:asciiTheme="minorBidi" w:eastAsia="Arial" w:hAnsiTheme="minorBidi"/>
          <w:color w:val="000000" w:themeColor="text1"/>
          <w:sz w:val="24"/>
          <w:szCs w:val="24"/>
        </w:rPr>
        <w:t xml:space="preserve">, that is specifically based on reflective practice in policing, here is a link to one chapter from Selina Copley’s Reflective Practice for Policing Students: </w:t>
      </w:r>
    </w:p>
    <w:p w14:paraId="376D9A4A" w14:textId="01498262" w:rsidR="338C23AF" w:rsidRPr="0044401C" w:rsidRDefault="338C23AF" w:rsidP="2F17ACDD">
      <w:pPr>
        <w:jc w:val="both"/>
        <w:rPr>
          <w:rFonts w:asciiTheme="minorBidi" w:eastAsia="Arial" w:hAnsiTheme="minorBidi"/>
          <w:color w:val="000000" w:themeColor="text1"/>
          <w:sz w:val="20"/>
          <w:szCs w:val="20"/>
        </w:rPr>
      </w:pPr>
      <w:hyperlink r:id="rId7">
        <w:r w:rsidRPr="0044401C">
          <w:rPr>
            <w:rStyle w:val="Hyperlink"/>
            <w:rFonts w:asciiTheme="minorBidi" w:eastAsia="Arial" w:hAnsiTheme="minorBidi"/>
            <w:sz w:val="20"/>
            <w:szCs w:val="20"/>
          </w:rPr>
          <w:t>https://moodle.uwtsd.ac.uk/pluginfile.php/298870/mod_resource/content/1/Reflective%20Practice%20for%20Policing%20Students%20-%20Selina%20Copley%20Chapter5.pdf</w:t>
        </w:r>
      </w:hyperlink>
    </w:p>
    <w:p w14:paraId="5011152D" w14:textId="7BB6FE6D" w:rsidR="338C23AF" w:rsidRPr="0044401C" w:rsidRDefault="338C23AF" w:rsidP="7336895D">
      <w:pPr>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How is the workbook assessed?</w:t>
      </w:r>
    </w:p>
    <w:p w14:paraId="069440E1" w14:textId="6828FC75" w:rsidR="338C23AF" w:rsidRPr="0044401C" w:rsidRDefault="338C23AF" w:rsidP="7336895D">
      <w:pPr>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Advice and support about the completion of this workbook is available to you. Please contact </w:t>
      </w:r>
      <w:r w:rsidR="12F55137" w:rsidRPr="0044401C">
        <w:rPr>
          <w:rFonts w:asciiTheme="minorBidi" w:eastAsia="Arial" w:hAnsiTheme="minorBidi"/>
          <w:color w:val="000000" w:themeColor="text1"/>
          <w:sz w:val="24"/>
          <w:szCs w:val="24"/>
        </w:rPr>
        <w:t>your tutor</w:t>
      </w:r>
      <w:r w:rsidRPr="0044401C">
        <w:rPr>
          <w:rFonts w:asciiTheme="minorBidi" w:eastAsia="Arial" w:hAnsiTheme="minorBidi"/>
          <w:color w:val="000000" w:themeColor="text1"/>
          <w:sz w:val="24"/>
          <w:szCs w:val="24"/>
        </w:rPr>
        <w:t xml:space="preserve"> with any questions or queries you may have</w:t>
      </w:r>
      <w:r w:rsidR="70ADF34D" w:rsidRPr="0044401C">
        <w:rPr>
          <w:rFonts w:asciiTheme="minorBidi" w:eastAsia="Arial" w:hAnsiTheme="minorBidi"/>
          <w:color w:val="000000" w:themeColor="text1"/>
          <w:sz w:val="24"/>
          <w:szCs w:val="24"/>
        </w:rPr>
        <w:t xml:space="preserve"> if you are unsure</w:t>
      </w:r>
      <w:r w:rsidRPr="0044401C">
        <w:rPr>
          <w:rFonts w:asciiTheme="minorBidi" w:eastAsia="Arial" w:hAnsiTheme="minorBidi"/>
          <w:color w:val="000000" w:themeColor="text1"/>
          <w:sz w:val="24"/>
          <w:szCs w:val="24"/>
        </w:rPr>
        <w:t xml:space="preserve">. </w:t>
      </w:r>
    </w:p>
    <w:p w14:paraId="53420D1A" w14:textId="096762AC" w:rsidR="2F17ACDD" w:rsidRPr="0044401C" w:rsidRDefault="338C23AF" w:rsidP="57DF25C0">
      <w:pPr>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Once submitted your workbook will be assessed and marked independently. You will be provided with individual feedback once the work has been marked. </w:t>
      </w:r>
    </w:p>
    <w:p w14:paraId="624C3610" w14:textId="317BABBD" w:rsidR="7336895D" w:rsidRPr="0044401C" w:rsidRDefault="78979F44" w:rsidP="7336895D">
      <w:pPr>
        <w:ind w:right="237"/>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Confidentiality</w:t>
      </w:r>
    </w:p>
    <w:p w14:paraId="588B0FF0" w14:textId="149964DA" w:rsidR="7336895D" w:rsidRPr="0044401C" w:rsidRDefault="78979F44" w:rsidP="7336895D">
      <w:p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It is important that no individual can be identified either directly or indirectly from the information in the workbook. </w:t>
      </w:r>
      <w:r w:rsidR="3A8DA724" w:rsidRPr="0044401C">
        <w:rPr>
          <w:rFonts w:asciiTheme="minorBidi" w:eastAsia="Arial" w:hAnsiTheme="minorBidi"/>
          <w:color w:val="000000" w:themeColor="text1"/>
          <w:sz w:val="24"/>
          <w:szCs w:val="24"/>
        </w:rPr>
        <w:t>Y</w:t>
      </w:r>
      <w:r w:rsidRPr="0044401C">
        <w:rPr>
          <w:rFonts w:asciiTheme="minorBidi" w:eastAsia="Arial" w:hAnsiTheme="minorBidi"/>
          <w:color w:val="000000" w:themeColor="text1"/>
          <w:sz w:val="24"/>
          <w:szCs w:val="24"/>
        </w:rPr>
        <w:t>ou must</w:t>
      </w:r>
      <w:r w:rsidR="414D9CBA" w:rsidRPr="0044401C">
        <w:rPr>
          <w:rFonts w:asciiTheme="minorBidi" w:eastAsia="Arial" w:hAnsiTheme="minorBidi"/>
          <w:color w:val="000000" w:themeColor="text1"/>
          <w:sz w:val="24"/>
          <w:szCs w:val="24"/>
        </w:rPr>
        <w:t xml:space="preserve"> therefore:</w:t>
      </w:r>
    </w:p>
    <w:p w14:paraId="1ADFC5DB" w14:textId="30D2AD3D" w:rsidR="78979F44" w:rsidRPr="0044401C" w:rsidRDefault="414D9CBA" w:rsidP="7336895D">
      <w:pPr>
        <w:pStyle w:val="ListParagraph"/>
        <w:numPr>
          <w:ilvl w:val="0"/>
          <w:numId w:val="11"/>
        </w:num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A</w:t>
      </w:r>
      <w:r w:rsidR="78979F44" w:rsidRPr="0044401C">
        <w:rPr>
          <w:rFonts w:asciiTheme="minorBidi" w:eastAsia="Arial" w:hAnsiTheme="minorBidi"/>
          <w:color w:val="000000" w:themeColor="text1"/>
          <w:sz w:val="24"/>
          <w:szCs w:val="24"/>
        </w:rPr>
        <w:t>dhere to guidance in the Candidate Handbook about confidentiality.</w:t>
      </w:r>
    </w:p>
    <w:p w14:paraId="213F07F0" w14:textId="4B4FA813" w:rsidR="78979F44" w:rsidRPr="0044401C" w:rsidRDefault="1D389B3A" w:rsidP="7336895D">
      <w:pPr>
        <w:pStyle w:val="ListParagraph"/>
        <w:numPr>
          <w:ilvl w:val="0"/>
          <w:numId w:val="11"/>
        </w:num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N</w:t>
      </w:r>
      <w:r w:rsidR="78979F44" w:rsidRPr="0044401C">
        <w:rPr>
          <w:rFonts w:asciiTheme="minorBidi" w:eastAsia="Arial" w:hAnsiTheme="minorBidi"/>
          <w:color w:val="000000" w:themeColor="text1"/>
          <w:sz w:val="24"/>
          <w:szCs w:val="24"/>
        </w:rPr>
        <w:t>ot identify individuals including witnesses, victims, or offenders by name.</w:t>
      </w:r>
    </w:p>
    <w:p w14:paraId="29F81CCF" w14:textId="41A67FA6" w:rsidR="78979F44" w:rsidRPr="0044401C" w:rsidRDefault="246D6816" w:rsidP="7336895D">
      <w:pPr>
        <w:pStyle w:val="ListParagraph"/>
        <w:numPr>
          <w:ilvl w:val="0"/>
          <w:numId w:val="10"/>
        </w:num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N</w:t>
      </w:r>
      <w:r w:rsidR="78979F44" w:rsidRPr="0044401C">
        <w:rPr>
          <w:rFonts w:asciiTheme="minorBidi" w:eastAsia="Arial" w:hAnsiTheme="minorBidi"/>
          <w:color w:val="000000" w:themeColor="text1"/>
          <w:sz w:val="24"/>
          <w:szCs w:val="24"/>
        </w:rPr>
        <w:t xml:space="preserve">ot write information that enables any individual to be identified indirectly through the description you provide. This includes references to names, colleagues, places (including hospitals, schools, town, villages, streets) </w:t>
      </w:r>
      <w:r w:rsidR="78979F44" w:rsidRPr="0044401C">
        <w:rPr>
          <w:rFonts w:asciiTheme="minorBidi" w:eastAsia="Arial" w:hAnsiTheme="minorBidi"/>
          <w:color w:val="000000" w:themeColor="text1"/>
          <w:sz w:val="24"/>
          <w:szCs w:val="24"/>
        </w:rPr>
        <w:lastRenderedPageBreak/>
        <w:t>specific incidents which were high profile and could be identified due to past publicity, other professionals or any other personal information including medical or other conditions.</w:t>
      </w:r>
    </w:p>
    <w:p w14:paraId="16D873AF" w14:textId="78C45BC1" w:rsidR="78979F44" w:rsidRPr="0044401C" w:rsidRDefault="07AC996B" w:rsidP="7336895D">
      <w:pPr>
        <w:pStyle w:val="ListParagraph"/>
        <w:numPr>
          <w:ilvl w:val="0"/>
          <w:numId w:val="10"/>
        </w:num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T</w:t>
      </w:r>
      <w:r w:rsidR="78979F44" w:rsidRPr="0044401C">
        <w:rPr>
          <w:rFonts w:asciiTheme="minorBidi" w:eastAsia="Arial" w:hAnsiTheme="minorBidi"/>
          <w:color w:val="000000" w:themeColor="text1"/>
          <w:sz w:val="24"/>
          <w:szCs w:val="24"/>
        </w:rPr>
        <w:t xml:space="preserve">ake personal responsibility for adhering to confidentiality rules. </w:t>
      </w:r>
    </w:p>
    <w:p w14:paraId="7E8B1CB2" w14:textId="2FBC8434" w:rsidR="7336895D" w:rsidRPr="0044401C" w:rsidRDefault="48F98F71" w:rsidP="2F17ACDD">
      <w:pPr>
        <w:pStyle w:val="ListParagraph"/>
        <w:numPr>
          <w:ilvl w:val="0"/>
          <w:numId w:val="10"/>
        </w:num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N</w:t>
      </w:r>
      <w:r w:rsidR="78979F44" w:rsidRPr="0044401C">
        <w:rPr>
          <w:rFonts w:asciiTheme="minorBidi" w:eastAsia="Arial" w:hAnsiTheme="minorBidi"/>
          <w:color w:val="000000" w:themeColor="text1"/>
          <w:sz w:val="24"/>
          <w:szCs w:val="24"/>
        </w:rPr>
        <w:t>ot include any dates of any incidents or anything that specifically identifies an actual incident.</w:t>
      </w:r>
    </w:p>
    <w:p w14:paraId="090742B3" w14:textId="2DCB3A2A" w:rsidR="7336895D" w:rsidRPr="0044401C" w:rsidRDefault="78979F44" w:rsidP="7336895D">
      <w:pPr>
        <w:ind w:right="237"/>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NOTE</w:t>
      </w:r>
      <w:r w:rsidR="7B11F144" w:rsidRPr="0044401C">
        <w:rPr>
          <w:rFonts w:asciiTheme="minorBidi" w:eastAsia="Arial" w:hAnsiTheme="minorBidi"/>
          <w:b/>
          <w:bCs/>
          <w:color w:val="000000" w:themeColor="text1"/>
          <w:sz w:val="24"/>
          <w:szCs w:val="24"/>
        </w:rPr>
        <w:t>:</w:t>
      </w:r>
    </w:p>
    <w:p w14:paraId="7EB9B71D" w14:textId="1FF75FD2" w:rsidR="7336895D" w:rsidRPr="0044401C" w:rsidRDefault="78979F44" w:rsidP="2F17ACDD">
      <w:pPr>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Your workbook will be submitted electronically via Turnitin on Moodle. Guidance on this is in the </w:t>
      </w:r>
      <w:r w:rsidR="103F1B9A" w:rsidRPr="0044401C">
        <w:rPr>
          <w:rFonts w:asciiTheme="minorBidi" w:eastAsia="Arial" w:hAnsiTheme="minorBidi"/>
          <w:color w:val="000000" w:themeColor="text1"/>
          <w:sz w:val="24"/>
          <w:szCs w:val="24"/>
        </w:rPr>
        <w:t>student</w:t>
      </w:r>
      <w:r w:rsidRPr="0044401C">
        <w:rPr>
          <w:rFonts w:asciiTheme="minorBidi" w:eastAsia="Arial" w:hAnsiTheme="minorBidi"/>
          <w:color w:val="000000" w:themeColor="text1"/>
          <w:sz w:val="24"/>
          <w:szCs w:val="24"/>
        </w:rPr>
        <w:t xml:space="preserve"> </w:t>
      </w:r>
      <w:r w:rsidR="7AB9772B" w:rsidRPr="0044401C">
        <w:rPr>
          <w:rFonts w:asciiTheme="minorBidi" w:eastAsia="Arial" w:hAnsiTheme="minorBidi"/>
          <w:color w:val="000000" w:themeColor="text1"/>
          <w:sz w:val="24"/>
          <w:szCs w:val="24"/>
        </w:rPr>
        <w:t>h</w:t>
      </w:r>
      <w:r w:rsidRPr="0044401C">
        <w:rPr>
          <w:rFonts w:asciiTheme="minorBidi" w:eastAsia="Arial" w:hAnsiTheme="minorBidi"/>
          <w:color w:val="000000" w:themeColor="text1"/>
          <w:sz w:val="24"/>
          <w:szCs w:val="24"/>
        </w:rPr>
        <w:t>andbook</w:t>
      </w:r>
      <w:r w:rsidR="2C079DB7" w:rsidRPr="0044401C">
        <w:rPr>
          <w:rFonts w:asciiTheme="minorBidi" w:eastAsia="Arial" w:hAnsiTheme="minorBidi"/>
          <w:color w:val="000000" w:themeColor="text1"/>
          <w:sz w:val="24"/>
          <w:szCs w:val="24"/>
        </w:rPr>
        <w:t xml:space="preserve"> and within Moodle</w:t>
      </w:r>
      <w:r w:rsidRPr="0044401C">
        <w:rPr>
          <w:rFonts w:asciiTheme="minorBidi" w:eastAsia="Arial" w:hAnsiTheme="minorBidi"/>
          <w:color w:val="000000" w:themeColor="text1"/>
          <w:sz w:val="24"/>
          <w:szCs w:val="24"/>
        </w:rPr>
        <w:t xml:space="preserve">. </w:t>
      </w:r>
    </w:p>
    <w:p w14:paraId="1E1EAC82" w14:textId="10120BB0" w:rsidR="7336895D" w:rsidRPr="0044401C" w:rsidRDefault="78979F44" w:rsidP="7336895D">
      <w:pPr>
        <w:ind w:right="237"/>
        <w:jc w:val="both"/>
        <w:rPr>
          <w:rFonts w:asciiTheme="minorBidi" w:eastAsia="Arial" w:hAnsiTheme="minorBidi"/>
          <w:color w:val="000000" w:themeColor="text1"/>
          <w:sz w:val="24"/>
          <w:szCs w:val="24"/>
        </w:rPr>
      </w:pPr>
      <w:r w:rsidRPr="0044401C">
        <w:rPr>
          <w:rFonts w:asciiTheme="minorBidi" w:eastAsia="Arial" w:hAnsiTheme="minorBidi"/>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EE79DB2" w14:textId="2D95DA70" w:rsidR="2F17ACDD" w:rsidRPr="0044401C" w:rsidRDefault="2F17ACDD" w:rsidP="2F17ACDD">
      <w:pPr>
        <w:ind w:right="237"/>
        <w:jc w:val="both"/>
        <w:rPr>
          <w:rFonts w:asciiTheme="minorBidi" w:eastAsia="Arial" w:hAnsiTheme="minorBidi"/>
          <w:b/>
          <w:bCs/>
          <w:i/>
          <w:iCs/>
          <w:color w:val="000000" w:themeColor="text1"/>
          <w:sz w:val="24"/>
          <w:szCs w:val="24"/>
        </w:rPr>
      </w:pPr>
    </w:p>
    <w:p w14:paraId="7B0FF6DA" w14:textId="009A53F6" w:rsidR="20387707" w:rsidRPr="0044401C" w:rsidRDefault="20387707" w:rsidP="1359001D">
      <w:pPr>
        <w:spacing w:before="120" w:after="0" w:line="240" w:lineRule="auto"/>
        <w:rPr>
          <w:rFonts w:asciiTheme="minorBidi" w:eastAsia="Arial" w:hAnsiTheme="minorBidi"/>
          <w:b/>
          <w:bCs/>
          <w:color w:val="000000" w:themeColor="text1"/>
        </w:rPr>
      </w:pPr>
      <w:r w:rsidRPr="0044401C">
        <w:rPr>
          <w:rFonts w:asciiTheme="minorBidi" w:eastAsia="Arial" w:hAnsiTheme="minorBidi"/>
          <w:b/>
          <w:bCs/>
          <w:color w:val="000000" w:themeColor="text1"/>
        </w:rPr>
        <w:t>Module Aim(s):</w:t>
      </w:r>
    </w:p>
    <w:p w14:paraId="1C0AE25C" w14:textId="2A58DA00" w:rsidR="2F17ACDD" w:rsidRPr="0044401C" w:rsidRDefault="2F17ACDD" w:rsidP="1359001D">
      <w:pPr>
        <w:spacing w:before="120" w:after="0" w:line="240" w:lineRule="auto"/>
        <w:rPr>
          <w:rFonts w:asciiTheme="minorBidi" w:eastAsia="Arial" w:hAnsiTheme="minorBidi"/>
          <w:b/>
          <w:bCs/>
          <w:color w:val="000000" w:themeColor="text1"/>
        </w:rPr>
      </w:pPr>
    </w:p>
    <w:p w14:paraId="63B8AA26" w14:textId="51EA9014" w:rsidR="41B31C81" w:rsidRPr="0044401C" w:rsidRDefault="41B31C81" w:rsidP="2793C622">
      <w:pPr>
        <w:pStyle w:val="ListParagraph"/>
        <w:numPr>
          <w:ilvl w:val="0"/>
          <w:numId w:val="11"/>
        </w:numPr>
        <w:rPr>
          <w:rFonts w:asciiTheme="minorBidi" w:eastAsiaTheme="minorEastAsia" w:hAnsiTheme="minorBidi"/>
        </w:rPr>
      </w:pPr>
      <w:r w:rsidRPr="0044401C">
        <w:rPr>
          <w:rFonts w:asciiTheme="minorBidi" w:eastAsia="Arial" w:hAnsiTheme="minorBidi"/>
        </w:rPr>
        <w:t>To provide learners with an opportunity to gain credit for their workplace practice by reflecting on National Occupational Standards (NOS) and other competencies related to their professional role as an investigator.</w:t>
      </w:r>
    </w:p>
    <w:p w14:paraId="2B7CA101" w14:textId="5BB9E0B1" w:rsidR="2F17ACDD" w:rsidRPr="0044401C" w:rsidRDefault="2F17ACDD" w:rsidP="2F17ACDD">
      <w:pPr>
        <w:spacing w:before="120" w:after="0" w:line="240" w:lineRule="auto"/>
        <w:rPr>
          <w:rFonts w:asciiTheme="minorBidi" w:eastAsia="Arial" w:hAnsiTheme="minorBidi"/>
          <w:b/>
          <w:bCs/>
          <w:color w:val="000000" w:themeColor="text1"/>
        </w:rPr>
      </w:pPr>
    </w:p>
    <w:p w14:paraId="1EFA3B14" w14:textId="53FDF11B" w:rsidR="2F17ACDD" w:rsidRPr="0044401C" w:rsidRDefault="2F17ACDD" w:rsidP="2F17ACDD">
      <w:pPr>
        <w:spacing w:before="120" w:after="0" w:line="240" w:lineRule="auto"/>
        <w:ind w:left="720"/>
        <w:jc w:val="center"/>
        <w:rPr>
          <w:rFonts w:asciiTheme="minorBidi" w:eastAsia="Arial" w:hAnsiTheme="minorBidi"/>
          <w:color w:val="000000" w:themeColor="text1"/>
        </w:rPr>
      </w:pPr>
    </w:p>
    <w:p w14:paraId="6D380843" w14:textId="5909099C" w:rsidR="78979F44" w:rsidRPr="0044401C" w:rsidRDefault="78979F44" w:rsidP="2F17ACDD">
      <w:pPr>
        <w:rPr>
          <w:rFonts w:asciiTheme="minorBidi" w:eastAsia="Arial" w:hAnsiTheme="minorBidi"/>
          <w:b/>
          <w:bCs/>
          <w:sz w:val="24"/>
          <w:szCs w:val="24"/>
        </w:rPr>
      </w:pPr>
      <w:r w:rsidRPr="0044401C">
        <w:rPr>
          <w:rFonts w:asciiTheme="minorBidi" w:eastAsia="Arial" w:hAnsiTheme="minorBidi"/>
          <w:b/>
          <w:bCs/>
          <w:sz w:val="24"/>
          <w:szCs w:val="24"/>
        </w:rPr>
        <w:t>Content</w:t>
      </w:r>
      <w:r w:rsidR="75F82496" w:rsidRPr="0044401C">
        <w:rPr>
          <w:rFonts w:asciiTheme="minorBidi" w:eastAsia="Arial" w:hAnsiTheme="minorBidi"/>
          <w:b/>
          <w:bCs/>
          <w:sz w:val="24"/>
          <w:szCs w:val="24"/>
        </w:rPr>
        <w:t xml:space="preserve"> of Workbook:</w:t>
      </w:r>
    </w:p>
    <w:p w14:paraId="693CFE8D" w14:textId="195AF11C" w:rsidR="7336895D" w:rsidRPr="0044401C" w:rsidRDefault="7336895D" w:rsidP="7336895D">
      <w:pPr>
        <w:rPr>
          <w:rFonts w:asciiTheme="minorBidi" w:eastAsia="Arial" w:hAnsiTheme="minorBidi"/>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rsidRPr="0044401C" w14:paraId="32B5EB03" w14:textId="77777777" w:rsidTr="43D343CA">
        <w:tc>
          <w:tcPr>
            <w:tcW w:w="3005" w:type="dxa"/>
            <w:shd w:val="clear" w:color="auto" w:fill="5B9BD5" w:themeFill="accent5"/>
          </w:tcPr>
          <w:p w14:paraId="142F514F" w14:textId="32AC44F5" w:rsidR="7336895D" w:rsidRPr="0044401C" w:rsidRDefault="75F82496" w:rsidP="7336895D">
            <w:pPr>
              <w:rPr>
                <w:rFonts w:asciiTheme="minorBidi" w:eastAsia="Arial" w:hAnsiTheme="minorBidi"/>
                <w:b/>
                <w:bCs/>
                <w:sz w:val="28"/>
                <w:szCs w:val="28"/>
              </w:rPr>
            </w:pPr>
            <w:r w:rsidRPr="0044401C">
              <w:rPr>
                <w:rFonts w:asciiTheme="minorBidi" w:eastAsia="Arial" w:hAnsiTheme="minorBidi"/>
                <w:b/>
                <w:bCs/>
                <w:sz w:val="28"/>
                <w:szCs w:val="28"/>
              </w:rPr>
              <w:t>Task</w:t>
            </w:r>
          </w:p>
        </w:tc>
        <w:tc>
          <w:tcPr>
            <w:tcW w:w="3005" w:type="dxa"/>
            <w:shd w:val="clear" w:color="auto" w:fill="5B9BD5" w:themeFill="accent5"/>
          </w:tcPr>
          <w:p w14:paraId="10754AEF" w14:textId="7055DF7E" w:rsidR="7336895D" w:rsidRPr="0044401C" w:rsidRDefault="75F82496" w:rsidP="7336895D">
            <w:pPr>
              <w:rPr>
                <w:rFonts w:asciiTheme="minorBidi" w:eastAsia="Arial" w:hAnsiTheme="minorBidi"/>
                <w:b/>
                <w:bCs/>
                <w:sz w:val="24"/>
                <w:szCs w:val="24"/>
              </w:rPr>
            </w:pPr>
            <w:r w:rsidRPr="0044401C">
              <w:rPr>
                <w:rFonts w:asciiTheme="minorBidi" w:eastAsia="Arial" w:hAnsiTheme="minorBidi"/>
                <w:b/>
                <w:bCs/>
                <w:sz w:val="24"/>
                <w:szCs w:val="24"/>
              </w:rPr>
              <w:t>Relevant Investigative Area</w:t>
            </w:r>
          </w:p>
        </w:tc>
        <w:tc>
          <w:tcPr>
            <w:tcW w:w="3005" w:type="dxa"/>
            <w:shd w:val="clear" w:color="auto" w:fill="5B9BD5" w:themeFill="accent5"/>
          </w:tcPr>
          <w:p w14:paraId="64484E9C" w14:textId="305A6342" w:rsidR="1F9D89F6" w:rsidRPr="0044401C" w:rsidRDefault="1F9D89F6" w:rsidP="727E3A7D">
            <w:pPr>
              <w:jc w:val="center"/>
              <w:rPr>
                <w:rFonts w:asciiTheme="minorBidi" w:eastAsia="Arial" w:hAnsiTheme="minorBidi"/>
                <w:b/>
                <w:bCs/>
                <w:sz w:val="24"/>
                <w:szCs w:val="24"/>
              </w:rPr>
            </w:pPr>
            <w:r w:rsidRPr="0044401C">
              <w:rPr>
                <w:rFonts w:asciiTheme="minorBidi" w:eastAsia="Arial" w:hAnsiTheme="minorBidi"/>
                <w:b/>
                <w:bCs/>
                <w:sz w:val="24"/>
                <w:szCs w:val="24"/>
              </w:rPr>
              <w:t>Word Count</w:t>
            </w:r>
          </w:p>
        </w:tc>
      </w:tr>
      <w:tr w:rsidR="7336895D" w:rsidRPr="0044401C" w14:paraId="368A386A" w14:textId="77777777" w:rsidTr="43D343CA">
        <w:tc>
          <w:tcPr>
            <w:tcW w:w="3005" w:type="dxa"/>
          </w:tcPr>
          <w:p w14:paraId="038D7866" w14:textId="523C0D78" w:rsidR="1F9D89F6" w:rsidRPr="0044401C" w:rsidRDefault="1F9D89F6" w:rsidP="2F17ACDD">
            <w:pPr>
              <w:rPr>
                <w:rFonts w:asciiTheme="minorBidi" w:eastAsia="Arial" w:hAnsiTheme="minorBidi"/>
                <w:sz w:val="24"/>
                <w:szCs w:val="24"/>
              </w:rPr>
            </w:pPr>
            <w:r w:rsidRPr="0044401C">
              <w:rPr>
                <w:rFonts w:asciiTheme="minorBidi" w:eastAsia="Arial" w:hAnsiTheme="minorBidi"/>
                <w:sz w:val="24"/>
                <w:szCs w:val="24"/>
              </w:rPr>
              <w:t>Task 1</w:t>
            </w:r>
          </w:p>
        </w:tc>
        <w:tc>
          <w:tcPr>
            <w:tcW w:w="3005" w:type="dxa"/>
          </w:tcPr>
          <w:p w14:paraId="63372E0A" w14:textId="70AEE7CD" w:rsidR="7336895D" w:rsidRPr="0044401C" w:rsidRDefault="232D13EF" w:rsidP="515A1CF8">
            <w:pPr>
              <w:rPr>
                <w:rFonts w:asciiTheme="minorBidi" w:eastAsia="Arial" w:hAnsiTheme="minorBidi"/>
                <w:b/>
                <w:bCs/>
              </w:rPr>
            </w:pPr>
            <w:r w:rsidRPr="0044401C">
              <w:rPr>
                <w:rFonts w:asciiTheme="minorBidi" w:eastAsia="Arial" w:hAnsiTheme="minorBidi"/>
                <w:b/>
                <w:bCs/>
              </w:rPr>
              <w:t>Information</w:t>
            </w:r>
            <w:r w:rsidR="4EC2FFF9" w:rsidRPr="0044401C">
              <w:rPr>
                <w:rFonts w:asciiTheme="minorBidi" w:eastAsia="Arial" w:hAnsiTheme="minorBidi"/>
                <w:b/>
                <w:bCs/>
              </w:rPr>
              <w:t>,</w:t>
            </w:r>
            <w:r w:rsidRPr="0044401C">
              <w:rPr>
                <w:rFonts w:asciiTheme="minorBidi" w:eastAsia="Arial" w:hAnsiTheme="minorBidi"/>
                <w:b/>
                <w:bCs/>
              </w:rPr>
              <w:t xml:space="preserve"> intelligence</w:t>
            </w:r>
            <w:r w:rsidR="4872B6C5" w:rsidRPr="0044401C">
              <w:rPr>
                <w:rFonts w:asciiTheme="minorBidi" w:eastAsia="Arial" w:hAnsiTheme="minorBidi"/>
                <w:b/>
                <w:bCs/>
              </w:rPr>
              <w:t xml:space="preserve"> &amp; evidence </w:t>
            </w:r>
            <w:r w:rsidRPr="0044401C">
              <w:rPr>
                <w:rFonts w:asciiTheme="minorBidi" w:eastAsia="Arial" w:hAnsiTheme="minorBidi"/>
                <w:b/>
                <w:bCs/>
              </w:rPr>
              <w:t xml:space="preserve">gathering </w:t>
            </w:r>
          </w:p>
        </w:tc>
        <w:tc>
          <w:tcPr>
            <w:tcW w:w="3005" w:type="dxa"/>
          </w:tcPr>
          <w:p w14:paraId="34715AAA" w14:textId="3ADEC4B8" w:rsidR="7336895D" w:rsidRPr="0044401C" w:rsidRDefault="63CCC5AE" w:rsidP="2F17ACDD">
            <w:pPr>
              <w:jc w:val="center"/>
              <w:rPr>
                <w:rFonts w:asciiTheme="minorBidi" w:eastAsia="Arial" w:hAnsiTheme="minorBidi"/>
              </w:rPr>
            </w:pPr>
            <w:r w:rsidRPr="0044401C">
              <w:rPr>
                <w:rFonts w:asciiTheme="minorBidi" w:eastAsia="Arial" w:hAnsiTheme="minorBidi"/>
              </w:rPr>
              <w:t>2</w:t>
            </w:r>
            <w:r w:rsidR="004A7A86" w:rsidRPr="0044401C">
              <w:rPr>
                <w:rFonts w:asciiTheme="minorBidi" w:eastAsia="Arial" w:hAnsiTheme="minorBidi"/>
              </w:rPr>
              <w:t>,090</w:t>
            </w:r>
          </w:p>
        </w:tc>
      </w:tr>
      <w:tr w:rsidR="7336895D" w:rsidRPr="0044401C" w14:paraId="23F16150" w14:textId="77777777" w:rsidTr="43D343CA">
        <w:tc>
          <w:tcPr>
            <w:tcW w:w="3005" w:type="dxa"/>
          </w:tcPr>
          <w:p w14:paraId="7833C05E" w14:textId="21B42D20" w:rsidR="1F9D89F6" w:rsidRPr="0044401C" w:rsidRDefault="1F9D89F6" w:rsidP="2F17ACDD">
            <w:pPr>
              <w:rPr>
                <w:rFonts w:asciiTheme="minorBidi" w:eastAsia="Arial" w:hAnsiTheme="minorBidi"/>
              </w:rPr>
            </w:pPr>
            <w:r w:rsidRPr="0044401C">
              <w:rPr>
                <w:rFonts w:asciiTheme="minorBidi" w:eastAsia="Arial" w:hAnsiTheme="minorBidi"/>
              </w:rPr>
              <w:t>Task 2</w:t>
            </w:r>
          </w:p>
        </w:tc>
        <w:tc>
          <w:tcPr>
            <w:tcW w:w="3005" w:type="dxa"/>
          </w:tcPr>
          <w:p w14:paraId="40041519" w14:textId="4E758F92" w:rsidR="7336895D" w:rsidRPr="0044401C" w:rsidRDefault="76EFEBAD" w:rsidP="515A1CF8">
            <w:pPr>
              <w:rPr>
                <w:rFonts w:asciiTheme="minorBidi" w:eastAsia="Arial" w:hAnsiTheme="minorBidi"/>
                <w:b/>
                <w:bCs/>
              </w:rPr>
            </w:pPr>
            <w:r w:rsidRPr="0044401C">
              <w:rPr>
                <w:rFonts w:asciiTheme="minorBidi" w:eastAsia="Arial" w:hAnsiTheme="minorBidi"/>
                <w:b/>
                <w:bCs/>
              </w:rPr>
              <w:t>Safeguarding and Risk assessment</w:t>
            </w:r>
          </w:p>
        </w:tc>
        <w:tc>
          <w:tcPr>
            <w:tcW w:w="3005" w:type="dxa"/>
          </w:tcPr>
          <w:p w14:paraId="3F030E0E" w14:textId="6FB557E7" w:rsidR="7336895D" w:rsidRPr="0044401C" w:rsidRDefault="374C56F6" w:rsidP="2F17ACDD">
            <w:pPr>
              <w:jc w:val="center"/>
              <w:rPr>
                <w:rFonts w:asciiTheme="minorBidi" w:eastAsia="Arial" w:hAnsiTheme="minorBidi"/>
              </w:rPr>
            </w:pPr>
            <w:r w:rsidRPr="0044401C">
              <w:rPr>
                <w:rFonts w:asciiTheme="minorBidi" w:eastAsia="Arial" w:hAnsiTheme="minorBidi"/>
              </w:rPr>
              <w:t>2</w:t>
            </w:r>
            <w:r w:rsidR="004A7A86" w:rsidRPr="0044401C">
              <w:rPr>
                <w:rFonts w:asciiTheme="minorBidi" w:eastAsia="Arial" w:hAnsiTheme="minorBidi"/>
              </w:rPr>
              <w:t>,2</w:t>
            </w:r>
            <w:r w:rsidRPr="0044401C">
              <w:rPr>
                <w:rFonts w:asciiTheme="minorBidi" w:eastAsia="Arial" w:hAnsiTheme="minorBidi"/>
              </w:rPr>
              <w:t>00</w:t>
            </w:r>
          </w:p>
        </w:tc>
      </w:tr>
      <w:tr w:rsidR="7336895D" w:rsidRPr="0044401C" w14:paraId="1F88D916" w14:textId="77777777" w:rsidTr="43D343CA">
        <w:tc>
          <w:tcPr>
            <w:tcW w:w="3005" w:type="dxa"/>
          </w:tcPr>
          <w:p w14:paraId="4DD48D66" w14:textId="72230023" w:rsidR="1F9D89F6" w:rsidRPr="0044401C" w:rsidRDefault="1F9D89F6" w:rsidP="2F17ACDD">
            <w:pPr>
              <w:rPr>
                <w:rFonts w:asciiTheme="minorBidi" w:eastAsia="Arial" w:hAnsiTheme="minorBidi"/>
                <w:sz w:val="24"/>
                <w:szCs w:val="24"/>
              </w:rPr>
            </w:pPr>
            <w:r w:rsidRPr="0044401C">
              <w:rPr>
                <w:rFonts w:asciiTheme="minorBidi" w:eastAsia="Arial" w:hAnsiTheme="minorBidi"/>
                <w:sz w:val="24"/>
                <w:szCs w:val="24"/>
              </w:rPr>
              <w:t>Task 3</w:t>
            </w:r>
          </w:p>
        </w:tc>
        <w:tc>
          <w:tcPr>
            <w:tcW w:w="3005" w:type="dxa"/>
          </w:tcPr>
          <w:p w14:paraId="1F9DE1DB" w14:textId="044982C3" w:rsidR="7336895D" w:rsidRPr="0044401C" w:rsidRDefault="7FF28BF6" w:rsidP="515A1CF8">
            <w:pPr>
              <w:rPr>
                <w:rFonts w:asciiTheme="minorBidi" w:eastAsia="Arial" w:hAnsiTheme="minorBidi"/>
                <w:b/>
                <w:bCs/>
              </w:rPr>
            </w:pPr>
            <w:r w:rsidRPr="0044401C">
              <w:rPr>
                <w:rFonts w:asciiTheme="minorBidi" w:eastAsia="Arial" w:hAnsiTheme="minorBidi"/>
                <w:b/>
                <w:bCs/>
              </w:rPr>
              <w:t>Interview and custody processes</w:t>
            </w:r>
          </w:p>
        </w:tc>
        <w:tc>
          <w:tcPr>
            <w:tcW w:w="3005" w:type="dxa"/>
          </w:tcPr>
          <w:p w14:paraId="1460CC8D" w14:textId="6C5861C4" w:rsidR="7336895D" w:rsidRPr="0044401C" w:rsidRDefault="04898A5B" w:rsidP="2F17ACDD">
            <w:pPr>
              <w:jc w:val="center"/>
              <w:rPr>
                <w:rFonts w:asciiTheme="minorBidi" w:eastAsia="Arial" w:hAnsiTheme="minorBidi"/>
              </w:rPr>
            </w:pPr>
            <w:r w:rsidRPr="0044401C">
              <w:rPr>
                <w:rFonts w:asciiTheme="minorBidi" w:eastAsia="Arial" w:hAnsiTheme="minorBidi"/>
              </w:rPr>
              <w:t>2</w:t>
            </w:r>
            <w:r w:rsidR="004A7A86" w:rsidRPr="0044401C">
              <w:rPr>
                <w:rFonts w:asciiTheme="minorBidi" w:eastAsia="Arial" w:hAnsiTheme="minorBidi"/>
              </w:rPr>
              <w:t>,198</w:t>
            </w:r>
          </w:p>
        </w:tc>
      </w:tr>
      <w:tr w:rsidR="7336895D" w:rsidRPr="0044401C" w14:paraId="6CA89FA1" w14:textId="77777777" w:rsidTr="43D343CA">
        <w:tc>
          <w:tcPr>
            <w:tcW w:w="3005" w:type="dxa"/>
          </w:tcPr>
          <w:p w14:paraId="500E68B8" w14:textId="06C51E03" w:rsidR="1F9D89F6" w:rsidRPr="0044401C" w:rsidRDefault="1F9D89F6" w:rsidP="2F17ACDD">
            <w:pPr>
              <w:rPr>
                <w:rFonts w:asciiTheme="minorBidi" w:eastAsia="Arial" w:hAnsiTheme="minorBidi"/>
                <w:sz w:val="24"/>
                <w:szCs w:val="24"/>
              </w:rPr>
            </w:pPr>
            <w:r w:rsidRPr="0044401C">
              <w:rPr>
                <w:rFonts w:asciiTheme="minorBidi" w:eastAsia="Arial" w:hAnsiTheme="minorBidi"/>
                <w:sz w:val="24"/>
                <w:szCs w:val="24"/>
              </w:rPr>
              <w:t>Task 4</w:t>
            </w:r>
          </w:p>
        </w:tc>
        <w:tc>
          <w:tcPr>
            <w:tcW w:w="3005" w:type="dxa"/>
          </w:tcPr>
          <w:p w14:paraId="588EE43A" w14:textId="54E9B29B" w:rsidR="7336895D" w:rsidRPr="0044401C" w:rsidRDefault="4CAD43B7" w:rsidP="515A1CF8">
            <w:pPr>
              <w:rPr>
                <w:rFonts w:asciiTheme="minorBidi" w:eastAsia="Arial" w:hAnsiTheme="minorBidi"/>
                <w:b/>
                <w:bCs/>
              </w:rPr>
            </w:pPr>
            <w:r w:rsidRPr="0044401C">
              <w:rPr>
                <w:rFonts w:asciiTheme="minorBidi" w:eastAsia="Arial" w:hAnsiTheme="minorBidi"/>
                <w:b/>
                <w:bCs/>
              </w:rPr>
              <w:t xml:space="preserve">Investigation documentation processes. </w:t>
            </w:r>
          </w:p>
        </w:tc>
        <w:tc>
          <w:tcPr>
            <w:tcW w:w="3005" w:type="dxa"/>
          </w:tcPr>
          <w:p w14:paraId="32C22075" w14:textId="0ABC5968" w:rsidR="7336895D" w:rsidRPr="0044401C" w:rsidRDefault="22989878" w:rsidP="2F17ACDD">
            <w:pPr>
              <w:spacing w:after="160" w:line="259" w:lineRule="auto"/>
              <w:jc w:val="center"/>
              <w:rPr>
                <w:rFonts w:asciiTheme="minorBidi" w:eastAsia="Arial" w:hAnsiTheme="minorBidi"/>
              </w:rPr>
            </w:pPr>
            <w:r w:rsidRPr="0044401C">
              <w:rPr>
                <w:rFonts w:asciiTheme="minorBidi" w:eastAsia="Arial" w:hAnsiTheme="minorBidi"/>
              </w:rPr>
              <w:t>2</w:t>
            </w:r>
            <w:r w:rsidR="004A7A86" w:rsidRPr="0044401C">
              <w:rPr>
                <w:rFonts w:asciiTheme="minorBidi" w:eastAsia="Arial" w:hAnsiTheme="minorBidi"/>
              </w:rPr>
              <w:t>,1</w:t>
            </w:r>
            <w:r w:rsidR="00D555B5">
              <w:rPr>
                <w:rFonts w:asciiTheme="minorBidi" w:eastAsia="Arial" w:hAnsiTheme="minorBidi"/>
              </w:rPr>
              <w:t>93</w:t>
            </w:r>
          </w:p>
        </w:tc>
      </w:tr>
      <w:tr w:rsidR="7336895D" w:rsidRPr="0044401C" w14:paraId="5FAA5059" w14:textId="77777777" w:rsidTr="43D343CA">
        <w:trPr>
          <w:trHeight w:val="1020"/>
        </w:trPr>
        <w:tc>
          <w:tcPr>
            <w:tcW w:w="3005" w:type="dxa"/>
          </w:tcPr>
          <w:p w14:paraId="609D83C7" w14:textId="21A54D27" w:rsidR="7336895D" w:rsidRPr="0044401C" w:rsidRDefault="1F9D89F6" w:rsidP="2F17ACDD">
            <w:pPr>
              <w:rPr>
                <w:rFonts w:asciiTheme="minorBidi" w:eastAsia="Arial" w:hAnsiTheme="minorBidi"/>
                <w:sz w:val="24"/>
                <w:szCs w:val="24"/>
              </w:rPr>
            </w:pPr>
            <w:r w:rsidRPr="0044401C">
              <w:rPr>
                <w:rFonts w:asciiTheme="minorBidi" w:eastAsia="Arial" w:hAnsiTheme="minorBidi"/>
                <w:sz w:val="24"/>
                <w:szCs w:val="24"/>
              </w:rPr>
              <w:t>Task 5</w:t>
            </w:r>
          </w:p>
          <w:p w14:paraId="698F2607" w14:textId="4B3FF3C9" w:rsidR="7336895D" w:rsidRPr="0044401C" w:rsidRDefault="7336895D" w:rsidP="2F17ACDD">
            <w:pPr>
              <w:rPr>
                <w:rFonts w:asciiTheme="minorBidi" w:eastAsia="Arial" w:hAnsiTheme="minorBidi"/>
                <w:sz w:val="24"/>
                <w:szCs w:val="24"/>
              </w:rPr>
            </w:pPr>
          </w:p>
        </w:tc>
        <w:tc>
          <w:tcPr>
            <w:tcW w:w="3005" w:type="dxa"/>
          </w:tcPr>
          <w:p w14:paraId="4432633F" w14:textId="388BB802" w:rsidR="7336895D" w:rsidRPr="0044401C" w:rsidRDefault="1F9D89F6" w:rsidP="2F17ACDD">
            <w:pPr>
              <w:jc w:val="both"/>
              <w:rPr>
                <w:rFonts w:asciiTheme="minorBidi" w:eastAsia="Arial" w:hAnsiTheme="minorBidi"/>
                <w:lang w:val="en-US"/>
              </w:rPr>
            </w:pPr>
            <w:r w:rsidRPr="0044401C">
              <w:rPr>
                <w:rFonts w:asciiTheme="minorBidi" w:eastAsia="Arial" w:hAnsiTheme="minorBidi"/>
                <w:b/>
                <w:bCs/>
                <w:color w:val="000000" w:themeColor="text1"/>
              </w:rPr>
              <w:t>Personal study/learning plan</w:t>
            </w:r>
          </w:p>
        </w:tc>
        <w:tc>
          <w:tcPr>
            <w:tcW w:w="3005" w:type="dxa"/>
          </w:tcPr>
          <w:p w14:paraId="76373DB7" w14:textId="503CCB05" w:rsidR="1F9D89F6" w:rsidRPr="0044401C" w:rsidRDefault="004A7A86" w:rsidP="2F17ACDD">
            <w:pPr>
              <w:jc w:val="center"/>
              <w:rPr>
                <w:rFonts w:asciiTheme="minorBidi" w:eastAsia="Arial" w:hAnsiTheme="minorBidi"/>
              </w:rPr>
            </w:pPr>
            <w:r w:rsidRPr="0044401C">
              <w:rPr>
                <w:rFonts w:asciiTheme="minorBidi" w:eastAsia="Arial" w:hAnsiTheme="minorBidi"/>
              </w:rPr>
              <w:t>Equivalent to 2,000 Words</w:t>
            </w:r>
          </w:p>
        </w:tc>
      </w:tr>
      <w:tr w:rsidR="7336895D" w:rsidRPr="0044401C" w14:paraId="2B7AB660" w14:textId="77777777" w:rsidTr="43D343CA">
        <w:tc>
          <w:tcPr>
            <w:tcW w:w="3005" w:type="dxa"/>
          </w:tcPr>
          <w:p w14:paraId="161B944D" w14:textId="56EA47D7" w:rsidR="7336895D" w:rsidRPr="0044401C" w:rsidRDefault="7336895D" w:rsidP="2F17ACDD">
            <w:pPr>
              <w:rPr>
                <w:rFonts w:asciiTheme="minorBidi" w:eastAsia="Arial" w:hAnsiTheme="minorBidi"/>
                <w:b/>
                <w:bCs/>
                <w:sz w:val="28"/>
                <w:szCs w:val="28"/>
              </w:rPr>
            </w:pPr>
          </w:p>
        </w:tc>
        <w:tc>
          <w:tcPr>
            <w:tcW w:w="3005" w:type="dxa"/>
          </w:tcPr>
          <w:p w14:paraId="1F7793A8" w14:textId="37748B9C" w:rsidR="1F9D89F6" w:rsidRPr="0044401C" w:rsidRDefault="7D85CCE4" w:rsidP="2F17ACDD">
            <w:pPr>
              <w:rPr>
                <w:rFonts w:asciiTheme="minorBidi" w:eastAsia="Arial" w:hAnsiTheme="minorBidi"/>
                <w:b/>
                <w:bCs/>
                <w:color w:val="000000" w:themeColor="text1"/>
                <w:sz w:val="24"/>
                <w:szCs w:val="24"/>
              </w:rPr>
            </w:pPr>
            <w:r w:rsidRPr="0044401C">
              <w:rPr>
                <w:rFonts w:asciiTheme="minorBidi" w:eastAsia="Arial" w:hAnsiTheme="minorBidi"/>
                <w:b/>
                <w:bCs/>
                <w:color w:val="000000" w:themeColor="text1"/>
                <w:sz w:val="24"/>
                <w:szCs w:val="24"/>
              </w:rPr>
              <w:t>Reference list</w:t>
            </w:r>
          </w:p>
          <w:p w14:paraId="2468FF94" w14:textId="1EE40AC0" w:rsidR="1F9D89F6" w:rsidRPr="0044401C" w:rsidRDefault="1F9D89F6" w:rsidP="2F17ACDD">
            <w:pPr>
              <w:jc w:val="center"/>
              <w:rPr>
                <w:rFonts w:asciiTheme="minorBidi" w:eastAsia="Arial" w:hAnsiTheme="minorBidi"/>
                <w:b/>
                <w:bCs/>
                <w:color w:val="000000" w:themeColor="text1"/>
                <w:sz w:val="24"/>
                <w:szCs w:val="24"/>
              </w:rPr>
            </w:pPr>
          </w:p>
        </w:tc>
        <w:tc>
          <w:tcPr>
            <w:tcW w:w="3005" w:type="dxa"/>
          </w:tcPr>
          <w:p w14:paraId="336382B5" w14:textId="7E4033DE" w:rsidR="7336895D" w:rsidRPr="0044401C" w:rsidRDefault="7336895D" w:rsidP="7336895D">
            <w:pPr>
              <w:rPr>
                <w:rFonts w:asciiTheme="minorBidi" w:eastAsia="Arial" w:hAnsiTheme="minorBidi"/>
                <w:b/>
                <w:bCs/>
                <w:sz w:val="24"/>
                <w:szCs w:val="24"/>
              </w:rPr>
            </w:pPr>
          </w:p>
        </w:tc>
      </w:tr>
    </w:tbl>
    <w:p w14:paraId="78413DF1" w14:textId="0B55EF01" w:rsidR="3EBD2789" w:rsidRPr="0044401C" w:rsidRDefault="3EBD2789">
      <w:pPr>
        <w:rPr>
          <w:rFonts w:asciiTheme="minorBidi" w:hAnsiTheme="minorBidi"/>
        </w:rPr>
      </w:pPr>
    </w:p>
    <w:p w14:paraId="62F5231B" w14:textId="29D201B7" w:rsidR="010A2EC9" w:rsidRPr="0044401C" w:rsidRDefault="010A2EC9" w:rsidP="1359001D">
      <w:pPr>
        <w:rPr>
          <w:rFonts w:asciiTheme="minorBidi" w:eastAsia="Arial" w:hAnsiTheme="minorBidi"/>
          <w:b/>
          <w:bCs/>
          <w:i/>
          <w:iCs/>
          <w:color w:val="000000" w:themeColor="text1"/>
          <w:sz w:val="24"/>
          <w:szCs w:val="24"/>
        </w:rPr>
      </w:pPr>
      <w:r w:rsidRPr="0044401C">
        <w:rPr>
          <w:rFonts w:asciiTheme="minorBidi" w:eastAsia="Arial" w:hAnsiTheme="minorBidi"/>
          <w:b/>
          <w:bCs/>
          <w:i/>
          <w:iCs/>
          <w:sz w:val="24"/>
          <w:szCs w:val="24"/>
        </w:rPr>
        <w:t xml:space="preserve">Task </w:t>
      </w:r>
      <w:r w:rsidRPr="0044401C">
        <w:rPr>
          <w:rFonts w:asciiTheme="minorBidi" w:eastAsia="Arial" w:hAnsiTheme="minorBidi"/>
          <w:b/>
          <w:bCs/>
          <w:i/>
          <w:iCs/>
          <w:color w:val="000000" w:themeColor="text1"/>
          <w:sz w:val="24"/>
          <w:szCs w:val="24"/>
        </w:rPr>
        <w:t xml:space="preserve">1: </w:t>
      </w:r>
      <w:r w:rsidR="15A75648" w:rsidRPr="0044401C">
        <w:rPr>
          <w:rFonts w:asciiTheme="minorBidi" w:eastAsia="Arial" w:hAnsiTheme="minorBidi"/>
          <w:b/>
          <w:bCs/>
          <w:i/>
          <w:iCs/>
          <w:color w:val="000000" w:themeColor="text1"/>
          <w:sz w:val="24"/>
          <w:szCs w:val="24"/>
        </w:rPr>
        <w:t>Information</w:t>
      </w:r>
      <w:r w:rsidR="4C7DB9DB" w:rsidRPr="0044401C">
        <w:rPr>
          <w:rFonts w:asciiTheme="minorBidi" w:eastAsia="Arial" w:hAnsiTheme="minorBidi"/>
          <w:b/>
          <w:bCs/>
          <w:i/>
          <w:iCs/>
          <w:color w:val="000000" w:themeColor="text1"/>
          <w:sz w:val="24"/>
          <w:szCs w:val="24"/>
        </w:rPr>
        <w:t>,</w:t>
      </w:r>
      <w:r w:rsidR="15A75648" w:rsidRPr="0044401C">
        <w:rPr>
          <w:rFonts w:asciiTheme="minorBidi" w:eastAsia="Arial" w:hAnsiTheme="minorBidi"/>
          <w:b/>
          <w:bCs/>
          <w:i/>
          <w:iCs/>
          <w:color w:val="000000" w:themeColor="text1"/>
          <w:sz w:val="24"/>
          <w:szCs w:val="24"/>
        </w:rPr>
        <w:t xml:space="preserve"> Intelligence </w:t>
      </w:r>
      <w:r w:rsidR="644F48EE" w:rsidRPr="0044401C">
        <w:rPr>
          <w:rFonts w:asciiTheme="minorBidi" w:eastAsia="Arial" w:hAnsiTheme="minorBidi"/>
          <w:b/>
          <w:bCs/>
          <w:i/>
          <w:iCs/>
          <w:color w:val="000000" w:themeColor="text1"/>
          <w:sz w:val="24"/>
          <w:szCs w:val="24"/>
        </w:rPr>
        <w:t xml:space="preserve">&amp; Evidence </w:t>
      </w:r>
      <w:r w:rsidR="15A75648" w:rsidRPr="0044401C">
        <w:rPr>
          <w:rFonts w:asciiTheme="minorBidi" w:eastAsia="Arial" w:hAnsiTheme="minorBidi"/>
          <w:b/>
          <w:bCs/>
          <w:i/>
          <w:iCs/>
          <w:color w:val="000000" w:themeColor="text1"/>
          <w:sz w:val="24"/>
          <w:szCs w:val="24"/>
        </w:rPr>
        <w:t>Gathering</w:t>
      </w:r>
    </w:p>
    <w:tbl>
      <w:tblPr>
        <w:tblStyle w:val="TableGrid"/>
        <w:tblW w:w="0" w:type="auto"/>
        <w:tblLayout w:type="fixed"/>
        <w:tblLook w:val="06A0" w:firstRow="1" w:lastRow="0" w:firstColumn="1" w:lastColumn="0" w:noHBand="1" w:noVBand="1"/>
      </w:tblPr>
      <w:tblGrid>
        <w:gridCol w:w="9015"/>
      </w:tblGrid>
      <w:tr w:rsidR="7336895D" w:rsidRPr="0044401C" w14:paraId="7598B4AD" w14:textId="77777777" w:rsidTr="43D343CA">
        <w:tc>
          <w:tcPr>
            <w:tcW w:w="9015" w:type="dxa"/>
          </w:tcPr>
          <w:p w14:paraId="6E184ACF" w14:textId="2EF0257A" w:rsidR="4BFE4F66" w:rsidRPr="0044401C" w:rsidRDefault="4BFE4F66" w:rsidP="43D343CA">
            <w:pPr>
              <w:rPr>
                <w:rFonts w:asciiTheme="minorBidi" w:eastAsia="Arial" w:hAnsiTheme="minorBidi"/>
                <w:color w:val="000000" w:themeColor="text1"/>
                <w:sz w:val="24"/>
                <w:szCs w:val="24"/>
              </w:rPr>
            </w:pPr>
          </w:p>
          <w:p w14:paraId="67D2CB05" w14:textId="68C6E425" w:rsidR="1C3D0ECF" w:rsidRPr="0044401C" w:rsidRDefault="1C3D0ECF" w:rsidP="4BFE4F66">
            <w:pPr>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lastRenderedPageBreak/>
              <w:t>a.</w:t>
            </w:r>
            <w:r w:rsidR="3EA09358" w:rsidRPr="0044401C">
              <w:rPr>
                <w:rFonts w:asciiTheme="minorBidi" w:eastAsia="Arial" w:hAnsiTheme="minorBidi"/>
                <w:color w:val="000000" w:themeColor="text1"/>
                <w:sz w:val="24"/>
                <w:szCs w:val="24"/>
              </w:rPr>
              <w:t xml:space="preserve"> </w:t>
            </w:r>
            <w:r w:rsidR="78BDF5D2" w:rsidRPr="0044401C">
              <w:rPr>
                <w:rFonts w:asciiTheme="minorBidi" w:eastAsia="Arial" w:hAnsiTheme="minorBidi"/>
                <w:color w:val="000000" w:themeColor="text1"/>
                <w:sz w:val="24"/>
                <w:szCs w:val="24"/>
              </w:rPr>
              <w:t>Cho</w:t>
            </w:r>
            <w:r w:rsidR="5AF838CC" w:rsidRPr="0044401C">
              <w:rPr>
                <w:rFonts w:asciiTheme="minorBidi" w:eastAsia="Arial" w:hAnsiTheme="minorBidi"/>
                <w:color w:val="000000" w:themeColor="text1"/>
                <w:sz w:val="24"/>
                <w:szCs w:val="24"/>
              </w:rPr>
              <w:t>o</w:t>
            </w:r>
            <w:r w:rsidR="78BDF5D2" w:rsidRPr="0044401C">
              <w:rPr>
                <w:rFonts w:asciiTheme="minorBidi" w:eastAsia="Arial" w:hAnsiTheme="minorBidi"/>
                <w:color w:val="000000" w:themeColor="text1"/>
                <w:sz w:val="24"/>
                <w:szCs w:val="24"/>
              </w:rPr>
              <w:t xml:space="preserve">se one of the </w:t>
            </w:r>
            <w:r w:rsidR="7CE8C4A3" w:rsidRPr="0044401C">
              <w:rPr>
                <w:rFonts w:asciiTheme="minorBidi" w:eastAsia="Arial" w:hAnsiTheme="minorBidi"/>
                <w:color w:val="000000" w:themeColor="text1"/>
                <w:sz w:val="24"/>
                <w:szCs w:val="24"/>
              </w:rPr>
              <w:t xml:space="preserve">below </w:t>
            </w:r>
            <w:r w:rsidR="78BDF5D2" w:rsidRPr="0044401C">
              <w:rPr>
                <w:rFonts w:asciiTheme="minorBidi" w:eastAsia="Arial" w:hAnsiTheme="minorBidi"/>
                <w:color w:val="000000" w:themeColor="text1"/>
                <w:sz w:val="24"/>
                <w:szCs w:val="24"/>
              </w:rPr>
              <w:t xml:space="preserve">areas and </w:t>
            </w:r>
            <w:r w:rsidR="6A2CB78F" w:rsidRPr="0044401C">
              <w:rPr>
                <w:rFonts w:asciiTheme="minorBidi" w:eastAsia="Arial" w:hAnsiTheme="minorBidi"/>
                <w:b/>
                <w:bCs/>
                <w:color w:val="000000" w:themeColor="text1"/>
                <w:sz w:val="24"/>
                <w:szCs w:val="24"/>
              </w:rPr>
              <w:t>outline</w:t>
            </w:r>
            <w:r w:rsidR="6A2CB78F" w:rsidRPr="0044401C">
              <w:rPr>
                <w:rFonts w:asciiTheme="minorBidi" w:eastAsia="Arial" w:hAnsiTheme="minorBidi"/>
                <w:color w:val="000000" w:themeColor="text1"/>
                <w:sz w:val="24"/>
                <w:szCs w:val="24"/>
              </w:rPr>
              <w:t xml:space="preserve"> it</w:t>
            </w:r>
            <w:r w:rsidR="0B3EFB02" w:rsidRPr="0044401C">
              <w:rPr>
                <w:rFonts w:asciiTheme="minorBidi" w:eastAsia="Arial" w:hAnsiTheme="minorBidi"/>
                <w:color w:val="000000" w:themeColor="text1"/>
                <w:sz w:val="24"/>
                <w:szCs w:val="24"/>
              </w:rPr>
              <w:t>s rel</w:t>
            </w:r>
            <w:r w:rsidR="180A1761" w:rsidRPr="0044401C">
              <w:rPr>
                <w:rFonts w:asciiTheme="minorBidi" w:eastAsia="Arial" w:hAnsiTheme="minorBidi"/>
                <w:color w:val="000000" w:themeColor="text1"/>
                <w:sz w:val="24"/>
                <w:szCs w:val="24"/>
              </w:rPr>
              <w:t>evance to</w:t>
            </w:r>
            <w:r w:rsidR="0B3EFB02" w:rsidRPr="0044401C">
              <w:rPr>
                <w:rFonts w:asciiTheme="minorBidi" w:eastAsia="Arial" w:hAnsiTheme="minorBidi"/>
                <w:color w:val="000000" w:themeColor="text1"/>
                <w:sz w:val="24"/>
                <w:szCs w:val="24"/>
              </w:rPr>
              <w:t xml:space="preserve"> your current role</w:t>
            </w:r>
            <w:r w:rsidR="6B4D6251" w:rsidRPr="0044401C">
              <w:rPr>
                <w:rFonts w:asciiTheme="minorBidi" w:eastAsia="Arial" w:hAnsiTheme="minorBidi"/>
                <w:color w:val="000000" w:themeColor="text1"/>
                <w:sz w:val="24"/>
                <w:szCs w:val="24"/>
              </w:rPr>
              <w:t xml:space="preserve"> and </w:t>
            </w:r>
            <w:r w:rsidR="07E04127" w:rsidRPr="0044401C">
              <w:rPr>
                <w:rFonts w:asciiTheme="minorBidi" w:eastAsia="Arial" w:hAnsiTheme="minorBidi"/>
                <w:color w:val="000000" w:themeColor="text1"/>
                <w:sz w:val="24"/>
                <w:szCs w:val="24"/>
              </w:rPr>
              <w:t xml:space="preserve">investigative </w:t>
            </w:r>
            <w:r w:rsidR="6B4D6251" w:rsidRPr="0044401C">
              <w:rPr>
                <w:rFonts w:asciiTheme="minorBidi" w:eastAsia="Arial" w:hAnsiTheme="minorBidi"/>
                <w:color w:val="000000" w:themeColor="text1"/>
                <w:sz w:val="24"/>
                <w:szCs w:val="24"/>
              </w:rPr>
              <w:t>practice</w:t>
            </w:r>
          </w:p>
          <w:p w14:paraId="1993052A" w14:textId="2FBBDA3B" w:rsidR="05FD86C3" w:rsidRPr="0044401C" w:rsidRDefault="05FD86C3" w:rsidP="43D343CA">
            <w:pPr>
              <w:pStyle w:val="ListParagraph"/>
              <w:numPr>
                <w:ilvl w:val="0"/>
                <w:numId w:val="5"/>
              </w:numPr>
              <w:rPr>
                <w:rFonts w:asciiTheme="minorBidi" w:eastAsia="Arial" w:hAnsiTheme="minorBidi"/>
                <w:b/>
                <w:bCs/>
                <w:color w:val="000000" w:themeColor="text1"/>
                <w:sz w:val="24"/>
                <w:szCs w:val="24"/>
              </w:rPr>
            </w:pPr>
            <w:r w:rsidRPr="0044401C">
              <w:rPr>
                <w:rFonts w:asciiTheme="minorBidi" w:eastAsia="Arial" w:hAnsiTheme="minorBidi"/>
                <w:b/>
                <w:bCs/>
                <w:color w:val="000000" w:themeColor="text1"/>
                <w:sz w:val="24"/>
                <w:szCs w:val="24"/>
              </w:rPr>
              <w:t xml:space="preserve">Information </w:t>
            </w:r>
          </w:p>
          <w:p w14:paraId="5DF9787D" w14:textId="6AA4B14B" w:rsidR="7C0D9A60" w:rsidRPr="0044401C" w:rsidRDefault="7C0D9A60" w:rsidP="43D343CA">
            <w:pPr>
              <w:pStyle w:val="ListParagraph"/>
              <w:numPr>
                <w:ilvl w:val="0"/>
                <w:numId w:val="5"/>
              </w:numPr>
              <w:rPr>
                <w:rFonts w:asciiTheme="minorBidi" w:eastAsia="Arial" w:hAnsiTheme="minorBidi"/>
                <w:b/>
                <w:bCs/>
                <w:color w:val="000000" w:themeColor="text1"/>
                <w:sz w:val="24"/>
                <w:szCs w:val="24"/>
              </w:rPr>
            </w:pPr>
            <w:r w:rsidRPr="0044401C">
              <w:rPr>
                <w:rFonts w:asciiTheme="minorBidi" w:eastAsia="Arial" w:hAnsiTheme="minorBidi"/>
                <w:b/>
                <w:bCs/>
                <w:color w:val="000000" w:themeColor="text1"/>
                <w:sz w:val="24"/>
                <w:szCs w:val="24"/>
              </w:rPr>
              <w:t>I</w:t>
            </w:r>
            <w:r w:rsidR="05FD86C3" w:rsidRPr="0044401C">
              <w:rPr>
                <w:rFonts w:asciiTheme="minorBidi" w:eastAsia="Arial" w:hAnsiTheme="minorBidi"/>
                <w:b/>
                <w:bCs/>
                <w:color w:val="000000" w:themeColor="text1"/>
                <w:sz w:val="24"/>
                <w:szCs w:val="24"/>
              </w:rPr>
              <w:t>ntelligence</w:t>
            </w:r>
          </w:p>
          <w:p w14:paraId="5173C893" w14:textId="4266AE20" w:rsidR="05FD86C3" w:rsidRPr="0044401C" w:rsidRDefault="05FD86C3" w:rsidP="43D343CA">
            <w:pPr>
              <w:pStyle w:val="ListParagraph"/>
              <w:numPr>
                <w:ilvl w:val="0"/>
                <w:numId w:val="5"/>
              </w:numPr>
              <w:rPr>
                <w:rFonts w:asciiTheme="minorBidi" w:eastAsia="Arial" w:hAnsiTheme="minorBidi"/>
                <w:b/>
                <w:bCs/>
                <w:color w:val="000000" w:themeColor="text1"/>
                <w:sz w:val="24"/>
                <w:szCs w:val="24"/>
              </w:rPr>
            </w:pPr>
            <w:r w:rsidRPr="0044401C">
              <w:rPr>
                <w:rFonts w:asciiTheme="minorBidi" w:eastAsia="Arial" w:hAnsiTheme="minorBidi"/>
                <w:b/>
                <w:bCs/>
                <w:color w:val="000000" w:themeColor="text1"/>
                <w:sz w:val="24"/>
                <w:szCs w:val="24"/>
              </w:rPr>
              <w:t>Evidence gathering</w:t>
            </w:r>
          </w:p>
          <w:p w14:paraId="38A7D2FC" w14:textId="21EB9BA9" w:rsidR="43D343CA" w:rsidRPr="0044401C" w:rsidRDefault="43D343CA" w:rsidP="43D343CA">
            <w:pPr>
              <w:rPr>
                <w:rFonts w:asciiTheme="minorBidi" w:eastAsia="Arial" w:hAnsiTheme="minorBidi"/>
                <w:color w:val="000000" w:themeColor="text1"/>
                <w:sz w:val="24"/>
                <w:szCs w:val="24"/>
              </w:rPr>
            </w:pPr>
          </w:p>
          <w:p w14:paraId="6B2E420F" w14:textId="7EF6C7C2" w:rsidR="260DA7CA" w:rsidRPr="0044401C" w:rsidRDefault="260DA7CA" w:rsidP="4BFE4F66">
            <w:pPr>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b</w:t>
            </w:r>
            <w:r w:rsidR="365636C9" w:rsidRPr="0044401C">
              <w:rPr>
                <w:rFonts w:asciiTheme="minorBidi" w:eastAsia="Arial" w:hAnsiTheme="minorBidi"/>
                <w:color w:val="000000" w:themeColor="text1"/>
                <w:sz w:val="24"/>
                <w:szCs w:val="24"/>
              </w:rPr>
              <w:t>.</w:t>
            </w:r>
            <w:r w:rsidR="2CBAE866" w:rsidRPr="0044401C">
              <w:rPr>
                <w:rFonts w:asciiTheme="minorBidi" w:eastAsia="Arial" w:hAnsiTheme="minorBidi"/>
                <w:color w:val="000000" w:themeColor="text1"/>
                <w:sz w:val="24"/>
                <w:szCs w:val="24"/>
              </w:rPr>
              <w:t xml:space="preserve"> </w:t>
            </w:r>
            <w:r w:rsidR="0B3EFB02" w:rsidRPr="0044401C">
              <w:rPr>
                <w:rFonts w:asciiTheme="minorBidi" w:eastAsia="Arial" w:hAnsiTheme="minorBidi"/>
                <w:b/>
                <w:bCs/>
                <w:color w:val="000000" w:themeColor="text1"/>
                <w:sz w:val="24"/>
                <w:szCs w:val="24"/>
              </w:rPr>
              <w:t>C</w:t>
            </w:r>
            <w:r w:rsidR="78BDF5D2" w:rsidRPr="0044401C">
              <w:rPr>
                <w:rFonts w:asciiTheme="minorBidi" w:eastAsia="Arial" w:hAnsiTheme="minorBidi"/>
                <w:b/>
                <w:bCs/>
                <w:color w:val="000000" w:themeColor="text1"/>
                <w:sz w:val="24"/>
                <w:szCs w:val="24"/>
              </w:rPr>
              <w:t>ritically discuss</w:t>
            </w:r>
            <w:r w:rsidR="78BDF5D2" w:rsidRPr="0044401C">
              <w:rPr>
                <w:rFonts w:asciiTheme="minorBidi" w:eastAsia="Arial" w:hAnsiTheme="minorBidi"/>
                <w:color w:val="000000" w:themeColor="text1"/>
                <w:sz w:val="24"/>
                <w:szCs w:val="24"/>
              </w:rPr>
              <w:t xml:space="preserve"> </w:t>
            </w:r>
            <w:r w:rsidR="0DE4518D" w:rsidRPr="0044401C">
              <w:rPr>
                <w:rFonts w:asciiTheme="minorBidi" w:eastAsia="Arial" w:hAnsiTheme="minorBidi"/>
                <w:color w:val="000000" w:themeColor="text1"/>
                <w:sz w:val="24"/>
                <w:szCs w:val="24"/>
              </w:rPr>
              <w:t>the challenges</w:t>
            </w:r>
            <w:r w:rsidR="38696116" w:rsidRPr="0044401C">
              <w:rPr>
                <w:rFonts w:asciiTheme="minorBidi" w:eastAsia="Arial" w:hAnsiTheme="minorBidi"/>
                <w:color w:val="000000" w:themeColor="text1"/>
                <w:sz w:val="24"/>
                <w:szCs w:val="24"/>
              </w:rPr>
              <w:t xml:space="preserve"> and obstacles </w:t>
            </w:r>
            <w:r w:rsidR="0DE4518D" w:rsidRPr="0044401C">
              <w:rPr>
                <w:rFonts w:asciiTheme="minorBidi" w:eastAsia="Arial" w:hAnsiTheme="minorBidi"/>
                <w:color w:val="000000" w:themeColor="text1"/>
                <w:sz w:val="24"/>
                <w:szCs w:val="24"/>
              </w:rPr>
              <w:t xml:space="preserve">that </w:t>
            </w:r>
            <w:r w:rsidR="2F10EAD3" w:rsidRPr="0044401C">
              <w:rPr>
                <w:rFonts w:asciiTheme="minorBidi" w:eastAsia="Arial" w:hAnsiTheme="minorBidi"/>
                <w:color w:val="000000" w:themeColor="text1"/>
                <w:sz w:val="24"/>
                <w:szCs w:val="24"/>
              </w:rPr>
              <w:t>the chosen area presents to you</w:t>
            </w:r>
            <w:r w:rsidR="3178C28B" w:rsidRPr="0044401C">
              <w:rPr>
                <w:rFonts w:asciiTheme="minorBidi" w:eastAsia="Arial" w:hAnsiTheme="minorBidi"/>
                <w:color w:val="000000" w:themeColor="text1"/>
                <w:sz w:val="24"/>
                <w:szCs w:val="24"/>
              </w:rPr>
              <w:t xml:space="preserve"> as an investigator and how</w:t>
            </w:r>
            <w:r w:rsidR="4EAF7A13" w:rsidRPr="0044401C">
              <w:rPr>
                <w:rFonts w:asciiTheme="minorBidi" w:eastAsia="Arial" w:hAnsiTheme="minorBidi"/>
                <w:color w:val="000000" w:themeColor="text1"/>
                <w:sz w:val="24"/>
                <w:szCs w:val="24"/>
              </w:rPr>
              <w:t xml:space="preserve"> </w:t>
            </w:r>
            <w:r w:rsidR="6295E62E" w:rsidRPr="0044401C">
              <w:rPr>
                <w:rFonts w:asciiTheme="minorBidi" w:eastAsia="Arial" w:hAnsiTheme="minorBidi"/>
                <w:color w:val="000000" w:themeColor="text1"/>
                <w:sz w:val="24"/>
                <w:szCs w:val="24"/>
              </w:rPr>
              <w:t xml:space="preserve">it </w:t>
            </w:r>
            <w:r w:rsidR="4EAF7A13" w:rsidRPr="0044401C">
              <w:rPr>
                <w:rFonts w:asciiTheme="minorBidi" w:eastAsia="Arial" w:hAnsiTheme="minorBidi"/>
                <w:color w:val="000000" w:themeColor="text1"/>
                <w:sz w:val="24"/>
                <w:szCs w:val="24"/>
              </w:rPr>
              <w:t>impacts upon investigative practice</w:t>
            </w:r>
            <w:r w:rsidR="5274374B" w:rsidRPr="0044401C">
              <w:rPr>
                <w:rFonts w:asciiTheme="minorBidi" w:eastAsia="Arial" w:hAnsiTheme="minorBidi"/>
                <w:color w:val="000000" w:themeColor="text1"/>
                <w:sz w:val="24"/>
                <w:szCs w:val="24"/>
              </w:rPr>
              <w:t>.</w:t>
            </w:r>
          </w:p>
          <w:p w14:paraId="2A5CCC9C" w14:textId="37665298" w:rsidR="7336895D" w:rsidRPr="0044401C" w:rsidRDefault="7336895D" w:rsidP="515A1CF8">
            <w:pPr>
              <w:rPr>
                <w:rFonts w:asciiTheme="minorBidi" w:eastAsia="Arial" w:hAnsiTheme="minorBidi"/>
              </w:rPr>
            </w:pPr>
          </w:p>
          <w:p w14:paraId="01B79DB0" w14:textId="3A3786FB" w:rsidR="7336895D" w:rsidRPr="0044401C" w:rsidRDefault="43CA232F" w:rsidP="4BFE4F66">
            <w:pPr>
              <w:rPr>
                <w:rFonts w:asciiTheme="minorBidi" w:eastAsia="Arial" w:hAnsiTheme="minorBidi"/>
                <w:sz w:val="24"/>
                <w:szCs w:val="24"/>
              </w:rPr>
            </w:pPr>
            <w:r w:rsidRPr="0044401C">
              <w:rPr>
                <w:rFonts w:asciiTheme="minorBidi" w:eastAsia="Arial" w:hAnsiTheme="minorBidi"/>
                <w:sz w:val="24"/>
                <w:szCs w:val="24"/>
              </w:rPr>
              <w:t>(</w:t>
            </w:r>
            <w:r w:rsidR="70B0F0B0" w:rsidRPr="0044401C">
              <w:rPr>
                <w:rFonts w:asciiTheme="minorBidi" w:eastAsia="Arial" w:hAnsiTheme="minorBidi"/>
                <w:sz w:val="24"/>
                <w:szCs w:val="24"/>
              </w:rPr>
              <w:t>Y</w:t>
            </w:r>
            <w:r w:rsidRPr="0044401C">
              <w:rPr>
                <w:rFonts w:asciiTheme="minorBidi" w:eastAsia="Arial" w:hAnsiTheme="minorBidi"/>
                <w:sz w:val="24"/>
                <w:szCs w:val="24"/>
              </w:rPr>
              <w:t xml:space="preserve">ou may draw upon examples from your own </w:t>
            </w:r>
            <w:r w:rsidR="72338399" w:rsidRPr="0044401C">
              <w:rPr>
                <w:rFonts w:asciiTheme="minorBidi" w:eastAsia="Arial" w:hAnsiTheme="minorBidi"/>
                <w:sz w:val="24"/>
                <w:szCs w:val="24"/>
              </w:rPr>
              <w:t xml:space="preserve">investigative </w:t>
            </w:r>
            <w:r w:rsidRPr="0044401C">
              <w:rPr>
                <w:rFonts w:asciiTheme="minorBidi" w:eastAsia="Arial" w:hAnsiTheme="minorBidi"/>
                <w:sz w:val="24"/>
                <w:szCs w:val="24"/>
              </w:rPr>
              <w:t>e</w:t>
            </w:r>
            <w:r w:rsidR="22333C12" w:rsidRPr="0044401C">
              <w:rPr>
                <w:rFonts w:asciiTheme="minorBidi" w:eastAsia="Arial" w:hAnsiTheme="minorBidi"/>
                <w:sz w:val="24"/>
                <w:szCs w:val="24"/>
              </w:rPr>
              <w:t xml:space="preserve">xperience to </w:t>
            </w:r>
            <w:r w:rsidR="34A24916" w:rsidRPr="0044401C">
              <w:rPr>
                <w:rFonts w:asciiTheme="minorBidi" w:eastAsia="Arial" w:hAnsiTheme="minorBidi"/>
                <w:sz w:val="24"/>
                <w:szCs w:val="24"/>
              </w:rPr>
              <w:t>support your discussion)</w:t>
            </w:r>
            <w:r w:rsidR="36DFC64D" w:rsidRPr="0044401C">
              <w:rPr>
                <w:rFonts w:asciiTheme="minorBidi" w:eastAsia="Arial" w:hAnsiTheme="minorBidi"/>
                <w:sz w:val="24"/>
                <w:szCs w:val="24"/>
              </w:rPr>
              <w:t>.</w:t>
            </w:r>
          </w:p>
          <w:p w14:paraId="2B01AA59" w14:textId="1D17537D" w:rsidR="4BFE4F66" w:rsidRPr="0044401C" w:rsidRDefault="4BFE4F66" w:rsidP="4BFE4F66">
            <w:pPr>
              <w:rPr>
                <w:rFonts w:asciiTheme="minorBidi" w:eastAsia="Arial" w:hAnsiTheme="minorBidi"/>
                <w:sz w:val="24"/>
                <w:szCs w:val="24"/>
              </w:rPr>
            </w:pPr>
          </w:p>
          <w:p w14:paraId="2C08B90F" w14:textId="06031430" w:rsidR="7336895D" w:rsidRPr="0044401C" w:rsidRDefault="55B9A6C8" w:rsidP="43D343CA">
            <w:pPr>
              <w:ind w:right="237"/>
              <w:jc w:val="both"/>
              <w:rPr>
                <w:rFonts w:asciiTheme="minorBidi" w:eastAsia="Calibri" w:hAnsiTheme="minorBidi"/>
              </w:rPr>
            </w:pPr>
            <w:r w:rsidRPr="0044401C">
              <w:rPr>
                <w:rFonts w:asciiTheme="minorBidi" w:eastAsia="Arial" w:hAnsiTheme="minorBidi"/>
                <w:b/>
                <w:bCs/>
                <w:color w:val="000000" w:themeColor="text1"/>
                <w:sz w:val="24"/>
                <w:szCs w:val="24"/>
              </w:rPr>
              <w:t>2000 words</w:t>
            </w:r>
            <w:r w:rsidRPr="0044401C">
              <w:rPr>
                <w:rFonts w:asciiTheme="minorBidi" w:eastAsia="Arial" w:hAnsiTheme="minorBidi"/>
                <w:color w:val="000000" w:themeColor="text1"/>
                <w:sz w:val="24"/>
                <w:szCs w:val="24"/>
              </w:rPr>
              <w:t xml:space="preserve"> </w:t>
            </w:r>
            <w:r w:rsidRPr="0044401C">
              <w:rPr>
                <w:rFonts w:asciiTheme="minorBidi" w:eastAsia="Arial" w:hAnsiTheme="minorBidi"/>
                <w:i/>
                <w:iCs/>
                <w:color w:val="000000" w:themeColor="text1"/>
                <w:sz w:val="24"/>
                <w:szCs w:val="24"/>
              </w:rPr>
              <w:t>(+/- 10%: include your actual word count at the end of each section)</w:t>
            </w:r>
          </w:p>
          <w:p w14:paraId="2F7715EC" w14:textId="3D99FF1F" w:rsidR="7336895D" w:rsidRPr="0044401C" w:rsidRDefault="7336895D" w:rsidP="43D343CA">
            <w:pPr>
              <w:ind w:right="237"/>
              <w:jc w:val="both"/>
              <w:rPr>
                <w:rFonts w:asciiTheme="minorBidi" w:eastAsia="Arial" w:hAnsiTheme="minorBidi"/>
                <w:i/>
                <w:iCs/>
                <w:color w:val="000000" w:themeColor="text1"/>
                <w:sz w:val="24"/>
                <w:szCs w:val="24"/>
              </w:rPr>
            </w:pPr>
          </w:p>
        </w:tc>
      </w:tr>
    </w:tbl>
    <w:p w14:paraId="73A5527A" w14:textId="6827B766" w:rsidR="2F17ACDD" w:rsidRPr="0044401C" w:rsidRDefault="2F17ACDD" w:rsidP="57DF25C0">
      <w:pPr>
        <w:ind w:left="3600" w:right="107"/>
        <w:rPr>
          <w:rFonts w:asciiTheme="minorBidi" w:eastAsia="Arial" w:hAnsiTheme="minorBidi"/>
          <w:b/>
          <w:bCs/>
          <w:color w:val="000000" w:themeColor="text1"/>
          <w:sz w:val="24"/>
          <w:szCs w:val="24"/>
        </w:rPr>
      </w:pPr>
    </w:p>
    <w:p w14:paraId="6DECEB36" w14:textId="77777777" w:rsidR="004A7A86" w:rsidRPr="00530907" w:rsidRDefault="004A7A86" w:rsidP="00530907">
      <w:pPr>
        <w:spacing w:line="360" w:lineRule="auto"/>
        <w:rPr>
          <w:rFonts w:ascii="Arial" w:hAnsi="Arial" w:cs="Arial"/>
          <w:b/>
          <w:bCs/>
        </w:rPr>
      </w:pPr>
      <w:bookmarkStart w:id="0" w:name="_Hlk197526170"/>
      <w:r w:rsidRPr="00530907">
        <w:rPr>
          <w:rFonts w:ascii="Arial" w:hAnsi="Arial" w:cs="Arial"/>
          <w:b/>
          <w:bCs/>
        </w:rPr>
        <w:t>Task 1A</w:t>
      </w:r>
    </w:p>
    <w:p w14:paraId="7235A8D3" w14:textId="350873AC" w:rsidR="004A7A86" w:rsidRPr="00530907" w:rsidRDefault="004A7A86" w:rsidP="00530907">
      <w:pPr>
        <w:spacing w:line="360" w:lineRule="auto"/>
        <w:rPr>
          <w:rFonts w:ascii="Arial" w:hAnsi="Arial" w:cs="Arial"/>
          <w:b/>
          <w:bCs/>
        </w:rPr>
      </w:pPr>
      <w:r w:rsidRPr="00530907">
        <w:rPr>
          <w:rFonts w:ascii="Arial" w:hAnsi="Arial" w:cs="Arial"/>
          <w:b/>
          <w:bCs/>
        </w:rPr>
        <w:t>Answer:</w:t>
      </w:r>
    </w:p>
    <w:p w14:paraId="3079D1E7" w14:textId="6B45DCD4" w:rsidR="004A7A86" w:rsidRPr="00530907" w:rsidRDefault="004A7A86" w:rsidP="00530907">
      <w:pPr>
        <w:spacing w:line="360" w:lineRule="auto"/>
        <w:rPr>
          <w:rFonts w:ascii="Arial" w:hAnsi="Arial" w:cs="Arial"/>
          <w:b/>
          <w:bCs/>
        </w:rPr>
      </w:pPr>
      <w:r w:rsidRPr="00530907">
        <w:rPr>
          <w:rFonts w:ascii="Arial" w:hAnsi="Arial" w:cs="Arial"/>
          <w:b/>
          <w:bCs/>
        </w:rPr>
        <w:t>Introduction</w:t>
      </w:r>
    </w:p>
    <w:p w14:paraId="4C765CBD" w14:textId="77777777" w:rsidR="004A7A86" w:rsidRPr="00530907" w:rsidRDefault="004A7A86" w:rsidP="00530907">
      <w:pPr>
        <w:spacing w:line="360" w:lineRule="auto"/>
        <w:rPr>
          <w:rFonts w:ascii="Arial" w:hAnsi="Arial" w:cs="Arial"/>
        </w:rPr>
      </w:pPr>
      <w:r w:rsidRPr="00530907">
        <w:rPr>
          <w:rFonts w:ascii="Arial" w:hAnsi="Arial" w:cs="Arial"/>
        </w:rPr>
        <w:t xml:space="preserve">Evidence gathering has evolved significantly from its origins in British policing, where the 'Hue and Cry' system (Police Recruitment, 2021) required citizens to report and help apprehend criminals, through to the establishment of systematic criminal investigation methods with Scotland Yard's Detective Department in 1842 (Masterpiece, 2025). </w:t>
      </w:r>
    </w:p>
    <w:p w14:paraId="73D0A5FC" w14:textId="77777777" w:rsidR="004A7A86" w:rsidRPr="00530907" w:rsidRDefault="004A7A86" w:rsidP="00530907">
      <w:pPr>
        <w:spacing w:line="360" w:lineRule="auto"/>
        <w:rPr>
          <w:rFonts w:ascii="Arial" w:hAnsi="Arial" w:cs="Arial"/>
        </w:rPr>
      </w:pPr>
      <w:r w:rsidRPr="00530907">
        <w:rPr>
          <w:rFonts w:ascii="Arial" w:hAnsi="Arial" w:cs="Arial"/>
        </w:rPr>
        <w:t xml:space="preserve">I believe that the creation of the 'Hue and Cry' system is when evidence-gathering within policing first started, and it has continued to evolve ever since. </w:t>
      </w:r>
    </w:p>
    <w:p w14:paraId="267CA0E5" w14:textId="77777777" w:rsidR="004A7A86" w:rsidRPr="00530907" w:rsidRDefault="004A7A86" w:rsidP="00530907">
      <w:pPr>
        <w:spacing w:line="360" w:lineRule="auto"/>
        <w:rPr>
          <w:rFonts w:ascii="Arial" w:eastAsia="Arial" w:hAnsi="Arial" w:cs="Arial"/>
          <w:color w:val="000000" w:themeColor="text1"/>
        </w:rPr>
      </w:pPr>
      <w:r w:rsidRPr="00530907">
        <w:rPr>
          <w:rFonts w:ascii="Arial" w:hAnsi="Arial" w:cs="Arial"/>
        </w:rPr>
        <w:t xml:space="preserve">The introduction of scientific approaches in the 1860s, formalised by the Criminal Investigation Department's creation in 1878 (National Centre for Policing Excellence, 2005), laid the foundation for modern evidence-gathering practices. </w:t>
      </w:r>
      <w:r w:rsidRPr="00530907">
        <w:rPr>
          <w:rFonts w:ascii="Arial" w:eastAsia="Arial" w:hAnsi="Arial" w:cs="Arial"/>
          <w:color w:val="000000" w:themeColor="text1"/>
        </w:rPr>
        <w:t>According to Popple (2005), The Prevention of Crime Act 1871 mandated photography in all prisons and created a centralised image database at Scotland Yard, which grew to contain approximately 60,000 criminal photographs by 1886.</w:t>
      </w:r>
    </w:p>
    <w:p w14:paraId="16353DD9" w14:textId="77777777" w:rsidR="004A7A86" w:rsidRPr="00530907" w:rsidRDefault="004A7A86" w:rsidP="00530907">
      <w:pPr>
        <w:spacing w:line="360" w:lineRule="auto"/>
        <w:rPr>
          <w:rFonts w:ascii="Arial" w:eastAsia="Arial" w:hAnsi="Arial" w:cs="Arial"/>
          <w:color w:val="000000" w:themeColor="text1"/>
        </w:rPr>
      </w:pPr>
      <w:r w:rsidRPr="00530907">
        <w:rPr>
          <w:rFonts w:ascii="Arial" w:eastAsia="Arial" w:hAnsi="Arial" w:cs="Arial"/>
          <w:color w:val="000000" w:themeColor="text1"/>
        </w:rPr>
        <w:t>Later advances included fingerprinting, adopted by Scotland Yard when, on 1</w:t>
      </w:r>
      <w:r w:rsidRPr="00530907">
        <w:rPr>
          <w:rFonts w:ascii="Arial" w:eastAsia="Arial" w:hAnsi="Arial" w:cs="Arial"/>
          <w:color w:val="000000" w:themeColor="text1"/>
          <w:vertAlign w:val="superscript"/>
        </w:rPr>
        <w:t>st</w:t>
      </w:r>
      <w:r w:rsidRPr="00530907">
        <w:rPr>
          <w:rFonts w:ascii="Arial" w:eastAsia="Arial" w:hAnsi="Arial" w:cs="Arial"/>
          <w:color w:val="000000" w:themeColor="text1"/>
        </w:rPr>
        <w:t xml:space="preserve"> July 1901, Sir Edward Richard Henry, as Assistant Commissioner (Crime) of the Metropolitan Police, established Britain’s first Fingerprint Bureau at Scotland Yard (Watts, 2023).  </w:t>
      </w:r>
    </w:p>
    <w:p w14:paraId="13925A58" w14:textId="77777777" w:rsidR="004A7A86" w:rsidRPr="00530907" w:rsidRDefault="004A7A86" w:rsidP="00530907">
      <w:pPr>
        <w:spacing w:line="360" w:lineRule="auto"/>
        <w:rPr>
          <w:rFonts w:ascii="Arial" w:eastAsia="Arial" w:hAnsi="Arial" w:cs="Arial"/>
          <w:color w:val="000000" w:themeColor="text1"/>
        </w:rPr>
      </w:pPr>
      <w:r w:rsidRPr="00530907">
        <w:rPr>
          <w:rFonts w:ascii="Arial" w:eastAsia="Arial" w:hAnsi="Arial" w:cs="Arial"/>
          <w:color w:val="000000" w:themeColor="text1"/>
        </w:rPr>
        <w:t xml:space="preserve">In 1984, the Police and Criminal Evidence Act (PACE) 1984 was introduced to standardise and professionalise police work. It provides a core framework of police powers and safeguards around stop and search, arrest, detention, investigation, identification and interviewing suspects, all of which are important and relevant evidence-gathering tools </w:t>
      </w:r>
      <w:r w:rsidRPr="00530907">
        <w:rPr>
          <w:rFonts w:ascii="Arial" w:eastAsia="Arial" w:hAnsi="Arial" w:cs="Arial"/>
          <w:color w:val="000000" w:themeColor="text1"/>
        </w:rPr>
        <w:lastRenderedPageBreak/>
        <w:t>(Prenzler and Ransley, 2002). Like evidence-gathering, PACE has continued to evolve since its inception, with almost yearly additions and changes (College of Policing, 2024).</w:t>
      </w:r>
    </w:p>
    <w:p w14:paraId="70A09165" w14:textId="77777777" w:rsidR="004A7A86" w:rsidRPr="00530907" w:rsidRDefault="004A7A86" w:rsidP="00530907">
      <w:pPr>
        <w:spacing w:line="360" w:lineRule="auto"/>
        <w:rPr>
          <w:rFonts w:ascii="Arial" w:hAnsi="Arial" w:cs="Arial"/>
        </w:rPr>
      </w:pPr>
      <w:r w:rsidRPr="00530907">
        <w:rPr>
          <w:rFonts w:ascii="Arial" w:hAnsi="Arial" w:cs="Arial"/>
        </w:rPr>
        <w:t>Like the introduction of PACE, in 1996 the Criminal Procedure and Investigations Act 1996 (CPIA) was introduced. The Criminal Procedure and Investigations Act 1996 (CPIA) is a statutory instrument in the United Kingdom that establishes the framework for the investigation and prosecution of criminal offences (Ministry of Justice, 2020). It outlines the procedures by which police officers must record, retain, and disclose material obtained during a criminal investigation that may be relevant to the case, along with related considerations.</w:t>
      </w:r>
    </w:p>
    <w:p w14:paraId="5AF6CF11" w14:textId="77777777" w:rsidR="004A7A86" w:rsidRPr="00530907" w:rsidRDefault="004A7A86" w:rsidP="00530907">
      <w:pPr>
        <w:spacing w:line="360" w:lineRule="auto"/>
        <w:rPr>
          <w:rFonts w:ascii="Arial" w:hAnsi="Arial" w:cs="Arial"/>
        </w:rPr>
      </w:pPr>
      <w:r w:rsidRPr="00530907">
        <w:rPr>
          <w:rFonts w:ascii="Arial" w:hAnsi="Arial" w:cs="Arial"/>
        </w:rPr>
        <w:t>In my current role as a police officer, evidence-gathering forms the cornerstone of my investigative work. Through complex investigations like Operation Shotton, focusing on an organised crime group trafficking children for drug dealing, as noted by Prince, Lum and Koper (2021), I've witnessed how systematic evidence collection directly impacts successful prosecutions and public protection. This involves diverse evidence-gathering methods, from digital sources including telecommunications data (Information Commissioner's Office, 2020) and CCTV (Ashby, 2017) to physical evidence and financial documents. The use of technological tools such as ANPR systems (College of Policing, 2023) demonstrates how modern technology has enhanced my investigative capabilities, though Fussey and Sandhu (2020) argue this evolution has outpaced existing regulatory frameworks.</w:t>
      </w:r>
    </w:p>
    <w:p w14:paraId="4972B749" w14:textId="77777777" w:rsidR="004A7A86" w:rsidRPr="00530907" w:rsidRDefault="004A7A86" w:rsidP="00530907">
      <w:pPr>
        <w:spacing w:line="360" w:lineRule="auto"/>
        <w:rPr>
          <w:rFonts w:ascii="Arial" w:hAnsi="Arial" w:cs="Arial"/>
        </w:rPr>
      </w:pPr>
      <w:r w:rsidRPr="00530907">
        <w:rPr>
          <w:rFonts w:ascii="Arial" w:hAnsi="Arial" w:cs="Arial"/>
        </w:rPr>
        <w:t xml:space="preserve">Legal frameworks govern these activities, particularly the Police and Criminal Evidence Act (PACE) 1984 (GOV.UK, 2013) and the Regulation of Investigatory Powers Act 2000 (RIPA) (Home Office, 2023), ensuring proper chain of custody and sufficient evidence before arrests (Bradbury and Feist, 2005). </w:t>
      </w:r>
    </w:p>
    <w:p w14:paraId="50EE4BE0" w14:textId="77777777" w:rsidR="004A7A86" w:rsidRPr="00530907" w:rsidRDefault="004A7A86" w:rsidP="00530907">
      <w:pPr>
        <w:spacing w:line="360" w:lineRule="auto"/>
        <w:rPr>
          <w:rFonts w:ascii="Arial" w:hAnsi="Arial" w:cs="Arial"/>
        </w:rPr>
      </w:pPr>
      <w:r w:rsidRPr="00530907">
        <w:rPr>
          <w:rFonts w:ascii="Arial" w:hAnsi="Arial" w:cs="Arial"/>
        </w:rPr>
        <w:t>Mahajan and Pandit (2024) emphasise that maintaining data integrity throughout the forensic process is essential for court admissibility. Similarly, extensive collaboration with other agencies is also required (Local Government Association, 2015), as policing faces increasingly sophisticated criminal methods (</w:t>
      </w:r>
      <w:proofErr w:type="spellStart"/>
      <w:r w:rsidRPr="00530907">
        <w:rPr>
          <w:rFonts w:ascii="Arial" w:hAnsi="Arial" w:cs="Arial"/>
        </w:rPr>
        <w:t>rchapman</w:t>
      </w:r>
      <w:proofErr w:type="spellEnd"/>
      <w:r w:rsidRPr="00530907">
        <w:rPr>
          <w:rFonts w:ascii="Arial" w:hAnsi="Arial" w:cs="Arial"/>
        </w:rPr>
        <w:t xml:space="preserve">, 2021), particularly in digital spaces (Global Cyber Security Network, 2025). </w:t>
      </w:r>
    </w:p>
    <w:p w14:paraId="60E1C0D7" w14:textId="77777777" w:rsidR="004A7A86" w:rsidRPr="00530907" w:rsidRDefault="004A7A86" w:rsidP="00530907">
      <w:pPr>
        <w:spacing w:line="360" w:lineRule="auto"/>
        <w:rPr>
          <w:rFonts w:ascii="Arial" w:hAnsi="Arial" w:cs="Arial"/>
        </w:rPr>
      </w:pPr>
      <w:r w:rsidRPr="00530907">
        <w:rPr>
          <w:rFonts w:ascii="Arial" w:hAnsi="Arial" w:cs="Arial"/>
        </w:rPr>
        <w:t xml:space="preserve">Ficara et al. (2022) demonstrate that effective disruption of covert networks requires combining human and social capital approaches with evidence-gathering. Continuous Professional Development (CPD) remains critical in this evolving landscape (Martin, 2021), with Modise's (2023) research showing how CPD keeps officers current with legal changes, new technologies, and investigative methods. Morgan (2024) emphasises that evidence-gathering in modern British policing combines traditional methods with advanced forensic </w:t>
      </w:r>
      <w:r w:rsidRPr="00530907">
        <w:rPr>
          <w:rFonts w:ascii="Arial" w:hAnsi="Arial" w:cs="Arial"/>
        </w:rPr>
        <w:lastRenderedPageBreak/>
        <w:t>techniques and digital technologies, supporting successful prosecutions and protecting against wrongful convictions (Morgan, 2023).</w:t>
      </w:r>
    </w:p>
    <w:p w14:paraId="4FAFEA98" w14:textId="77777777" w:rsidR="004A7A86" w:rsidRPr="00530907" w:rsidRDefault="004A7A86" w:rsidP="00530907">
      <w:pPr>
        <w:spacing w:line="360" w:lineRule="auto"/>
        <w:rPr>
          <w:rFonts w:ascii="Arial" w:hAnsi="Arial" w:cs="Arial"/>
        </w:rPr>
      </w:pPr>
      <w:r w:rsidRPr="00530907">
        <w:rPr>
          <w:rFonts w:ascii="Arial" w:hAnsi="Arial" w:cs="Arial"/>
        </w:rPr>
        <w:t>Proper recordkeeping, itself a form of evidence-gathering (HMICFRS, 2024), is crucial, with Lawan and Henttonen (2024) emphasising that while reliable evidence is essential for successful investigations, compromised recordkeeping undermines investigative integrity. This comprehensive approach to evidence-gathering ensures both investigative integrity and admissibility while satisfying legal requirements for proving guilt beyond a reasonable doubt (</w:t>
      </w:r>
      <w:r w:rsidRPr="00530907">
        <w:rPr>
          <w:rFonts w:ascii="Arial" w:hAnsi="Arial" w:cs="Arial"/>
          <w:color w:val="000000" w:themeColor="text1"/>
        </w:rPr>
        <w:t xml:space="preserve">Ministry of Justice 2023). </w:t>
      </w:r>
    </w:p>
    <w:p w14:paraId="2AC7B80A" w14:textId="77777777" w:rsidR="004A7A86" w:rsidRPr="00530907" w:rsidRDefault="004A7A86" w:rsidP="00530907">
      <w:pPr>
        <w:spacing w:line="360" w:lineRule="auto"/>
        <w:rPr>
          <w:rFonts w:ascii="Arial" w:hAnsi="Arial" w:cs="Arial"/>
          <w:b/>
          <w:bCs/>
        </w:rPr>
      </w:pPr>
      <w:r w:rsidRPr="00530907">
        <w:rPr>
          <w:rFonts w:ascii="Arial" w:hAnsi="Arial" w:cs="Arial"/>
          <w:b/>
          <w:bCs/>
        </w:rPr>
        <w:t>Conclusion</w:t>
      </w:r>
    </w:p>
    <w:p w14:paraId="4AEC23E9" w14:textId="77777777" w:rsidR="004A7A86" w:rsidRPr="00530907" w:rsidRDefault="004A7A86" w:rsidP="00530907">
      <w:pPr>
        <w:spacing w:line="360" w:lineRule="auto"/>
        <w:rPr>
          <w:rFonts w:ascii="Arial" w:hAnsi="Arial" w:cs="Arial"/>
        </w:rPr>
      </w:pPr>
      <w:r w:rsidRPr="00530907">
        <w:rPr>
          <w:rFonts w:ascii="Arial" w:hAnsi="Arial" w:cs="Arial"/>
        </w:rPr>
        <w:t>Evidence gathering continues to be a fundamental component of modern policing, supporting the investigation and prosecution of criminal activities across various domains. As my experience as a police officer has shown, the process of collecting evidence is far more intricate today, encompassing both traditional investigative methods and advanced forensic and digital technologies. While technological advancements have enhanced the scope and efficiency of evidence-gathering, they also present new challenges, particularly in terms of ensuring digital integrity and adhering to evolving regulatory standards. As law enforcement agencies strive to keep pace with the increasing sophistication of criminal activities, maintaining robust evidence-gathering practices, upholding legal standards, and ensuring professional development are crucial to the success of modern policing. The future of effective law enforcement will depend on balancing cutting-edge technological tools with established legal frameworks, ensuring both the integrity of the criminal justice system and the protection of citizens' rights.</w:t>
      </w:r>
    </w:p>
    <w:p w14:paraId="602A7809" w14:textId="77777777" w:rsidR="004A7A86" w:rsidRPr="00530907" w:rsidRDefault="004A7A86" w:rsidP="00530907">
      <w:pPr>
        <w:spacing w:line="360" w:lineRule="auto"/>
        <w:rPr>
          <w:rFonts w:ascii="Arial" w:hAnsi="Arial" w:cs="Arial"/>
          <w:b/>
          <w:bCs/>
          <w:u w:val="single"/>
        </w:rPr>
      </w:pPr>
      <w:r w:rsidRPr="00530907">
        <w:rPr>
          <w:rFonts w:ascii="Arial" w:hAnsi="Arial" w:cs="Arial"/>
          <w:b/>
          <w:bCs/>
          <w:u w:val="single"/>
        </w:rPr>
        <w:t>Word Count = 812 Words.</w:t>
      </w:r>
    </w:p>
    <w:p w14:paraId="71370643" w14:textId="77777777" w:rsidR="004A7A86" w:rsidRPr="00530907" w:rsidRDefault="004A7A86" w:rsidP="00530907">
      <w:pPr>
        <w:spacing w:line="360" w:lineRule="auto"/>
        <w:rPr>
          <w:rFonts w:ascii="Arial" w:hAnsi="Arial" w:cs="Arial"/>
          <w:b/>
          <w:bCs/>
        </w:rPr>
      </w:pPr>
      <w:r w:rsidRPr="00530907">
        <w:rPr>
          <w:rFonts w:ascii="Arial" w:hAnsi="Arial" w:cs="Arial"/>
          <w:b/>
          <w:bCs/>
        </w:rPr>
        <w:t>Reference</w:t>
      </w:r>
    </w:p>
    <w:p w14:paraId="66F81BB1"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Ashby, M. P.J. (2017) ‘The Value of CCTV Surveillance Cameras as an Investigative Tool: An Empirical Analysis’</w:t>
      </w:r>
      <w:r w:rsidRPr="00530907">
        <w:rPr>
          <w:rFonts w:ascii="Arial" w:hAnsi="Arial" w:cs="Arial"/>
          <w:i/>
          <w:iCs/>
          <w:color w:val="000000" w:themeColor="text1"/>
          <w:lang w:val="en-GB"/>
        </w:rPr>
        <w:t xml:space="preserve">. European Journal on Criminal Policy and Research. </w:t>
      </w:r>
      <w:r w:rsidRPr="00530907">
        <w:rPr>
          <w:rFonts w:ascii="Arial" w:hAnsi="Arial" w:cs="Arial"/>
          <w:color w:val="000000" w:themeColor="text1"/>
          <w:lang w:val="en-GB"/>
        </w:rPr>
        <w:t>Available at: doi:https://doi.org/10.1007/s10610-017-9341-6 (Accessed: 06 May 2025).</w:t>
      </w:r>
    </w:p>
    <w:p w14:paraId="7F4D10D8"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Bradbury, S.-A. &amp; Feist, A. (2005) ‘The use of forensic science in volume crime investigations: a review of the research literature’. Available at: </w:t>
      </w:r>
      <w:hyperlink r:id="rId8" w:history="1">
        <w:r w:rsidRPr="00530907">
          <w:rPr>
            <w:rStyle w:val="Hyperlink"/>
            <w:rFonts w:ascii="Arial" w:hAnsi="Arial" w:cs="Arial"/>
            <w:color w:val="000000" w:themeColor="text1"/>
            <w:u w:val="none"/>
            <w:lang w:val="en-GB"/>
          </w:rPr>
          <w:t>https://assets.publishing.service.gov.uk/media/5a7ad567e5274a34770e76f6/hoor4305.pdf</w:t>
        </w:r>
      </w:hyperlink>
      <w:r w:rsidRPr="00530907">
        <w:rPr>
          <w:rFonts w:ascii="Arial" w:hAnsi="Arial" w:cs="Arial"/>
          <w:color w:val="000000" w:themeColor="text1"/>
          <w:lang w:val="en-GB"/>
        </w:rPr>
        <w:t xml:space="preserve"> (Accessed: 06 May 2025).</w:t>
      </w:r>
    </w:p>
    <w:p w14:paraId="4A8C2408"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p>
    <w:p w14:paraId="7D4F2098"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lastRenderedPageBreak/>
        <w:t xml:space="preserve">College of Policing (2023) ‘Automatic number plate recognition’ (ANPR). Available at: </w:t>
      </w:r>
      <w:hyperlink r:id="rId9" w:history="1">
        <w:r w:rsidRPr="00530907">
          <w:rPr>
            <w:rStyle w:val="Hyperlink"/>
            <w:rFonts w:ascii="Arial" w:hAnsi="Arial" w:cs="Arial"/>
            <w:color w:val="000000" w:themeColor="text1"/>
            <w:u w:val="none"/>
            <w:lang w:val="en-GB"/>
          </w:rPr>
          <w:t>https://www.college.police.uk/app/investigation/investigative-strategies/automatic-number-plate-recognition-anpr</w:t>
        </w:r>
      </w:hyperlink>
      <w:r w:rsidRPr="00530907">
        <w:rPr>
          <w:rFonts w:ascii="Arial" w:hAnsi="Arial" w:cs="Arial"/>
          <w:color w:val="000000" w:themeColor="text1"/>
          <w:lang w:val="en-GB"/>
        </w:rPr>
        <w:t xml:space="preserve"> (Accessed: 06 May 2025).</w:t>
      </w:r>
    </w:p>
    <w:p w14:paraId="7116720E"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College of Policing (2024) ‘Police and Criminal Evidence Act (PACE) 1984 – the changes | college of policing’. Available at: </w:t>
      </w:r>
      <w:hyperlink r:id="rId10" w:history="1">
        <w:r w:rsidRPr="00530907">
          <w:rPr>
            <w:rStyle w:val="Hyperlink"/>
            <w:rFonts w:ascii="Arial" w:hAnsi="Arial" w:cs="Arial"/>
            <w:color w:val="000000" w:themeColor="text1"/>
            <w:u w:val="none"/>
            <w:lang w:val="en-GB"/>
          </w:rPr>
          <w:t>https://www.college.police.uk/article/police-and-criminal-evidence-act-pace-1984-changes</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p>
    <w:p w14:paraId="1639350C"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Ficara, A. </w:t>
      </w:r>
      <w:r w:rsidRPr="00530907">
        <w:rPr>
          <w:rFonts w:ascii="Arial" w:hAnsi="Arial" w:cs="Arial"/>
          <w:i/>
          <w:iCs/>
          <w:color w:val="000000" w:themeColor="text1"/>
          <w:lang w:val="en-GB"/>
        </w:rPr>
        <w:t>et al.</w:t>
      </w:r>
      <w:r w:rsidRPr="00530907">
        <w:rPr>
          <w:rFonts w:ascii="Arial" w:hAnsi="Arial" w:cs="Arial"/>
          <w:color w:val="000000" w:themeColor="text1"/>
          <w:lang w:val="en-GB"/>
        </w:rPr>
        <w:t xml:space="preserve"> (2022) ‘Covert Network Construction, Disruption, and Resilience: A Survey, Mathematics’</w:t>
      </w:r>
      <w:r w:rsidRPr="00530907">
        <w:rPr>
          <w:rFonts w:ascii="Arial" w:hAnsi="Arial" w:cs="Arial"/>
          <w:i/>
          <w:iCs/>
          <w:color w:val="000000" w:themeColor="text1"/>
          <w:lang w:val="en-GB"/>
        </w:rPr>
        <w:t xml:space="preserve">. </w:t>
      </w:r>
      <w:r w:rsidRPr="00530907">
        <w:rPr>
          <w:rFonts w:ascii="Arial" w:hAnsi="Arial" w:cs="Arial"/>
          <w:color w:val="000000" w:themeColor="text1"/>
          <w:lang w:val="en-GB"/>
        </w:rPr>
        <w:t xml:space="preserve">Available at: </w:t>
      </w:r>
      <w:hyperlink r:id="rId11" w:history="1">
        <w:r w:rsidRPr="00530907">
          <w:rPr>
            <w:rStyle w:val="Hyperlink"/>
            <w:rFonts w:ascii="Arial" w:hAnsi="Arial" w:cs="Arial"/>
            <w:color w:val="000000" w:themeColor="text1"/>
            <w:u w:val="none"/>
            <w:lang w:val="en-GB"/>
          </w:rPr>
          <w:t>https://doi.org/10.3390/math10162929</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p>
    <w:p w14:paraId="2BB4C3C2"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Fussey, P. and Sandhu, A. (2020) ‘Surveillance arbitration in the era of digital policing, Theoretical Criminology’</w:t>
      </w:r>
      <w:r w:rsidRPr="00530907">
        <w:rPr>
          <w:rFonts w:ascii="Arial" w:hAnsi="Arial" w:cs="Arial"/>
          <w:i/>
          <w:iCs/>
          <w:color w:val="000000" w:themeColor="text1"/>
          <w:lang w:val="en-GB"/>
        </w:rPr>
        <w:t xml:space="preserve">. </w:t>
      </w:r>
      <w:r w:rsidRPr="00530907">
        <w:rPr>
          <w:rFonts w:ascii="Arial" w:hAnsi="Arial" w:cs="Arial"/>
          <w:color w:val="000000" w:themeColor="text1"/>
          <w:lang w:val="en-GB"/>
        </w:rPr>
        <w:t xml:space="preserve">Available at: </w:t>
      </w:r>
      <w:hyperlink r:id="rId12" w:history="1">
        <w:r w:rsidRPr="00530907">
          <w:rPr>
            <w:rStyle w:val="Hyperlink"/>
            <w:rFonts w:ascii="Arial" w:hAnsi="Arial" w:cs="Arial"/>
            <w:color w:val="000000" w:themeColor="text1"/>
            <w:u w:val="none"/>
            <w:lang w:val="en-GB"/>
          </w:rPr>
          <w:t>https://doi.org/10.1177/1362480620967020</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p>
    <w:p w14:paraId="738214A1"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Global Cyber Security Network. (2025) ‘Benefits and Challenges of Digital Forensics’. Available at: </w:t>
      </w:r>
      <w:hyperlink r:id="rId13" w:history="1">
        <w:r w:rsidRPr="00530907">
          <w:rPr>
            <w:rStyle w:val="Hyperlink"/>
            <w:rFonts w:ascii="Arial" w:hAnsi="Arial" w:cs="Arial"/>
            <w:color w:val="000000" w:themeColor="text1"/>
            <w:u w:val="none"/>
            <w:lang w:val="en-GB"/>
          </w:rPr>
          <w:t>https://globalcybersecuritynetwork.com/blog/benefits-and-challenges-of-digital-forensics</w:t>
        </w:r>
      </w:hyperlink>
      <w:r w:rsidRPr="00530907">
        <w:rPr>
          <w:rFonts w:ascii="Arial" w:hAnsi="Arial" w:cs="Arial"/>
          <w:color w:val="000000" w:themeColor="text1"/>
          <w:lang w:val="en-GB"/>
        </w:rPr>
        <w:t xml:space="preserve"> (Accessed 06 May 2025).</w:t>
      </w:r>
    </w:p>
    <w:p w14:paraId="20BCA6E0"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GOV.UK (2013) ‘Police and Criminal Evidence Act 1984 (PACE) Codes of Practice’</w:t>
      </w:r>
      <w:r w:rsidRPr="00530907">
        <w:rPr>
          <w:rFonts w:ascii="Arial" w:hAnsi="Arial" w:cs="Arial"/>
          <w:i/>
          <w:iCs/>
          <w:color w:val="000000" w:themeColor="text1"/>
          <w:lang w:val="en-GB"/>
        </w:rPr>
        <w:t xml:space="preserve">. </w:t>
      </w:r>
      <w:r w:rsidRPr="00530907">
        <w:rPr>
          <w:rFonts w:ascii="Arial" w:hAnsi="Arial" w:cs="Arial"/>
          <w:color w:val="000000" w:themeColor="text1"/>
          <w:lang w:val="en-GB"/>
        </w:rPr>
        <w:t xml:space="preserve">Available at: </w:t>
      </w:r>
      <w:hyperlink r:id="rId14" w:history="1">
        <w:r w:rsidRPr="00530907">
          <w:rPr>
            <w:rStyle w:val="Hyperlink"/>
            <w:rFonts w:ascii="Arial" w:hAnsi="Arial" w:cs="Arial"/>
            <w:color w:val="000000" w:themeColor="text1"/>
            <w:u w:val="none"/>
            <w:lang w:val="en-GB"/>
          </w:rPr>
          <w:t>https://www.gov.uk/guidance/police-and-criminal-evidence-act-1984-pace-codes-of-practice</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p>
    <w:p w14:paraId="5AF5B12A" w14:textId="72368CDF" w:rsidR="004A7A86" w:rsidRPr="00530907" w:rsidRDefault="004A7A86" w:rsidP="00530907">
      <w:pPr>
        <w:pStyle w:val="EndNoteBibliography"/>
        <w:spacing w:before="240" w:after="0" w:line="360" w:lineRule="auto"/>
        <w:ind w:left="720" w:hanging="720"/>
        <w:rPr>
          <w:rFonts w:ascii="Arial" w:hAnsi="Arial" w:cs="Arial"/>
          <w:color w:val="000000" w:themeColor="text1"/>
        </w:rPr>
      </w:pPr>
      <w:r w:rsidRPr="00530907">
        <w:rPr>
          <w:rFonts w:ascii="Arial" w:hAnsi="Arial" w:cs="Arial"/>
          <w:color w:val="000000" w:themeColor="text1"/>
          <w:lang w:val="en-GB"/>
        </w:rPr>
        <w:t>HMICFRS (2024) ‘Crime recording process’</w:t>
      </w:r>
      <w:r w:rsidRPr="00530907">
        <w:rPr>
          <w:rFonts w:ascii="Arial" w:hAnsi="Arial" w:cs="Arial"/>
          <w:i/>
          <w:iCs/>
          <w:color w:val="000000" w:themeColor="text1"/>
          <w:lang w:val="en-GB"/>
        </w:rPr>
        <w:t xml:space="preserve">. </w:t>
      </w:r>
      <w:r w:rsidRPr="00530907">
        <w:rPr>
          <w:rFonts w:ascii="Arial" w:hAnsi="Arial" w:cs="Arial"/>
          <w:color w:val="000000" w:themeColor="text1"/>
          <w:lang w:val="en-GB"/>
        </w:rPr>
        <w:t xml:space="preserve">Available at: </w:t>
      </w:r>
      <w:hyperlink r:id="rId15" w:history="1">
        <w:r w:rsidRPr="00530907">
          <w:rPr>
            <w:rStyle w:val="Hyperlink"/>
            <w:rFonts w:ascii="Arial" w:hAnsi="Arial" w:cs="Arial"/>
            <w:color w:val="000000" w:themeColor="text1"/>
            <w:u w:val="none"/>
            <w:lang w:val="en-GB"/>
          </w:rPr>
          <w:t>https://hmicfrs.justiceinspectorates.gov.uk/our-work/article/crime-recording-process</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r w:rsidRPr="00530907">
        <w:rPr>
          <w:rFonts w:ascii="Arial" w:hAnsi="Arial" w:cs="Arial"/>
          <w:color w:val="000000" w:themeColor="text1"/>
        </w:rPr>
        <w:t xml:space="preserve"> </w:t>
      </w:r>
    </w:p>
    <w:p w14:paraId="1E9A82E2"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Information Commissioner's Office. (2020) ‘Mobile phone data extraction by police forces in Information Commissioner's Office’. Available: </w:t>
      </w:r>
      <w:hyperlink r:id="rId16" w:history="1">
        <w:r w:rsidRPr="00530907">
          <w:rPr>
            <w:rStyle w:val="Hyperlink"/>
            <w:rFonts w:ascii="Arial" w:hAnsi="Arial" w:cs="Arial"/>
            <w:color w:val="000000" w:themeColor="text1"/>
            <w:u w:val="none"/>
            <w:lang w:val="en-GB"/>
          </w:rPr>
          <w:t>https://ico.org.uk/media/about-the-ico/documents/2617838/ico-report-on-mpe-in-england-and-wales-v1_1.pdf</w:t>
        </w:r>
      </w:hyperlink>
      <w:r w:rsidRPr="00530907">
        <w:rPr>
          <w:rFonts w:ascii="Arial" w:hAnsi="Arial" w:cs="Arial"/>
          <w:color w:val="000000" w:themeColor="text1"/>
          <w:lang w:val="en-GB"/>
        </w:rPr>
        <w:t xml:space="preserve"> (Accessed 06 May 2025).</w:t>
      </w:r>
    </w:p>
    <w:p w14:paraId="31B62B82" w14:textId="00BD1E0D"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Lawan, A.A. and Henttonen, P. (2024) ‘Preserving evidence integrity: the key to efficient anti-corruption investigations’. Available at: </w:t>
      </w:r>
      <w:hyperlink r:id="rId17" w:history="1">
        <w:r w:rsidRPr="00530907">
          <w:rPr>
            <w:rStyle w:val="Hyperlink"/>
            <w:rFonts w:ascii="Arial" w:hAnsi="Arial" w:cs="Arial"/>
            <w:color w:val="000000" w:themeColor="text1"/>
            <w:u w:val="none"/>
            <w:lang w:val="en-GB"/>
          </w:rPr>
          <w:t>https://doi.org/10.1108/rmj-03-2023-0016</w:t>
        </w:r>
      </w:hyperlink>
      <w:r w:rsidRPr="00530907">
        <w:rPr>
          <w:rFonts w:ascii="Arial" w:hAnsi="Arial" w:cs="Arial"/>
          <w:color w:val="000000" w:themeColor="text1"/>
        </w:rPr>
        <w:t xml:space="preserve"> </w:t>
      </w:r>
      <w:r w:rsidRPr="00530907">
        <w:rPr>
          <w:rFonts w:ascii="Arial" w:hAnsi="Arial" w:cs="Arial"/>
          <w:color w:val="000000" w:themeColor="text1"/>
          <w:lang w:val="en-GB"/>
        </w:rPr>
        <w:t>(Accessed 06 May 2025).</w:t>
      </w:r>
    </w:p>
    <w:p w14:paraId="34AFF6C4"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Local Government Association (2015) ‘Tackling serious and organised crime a local response Report’. Available at: </w:t>
      </w:r>
      <w:hyperlink r:id="rId18" w:history="1">
        <w:r w:rsidRPr="00530907">
          <w:rPr>
            <w:rStyle w:val="Hyperlink"/>
            <w:rFonts w:ascii="Arial" w:hAnsi="Arial" w:cs="Arial"/>
            <w:color w:val="000000" w:themeColor="text1"/>
            <w:u w:val="none"/>
            <w:lang w:val="en-GB"/>
          </w:rPr>
          <w:t>https://www.local.gov.uk/sites/default/files/documents/tackling-serious-and-orga-44a.pdf</w:t>
        </w:r>
      </w:hyperlink>
      <w:r w:rsidRPr="00530907">
        <w:rPr>
          <w:rFonts w:ascii="Arial" w:hAnsi="Arial" w:cs="Arial"/>
          <w:color w:val="000000" w:themeColor="text1"/>
          <w:lang w:val="en-GB"/>
        </w:rPr>
        <w:t xml:space="preserve"> (Accessed 06 May 2025).</w:t>
      </w:r>
    </w:p>
    <w:p w14:paraId="5D9A7D31"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Mahajan, R. and Pandit, K. (2024) 'Cryptography and Computational Approaches in Ensuring Data Integrity for Digital Forensic Evidence'. Available at: </w:t>
      </w:r>
      <w:hyperlink r:id="rId19" w:history="1">
        <w:r w:rsidRPr="00530907">
          <w:rPr>
            <w:rFonts w:ascii="Arial" w:hAnsi="Arial" w:cs="Arial"/>
            <w:color w:val="000000" w:themeColor="text1"/>
            <w:lang w:val="en-GB"/>
          </w:rPr>
          <w:t>https://ieeexplore.ieee.org/abstract/document/10607526</w:t>
        </w:r>
      </w:hyperlink>
      <w:r w:rsidRPr="00530907">
        <w:rPr>
          <w:rFonts w:ascii="Arial" w:hAnsi="Arial" w:cs="Arial"/>
          <w:color w:val="000000" w:themeColor="text1"/>
          <w:lang w:val="en-GB"/>
        </w:rPr>
        <w:t xml:space="preserve"> (Accessed: 06 May 2025).</w:t>
      </w:r>
    </w:p>
    <w:p w14:paraId="0AC19F4A"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Martin, D. (2021) 'Understanding the reconstruction of police professionalism in the UK'. Available at: </w:t>
      </w:r>
      <w:hyperlink r:id="rId20" w:history="1">
        <w:r w:rsidRPr="00530907">
          <w:rPr>
            <w:rFonts w:ascii="Arial" w:hAnsi="Arial" w:cs="Arial"/>
            <w:lang w:val="en-GB"/>
          </w:rPr>
          <w:t>https://www.tandfonline.com/doi/full/10.1080/10439463.2021.1999447</w:t>
        </w:r>
      </w:hyperlink>
      <w:r w:rsidRPr="00530907">
        <w:rPr>
          <w:rFonts w:ascii="Arial" w:hAnsi="Arial" w:cs="Arial"/>
          <w:color w:val="000000" w:themeColor="text1"/>
          <w:lang w:val="en-GB"/>
        </w:rPr>
        <w:t xml:space="preserve"> (Accessed: 06 May 2025).</w:t>
      </w:r>
    </w:p>
    <w:p w14:paraId="41088F3B"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Masterpiece (2025) 'Surprising History of Victorian Era Scotland Yard, Masterpiece'. Available at: </w:t>
      </w:r>
      <w:hyperlink r:id="rId21" w:history="1">
        <w:r w:rsidRPr="00530907">
          <w:rPr>
            <w:rFonts w:ascii="Arial" w:hAnsi="Arial" w:cs="Arial"/>
            <w:lang w:val="en-GB"/>
          </w:rPr>
          <w:t>https://www.pbs.org/wgbh/masterpiece/specialfeatures/surprising-history-of-victorian-era-scotland-yard</w:t>
        </w:r>
      </w:hyperlink>
      <w:r w:rsidRPr="00530907">
        <w:rPr>
          <w:rFonts w:ascii="Arial" w:hAnsi="Arial" w:cs="Arial"/>
          <w:color w:val="000000" w:themeColor="text1"/>
          <w:lang w:val="en-GB"/>
        </w:rPr>
        <w:t xml:space="preserve"> (Accessed: 06 May 2025).</w:t>
      </w:r>
    </w:p>
    <w:p w14:paraId="006BB0DD"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Ministry of Justice (2020) 'Criminal Procedure and Investigations Act 1996 (section 23(1)) Code of Practice'. Available at: </w:t>
      </w:r>
      <w:hyperlink r:id="rId22" w:history="1">
        <w:r w:rsidRPr="00530907">
          <w:rPr>
            <w:rFonts w:ascii="Arial" w:hAnsi="Arial" w:cs="Arial"/>
            <w:lang w:val="en-GB"/>
          </w:rPr>
          <w:t>https://www.gov.uk/government/publications/criminal-procedure-and-investigations-act-1996-section-231-code-of-practice</w:t>
        </w:r>
      </w:hyperlink>
      <w:r w:rsidRPr="00530907">
        <w:rPr>
          <w:rFonts w:ascii="Arial" w:hAnsi="Arial" w:cs="Arial"/>
          <w:color w:val="000000" w:themeColor="text1"/>
          <w:lang w:val="en-GB"/>
        </w:rPr>
        <w:t xml:space="preserve"> (Accessed: 06 May 2025).</w:t>
      </w:r>
    </w:p>
    <w:p w14:paraId="3E6CCD60"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Ministry of Justice (2023) 'Policy name: The Management and Handling of Evidence Policy Framework Reference: n/a'. Available at: </w:t>
      </w:r>
      <w:hyperlink r:id="rId23" w:history="1">
        <w:r w:rsidRPr="00530907">
          <w:rPr>
            <w:rFonts w:ascii="Arial" w:hAnsi="Arial" w:cs="Arial"/>
            <w:lang w:val="en-GB"/>
          </w:rPr>
          <w:t>https://assets.publishing.service.gov.uk/media/63c918b4e90e07071db36a7e/management-handling-evidence-pf.pdf</w:t>
        </w:r>
      </w:hyperlink>
      <w:r w:rsidRPr="00530907">
        <w:rPr>
          <w:rFonts w:ascii="Arial" w:hAnsi="Arial" w:cs="Arial"/>
          <w:color w:val="000000" w:themeColor="text1"/>
          <w:lang w:val="en-GB"/>
        </w:rPr>
        <w:t xml:space="preserve"> (Accessed: 06 May 2025).</w:t>
      </w:r>
    </w:p>
    <w:p w14:paraId="6F0FB377"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Modise, J. M. (2023) 'A Higher Level of Education in Police Work is Essential to Improving Professional Development and Opportunities for Advancement'. Available at: </w:t>
      </w:r>
      <w:hyperlink r:id="rId24" w:history="1">
        <w:r w:rsidRPr="00530907">
          <w:rPr>
            <w:rFonts w:ascii="Arial" w:hAnsi="Arial" w:cs="Arial"/>
            <w:lang w:val="en-GB"/>
          </w:rPr>
          <w:t>https://www.researchgate.net/profile/Professor-Modise/publication/376261021_A_Higher_Level_of_Education_in_Police_Work_is_Essential_to_Improving_Professional_Development_and_Opportunities_for_Advancement</w:t>
        </w:r>
      </w:hyperlink>
      <w:r w:rsidRPr="00530907">
        <w:rPr>
          <w:rFonts w:ascii="Arial" w:hAnsi="Arial" w:cs="Arial"/>
          <w:color w:val="000000" w:themeColor="text1"/>
          <w:lang w:val="en-GB"/>
        </w:rPr>
        <w:t xml:space="preserve"> (Accessed: 06 May 2025).</w:t>
      </w:r>
    </w:p>
    <w:p w14:paraId="4864CE7F"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Morgan, J. (2023) 'Wrongful convictions and claims of false or misleading forensic evidence'. Available at: </w:t>
      </w:r>
      <w:hyperlink r:id="rId25" w:history="1">
        <w:r w:rsidRPr="00530907">
          <w:rPr>
            <w:rFonts w:ascii="Arial" w:hAnsi="Arial" w:cs="Arial"/>
            <w:lang w:val="en-GB"/>
          </w:rPr>
          <w:t>https://doi.org/10.1111/1556-4029.15233</w:t>
        </w:r>
      </w:hyperlink>
      <w:r w:rsidRPr="00530907">
        <w:rPr>
          <w:rFonts w:ascii="Arial" w:hAnsi="Arial" w:cs="Arial"/>
          <w:color w:val="000000" w:themeColor="text1"/>
          <w:lang w:val="en-GB"/>
        </w:rPr>
        <w:t xml:space="preserve"> (Accessed: 06 May 2025).</w:t>
      </w:r>
    </w:p>
    <w:p w14:paraId="5E52B820"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Morgan, R. M. (2024) 'Forensic Science Innovation in the UK: Roadblocks and Enablers. Driving Forensic Innovation in the 21st Century: Crossing the Valley of Death'. Available at: </w:t>
      </w:r>
      <w:hyperlink r:id="rId26" w:history="1">
        <w:r w:rsidRPr="00530907">
          <w:rPr>
            <w:rFonts w:ascii="Arial" w:hAnsi="Arial" w:cs="Arial"/>
            <w:lang w:val="en-GB"/>
          </w:rPr>
          <w:t>https://doi.org/10.1007/978-3-031-56556-4_4</w:t>
        </w:r>
      </w:hyperlink>
      <w:r w:rsidRPr="00530907">
        <w:rPr>
          <w:rFonts w:ascii="Arial" w:hAnsi="Arial" w:cs="Arial"/>
          <w:color w:val="000000" w:themeColor="text1"/>
          <w:lang w:val="en-GB"/>
        </w:rPr>
        <w:t xml:space="preserve"> (Accessed: 06 May 2025).</w:t>
      </w:r>
    </w:p>
    <w:p w14:paraId="266E833C"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lastRenderedPageBreak/>
        <w:t xml:space="preserve">National Centre for Policing Excellence (2005) ‘PRACTICE ADVICE ON CORE INVESTIGATIVE DOCTRINE 2005 Produced on Behalf of the Association of Chief Police Officers by the National Centre for Policing Excellence’. Available at: </w:t>
      </w:r>
      <w:hyperlink r:id="rId27" w:history="1">
        <w:r w:rsidRPr="00530907">
          <w:rPr>
            <w:rFonts w:ascii="Arial" w:hAnsi="Arial" w:cs="Arial"/>
          </w:rPr>
          <w:t>https://library.college.police.uk/docs/acpo/Core-Investigative-Doctrine.pdf</w:t>
        </w:r>
      </w:hyperlink>
      <w:r w:rsidRPr="00530907">
        <w:rPr>
          <w:rFonts w:ascii="Arial" w:hAnsi="Arial" w:cs="Arial"/>
          <w:color w:val="000000" w:themeColor="text1"/>
          <w:lang w:val="en-GB"/>
        </w:rPr>
        <w:t xml:space="preserve"> (Accessed: 06 May 2025).</w:t>
      </w:r>
    </w:p>
    <w:p w14:paraId="2F2CC3E4"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Police Recruitment (2021) ‘Historical Background of Policing in the UK - Police Recruitment UK’. Available at: </w:t>
      </w:r>
      <w:hyperlink r:id="rId28" w:history="1">
        <w:r w:rsidRPr="00530907">
          <w:rPr>
            <w:rFonts w:ascii="Arial" w:hAnsi="Arial" w:cs="Arial"/>
          </w:rPr>
          <w:t>https://police-recruitment.co.uk/historical-background-of-policing-in-the-uk</w:t>
        </w:r>
      </w:hyperlink>
      <w:r w:rsidRPr="00530907">
        <w:rPr>
          <w:rFonts w:ascii="Arial" w:hAnsi="Arial" w:cs="Arial"/>
          <w:color w:val="000000" w:themeColor="text1"/>
          <w:lang w:val="en-GB"/>
        </w:rPr>
        <w:t xml:space="preserve"> (Accessed: 06 May 2025).</w:t>
      </w:r>
    </w:p>
    <w:p w14:paraId="36FA73C0" w14:textId="31C7310A"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Popple, S. (2005) ‘Photography, crime and social control’. Early Popular Visual Culture, 3(1), pp.95–106. Available at: </w:t>
      </w:r>
      <w:hyperlink r:id="rId29" w:history="1">
        <w:r w:rsidRPr="00530907">
          <w:rPr>
            <w:rFonts w:ascii="Arial" w:hAnsi="Arial" w:cs="Arial"/>
          </w:rPr>
          <w:t>https://doi.org/10.1080/17460650500057137</w:t>
        </w:r>
      </w:hyperlink>
      <w:r w:rsidRPr="00530907">
        <w:rPr>
          <w:rFonts w:ascii="Arial" w:hAnsi="Arial" w:cs="Arial"/>
          <w:color w:val="000000" w:themeColor="text1"/>
          <w:lang w:val="en-GB"/>
        </w:rPr>
        <w:t xml:space="preserve"> (Accessed: 06 May 2025). </w:t>
      </w:r>
    </w:p>
    <w:p w14:paraId="0530E2FD" w14:textId="361B0A2C"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Prenzler, T. and Ransley, J. (2002) ‘Police reform : building integrity’. Available at: https://books.google.co.uk/books?hl=en&amp;lr=&amp;id=pDqzXNBa_kwC&amp;oi=fnd&amp;pg=PR7&amp;dq=Prenzler </w:t>
      </w:r>
      <w:r w:rsidR="00530907">
        <w:rPr>
          <w:rFonts w:ascii="Arial" w:hAnsi="Arial" w:cs="Arial"/>
          <w:color w:val="000000" w:themeColor="text1"/>
          <w:lang w:val="en-GB"/>
        </w:rPr>
        <w:t>(</w:t>
      </w:r>
      <w:r w:rsidRPr="00530907">
        <w:rPr>
          <w:rFonts w:ascii="Arial" w:hAnsi="Arial" w:cs="Arial"/>
          <w:color w:val="000000" w:themeColor="text1"/>
          <w:lang w:val="en-GB"/>
        </w:rPr>
        <w:t>Accessed</w:t>
      </w:r>
      <w:r w:rsidR="00530907">
        <w:rPr>
          <w:rFonts w:ascii="Arial" w:hAnsi="Arial" w:cs="Arial"/>
          <w:color w:val="000000" w:themeColor="text1"/>
          <w:lang w:val="en-GB"/>
        </w:rPr>
        <w:t>:</w:t>
      </w:r>
      <w:r w:rsidRPr="00530907">
        <w:rPr>
          <w:rFonts w:ascii="Arial" w:hAnsi="Arial" w:cs="Arial"/>
          <w:color w:val="000000" w:themeColor="text1"/>
          <w:lang w:val="en-GB"/>
        </w:rPr>
        <w:t xml:space="preserve"> 6 May 2025</w:t>
      </w:r>
      <w:r w:rsidR="00530907">
        <w:rPr>
          <w:rFonts w:ascii="Arial" w:hAnsi="Arial" w:cs="Arial"/>
          <w:color w:val="000000" w:themeColor="text1"/>
          <w:lang w:val="en-GB"/>
        </w:rPr>
        <w:t>)</w:t>
      </w:r>
      <w:r w:rsidRPr="00530907">
        <w:rPr>
          <w:rFonts w:ascii="Arial" w:hAnsi="Arial" w:cs="Arial"/>
          <w:color w:val="000000" w:themeColor="text1"/>
          <w:lang w:val="en-GB"/>
        </w:rPr>
        <w:t>.</w:t>
      </w:r>
    </w:p>
    <w:p w14:paraId="3F80B883" w14:textId="5B50A6C6"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rchapman, (2021) ‘County Lines’ (Literature Review). Interventions Alliance. Available at: </w:t>
      </w:r>
      <w:hyperlink r:id="rId30" w:history="1">
        <w:r w:rsidRPr="00530907">
          <w:rPr>
            <w:rFonts w:ascii="Arial" w:hAnsi="Arial" w:cs="Arial"/>
          </w:rPr>
          <w:t>https://interventionsalliance.com/county-lines-literature-review</w:t>
        </w:r>
      </w:hyperlink>
      <w:r w:rsidRPr="00530907">
        <w:rPr>
          <w:rFonts w:ascii="Arial" w:hAnsi="Arial" w:cs="Arial"/>
          <w:color w:val="000000" w:themeColor="text1"/>
          <w:lang w:val="en-GB"/>
        </w:rPr>
        <w:t xml:space="preserve"> </w:t>
      </w:r>
      <w:r w:rsidR="00530907">
        <w:rPr>
          <w:rFonts w:ascii="Arial" w:hAnsi="Arial" w:cs="Arial"/>
          <w:color w:val="000000" w:themeColor="text1"/>
          <w:lang w:val="en-GB"/>
        </w:rPr>
        <w:t>(</w:t>
      </w:r>
      <w:r w:rsidRPr="00530907">
        <w:rPr>
          <w:rFonts w:ascii="Arial" w:hAnsi="Arial" w:cs="Arial"/>
          <w:color w:val="000000" w:themeColor="text1"/>
          <w:lang w:val="en-GB"/>
        </w:rPr>
        <w:t>Accessed</w:t>
      </w:r>
      <w:r w:rsidR="00530907">
        <w:rPr>
          <w:rFonts w:ascii="Arial" w:hAnsi="Arial" w:cs="Arial"/>
          <w:color w:val="000000" w:themeColor="text1"/>
          <w:lang w:val="en-GB"/>
        </w:rPr>
        <w:t>:</w:t>
      </w:r>
      <w:r w:rsidRPr="00530907">
        <w:rPr>
          <w:rFonts w:ascii="Arial" w:hAnsi="Arial" w:cs="Arial"/>
          <w:color w:val="000000" w:themeColor="text1"/>
          <w:lang w:val="en-GB"/>
        </w:rPr>
        <w:t xml:space="preserve"> 6 May 2025</w:t>
      </w:r>
      <w:r w:rsidR="00530907">
        <w:rPr>
          <w:rFonts w:ascii="Arial" w:hAnsi="Arial" w:cs="Arial"/>
          <w:color w:val="000000" w:themeColor="text1"/>
          <w:lang w:val="en-GB"/>
        </w:rPr>
        <w:t>)</w:t>
      </w:r>
      <w:r w:rsidRPr="00530907">
        <w:rPr>
          <w:rFonts w:ascii="Arial" w:hAnsi="Arial" w:cs="Arial"/>
          <w:color w:val="000000" w:themeColor="text1"/>
          <w:lang w:val="en-GB"/>
        </w:rPr>
        <w:t>.</w:t>
      </w:r>
    </w:p>
    <w:p w14:paraId="7145D4F6" w14:textId="71481DCE" w:rsidR="0044401C"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Watts, P. (2023) ‘Finger Printing The Early Days’. Available at: </w:t>
      </w:r>
      <w:hyperlink r:id="rId31" w:history="1">
        <w:r w:rsidRPr="00530907">
          <w:rPr>
            <w:rFonts w:ascii="Arial" w:hAnsi="Arial" w:cs="Arial"/>
          </w:rPr>
          <w:t>https://www.hertspastpolicing.org.uk/content/police-history/scientific-services/finger-printing-the-early-days</w:t>
        </w:r>
      </w:hyperlink>
      <w:r w:rsidRPr="00530907">
        <w:rPr>
          <w:rFonts w:ascii="Arial" w:hAnsi="Arial" w:cs="Arial"/>
          <w:color w:val="000000" w:themeColor="text1"/>
          <w:lang w:val="en-GB"/>
        </w:rPr>
        <w:t xml:space="preserve"> (Accessed: 06 May 2025).</w:t>
      </w:r>
    </w:p>
    <w:p w14:paraId="396EF8B6" w14:textId="00F13EB4" w:rsidR="0044401C" w:rsidRPr="00530907" w:rsidRDefault="0044401C" w:rsidP="00530907">
      <w:pPr>
        <w:spacing w:line="360" w:lineRule="auto"/>
        <w:rPr>
          <w:rFonts w:ascii="Arial" w:hAnsi="Arial" w:cs="Arial"/>
          <w:color w:val="000000" w:themeColor="text1"/>
        </w:rPr>
      </w:pPr>
      <w:r w:rsidRPr="00530907">
        <w:rPr>
          <w:rFonts w:ascii="Arial" w:hAnsi="Arial" w:cs="Arial"/>
          <w:color w:val="000000" w:themeColor="text1"/>
        </w:rPr>
        <w:br w:type="page"/>
      </w:r>
    </w:p>
    <w:p w14:paraId="3A400503" w14:textId="3D171A31" w:rsidR="0054097D" w:rsidRPr="00530907" w:rsidRDefault="0054097D" w:rsidP="00530907">
      <w:pPr>
        <w:pStyle w:val="EndNoteBibliography"/>
        <w:spacing w:after="0" w:line="360" w:lineRule="auto"/>
        <w:ind w:left="720" w:hanging="720"/>
        <w:rPr>
          <w:rFonts w:ascii="Arial" w:hAnsi="Arial" w:cs="Arial"/>
          <w:b/>
          <w:bCs/>
          <w:color w:val="000000" w:themeColor="text1"/>
          <w:lang w:val="en-GB"/>
        </w:rPr>
      </w:pPr>
      <w:r w:rsidRPr="00530907">
        <w:rPr>
          <w:rFonts w:ascii="Arial" w:hAnsi="Arial" w:cs="Arial"/>
          <w:b/>
          <w:bCs/>
          <w:color w:val="000000" w:themeColor="text1"/>
          <w:lang w:val="en-GB"/>
        </w:rPr>
        <w:lastRenderedPageBreak/>
        <w:t>Continuation of Task 1.</w:t>
      </w:r>
    </w:p>
    <w:p w14:paraId="05CF1C05" w14:textId="71C909C0" w:rsidR="004A7A86" w:rsidRPr="00530907" w:rsidRDefault="004A7A86" w:rsidP="00530907">
      <w:pPr>
        <w:pStyle w:val="EndNoteBibliography"/>
        <w:spacing w:after="0" w:line="360" w:lineRule="auto"/>
        <w:ind w:left="720" w:hanging="720"/>
        <w:rPr>
          <w:rFonts w:ascii="Arial" w:hAnsi="Arial" w:cs="Arial"/>
          <w:b/>
          <w:bCs/>
          <w:color w:val="000000" w:themeColor="text1"/>
          <w:lang w:val="en-GB"/>
        </w:rPr>
      </w:pPr>
      <w:r w:rsidRPr="00530907">
        <w:rPr>
          <w:rFonts w:ascii="Arial" w:hAnsi="Arial" w:cs="Arial"/>
          <w:b/>
          <w:bCs/>
          <w:color w:val="000000" w:themeColor="text1"/>
          <w:lang w:val="en-GB"/>
        </w:rPr>
        <w:t>Task 1B</w:t>
      </w:r>
    </w:p>
    <w:p w14:paraId="4B888E4E" w14:textId="3A54945B" w:rsidR="004A7A86" w:rsidRPr="00530907" w:rsidRDefault="004A7A86" w:rsidP="00530907">
      <w:pPr>
        <w:pStyle w:val="EndNoteBibliography"/>
        <w:spacing w:after="0" w:line="360" w:lineRule="auto"/>
        <w:ind w:left="720" w:hanging="720"/>
        <w:rPr>
          <w:rFonts w:ascii="Arial" w:hAnsi="Arial" w:cs="Arial"/>
          <w:b/>
          <w:bCs/>
          <w:color w:val="000000" w:themeColor="text1"/>
          <w:lang w:val="en-GB"/>
        </w:rPr>
      </w:pPr>
      <w:r w:rsidRPr="00530907">
        <w:rPr>
          <w:rFonts w:ascii="Arial" w:hAnsi="Arial" w:cs="Arial"/>
          <w:b/>
          <w:bCs/>
          <w:color w:val="000000" w:themeColor="text1"/>
          <w:lang w:val="en-GB"/>
        </w:rPr>
        <w:t>Answer</w:t>
      </w:r>
      <w:r w:rsidR="0054097D" w:rsidRPr="00530907">
        <w:rPr>
          <w:rFonts w:ascii="Arial" w:hAnsi="Arial" w:cs="Arial"/>
          <w:b/>
          <w:bCs/>
          <w:color w:val="000000" w:themeColor="text1"/>
          <w:lang w:val="en-GB"/>
        </w:rPr>
        <w:t>:</w:t>
      </w:r>
    </w:p>
    <w:p w14:paraId="0F17ACA4" w14:textId="7DA44779" w:rsidR="004A7A86" w:rsidRPr="00530907" w:rsidRDefault="004A7A86" w:rsidP="00530907">
      <w:pPr>
        <w:pStyle w:val="EndNoteBibliography"/>
        <w:spacing w:after="0" w:line="360" w:lineRule="auto"/>
        <w:ind w:left="720" w:hanging="720"/>
        <w:rPr>
          <w:rFonts w:ascii="Arial" w:hAnsi="Arial" w:cs="Arial"/>
          <w:b/>
          <w:bCs/>
          <w:color w:val="000000" w:themeColor="text1"/>
          <w:lang w:val="en-GB"/>
        </w:rPr>
      </w:pPr>
      <w:r w:rsidRPr="00530907">
        <w:rPr>
          <w:rFonts w:ascii="Arial" w:hAnsi="Arial" w:cs="Arial"/>
          <w:b/>
          <w:bCs/>
          <w:color w:val="000000" w:themeColor="text1"/>
          <w:lang w:val="en-GB"/>
        </w:rPr>
        <w:t>Introduction</w:t>
      </w:r>
    </w:p>
    <w:p w14:paraId="4C13B957" w14:textId="77777777" w:rsidR="004A7A86" w:rsidRPr="00530907" w:rsidRDefault="004A7A86" w:rsidP="00530907">
      <w:pPr>
        <w:spacing w:line="360" w:lineRule="auto"/>
        <w:rPr>
          <w:rFonts w:ascii="Arial" w:hAnsi="Arial" w:cs="Arial"/>
        </w:rPr>
      </w:pPr>
      <w:r w:rsidRPr="00530907">
        <w:rPr>
          <w:rFonts w:ascii="Arial" w:hAnsi="Arial" w:cs="Arial"/>
        </w:rPr>
        <w:t>Evidence gathering is a critical component of criminal investigations, directly influencing the success or failure of legal proceedings. As an investigator, my ability to gather evidence effectively determines the strength of the case presented in court. However, evidence-gathering is fraught with various challenges and obstacles that can hinder its effectiveness. These challenges may stem from legal, practical, technological, and ethical factors, all of which impact investigative practice. This essay critically discusses the key challenges faced by an investigator in the process of evidence gathering, exploring how these obstacles affect both the practical aspects of investigation and the broader criminal justice system.</w:t>
      </w:r>
    </w:p>
    <w:p w14:paraId="2BBA1573" w14:textId="77777777" w:rsidR="004A7A86" w:rsidRPr="00530907" w:rsidRDefault="004A7A86" w:rsidP="00530907">
      <w:pPr>
        <w:spacing w:line="360" w:lineRule="auto"/>
        <w:rPr>
          <w:rFonts w:ascii="Arial" w:hAnsi="Arial" w:cs="Arial"/>
          <w:b/>
          <w:bCs/>
        </w:rPr>
      </w:pPr>
      <w:r w:rsidRPr="00530907">
        <w:rPr>
          <w:rFonts w:ascii="Arial" w:hAnsi="Arial" w:cs="Arial"/>
          <w:b/>
          <w:bCs/>
        </w:rPr>
        <w:t>Legal and Procedural Challenges</w:t>
      </w:r>
    </w:p>
    <w:p w14:paraId="1CD5A443" w14:textId="77777777" w:rsidR="004A7A86" w:rsidRPr="00530907" w:rsidRDefault="004A7A86" w:rsidP="00530907">
      <w:pPr>
        <w:spacing w:line="360" w:lineRule="auto"/>
        <w:rPr>
          <w:rFonts w:ascii="Arial" w:hAnsi="Arial" w:cs="Arial"/>
        </w:rPr>
      </w:pPr>
      <w:r w:rsidRPr="00530907">
        <w:rPr>
          <w:rFonts w:ascii="Arial" w:hAnsi="Arial" w:cs="Arial"/>
        </w:rPr>
        <w:t>Evidence gathering is complicated by a web of legal and procedural requirements. As an investigator, I must follow rules and regulations to ensure evidence is admissible in court. Laws like PACE and CPIA protect suspects' rights and prevent misuse of investigative powers but can make it challenging to collect evidence that is legally compliant and effective for prosecution.</w:t>
      </w:r>
    </w:p>
    <w:p w14:paraId="4B0B5CC1" w14:textId="77777777" w:rsidR="004A7A86" w:rsidRPr="00530907" w:rsidRDefault="004A7A86" w:rsidP="00530907">
      <w:pPr>
        <w:spacing w:line="360" w:lineRule="auto"/>
        <w:rPr>
          <w:rFonts w:ascii="Arial" w:hAnsi="Arial" w:cs="Arial"/>
        </w:rPr>
      </w:pPr>
      <w:r w:rsidRPr="00530907">
        <w:rPr>
          <w:rFonts w:ascii="Arial" w:hAnsi="Arial" w:cs="Arial"/>
        </w:rPr>
        <w:t>Failing to obtain proper search warrants or follow procedures when seizing evidence can make evidence inadmissible (</w:t>
      </w:r>
      <w:proofErr w:type="spellStart"/>
      <w:r w:rsidRPr="00530907">
        <w:rPr>
          <w:rFonts w:ascii="Arial" w:hAnsi="Arial" w:cs="Arial"/>
        </w:rPr>
        <w:t>Ventham</w:t>
      </w:r>
      <w:proofErr w:type="spellEnd"/>
      <w:r w:rsidRPr="00530907">
        <w:rPr>
          <w:rFonts w:ascii="Arial" w:hAnsi="Arial" w:cs="Arial"/>
        </w:rPr>
        <w:t xml:space="preserve"> et al., 2022). Search warrants present significant legal and ethical challenges, with many issues still unresolved, especially as digital technology evolves (Dyke, 2018). Investigators must ensure warrants are obtained lawfully, supported by evidence, and executed in compliance with the law (Home Office, 2022). The impact on individuals and communities must be assessed, minimising harm and preserving public trust (Kassem and Engin Erken, 2024).</w:t>
      </w:r>
    </w:p>
    <w:p w14:paraId="0DF23DB8" w14:textId="77777777" w:rsidR="004A7A86" w:rsidRPr="00530907" w:rsidRDefault="004A7A86" w:rsidP="00530907">
      <w:pPr>
        <w:spacing w:line="360" w:lineRule="auto"/>
        <w:rPr>
          <w:rFonts w:ascii="Arial" w:hAnsi="Arial" w:cs="Arial"/>
        </w:rPr>
      </w:pPr>
      <w:r w:rsidRPr="00530907">
        <w:rPr>
          <w:rFonts w:ascii="Arial" w:hAnsi="Arial" w:cs="Arial"/>
        </w:rPr>
        <w:t xml:space="preserve">Mistakes can undermine investigations if key evidence is lost or deemed inadmissible due to technical or procedural errors (Devlin and correspondent, 2023). Investigators must be cautious with evidence from surveillance or wiretapping, as the legal implications are complex and subject to judicial review (Mac </w:t>
      </w:r>
      <w:proofErr w:type="spellStart"/>
      <w:r w:rsidRPr="00530907">
        <w:rPr>
          <w:rFonts w:ascii="Arial" w:hAnsi="Arial" w:cs="Arial"/>
        </w:rPr>
        <w:t>Giollabhuí</w:t>
      </w:r>
      <w:proofErr w:type="spellEnd"/>
      <w:r w:rsidRPr="00530907">
        <w:rPr>
          <w:rFonts w:ascii="Arial" w:hAnsi="Arial" w:cs="Arial"/>
        </w:rPr>
        <w:t>, Goold and Loftus, 2016).</w:t>
      </w:r>
    </w:p>
    <w:p w14:paraId="21367B03" w14:textId="77777777" w:rsidR="004A7A86" w:rsidRPr="00530907" w:rsidRDefault="004A7A86" w:rsidP="00530907">
      <w:pPr>
        <w:spacing w:line="360" w:lineRule="auto"/>
        <w:rPr>
          <w:rFonts w:ascii="Arial" w:hAnsi="Arial" w:cs="Arial"/>
          <w:b/>
          <w:bCs/>
        </w:rPr>
      </w:pPr>
      <w:r w:rsidRPr="00530907">
        <w:rPr>
          <w:rFonts w:ascii="Arial" w:hAnsi="Arial" w:cs="Arial"/>
          <w:b/>
          <w:bCs/>
        </w:rPr>
        <w:t>Technological and Digital Challenges</w:t>
      </w:r>
    </w:p>
    <w:p w14:paraId="4219DA49" w14:textId="77777777" w:rsidR="004A7A86" w:rsidRPr="00530907" w:rsidRDefault="004A7A86" w:rsidP="00530907">
      <w:pPr>
        <w:spacing w:line="360" w:lineRule="auto"/>
        <w:rPr>
          <w:rFonts w:ascii="Arial" w:hAnsi="Arial" w:cs="Arial"/>
        </w:rPr>
      </w:pPr>
      <w:r w:rsidRPr="00530907">
        <w:rPr>
          <w:rFonts w:ascii="Arial" w:hAnsi="Arial" w:cs="Arial"/>
        </w:rPr>
        <w:t>Digital technology presents both opportunities and challenges for evidence-gathering (Gupta and Husain, 2023). Investigators must retrieve evidence from electronic devices, but accessing and analysing this data can be complex and time-consuming. Technological challenges include encryption, password protection, and data fragmentation, which can impede access to relevant information (</w:t>
      </w:r>
      <w:proofErr w:type="gramStart"/>
      <w:r w:rsidRPr="00530907">
        <w:rPr>
          <w:rFonts w:ascii="Arial" w:hAnsi="Arial" w:cs="Arial"/>
        </w:rPr>
        <w:t>None</w:t>
      </w:r>
      <w:proofErr w:type="gramEnd"/>
      <w:r w:rsidRPr="00530907">
        <w:rPr>
          <w:rFonts w:ascii="Arial" w:hAnsi="Arial" w:cs="Arial"/>
        </w:rPr>
        <w:t xml:space="preserve"> Moses Ashawa et al., 2023). The rapid </w:t>
      </w:r>
      <w:r w:rsidRPr="00530907">
        <w:rPr>
          <w:rFonts w:ascii="Arial" w:hAnsi="Arial" w:cs="Arial"/>
        </w:rPr>
        <w:lastRenderedPageBreak/>
        <w:t xml:space="preserve">evolution of digital technology presents ongoing challenges, with new forms of communication like encrypted messaging apps preventing access to potentially critical evidence (Heath, MacDermott and </w:t>
      </w:r>
      <w:proofErr w:type="spellStart"/>
      <w:r w:rsidRPr="00530907">
        <w:rPr>
          <w:rFonts w:ascii="Arial" w:hAnsi="Arial" w:cs="Arial"/>
        </w:rPr>
        <w:t>Akinbi</w:t>
      </w:r>
      <w:proofErr w:type="spellEnd"/>
      <w:r w:rsidRPr="00530907">
        <w:rPr>
          <w:rFonts w:ascii="Arial" w:hAnsi="Arial" w:cs="Arial"/>
        </w:rPr>
        <w:t>, 2023). Digital evidence is often volatile and can be altered or deleted (Kenneally and Brown, 2005). In cybercrime cases, investigators face difficulties tracing digital footprints across multiple jurisdictions (Gupta and Husain, 2023), sometimes without cooperation from other states or organisations.</w:t>
      </w:r>
    </w:p>
    <w:p w14:paraId="1E4C57D6" w14:textId="59CC36A2" w:rsidR="004A7A86" w:rsidRPr="00530907" w:rsidRDefault="004A7A86" w:rsidP="00530907">
      <w:pPr>
        <w:spacing w:line="360" w:lineRule="auto"/>
        <w:rPr>
          <w:rFonts w:ascii="Arial" w:hAnsi="Arial" w:cs="Arial"/>
          <w:b/>
          <w:bCs/>
        </w:rPr>
      </w:pPr>
      <w:r w:rsidRPr="00530907">
        <w:rPr>
          <w:rFonts w:ascii="Arial" w:hAnsi="Arial" w:cs="Arial"/>
          <w:b/>
          <w:bCs/>
        </w:rPr>
        <w:t>Practical and Resource-Based Challenges</w:t>
      </w:r>
    </w:p>
    <w:p w14:paraId="71D26C34" w14:textId="77777777" w:rsidR="004A7A86" w:rsidRPr="00530907" w:rsidRDefault="004A7A86" w:rsidP="00530907">
      <w:pPr>
        <w:spacing w:line="360" w:lineRule="auto"/>
        <w:rPr>
          <w:rFonts w:ascii="Arial" w:hAnsi="Arial" w:cs="Arial"/>
        </w:rPr>
      </w:pPr>
      <w:r w:rsidRPr="00530907">
        <w:rPr>
          <w:rFonts w:ascii="Arial" w:hAnsi="Arial" w:cs="Arial"/>
        </w:rPr>
        <w:t>Jones and Brookman (2024) highlight that resource limitations, such as staffing, time, and financial constraints, can hinder investigators' ability to thoroughly collect and analyse evidence, particularly in cases involving large-scale criminal activity. Lawan and Henttonen (2024) emphasise that the effectiveness of anti-corruption investigations depends on the quality of the evidence gathered.</w:t>
      </w:r>
    </w:p>
    <w:p w14:paraId="308E0153" w14:textId="77777777" w:rsidR="004A7A86" w:rsidRPr="00530907" w:rsidRDefault="004A7A86" w:rsidP="00530907">
      <w:pPr>
        <w:spacing w:line="360" w:lineRule="auto"/>
        <w:rPr>
          <w:rFonts w:ascii="Arial" w:hAnsi="Arial" w:cs="Arial"/>
        </w:rPr>
      </w:pPr>
      <w:r w:rsidRPr="00530907">
        <w:rPr>
          <w:rFonts w:ascii="Arial" w:hAnsi="Arial" w:cs="Arial"/>
        </w:rPr>
        <w:t>The link between these findings is clear: resource limitations and practical challenges faced by investigators can directly impact the quality of evidence, which in turn can significantly affect the effectiveness of investigations, especially in complex cases like anti-corruption enquiries. This underscores the need for investigators to have adequate resources, training, and support to navigate practical challenges and maintain high standards of evidence quality throughout the investigative process.</w:t>
      </w:r>
    </w:p>
    <w:p w14:paraId="52D59F7F" w14:textId="77777777" w:rsidR="004A7A86" w:rsidRPr="00530907" w:rsidRDefault="004A7A86" w:rsidP="00530907">
      <w:pPr>
        <w:spacing w:line="360" w:lineRule="auto"/>
        <w:rPr>
          <w:rFonts w:ascii="Arial" w:hAnsi="Arial" w:cs="Arial"/>
        </w:rPr>
      </w:pPr>
      <w:r w:rsidRPr="00530907">
        <w:rPr>
          <w:rFonts w:ascii="Arial" w:hAnsi="Arial" w:cs="Arial"/>
        </w:rPr>
        <w:t>Salem (2023) stresses the importance of maintaining stringent quality assurance and data privacy standards to preserve the integrity and ethical principles of forensic science. Properly securing and cataloguing evidence is essential to preventing contamination or tampering, as either could result in mistakes that undermine the credibility of the evidence gathered and the investigation itself (</w:t>
      </w:r>
      <w:proofErr w:type="spellStart"/>
      <w:r w:rsidRPr="00530907">
        <w:rPr>
          <w:rFonts w:ascii="Arial" w:hAnsi="Arial" w:cs="Arial"/>
        </w:rPr>
        <w:t>Rojszczak</w:t>
      </w:r>
      <w:proofErr w:type="spellEnd"/>
      <w:r w:rsidRPr="00530907">
        <w:rPr>
          <w:rFonts w:ascii="Arial" w:hAnsi="Arial" w:cs="Arial"/>
        </w:rPr>
        <w:t xml:space="preserve">, 2022). </w:t>
      </w:r>
    </w:p>
    <w:p w14:paraId="15DED33D" w14:textId="77777777" w:rsidR="004A7A86" w:rsidRPr="00530907" w:rsidRDefault="004A7A86" w:rsidP="00530907">
      <w:pPr>
        <w:spacing w:line="360" w:lineRule="auto"/>
        <w:rPr>
          <w:rFonts w:ascii="Arial" w:hAnsi="Arial" w:cs="Arial"/>
          <w:b/>
          <w:bCs/>
        </w:rPr>
      </w:pPr>
      <w:r w:rsidRPr="00530907">
        <w:rPr>
          <w:rFonts w:ascii="Arial" w:hAnsi="Arial" w:cs="Arial"/>
          <w:b/>
          <w:bCs/>
        </w:rPr>
        <w:t>Ethical and Social Considerations</w:t>
      </w:r>
    </w:p>
    <w:p w14:paraId="205A9A49" w14:textId="77777777" w:rsidR="004A7A86" w:rsidRPr="00530907" w:rsidRDefault="004A7A86" w:rsidP="00530907">
      <w:pPr>
        <w:spacing w:line="360" w:lineRule="auto"/>
        <w:rPr>
          <w:rFonts w:ascii="Arial" w:hAnsi="Arial" w:cs="Arial"/>
        </w:rPr>
      </w:pPr>
      <w:r w:rsidRPr="00530907">
        <w:rPr>
          <w:rFonts w:ascii="Arial" w:hAnsi="Arial" w:cs="Arial"/>
        </w:rPr>
        <w:t xml:space="preserve">Ethical concerns significantly impact challenges faced by investigators. Bernal (2016) emphasises that evidence-gathering, especially searches and surveillance, must balance effective law enforcement with individual rights and freedoms. Investigators must collect evidence without infringing on personal rights or violating privacy laws. Covert surveillance or undercover operations may be necessary for critical evidence but raise ethical questions about privacy invasion and abuse potential. The Undercover Policing Inquiry highlighted how lack of transparency enables abuse (www.ucpi.org.uk, n.d.). </w:t>
      </w:r>
    </w:p>
    <w:p w14:paraId="4EDDB52A" w14:textId="77777777" w:rsidR="004A7A86" w:rsidRPr="00530907" w:rsidRDefault="004A7A86" w:rsidP="00530907">
      <w:pPr>
        <w:spacing w:line="360" w:lineRule="auto"/>
        <w:rPr>
          <w:rFonts w:ascii="Arial" w:hAnsi="Arial" w:cs="Arial"/>
        </w:rPr>
      </w:pPr>
      <w:r w:rsidRPr="00530907">
        <w:rPr>
          <w:rFonts w:ascii="Arial" w:hAnsi="Arial" w:cs="Arial"/>
        </w:rPr>
        <w:t xml:space="preserve">Sayal et al. (2024) stress the ethical and privacy challenges in handling sensitive evidence involving victims or suspects. Investigators must consider their actions' impact on all involved, as mishandling evidence or causing harm compromises data integrity and the </w:t>
      </w:r>
      <w:r w:rsidRPr="00530907">
        <w:rPr>
          <w:rFonts w:ascii="Arial" w:hAnsi="Arial" w:cs="Arial"/>
        </w:rPr>
        <w:lastRenderedPageBreak/>
        <w:t>investigation. When dealing with large datasets of sensitive personal information, investigators must comply with regulations and guidelines to uphold privacy rights and ethical standards, implementing safeguards like data anonymisation, secure storage, and strict access controls. By addressing privacy concerns and adhering to standards, investigators can benefit from large-scale data analysis, such as data mining techniques, while respecting privacy and well-being.</w:t>
      </w:r>
    </w:p>
    <w:p w14:paraId="2A7BF383" w14:textId="77777777" w:rsidR="004A7A86" w:rsidRPr="00530907" w:rsidRDefault="004A7A86" w:rsidP="00530907">
      <w:pPr>
        <w:spacing w:line="360" w:lineRule="auto"/>
        <w:rPr>
          <w:rFonts w:ascii="Arial" w:hAnsi="Arial" w:cs="Arial"/>
        </w:rPr>
      </w:pPr>
      <w:r w:rsidRPr="00530907">
        <w:rPr>
          <w:rFonts w:ascii="Arial" w:hAnsi="Arial" w:cs="Arial"/>
        </w:rPr>
        <w:t>Rumney and McPhee's (2020) study underscores the significant role of evidence from social media, phones, and electronic devices in assisting police, prosecution, and defence teams. Such evidence often played a pivotal role in building cases, identifying suspects, and deciding to charge. However, communication evidence sometimes undermined complainants' credibility. In some cases, phone data was essential for law enforcement to identify and act against suspects or associates who intimidated complainants, highlighting the importance of electronic evidence in building cases and protecting victims.</w:t>
      </w:r>
    </w:p>
    <w:p w14:paraId="6EDFB5EE" w14:textId="0908A471" w:rsidR="004A7A86" w:rsidRPr="00530907" w:rsidRDefault="004A7A86" w:rsidP="00530907">
      <w:pPr>
        <w:spacing w:line="360" w:lineRule="auto"/>
        <w:rPr>
          <w:rFonts w:ascii="Arial" w:hAnsi="Arial" w:cs="Arial"/>
          <w:b/>
          <w:bCs/>
        </w:rPr>
      </w:pPr>
      <w:r w:rsidRPr="00530907">
        <w:rPr>
          <w:rFonts w:ascii="Arial" w:hAnsi="Arial" w:cs="Arial"/>
          <w:b/>
          <w:bCs/>
        </w:rPr>
        <w:t>Impact on Investigative Practice</w:t>
      </w:r>
    </w:p>
    <w:p w14:paraId="17535663" w14:textId="77777777" w:rsidR="004A7A86" w:rsidRPr="00530907" w:rsidRDefault="004A7A86" w:rsidP="00530907">
      <w:pPr>
        <w:spacing w:line="360" w:lineRule="auto"/>
        <w:rPr>
          <w:rFonts w:ascii="Arial" w:hAnsi="Arial" w:cs="Arial"/>
        </w:rPr>
      </w:pPr>
      <w:r w:rsidRPr="00530907">
        <w:rPr>
          <w:rFonts w:ascii="Arial" w:hAnsi="Arial" w:cs="Arial"/>
        </w:rPr>
        <w:t xml:space="preserve">The challenges outlined above have significant implications for investigative practice. Legal complexities and the need to adhere to strict procedural guidelines mean that investigators must continuously update their knowledge of relevant laws and best practices. Modise's (2023) research shows how CPD keeps officers current with legal changes, new technologies, and investigative methods, all of which are skills required for evidence gathering.  </w:t>
      </w:r>
    </w:p>
    <w:p w14:paraId="7325CF3B" w14:textId="77777777" w:rsidR="004A7A86" w:rsidRPr="00530907" w:rsidRDefault="004A7A86" w:rsidP="00530907">
      <w:pPr>
        <w:spacing w:line="360" w:lineRule="auto"/>
        <w:rPr>
          <w:rFonts w:ascii="Arial" w:hAnsi="Arial" w:cs="Arial"/>
        </w:rPr>
      </w:pPr>
      <w:r w:rsidRPr="00530907">
        <w:rPr>
          <w:rFonts w:ascii="Arial" w:hAnsi="Arial" w:cs="Arial"/>
        </w:rPr>
        <w:t>In some cases, investigators may require legal counsel or additional training to navigate these challenges effectively. Similarly, technological advancements necessitate ongoing professional development in digital forensics and cybercrime investigation techniques to keep up with rapidly changing trends (</w:t>
      </w:r>
      <w:proofErr w:type="spellStart"/>
      <w:r w:rsidRPr="00530907">
        <w:rPr>
          <w:rFonts w:ascii="Arial" w:hAnsi="Arial" w:cs="Arial"/>
        </w:rPr>
        <w:t>Stoykova</w:t>
      </w:r>
      <w:proofErr w:type="spellEnd"/>
      <w:r w:rsidRPr="00530907">
        <w:rPr>
          <w:rFonts w:ascii="Arial" w:hAnsi="Arial" w:cs="Arial"/>
        </w:rPr>
        <w:t xml:space="preserve">, 2021). </w:t>
      </w:r>
    </w:p>
    <w:p w14:paraId="0C8BFE47" w14:textId="77777777" w:rsidR="004A7A86" w:rsidRPr="00530907" w:rsidRDefault="004A7A86" w:rsidP="00530907">
      <w:pPr>
        <w:spacing w:line="360" w:lineRule="auto"/>
        <w:rPr>
          <w:rFonts w:ascii="Arial" w:hAnsi="Arial" w:cs="Arial"/>
        </w:rPr>
      </w:pPr>
      <w:r w:rsidRPr="00530907">
        <w:rPr>
          <w:rFonts w:ascii="Arial" w:hAnsi="Arial" w:cs="Arial"/>
        </w:rPr>
        <w:t>During Operation Shotton, I faced challenges that required strategic and sensitive handling, particularly when dealing with reluctant and terrified victims who potentially held key evidence against their traffickers but were unaware of their own exploitation. Atkinson-Sheppard et al. (2023) highlight the manipulative tactics used by traffickers to deceive victims, emphasising the need for investigators to handle victims with sensitivity and empathy to encourage cooperation and avoid re-traumatisation. However, their study lacks concrete evidence or specific strategies to demonstrate how investigators can successfully navigate the complex psychological dynamics in trafficking cases while balancing evidence-gathering with victim well-being. The focus on sensitivity and empathy may inadvertently prioritise victim cooperation over long-term well-being and support.</w:t>
      </w:r>
    </w:p>
    <w:p w14:paraId="71A6965F" w14:textId="77777777" w:rsidR="004A7A86" w:rsidRPr="00530907" w:rsidRDefault="004A7A86" w:rsidP="00530907">
      <w:pPr>
        <w:spacing w:line="360" w:lineRule="auto"/>
        <w:rPr>
          <w:rFonts w:ascii="Arial" w:hAnsi="Arial" w:cs="Arial"/>
        </w:rPr>
      </w:pPr>
      <w:r w:rsidRPr="00530907">
        <w:rPr>
          <w:rFonts w:ascii="Arial" w:hAnsi="Arial" w:cs="Arial"/>
        </w:rPr>
        <w:lastRenderedPageBreak/>
        <w:t>The investigation also presented legal and ethical challenges in balancing law enforcement action with the protection of a 15-year-old child trafficked by the suspects (</w:t>
      </w:r>
      <w:proofErr w:type="spellStart"/>
      <w:r w:rsidRPr="00530907">
        <w:rPr>
          <w:rFonts w:ascii="Arial" w:hAnsi="Arial" w:cs="Arial"/>
        </w:rPr>
        <w:t>Espeute</w:t>
      </w:r>
      <w:proofErr w:type="spellEnd"/>
      <w:r w:rsidRPr="00530907">
        <w:rPr>
          <w:rFonts w:ascii="Arial" w:hAnsi="Arial" w:cs="Arial"/>
        </w:rPr>
        <w:t xml:space="preserve"> and </w:t>
      </w:r>
      <w:proofErr w:type="spellStart"/>
      <w:r w:rsidRPr="00530907">
        <w:rPr>
          <w:rFonts w:ascii="Arial" w:hAnsi="Arial" w:cs="Arial"/>
        </w:rPr>
        <w:t>Lanskey</w:t>
      </w:r>
      <w:proofErr w:type="spellEnd"/>
      <w:r w:rsidRPr="00530907">
        <w:rPr>
          <w:rFonts w:ascii="Arial" w:hAnsi="Arial" w:cs="Arial"/>
        </w:rPr>
        <w:t xml:space="preserve">, 2023). </w:t>
      </w:r>
    </w:p>
    <w:p w14:paraId="1EE3BDA3" w14:textId="77777777" w:rsidR="004A7A86" w:rsidRPr="00530907" w:rsidRDefault="004A7A86" w:rsidP="00530907">
      <w:pPr>
        <w:spacing w:line="360" w:lineRule="auto"/>
        <w:rPr>
          <w:rFonts w:ascii="Arial" w:hAnsi="Arial" w:cs="Arial"/>
        </w:rPr>
      </w:pPr>
      <w:r w:rsidRPr="00530907">
        <w:rPr>
          <w:rFonts w:ascii="Arial" w:hAnsi="Arial" w:cs="Arial"/>
        </w:rPr>
        <w:t xml:space="preserve">After reflecting on the challenges listed, I adopted a victim-centred approach, prioritising safeguarding over prosecution for the 15-year-old concerned (Munro-Kramer et al., 2019). This involved working with social services and support agencies to ensure the victim received care while gathering evidence for prosecution. </w:t>
      </w:r>
    </w:p>
    <w:p w14:paraId="21EEEB43" w14:textId="77777777" w:rsidR="004A7A86" w:rsidRPr="00530907" w:rsidRDefault="004A7A86" w:rsidP="00530907">
      <w:pPr>
        <w:spacing w:line="360" w:lineRule="auto"/>
        <w:rPr>
          <w:rFonts w:ascii="Arial" w:hAnsi="Arial" w:cs="Arial"/>
          <w:b/>
          <w:bCs/>
        </w:rPr>
      </w:pPr>
      <w:r w:rsidRPr="00530907">
        <w:rPr>
          <w:rFonts w:ascii="Arial" w:hAnsi="Arial" w:cs="Arial"/>
          <w:b/>
          <w:bCs/>
        </w:rPr>
        <w:t>Conclusion</w:t>
      </w:r>
    </w:p>
    <w:p w14:paraId="65C42308" w14:textId="77777777" w:rsidR="004A7A86" w:rsidRPr="00530907" w:rsidRDefault="004A7A86" w:rsidP="00530907">
      <w:pPr>
        <w:spacing w:line="360" w:lineRule="auto"/>
        <w:rPr>
          <w:rFonts w:ascii="Arial" w:hAnsi="Arial" w:cs="Arial"/>
        </w:rPr>
      </w:pPr>
      <w:r w:rsidRPr="00530907">
        <w:rPr>
          <w:rFonts w:ascii="Arial" w:hAnsi="Arial" w:cs="Arial"/>
        </w:rPr>
        <w:t>Evidence gathering in criminal investigations is fraught with legal, technological, practical, and ethical challenges that significantly impact investigative practice. Investigators must navigate complex laws and regulations, adapt to rapidly evolving digital technologies, and overcome resource limitations while upholding ethical standards and protecting the rights of those involved.</w:t>
      </w:r>
    </w:p>
    <w:p w14:paraId="3080E4DD" w14:textId="77777777" w:rsidR="004A7A86" w:rsidRPr="00530907" w:rsidRDefault="004A7A86" w:rsidP="00530907">
      <w:pPr>
        <w:spacing w:line="360" w:lineRule="auto"/>
        <w:rPr>
          <w:rFonts w:ascii="Arial" w:hAnsi="Arial" w:cs="Arial"/>
        </w:rPr>
      </w:pPr>
      <w:r w:rsidRPr="00530907">
        <w:rPr>
          <w:rFonts w:ascii="Arial" w:hAnsi="Arial" w:cs="Arial"/>
        </w:rPr>
        <w:t>Challenges faced during Operation Shotton underscore the need for a victim-centred approach that prioritises safeguarding and well-being. However, the lack of concrete strategies to handle complex psychological dynamics in such cases highlights the need for further research and training.</w:t>
      </w:r>
    </w:p>
    <w:p w14:paraId="5BD8CEE5" w14:textId="77777777" w:rsidR="004A7A86" w:rsidRPr="00530907" w:rsidRDefault="004A7A86" w:rsidP="00530907">
      <w:pPr>
        <w:spacing w:line="360" w:lineRule="auto"/>
        <w:rPr>
          <w:rFonts w:ascii="Arial" w:hAnsi="Arial" w:cs="Arial"/>
        </w:rPr>
      </w:pPr>
      <w:r w:rsidRPr="00530907">
        <w:rPr>
          <w:rFonts w:ascii="Arial" w:hAnsi="Arial" w:cs="Arial"/>
        </w:rPr>
        <w:t>Investigators must continually adapt to these challenges through ongoing professional development, resource allocation, and a commitment to maintaining the highest standards of evidence quality and ethical conduct. By addressing these obstacles head-on and prioritising the well-being of those involved, investigators can contribute to a more effective and just criminal justice system.</w:t>
      </w:r>
    </w:p>
    <w:p w14:paraId="27861483" w14:textId="77777777" w:rsidR="004A7A86" w:rsidRPr="00530907" w:rsidRDefault="004A7A86" w:rsidP="00530907">
      <w:pPr>
        <w:spacing w:line="360" w:lineRule="auto"/>
        <w:rPr>
          <w:rFonts w:ascii="Arial" w:hAnsi="Arial" w:cs="Arial"/>
          <w:b/>
          <w:bCs/>
          <w:u w:val="single"/>
        </w:rPr>
      </w:pPr>
      <w:r w:rsidRPr="00530907">
        <w:rPr>
          <w:rFonts w:ascii="Arial" w:hAnsi="Arial" w:cs="Arial"/>
          <w:b/>
          <w:bCs/>
          <w:u w:val="single"/>
        </w:rPr>
        <w:t xml:space="preserve">Word Count – 1,278 Words. </w:t>
      </w:r>
    </w:p>
    <w:p w14:paraId="5DCDBFF4" w14:textId="31DE92EC" w:rsidR="004A7A86" w:rsidRPr="00530907" w:rsidRDefault="004A7A86" w:rsidP="00530907">
      <w:pPr>
        <w:spacing w:line="360" w:lineRule="auto"/>
        <w:rPr>
          <w:rFonts w:ascii="Arial" w:hAnsi="Arial" w:cs="Arial"/>
          <w:b/>
          <w:bCs/>
        </w:rPr>
      </w:pPr>
      <w:r w:rsidRPr="00530907">
        <w:rPr>
          <w:rFonts w:ascii="Arial" w:hAnsi="Arial" w:cs="Arial"/>
          <w:b/>
          <w:bCs/>
        </w:rPr>
        <w:t>Reference</w:t>
      </w:r>
    </w:p>
    <w:p w14:paraId="3949CFBA"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Atkinson-Sheppard, S., Dando, C., Ormerod, T. and Robinson, B. (2023) ‘Coercion and crime: Convergences, Divergences and ‘County Lines’. Criminology &amp; Criminal Justice. Available at: doi:https://doi.org/10.1177/17488958231153981 (Accessed: 06 May 2025). </w:t>
      </w:r>
    </w:p>
    <w:p w14:paraId="5FB2F579"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Bernal, P. (2016) 'Data gathering, surveillance and human rights: recasting the debate', Journal of Cyber Policy, 1(2), pp. 243–264. Available at: </w:t>
      </w:r>
      <w:hyperlink r:id="rId32" w:history="1">
        <w:r w:rsidRPr="00530907">
          <w:rPr>
            <w:rFonts w:ascii="Arial" w:hAnsi="Arial" w:cs="Arial"/>
            <w:lang w:val="en-GB"/>
          </w:rPr>
          <w:t>https://doi.org/10.1080/23738871.2016.1228990</w:t>
        </w:r>
      </w:hyperlink>
      <w:r w:rsidRPr="00530907">
        <w:rPr>
          <w:rFonts w:ascii="Arial" w:hAnsi="Arial" w:cs="Arial"/>
          <w:color w:val="000000" w:themeColor="text1"/>
          <w:lang w:val="en-GB"/>
        </w:rPr>
        <w:t xml:space="preserve"> (Accessed: 06 May 2025).</w:t>
      </w:r>
    </w:p>
    <w:p w14:paraId="6F801A2A"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lastRenderedPageBreak/>
        <w:t xml:space="preserve">Devlin, H. and correspondent, H.D.S. (2023) ‘Missing evidence led to 16 homicides in England and Wales not going to trial’. The Guardian. (online) 3 September. Available at: </w:t>
      </w:r>
      <w:hyperlink r:id="rId33" w:history="1">
        <w:r w:rsidRPr="00530907">
          <w:rPr>
            <w:rFonts w:ascii="Arial" w:hAnsi="Arial" w:cs="Arial"/>
            <w:lang w:val="en-GB"/>
          </w:rPr>
          <w:t>https://www.theguardian.com/uk-news/2023/sep/03/lost-missing-evidence-cases-freedom-of-information-police</w:t>
        </w:r>
      </w:hyperlink>
      <w:r w:rsidRPr="00530907">
        <w:rPr>
          <w:rFonts w:ascii="Arial" w:hAnsi="Arial" w:cs="Arial"/>
          <w:color w:val="000000" w:themeColor="text1"/>
          <w:lang w:val="en-GB"/>
        </w:rPr>
        <w:t xml:space="preserve"> (Accessed: 06 May 2025).</w:t>
      </w:r>
    </w:p>
    <w:p w14:paraId="2078BD16" w14:textId="4D25B43C"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Dyke, T., (2018) ‘Ripe for Reform? Recent Developments in Search Warrants’. Judicial Review, 23(4), pp.279-292. Available at: doi:https://doi.org/10.1080/10854681.2018.1550954 (Accessed: 06 May 2025).</w:t>
      </w:r>
    </w:p>
    <w:p w14:paraId="7A311ACF"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Espeute, S. &amp; Lanskey, C. (2023) ‘An exploration of police discretion in the identification of child victims of county lines drug trafficking’. Policing and Society, 33, 1031-1050. Available at: doi:https://doi.org/10.1080/10439463.2023.2223341 (Accessed: 06 May 2025).</w:t>
      </w:r>
    </w:p>
    <w:p w14:paraId="48DE61AC"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Gupta, G. and Husain, A. (2023) ‘Digital Evidence in Police Investigation: A Comparative Analysis of Challenges Faced in India, the UK and the United States’. Journal of Victimology and Victim Justice, 6(2), pp.133–145. Available at: doi:</w:t>
      </w:r>
      <w:hyperlink r:id="rId34" w:history="1">
        <w:r w:rsidRPr="00530907">
          <w:rPr>
            <w:rFonts w:ascii="Arial" w:hAnsi="Arial" w:cs="Arial"/>
            <w:lang w:val="en-GB"/>
          </w:rPr>
          <w:t>https://doi.org/10.1177/25166069231184977</w:t>
        </w:r>
      </w:hyperlink>
      <w:r w:rsidRPr="00530907">
        <w:rPr>
          <w:rFonts w:ascii="Arial" w:hAnsi="Arial" w:cs="Arial"/>
          <w:color w:val="000000" w:themeColor="text1"/>
          <w:lang w:val="en-GB"/>
        </w:rPr>
        <w:t xml:space="preserve"> (Accessed: 06 May 2025).</w:t>
      </w:r>
    </w:p>
    <w:p w14:paraId="1655E1AC"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Heath, H., MacDermott, Á. and Akinbi, A. (2023) ‘Forensic analysis of ephemeral messaging applications: Disappearing messages or evidential data?’ Forensic Science International: Digital Investigation, 46, p.301585. Available at: doi:</w:t>
      </w:r>
      <w:hyperlink r:id="rId35" w:history="1">
        <w:r w:rsidRPr="00530907">
          <w:rPr>
            <w:rFonts w:ascii="Arial" w:hAnsi="Arial" w:cs="Arial"/>
            <w:lang w:val="en-GB"/>
          </w:rPr>
          <w:t>https://doi.org/10.1016/j.fsidi.2023.301585</w:t>
        </w:r>
      </w:hyperlink>
      <w:r w:rsidRPr="00530907">
        <w:rPr>
          <w:rFonts w:ascii="Arial" w:hAnsi="Arial" w:cs="Arial"/>
          <w:color w:val="000000" w:themeColor="text1"/>
          <w:lang w:val="en-GB"/>
        </w:rPr>
        <w:t xml:space="preserve"> (Accessed: 06 May 2025).</w:t>
      </w:r>
    </w:p>
    <w:p w14:paraId="77BF4352"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Home Office. (2023) ‘Regulation of Investigatory Powers Act 2000 (RIPA)’. GOV.UK. Available at: </w:t>
      </w:r>
      <w:hyperlink r:id="rId36" w:history="1">
        <w:r w:rsidRPr="00530907">
          <w:rPr>
            <w:rFonts w:ascii="Arial" w:hAnsi="Arial" w:cs="Arial"/>
            <w:lang w:val="en-GB"/>
          </w:rPr>
          <w:t>https://www.gov.uk/government/publications/regulation-of-investigatory-powers-act-2000-ripa/regulation-of-investigatory-powers-act-2000-ripa</w:t>
        </w:r>
      </w:hyperlink>
      <w:r w:rsidRPr="00530907">
        <w:rPr>
          <w:rFonts w:ascii="Arial" w:hAnsi="Arial" w:cs="Arial"/>
          <w:color w:val="000000" w:themeColor="text1"/>
          <w:lang w:val="en-GB"/>
        </w:rPr>
        <w:t xml:space="preserve"> (Accessed 06 May 2025).</w:t>
      </w:r>
    </w:p>
    <w:p w14:paraId="7F8697B2"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Jones, H. and Brookman, F. (2024) ‘Risky calls: understanding the challenges and risks of using mobile phone data during homicide investigations’. Policing &amp; Society, pp.1–17. Available at: doi:</w:t>
      </w:r>
      <w:hyperlink r:id="rId37" w:history="1">
        <w:r w:rsidRPr="00530907">
          <w:rPr>
            <w:rFonts w:ascii="Arial" w:hAnsi="Arial" w:cs="Arial"/>
            <w:lang w:val="en-GB"/>
          </w:rPr>
          <w:t>https://doi.org/10.1080/10439463.2024.2366311</w:t>
        </w:r>
      </w:hyperlink>
      <w:r w:rsidRPr="00530907">
        <w:rPr>
          <w:rFonts w:ascii="Arial" w:hAnsi="Arial" w:cs="Arial"/>
          <w:color w:val="000000" w:themeColor="text1"/>
          <w:lang w:val="en-GB"/>
        </w:rPr>
        <w:t xml:space="preserve"> (Accessed: 06 May 2025).</w:t>
      </w:r>
    </w:p>
    <w:p w14:paraId="6976920E"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Kassem, R. and Engin Erken (2024) ‘In their own words: Police officers' insights on identifying and overcoming contemporary policing challenges’. International review of administrative sciences. Available at doi:</w:t>
      </w:r>
      <w:hyperlink r:id="rId38" w:history="1">
        <w:r w:rsidRPr="00530907">
          <w:rPr>
            <w:rFonts w:ascii="Arial" w:hAnsi="Arial" w:cs="Arial"/>
            <w:lang w:val="en-GB"/>
          </w:rPr>
          <w:t>https://doi.org/10.1177/00208523241256029</w:t>
        </w:r>
      </w:hyperlink>
      <w:r w:rsidRPr="00530907">
        <w:rPr>
          <w:rFonts w:ascii="Arial" w:hAnsi="Arial" w:cs="Arial"/>
          <w:color w:val="000000" w:themeColor="text1"/>
          <w:lang w:val="en-GB"/>
        </w:rPr>
        <w:t xml:space="preserve"> (Accessed: 06 May 2025).</w:t>
      </w:r>
    </w:p>
    <w:p w14:paraId="04CE0FD0"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lastRenderedPageBreak/>
        <w:t>Kenneally, E.E. and Brown, C.L.T. (2005) ‘Risk sensitive digital evidence collection’. Digital Investigation, 2(2), pp.101–119. Available at: doi:</w:t>
      </w:r>
      <w:hyperlink r:id="rId39" w:history="1">
        <w:r w:rsidRPr="00530907">
          <w:rPr>
            <w:rFonts w:ascii="Arial" w:hAnsi="Arial" w:cs="Arial"/>
            <w:lang w:val="en-GB"/>
          </w:rPr>
          <w:t>https://doi.org/10.1016/j.diin.2005.02.001</w:t>
        </w:r>
      </w:hyperlink>
      <w:r w:rsidRPr="00530907">
        <w:rPr>
          <w:rFonts w:ascii="Arial" w:hAnsi="Arial" w:cs="Arial"/>
          <w:color w:val="000000" w:themeColor="text1"/>
          <w:lang w:val="en-GB"/>
        </w:rPr>
        <w:t xml:space="preserve"> (Accessed: 06 May 2025).</w:t>
      </w:r>
    </w:p>
    <w:p w14:paraId="7041412D"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Mac Giollabhuí, S., Goold, B. and Loftus, B. (2016) ‘Watching the watchers: conducting ethnographic research on covert police investigation in the United Kingdom’. Qualitative Research, 16(6), pp.630–645. Available at: doi:</w:t>
      </w:r>
      <w:hyperlink r:id="rId40" w:history="1">
        <w:r w:rsidRPr="00530907">
          <w:rPr>
            <w:rFonts w:ascii="Arial" w:hAnsi="Arial" w:cs="Arial"/>
            <w:lang w:val="en-GB"/>
          </w:rPr>
          <w:t>https://doi.org/10.1177/1468794115622529</w:t>
        </w:r>
      </w:hyperlink>
      <w:r w:rsidRPr="00530907">
        <w:rPr>
          <w:rFonts w:ascii="Arial" w:hAnsi="Arial" w:cs="Arial"/>
          <w:color w:val="000000" w:themeColor="text1"/>
          <w:lang w:val="en-GB"/>
        </w:rPr>
        <w:t xml:space="preserve"> (Accessed: 06 May 2025).</w:t>
      </w:r>
    </w:p>
    <w:p w14:paraId="126E5868"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Munro-Kramer, M., Beck, D., Choi, K., Singer, R., Gebhard, A. and Carr, B. (2019) ‘Human Trafficking Victim’s Service Needs and Outcomes: An Analysis of Clinical Law Data. Journal of Human Trafficking, 6(1), pp.1–14. Available at: doi:https://doi.org/10.1080/23322705.2019.1574476 (Accessed: 06 May 2025). </w:t>
      </w:r>
    </w:p>
    <w:p w14:paraId="2E424767"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None Moses Ashawa, None Ali Mansour, None Jackie Riley, None Jude Osamor and Pius, N. (2023) ‘Digital Forensics Challenges in Cyberspace: Overcoming Legitimacy and Privacy Issues Through Modularisation’. Cloud computing and data science, pp.140–156. Available at: doi:</w:t>
      </w:r>
      <w:hyperlink r:id="rId41" w:history="1">
        <w:r w:rsidRPr="00530907">
          <w:rPr>
            <w:rFonts w:ascii="Arial" w:hAnsi="Arial" w:cs="Arial"/>
            <w:lang w:val="en-GB"/>
          </w:rPr>
          <w:t>https://doi.org/10.37256/ccds.5120233845</w:t>
        </w:r>
      </w:hyperlink>
      <w:r w:rsidRPr="00530907">
        <w:rPr>
          <w:rFonts w:ascii="Arial" w:hAnsi="Arial" w:cs="Arial"/>
          <w:color w:val="000000" w:themeColor="text1"/>
          <w:lang w:val="en-GB"/>
        </w:rPr>
        <w:t xml:space="preserve"> (Accessed: 06 May 2025). </w:t>
      </w:r>
    </w:p>
    <w:p w14:paraId="3FBA080B"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Prince, H., Lum, C. and Koper, C.S. (2021) ‘Effective police investigative practices: an evidence-assessment of the research’. Policing: An International Journal, ahead-of-print(ahead-of-print). Available at: doi:</w:t>
      </w:r>
      <w:hyperlink r:id="rId42" w:history="1">
        <w:r w:rsidRPr="00530907">
          <w:rPr>
            <w:rFonts w:ascii="Arial" w:hAnsi="Arial" w:cs="Arial"/>
            <w:lang w:val="en-GB"/>
          </w:rPr>
          <w:t>https://doi.org/10.1108/pijpsm-04-2021-0054</w:t>
        </w:r>
      </w:hyperlink>
      <w:r w:rsidRPr="00530907">
        <w:rPr>
          <w:rFonts w:ascii="Arial" w:hAnsi="Arial" w:cs="Arial"/>
          <w:color w:val="000000" w:themeColor="text1"/>
          <w:lang w:val="en-GB"/>
        </w:rPr>
        <w:t xml:space="preserve"> (Accessed: 06 May 2025).</w:t>
      </w:r>
    </w:p>
    <w:p w14:paraId="5ED36EBA"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Rojszczak, M. (2022) ‘e</w:t>
      </w:r>
      <w:r w:rsidRPr="00530907">
        <w:rPr>
          <w:rFonts w:ascii="Cambria Math" w:hAnsi="Cambria Math" w:cs="Cambria Math"/>
          <w:color w:val="000000" w:themeColor="text1"/>
          <w:lang w:val="en-GB"/>
        </w:rPr>
        <w:t>‐</w:t>
      </w:r>
      <w:r w:rsidRPr="00530907">
        <w:rPr>
          <w:rFonts w:ascii="Arial" w:hAnsi="Arial" w:cs="Arial"/>
          <w:color w:val="000000" w:themeColor="text1"/>
          <w:lang w:val="en-GB"/>
        </w:rPr>
        <w:t>Evidence Cooperation in Criminal Matters from an EU Perspective’. The Modern Law Review, 85(4), pp.997–1028. Available at: doi:</w:t>
      </w:r>
      <w:hyperlink r:id="rId43" w:history="1">
        <w:r w:rsidRPr="00530907">
          <w:rPr>
            <w:rFonts w:ascii="Arial" w:hAnsi="Arial" w:cs="Arial"/>
            <w:lang w:val="en-GB"/>
          </w:rPr>
          <w:t>https://doi.org/10.1111/1468-2230.12749</w:t>
        </w:r>
      </w:hyperlink>
      <w:r w:rsidRPr="00530907">
        <w:rPr>
          <w:rFonts w:ascii="Arial" w:hAnsi="Arial" w:cs="Arial"/>
          <w:color w:val="000000" w:themeColor="text1"/>
          <w:lang w:val="en-GB"/>
        </w:rPr>
        <w:t xml:space="preserve"> (Accessed: 06 May 2025). </w:t>
      </w:r>
    </w:p>
    <w:p w14:paraId="704BC283"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Rumney, P. and McPhee, D. (2020) 'The evidential value of electronic communications data in rape and sexual offence cases', Criminal Law Review, pp. 1-16. Available at: </w:t>
      </w:r>
      <w:hyperlink r:id="rId44" w:history="1">
        <w:r w:rsidRPr="00530907">
          <w:rPr>
            <w:rFonts w:ascii="Arial" w:hAnsi="Arial" w:cs="Arial"/>
            <w:lang w:val="en-GB"/>
          </w:rPr>
          <w:t>https://www.researchgate.net/publication/341355559_The_Evidential_Value_of_Electronic_Communications_Data_in_Rape_and_Sexual_Offence_Cases</w:t>
        </w:r>
      </w:hyperlink>
      <w:r w:rsidRPr="00530907">
        <w:rPr>
          <w:rFonts w:ascii="Arial" w:hAnsi="Arial" w:cs="Arial"/>
          <w:color w:val="000000" w:themeColor="text1"/>
          <w:lang w:val="en-GB"/>
        </w:rPr>
        <w:t xml:space="preserve"> (Accessed: 06 May 2025).</w:t>
      </w:r>
    </w:p>
    <w:p w14:paraId="25721FD7"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Salem, A. (2023) ‘The role of DNA in forensic science: A comprehensive review’. International Journal of Science and Research Archive, 9(2), pp.814–829. Available at: doi:</w:t>
      </w:r>
      <w:hyperlink r:id="rId45" w:history="1">
        <w:r w:rsidRPr="00530907">
          <w:rPr>
            <w:rFonts w:ascii="Arial" w:hAnsi="Arial" w:cs="Arial"/>
            <w:lang w:val="en-GB"/>
          </w:rPr>
          <w:t>https://doi.org/10.30574/ijsra.2023.9.2.0624</w:t>
        </w:r>
      </w:hyperlink>
      <w:r w:rsidRPr="00530907">
        <w:rPr>
          <w:rFonts w:ascii="Arial" w:hAnsi="Arial" w:cs="Arial"/>
          <w:color w:val="000000" w:themeColor="text1"/>
          <w:lang w:val="en-GB"/>
        </w:rPr>
        <w:t xml:space="preserve"> (Accessed: 06 May 2025).</w:t>
      </w:r>
    </w:p>
    <w:p w14:paraId="263C4583"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lastRenderedPageBreak/>
        <w:t xml:space="preserve">Sayal, A., Gupta, A., Vasundhara, C., B M, Y., Gupta, V. and Maheshwari, H. (2024) ‘Crime Detection Using Data Mining Techniques’. 2024 Sixth International Conference on Computational Intelligence and Communication Technologies (CCICT), pp.200–204. Available at: doi:https://doi.org/10.1109/ccict62777.2024.00041 (Accessed: 06 May 2025). </w:t>
      </w:r>
    </w:p>
    <w:p w14:paraId="71437439"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Stoykova, R. (2021) ‘Digital evidence: Unaddressed threats to fairness and the presumption of innocence’. Computer Law &amp; Security Review, 42(42), p.105575. Available at: doi:</w:t>
      </w:r>
      <w:hyperlink r:id="rId46" w:history="1">
        <w:r w:rsidRPr="00530907">
          <w:rPr>
            <w:rFonts w:ascii="Arial" w:hAnsi="Arial" w:cs="Arial"/>
            <w:lang w:val="en-GB"/>
          </w:rPr>
          <w:t>https://doi.org/10.1016/j.clsr.2021.105575</w:t>
        </w:r>
      </w:hyperlink>
      <w:r w:rsidRPr="00530907">
        <w:rPr>
          <w:rFonts w:ascii="Arial" w:hAnsi="Arial" w:cs="Arial"/>
          <w:color w:val="000000" w:themeColor="text1"/>
          <w:lang w:val="en-GB"/>
        </w:rPr>
        <w:t xml:space="preserve"> (Accessed: 06 May 2025).</w:t>
      </w:r>
    </w:p>
    <w:p w14:paraId="43CEB368" w14:textId="77777777" w:rsidR="004A7A86"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Ventham, C., Collier, B., Cohen, R., Talalay, R. and Wright, J. (2022) ‘Judicial Reviews Claims Involving the Police’. Judicial Review, pp.1–34. Available at: doi:</w:t>
      </w:r>
      <w:hyperlink r:id="rId47" w:history="1">
        <w:r w:rsidRPr="00530907">
          <w:rPr>
            <w:rFonts w:ascii="Arial" w:hAnsi="Arial" w:cs="Arial"/>
            <w:lang w:val="en-GB"/>
          </w:rPr>
          <w:t>https://doi.org/10.1080/10854681.2022.2127579</w:t>
        </w:r>
      </w:hyperlink>
      <w:r w:rsidRPr="00530907">
        <w:rPr>
          <w:rFonts w:ascii="Arial" w:hAnsi="Arial" w:cs="Arial"/>
          <w:color w:val="000000" w:themeColor="text1"/>
          <w:lang w:val="en-GB"/>
        </w:rPr>
        <w:t xml:space="preserve"> (Accessed: 06 May 2025).</w:t>
      </w:r>
    </w:p>
    <w:p w14:paraId="6BC56AA1" w14:textId="038DF766" w:rsidR="0044401C" w:rsidRPr="00530907" w:rsidRDefault="004A7A86"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www.ucpi.org.uk. (n.d.). ‘Undercover Policing Inquiry’. Available at: </w:t>
      </w:r>
      <w:hyperlink r:id="rId48" w:history="1">
        <w:r w:rsidRPr="00530907">
          <w:rPr>
            <w:rFonts w:ascii="Arial" w:hAnsi="Arial" w:cs="Arial"/>
            <w:lang w:val="en-GB"/>
          </w:rPr>
          <w:t>https://www.ucpi.org.uk/</w:t>
        </w:r>
      </w:hyperlink>
      <w:r w:rsidRPr="00530907">
        <w:rPr>
          <w:rFonts w:ascii="Arial" w:hAnsi="Arial" w:cs="Arial"/>
          <w:color w:val="000000" w:themeColor="text1"/>
          <w:lang w:val="en-GB"/>
        </w:rPr>
        <w:t xml:space="preserve"> (Accessed: 6 May 2025).</w:t>
      </w:r>
    </w:p>
    <w:p w14:paraId="7858ADF0" w14:textId="77777777" w:rsidR="0044401C" w:rsidRPr="00530907" w:rsidRDefault="0044401C" w:rsidP="00530907">
      <w:pPr>
        <w:spacing w:line="360" w:lineRule="auto"/>
        <w:rPr>
          <w:rFonts w:ascii="Arial" w:hAnsi="Arial" w:cs="Arial"/>
          <w:noProof/>
          <w:color w:val="000000" w:themeColor="text1"/>
          <w:kern w:val="2"/>
          <w14:ligatures w14:val="standardContextual"/>
        </w:rPr>
      </w:pPr>
      <w:r w:rsidRPr="00530907">
        <w:rPr>
          <w:rFonts w:ascii="Arial" w:hAnsi="Arial" w:cs="Arial"/>
          <w:color w:val="000000" w:themeColor="text1"/>
        </w:rPr>
        <w:br w:type="page"/>
      </w:r>
    </w:p>
    <w:bookmarkEnd w:id="0"/>
    <w:p w14:paraId="0BD8F3A9" w14:textId="06E3698D" w:rsidR="4BFE4F66" w:rsidRPr="0044401C" w:rsidRDefault="010A2EC9" w:rsidP="43D343CA">
      <w:pPr>
        <w:rPr>
          <w:rFonts w:asciiTheme="minorBidi" w:eastAsia="Arial" w:hAnsiTheme="minorBidi"/>
          <w:b/>
          <w:bCs/>
          <w:i/>
          <w:iCs/>
          <w:sz w:val="24"/>
          <w:szCs w:val="24"/>
        </w:rPr>
      </w:pPr>
      <w:r w:rsidRPr="0044401C">
        <w:rPr>
          <w:rFonts w:asciiTheme="minorBidi" w:eastAsia="Arial" w:hAnsiTheme="minorBidi"/>
          <w:b/>
          <w:bCs/>
          <w:i/>
          <w:iCs/>
          <w:sz w:val="24"/>
          <w:szCs w:val="24"/>
        </w:rPr>
        <w:lastRenderedPageBreak/>
        <w:t xml:space="preserve">Task 2: </w:t>
      </w:r>
      <w:r w:rsidR="3F637696" w:rsidRPr="0044401C">
        <w:rPr>
          <w:rFonts w:asciiTheme="minorBidi" w:eastAsia="Arial" w:hAnsiTheme="minorBidi"/>
          <w:b/>
          <w:bCs/>
          <w:i/>
          <w:iCs/>
          <w:sz w:val="24"/>
          <w:szCs w:val="24"/>
        </w:rPr>
        <w:t>Safeguarding and Risk Assessment</w:t>
      </w:r>
    </w:p>
    <w:p w14:paraId="5297BD6F" w14:textId="66C0A9AB" w:rsidR="43D343CA" w:rsidRPr="0044401C" w:rsidRDefault="43D343CA">
      <w:pPr>
        <w:rPr>
          <w:rFonts w:asciiTheme="minorBidi" w:hAnsiTheme="minorBidi"/>
        </w:rPr>
      </w:pPr>
    </w:p>
    <w:tbl>
      <w:tblPr>
        <w:tblStyle w:val="TableGrid"/>
        <w:tblW w:w="0" w:type="auto"/>
        <w:tblLayout w:type="fixed"/>
        <w:tblLook w:val="06A0" w:firstRow="1" w:lastRow="0" w:firstColumn="1" w:lastColumn="0" w:noHBand="1" w:noVBand="1"/>
      </w:tblPr>
      <w:tblGrid>
        <w:gridCol w:w="9015"/>
      </w:tblGrid>
      <w:tr w:rsidR="7336895D" w:rsidRPr="0044401C" w14:paraId="377E1D5D" w14:textId="77777777" w:rsidTr="43D343CA">
        <w:tc>
          <w:tcPr>
            <w:tcW w:w="9015" w:type="dxa"/>
          </w:tcPr>
          <w:p w14:paraId="2A177692" w14:textId="4861C1B6" w:rsidR="4BFE4F66" w:rsidRPr="0044401C" w:rsidRDefault="6B3383F7" w:rsidP="43D343CA">
            <w:pPr>
              <w:spacing w:line="360" w:lineRule="auto"/>
              <w:rPr>
                <w:rFonts w:asciiTheme="minorBidi" w:eastAsia="Arial" w:hAnsiTheme="minorBidi"/>
                <w:b/>
                <w:bCs/>
                <w:color w:val="000000" w:themeColor="text1"/>
                <w:sz w:val="24"/>
                <w:szCs w:val="24"/>
              </w:rPr>
            </w:pPr>
            <w:r w:rsidRPr="0044401C">
              <w:rPr>
                <w:rFonts w:asciiTheme="minorBidi" w:eastAsia="Arial" w:hAnsiTheme="minorBidi"/>
                <w:sz w:val="24"/>
                <w:szCs w:val="24"/>
              </w:rPr>
              <w:t>C</w:t>
            </w:r>
            <w:r w:rsidR="07F7DAB7" w:rsidRPr="0044401C">
              <w:rPr>
                <w:rFonts w:asciiTheme="minorBidi" w:eastAsia="Arial" w:hAnsiTheme="minorBidi"/>
                <w:sz w:val="24"/>
                <w:szCs w:val="24"/>
              </w:rPr>
              <w:t>hoose an investigation</w:t>
            </w:r>
            <w:r w:rsidR="69D7A8C3" w:rsidRPr="0044401C">
              <w:rPr>
                <w:rFonts w:asciiTheme="minorBidi" w:eastAsia="Arial" w:hAnsiTheme="minorBidi"/>
                <w:sz w:val="24"/>
                <w:szCs w:val="24"/>
              </w:rPr>
              <w:t xml:space="preserve"> from your practice</w:t>
            </w:r>
            <w:r w:rsidR="3C54D52A" w:rsidRPr="0044401C">
              <w:rPr>
                <w:rFonts w:asciiTheme="minorBidi" w:eastAsia="Arial" w:hAnsiTheme="minorBidi"/>
                <w:sz w:val="24"/>
                <w:szCs w:val="24"/>
              </w:rPr>
              <w:t xml:space="preserve"> in which you played a significant part</w:t>
            </w:r>
            <w:r w:rsidR="69D7A8C3" w:rsidRPr="0044401C">
              <w:rPr>
                <w:rFonts w:asciiTheme="minorBidi" w:eastAsia="Arial" w:hAnsiTheme="minorBidi"/>
                <w:sz w:val="24"/>
                <w:szCs w:val="24"/>
              </w:rPr>
              <w:t xml:space="preserve"> </w:t>
            </w:r>
            <w:r w:rsidR="4EECA779" w:rsidRPr="0044401C">
              <w:rPr>
                <w:rFonts w:asciiTheme="minorBidi" w:eastAsia="Arial" w:hAnsiTheme="minorBidi"/>
                <w:sz w:val="24"/>
                <w:szCs w:val="24"/>
              </w:rPr>
              <w:t>where</w:t>
            </w:r>
            <w:r w:rsidR="07F7DAB7" w:rsidRPr="0044401C">
              <w:rPr>
                <w:rFonts w:asciiTheme="minorBidi" w:eastAsia="Arial" w:hAnsiTheme="minorBidi"/>
                <w:sz w:val="24"/>
                <w:szCs w:val="24"/>
              </w:rPr>
              <w:t xml:space="preserve"> </w:t>
            </w:r>
            <w:r w:rsidRPr="0044401C">
              <w:rPr>
                <w:rFonts w:asciiTheme="minorBidi" w:eastAsia="Arial" w:hAnsiTheme="minorBidi"/>
                <w:sz w:val="24"/>
                <w:szCs w:val="24"/>
              </w:rPr>
              <w:t xml:space="preserve">vulnerable people </w:t>
            </w:r>
            <w:r w:rsidR="6ABF49D4" w:rsidRPr="0044401C">
              <w:rPr>
                <w:rFonts w:asciiTheme="minorBidi" w:eastAsia="Arial" w:hAnsiTheme="minorBidi"/>
                <w:sz w:val="24"/>
                <w:szCs w:val="24"/>
              </w:rPr>
              <w:t>were</w:t>
            </w:r>
            <w:r w:rsidRPr="0044401C">
              <w:rPr>
                <w:rFonts w:asciiTheme="minorBidi" w:eastAsia="Arial" w:hAnsiTheme="minorBidi"/>
                <w:sz w:val="24"/>
                <w:szCs w:val="24"/>
              </w:rPr>
              <w:t xml:space="preserve"> exploited</w:t>
            </w:r>
            <w:r w:rsidR="7B8497CE" w:rsidRPr="0044401C">
              <w:rPr>
                <w:rFonts w:asciiTheme="minorBidi" w:eastAsia="Arial" w:hAnsiTheme="minorBidi"/>
                <w:sz w:val="24"/>
                <w:szCs w:val="24"/>
              </w:rPr>
              <w:t xml:space="preserve"> (either </w:t>
            </w:r>
            <w:r w:rsidR="19A5EB31" w:rsidRPr="0044401C">
              <w:rPr>
                <w:rFonts w:asciiTheme="minorBidi" w:eastAsia="Arial" w:hAnsiTheme="minorBidi"/>
                <w:sz w:val="24"/>
                <w:szCs w:val="24"/>
              </w:rPr>
              <w:t xml:space="preserve">as </w:t>
            </w:r>
            <w:r w:rsidR="7B8497CE" w:rsidRPr="0044401C">
              <w:rPr>
                <w:rFonts w:asciiTheme="minorBidi" w:eastAsia="Arial" w:hAnsiTheme="minorBidi"/>
                <w:sz w:val="24"/>
                <w:szCs w:val="24"/>
              </w:rPr>
              <w:t>victims</w:t>
            </w:r>
            <w:r w:rsidR="743414A8" w:rsidRPr="0044401C">
              <w:rPr>
                <w:rFonts w:asciiTheme="minorBidi" w:eastAsia="Arial" w:hAnsiTheme="minorBidi"/>
                <w:sz w:val="24"/>
                <w:szCs w:val="24"/>
              </w:rPr>
              <w:t>,</w:t>
            </w:r>
            <w:r w:rsidR="728DE41C" w:rsidRPr="0044401C">
              <w:rPr>
                <w:rFonts w:asciiTheme="minorBidi" w:eastAsia="Arial" w:hAnsiTheme="minorBidi"/>
                <w:sz w:val="24"/>
                <w:szCs w:val="24"/>
              </w:rPr>
              <w:t xml:space="preserve"> </w:t>
            </w:r>
            <w:r w:rsidR="7B8497CE" w:rsidRPr="0044401C">
              <w:rPr>
                <w:rFonts w:asciiTheme="minorBidi" w:eastAsia="Arial" w:hAnsiTheme="minorBidi"/>
                <w:sz w:val="24"/>
                <w:szCs w:val="24"/>
              </w:rPr>
              <w:t>witnesses</w:t>
            </w:r>
            <w:r w:rsidR="3DABD553" w:rsidRPr="0044401C">
              <w:rPr>
                <w:rFonts w:asciiTheme="minorBidi" w:eastAsia="Arial" w:hAnsiTheme="minorBidi"/>
                <w:sz w:val="24"/>
                <w:szCs w:val="24"/>
              </w:rPr>
              <w:t xml:space="preserve"> or both</w:t>
            </w:r>
            <w:r w:rsidR="7B8497CE" w:rsidRPr="0044401C">
              <w:rPr>
                <w:rFonts w:asciiTheme="minorBidi" w:eastAsia="Arial" w:hAnsiTheme="minorBidi"/>
                <w:sz w:val="24"/>
                <w:szCs w:val="24"/>
              </w:rPr>
              <w:t>)</w:t>
            </w:r>
            <w:r w:rsidR="5088DE64" w:rsidRPr="0044401C">
              <w:rPr>
                <w:rFonts w:asciiTheme="minorBidi" w:eastAsia="Arial" w:hAnsiTheme="minorBidi"/>
                <w:sz w:val="24"/>
                <w:szCs w:val="24"/>
              </w:rPr>
              <w:t xml:space="preserve"> and provide brief details of the incident.</w:t>
            </w:r>
          </w:p>
          <w:p w14:paraId="77FE6A52" w14:textId="43F451C0" w:rsidR="4BFE4F66" w:rsidRPr="0044401C" w:rsidRDefault="4BFE4F66" w:rsidP="43D343CA">
            <w:pPr>
              <w:spacing w:line="360" w:lineRule="auto"/>
              <w:rPr>
                <w:rFonts w:asciiTheme="minorBidi" w:eastAsia="Arial" w:hAnsiTheme="minorBidi"/>
                <w:sz w:val="24"/>
                <w:szCs w:val="24"/>
              </w:rPr>
            </w:pPr>
          </w:p>
          <w:p w14:paraId="5AFC4142" w14:textId="4D176AF0" w:rsidR="4BFE4F66" w:rsidRPr="0044401C" w:rsidRDefault="07681D33" w:rsidP="43D343CA">
            <w:pPr>
              <w:pStyle w:val="ListParagraph"/>
              <w:numPr>
                <w:ilvl w:val="0"/>
                <w:numId w:val="3"/>
              </w:numPr>
              <w:spacing w:line="360" w:lineRule="auto"/>
              <w:rPr>
                <w:rFonts w:asciiTheme="minorBidi" w:eastAsia="Arial" w:hAnsiTheme="minorBidi"/>
                <w:sz w:val="24"/>
                <w:szCs w:val="24"/>
              </w:rPr>
            </w:pPr>
            <w:r w:rsidRPr="0044401C">
              <w:rPr>
                <w:rFonts w:asciiTheme="minorBidi" w:eastAsia="Arial" w:hAnsiTheme="minorBidi"/>
                <w:b/>
                <w:bCs/>
                <w:sz w:val="24"/>
                <w:szCs w:val="24"/>
              </w:rPr>
              <w:t>Describe</w:t>
            </w:r>
            <w:r w:rsidRPr="0044401C">
              <w:rPr>
                <w:rFonts w:asciiTheme="minorBidi" w:eastAsia="Arial" w:hAnsiTheme="minorBidi"/>
                <w:sz w:val="24"/>
                <w:szCs w:val="24"/>
              </w:rPr>
              <w:t xml:space="preserve"> the </w:t>
            </w:r>
            <w:r w:rsidR="2F780E35" w:rsidRPr="0044401C">
              <w:rPr>
                <w:rFonts w:asciiTheme="minorBidi" w:eastAsia="Arial" w:hAnsiTheme="minorBidi"/>
                <w:sz w:val="24"/>
                <w:szCs w:val="24"/>
              </w:rPr>
              <w:t xml:space="preserve">crime types </w:t>
            </w:r>
            <w:r w:rsidR="2820F065" w:rsidRPr="0044401C">
              <w:rPr>
                <w:rFonts w:asciiTheme="minorBidi" w:eastAsia="Arial" w:hAnsiTheme="minorBidi"/>
                <w:sz w:val="24"/>
                <w:szCs w:val="24"/>
              </w:rPr>
              <w:t xml:space="preserve">involved </w:t>
            </w:r>
            <w:r w:rsidR="2F780E35" w:rsidRPr="0044401C">
              <w:rPr>
                <w:rFonts w:asciiTheme="minorBidi" w:eastAsia="Arial" w:hAnsiTheme="minorBidi"/>
                <w:sz w:val="24"/>
                <w:szCs w:val="24"/>
              </w:rPr>
              <w:t xml:space="preserve">and </w:t>
            </w:r>
            <w:r w:rsidR="120890D5" w:rsidRPr="0044401C">
              <w:rPr>
                <w:rFonts w:asciiTheme="minorBidi" w:eastAsia="Arial" w:hAnsiTheme="minorBidi"/>
                <w:b/>
                <w:bCs/>
                <w:sz w:val="24"/>
                <w:szCs w:val="24"/>
              </w:rPr>
              <w:t>discuss</w:t>
            </w:r>
            <w:r w:rsidR="120890D5" w:rsidRPr="0044401C">
              <w:rPr>
                <w:rFonts w:asciiTheme="minorBidi" w:eastAsia="Arial" w:hAnsiTheme="minorBidi"/>
                <w:sz w:val="24"/>
                <w:szCs w:val="24"/>
              </w:rPr>
              <w:t xml:space="preserve"> </w:t>
            </w:r>
            <w:r w:rsidR="2F780E35" w:rsidRPr="0044401C">
              <w:rPr>
                <w:rFonts w:asciiTheme="minorBidi" w:eastAsia="Arial" w:hAnsiTheme="minorBidi"/>
                <w:sz w:val="24"/>
                <w:szCs w:val="24"/>
              </w:rPr>
              <w:t>the</w:t>
            </w:r>
            <w:r w:rsidR="0CF22C5B" w:rsidRPr="0044401C">
              <w:rPr>
                <w:rFonts w:asciiTheme="minorBidi" w:eastAsia="Arial" w:hAnsiTheme="minorBidi"/>
                <w:sz w:val="24"/>
                <w:szCs w:val="24"/>
              </w:rPr>
              <w:t xml:space="preserve"> </w:t>
            </w:r>
            <w:r w:rsidR="6B3383F7" w:rsidRPr="0044401C">
              <w:rPr>
                <w:rFonts w:asciiTheme="minorBidi" w:eastAsia="Arial" w:hAnsiTheme="minorBidi"/>
                <w:sz w:val="24"/>
                <w:szCs w:val="24"/>
              </w:rPr>
              <w:t xml:space="preserve">difficulties and obstacles that </w:t>
            </w:r>
            <w:r w:rsidR="7B687529" w:rsidRPr="0044401C">
              <w:rPr>
                <w:rFonts w:asciiTheme="minorBidi" w:eastAsia="Arial" w:hAnsiTheme="minorBidi"/>
                <w:sz w:val="24"/>
                <w:szCs w:val="24"/>
              </w:rPr>
              <w:t xml:space="preserve">you </w:t>
            </w:r>
            <w:r w:rsidR="6B3383F7" w:rsidRPr="0044401C">
              <w:rPr>
                <w:rFonts w:asciiTheme="minorBidi" w:eastAsia="Arial" w:hAnsiTheme="minorBidi"/>
                <w:sz w:val="24"/>
                <w:szCs w:val="24"/>
              </w:rPr>
              <w:t xml:space="preserve">faced in identifying and investigating these crimes. </w:t>
            </w:r>
          </w:p>
          <w:p w14:paraId="525C31CF" w14:textId="2BD504CF" w:rsidR="7BC6DB81" w:rsidRPr="0044401C" w:rsidRDefault="7BC6DB81" w:rsidP="43D343CA">
            <w:pPr>
              <w:pStyle w:val="ListParagraph"/>
              <w:numPr>
                <w:ilvl w:val="0"/>
                <w:numId w:val="3"/>
              </w:numPr>
              <w:rPr>
                <w:rFonts w:asciiTheme="minorBidi" w:eastAsia="Arial" w:hAnsiTheme="minorBidi"/>
                <w:sz w:val="24"/>
                <w:szCs w:val="24"/>
              </w:rPr>
            </w:pPr>
            <w:r w:rsidRPr="0044401C">
              <w:rPr>
                <w:rFonts w:asciiTheme="minorBidi" w:eastAsia="Arial" w:hAnsiTheme="minorBidi"/>
                <w:b/>
                <w:bCs/>
                <w:sz w:val="24"/>
                <w:szCs w:val="24"/>
              </w:rPr>
              <w:t xml:space="preserve">Critically evaluate </w:t>
            </w:r>
            <w:r w:rsidRPr="0044401C">
              <w:rPr>
                <w:rFonts w:asciiTheme="minorBidi" w:eastAsia="Arial" w:hAnsiTheme="minorBidi"/>
                <w:sz w:val="24"/>
                <w:szCs w:val="24"/>
              </w:rPr>
              <w:t>the effectiveness of the investigative methods and legal processes that can be used to overcome these obstacles in order to successfully support vulnerable victims and witnesses.</w:t>
            </w:r>
          </w:p>
          <w:p w14:paraId="79614565" w14:textId="18CB8E42" w:rsidR="4BFE4F66" w:rsidRPr="0044401C" w:rsidRDefault="4BFE4F66" w:rsidP="4BFE4F66">
            <w:pPr>
              <w:rPr>
                <w:rFonts w:asciiTheme="minorBidi" w:eastAsia="Arial" w:hAnsiTheme="minorBidi"/>
                <w:color w:val="000000" w:themeColor="text1"/>
                <w:sz w:val="24"/>
                <w:szCs w:val="24"/>
              </w:rPr>
            </w:pPr>
          </w:p>
          <w:p w14:paraId="096C9E09" w14:textId="28DE0BDA" w:rsidR="7336895D" w:rsidRPr="0044401C" w:rsidRDefault="6639DB35" w:rsidP="43D343CA">
            <w:pPr>
              <w:ind w:right="237"/>
              <w:jc w:val="both"/>
              <w:rPr>
                <w:rFonts w:asciiTheme="minorBidi" w:eastAsia="Arial" w:hAnsiTheme="minorBidi"/>
                <w:sz w:val="24"/>
                <w:szCs w:val="24"/>
              </w:rPr>
            </w:pPr>
            <w:r w:rsidRPr="0044401C">
              <w:rPr>
                <w:rFonts w:asciiTheme="minorBidi" w:eastAsia="Arial" w:hAnsiTheme="minorBidi"/>
                <w:b/>
                <w:bCs/>
                <w:color w:val="000000" w:themeColor="text1"/>
                <w:sz w:val="24"/>
                <w:szCs w:val="24"/>
              </w:rPr>
              <w:t>2000 words</w:t>
            </w:r>
            <w:r w:rsidRPr="0044401C">
              <w:rPr>
                <w:rFonts w:asciiTheme="minorBidi" w:eastAsia="Arial" w:hAnsiTheme="minorBidi"/>
                <w:color w:val="000000" w:themeColor="text1"/>
                <w:sz w:val="24"/>
                <w:szCs w:val="24"/>
              </w:rPr>
              <w:t xml:space="preserve"> </w:t>
            </w:r>
            <w:r w:rsidRPr="0044401C">
              <w:rPr>
                <w:rFonts w:asciiTheme="minorBidi" w:eastAsia="Arial" w:hAnsiTheme="minorBidi"/>
                <w:i/>
                <w:iCs/>
                <w:color w:val="000000" w:themeColor="text1"/>
                <w:sz w:val="24"/>
                <w:szCs w:val="24"/>
              </w:rPr>
              <w:t>(+/- 10%: include your actual word count at the end of each section)</w:t>
            </w:r>
          </w:p>
          <w:p w14:paraId="33BEFD48" w14:textId="4D631B9D" w:rsidR="7336895D" w:rsidRPr="0044401C" w:rsidRDefault="7336895D" w:rsidP="43D343CA">
            <w:pPr>
              <w:ind w:right="237"/>
              <w:jc w:val="both"/>
              <w:rPr>
                <w:rFonts w:asciiTheme="minorBidi" w:eastAsia="Arial" w:hAnsiTheme="minorBidi"/>
                <w:i/>
                <w:iCs/>
                <w:color w:val="000000" w:themeColor="text1"/>
                <w:sz w:val="24"/>
                <w:szCs w:val="24"/>
              </w:rPr>
            </w:pPr>
          </w:p>
        </w:tc>
      </w:tr>
    </w:tbl>
    <w:p w14:paraId="212245DF" w14:textId="0783B161" w:rsidR="43D343CA" w:rsidRPr="0044401C" w:rsidRDefault="43D343CA" w:rsidP="43D343CA">
      <w:pPr>
        <w:ind w:left="3600" w:right="107"/>
        <w:jc w:val="both"/>
        <w:rPr>
          <w:rFonts w:asciiTheme="minorBidi" w:eastAsia="Arial" w:hAnsiTheme="minorBidi"/>
          <w:b/>
          <w:bCs/>
          <w:color w:val="000000" w:themeColor="text1"/>
          <w:sz w:val="24"/>
          <w:szCs w:val="24"/>
        </w:rPr>
      </w:pPr>
    </w:p>
    <w:p w14:paraId="082C377F" w14:textId="0DF0FCD6" w:rsidR="4BFE4F66" w:rsidRPr="0044401C" w:rsidRDefault="004A7A86" w:rsidP="4BFE4F66">
      <w:pPr>
        <w:ind w:right="107"/>
        <w:rPr>
          <w:rFonts w:asciiTheme="minorBidi" w:eastAsia="Arial" w:hAnsiTheme="minorBidi"/>
          <w:b/>
          <w:bCs/>
          <w:color w:val="000000" w:themeColor="text1"/>
        </w:rPr>
      </w:pPr>
      <w:r w:rsidRPr="0044401C">
        <w:rPr>
          <w:rFonts w:asciiTheme="minorBidi" w:eastAsia="Arial" w:hAnsiTheme="minorBidi"/>
          <w:b/>
          <w:bCs/>
          <w:color w:val="000000" w:themeColor="text1"/>
        </w:rPr>
        <w:t>Task 2A</w:t>
      </w:r>
    </w:p>
    <w:p w14:paraId="7EAAD097" w14:textId="66D56E79" w:rsidR="004A7A86" w:rsidRPr="0044401C" w:rsidRDefault="004A7A86" w:rsidP="4BFE4F66">
      <w:pPr>
        <w:ind w:right="107"/>
        <w:rPr>
          <w:rFonts w:asciiTheme="minorBidi" w:eastAsia="Arial" w:hAnsiTheme="minorBidi"/>
          <w:b/>
          <w:bCs/>
          <w:color w:val="000000" w:themeColor="text1"/>
        </w:rPr>
      </w:pPr>
      <w:r w:rsidRPr="0044401C">
        <w:rPr>
          <w:rFonts w:asciiTheme="minorBidi" w:eastAsia="Arial" w:hAnsiTheme="minorBidi"/>
          <w:b/>
          <w:bCs/>
          <w:color w:val="000000" w:themeColor="text1"/>
        </w:rPr>
        <w:t>Answer:</w:t>
      </w:r>
    </w:p>
    <w:p w14:paraId="4B021CC6" w14:textId="77777777" w:rsidR="008A50FD" w:rsidRPr="00530907" w:rsidRDefault="008A50FD" w:rsidP="00530907">
      <w:pPr>
        <w:pStyle w:val="whitespace-pre-wrap"/>
        <w:spacing w:line="360" w:lineRule="auto"/>
        <w:rPr>
          <w:rFonts w:ascii="Arial" w:hAnsi="Arial" w:cs="Arial"/>
          <w:sz w:val="22"/>
          <w:szCs w:val="22"/>
        </w:rPr>
      </w:pPr>
      <w:bookmarkStart w:id="1" w:name="_Hlk197528325"/>
      <w:r w:rsidRPr="00530907">
        <w:rPr>
          <w:rStyle w:val="Strong"/>
          <w:rFonts w:ascii="Arial" w:eastAsiaTheme="majorEastAsia" w:hAnsi="Arial" w:cs="Arial"/>
          <w:sz w:val="22"/>
          <w:szCs w:val="22"/>
        </w:rPr>
        <w:t>Introduction</w:t>
      </w:r>
      <w:r w:rsidRPr="00530907">
        <w:rPr>
          <w:rFonts w:ascii="Arial" w:hAnsi="Arial" w:cs="Arial"/>
          <w:sz w:val="22"/>
          <w:szCs w:val="22"/>
        </w:rPr>
        <w:t xml:space="preserve"> </w:t>
      </w:r>
    </w:p>
    <w:p w14:paraId="2B16B105"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 xml:space="preserve">In 2023, I initiated Operation </w:t>
      </w:r>
      <w:proofErr w:type="spellStart"/>
      <w:r w:rsidRPr="00530907">
        <w:rPr>
          <w:rFonts w:ascii="Arial" w:hAnsi="Arial" w:cs="Arial"/>
          <w:sz w:val="22"/>
          <w:szCs w:val="22"/>
        </w:rPr>
        <w:t>Exacum</w:t>
      </w:r>
      <w:proofErr w:type="spellEnd"/>
      <w:r w:rsidRPr="00530907">
        <w:rPr>
          <w:rFonts w:ascii="Arial" w:hAnsi="Arial" w:cs="Arial"/>
          <w:sz w:val="22"/>
          <w:szCs w:val="22"/>
        </w:rPr>
        <w:t xml:space="preserve">, a multi-agency investigation targeting an Albanian Organised Crime Group (OCG) suspected of trafficking adults into the UK for large-scale cannabis production. The investigation focused on offences related to </w:t>
      </w:r>
      <w:r w:rsidRPr="00530907">
        <w:rPr>
          <w:rStyle w:val="Emphasis"/>
          <w:rFonts w:ascii="Arial" w:eastAsiaTheme="majorEastAsia" w:hAnsi="Arial" w:cs="Arial"/>
          <w:sz w:val="22"/>
          <w:szCs w:val="22"/>
        </w:rPr>
        <w:t>conspiring to produce Class B drugs under Section 1 of the Criminal Law Act 1977 and arranging or facilitating travel for exploitation under Section 2 of the Modern Slavery Act 2015</w:t>
      </w:r>
      <w:r w:rsidRPr="00530907">
        <w:rPr>
          <w:rFonts w:ascii="Arial" w:hAnsi="Arial" w:cs="Arial"/>
          <w:sz w:val="22"/>
          <w:szCs w:val="22"/>
        </w:rPr>
        <w:t>. The complex investigation identified the OCG's leader and several members and was later incorporated into Op Mille, a national operation.</w:t>
      </w:r>
    </w:p>
    <w:p w14:paraId="2091E589"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 xml:space="preserve">Albanian OCGs use various properties across the UK to produce cannabis. In June 2023, Op Mille resulted in a thousand search warrants, hundreds of arrests, and seizures of firearms, cash, and cannabis plants worth £115-£130 million (National Police Chiefs' Council (NPCC), n.d.). In August 2024, OCGs targeted vacant commercial properties to grow cannabis on an industrial scale (Griffith, 2024). The drugs trade fuels gang violence as groups </w:t>
      </w:r>
      <w:proofErr w:type="gramStart"/>
      <w:r w:rsidRPr="00530907">
        <w:rPr>
          <w:rFonts w:ascii="Arial" w:hAnsi="Arial" w:cs="Arial"/>
          <w:sz w:val="22"/>
          <w:szCs w:val="22"/>
        </w:rPr>
        <w:t>compete</w:t>
      </w:r>
      <w:proofErr w:type="gramEnd"/>
      <w:r w:rsidRPr="00530907">
        <w:rPr>
          <w:rFonts w:ascii="Arial" w:hAnsi="Arial" w:cs="Arial"/>
          <w:sz w:val="22"/>
          <w:szCs w:val="22"/>
        </w:rPr>
        <w:t xml:space="preserve"> for territory (Crocker et al., 2017).</w:t>
      </w:r>
    </w:p>
    <w:p w14:paraId="181F6EA5"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b/>
          <w:bCs/>
          <w:sz w:val="22"/>
          <w:szCs w:val="22"/>
        </w:rPr>
        <w:t>Difficulties and Obstacles</w:t>
      </w:r>
      <w:r w:rsidRPr="00530907">
        <w:rPr>
          <w:rFonts w:ascii="Arial" w:hAnsi="Arial" w:cs="Arial"/>
          <w:sz w:val="22"/>
          <w:szCs w:val="22"/>
        </w:rPr>
        <w:t xml:space="preserve"> </w:t>
      </w:r>
    </w:p>
    <w:p w14:paraId="08E47A6C"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 xml:space="preserve">The complexities I encountered within the social and legislative context of Operation </w:t>
      </w:r>
      <w:proofErr w:type="spellStart"/>
      <w:r w:rsidRPr="00530907">
        <w:rPr>
          <w:rFonts w:ascii="Arial" w:hAnsi="Arial" w:cs="Arial"/>
          <w:sz w:val="22"/>
          <w:szCs w:val="22"/>
        </w:rPr>
        <w:t>Exacum</w:t>
      </w:r>
      <w:proofErr w:type="spellEnd"/>
      <w:r w:rsidRPr="00530907">
        <w:rPr>
          <w:rFonts w:ascii="Arial" w:hAnsi="Arial" w:cs="Arial"/>
          <w:sz w:val="22"/>
          <w:szCs w:val="22"/>
        </w:rPr>
        <w:t xml:space="preserve">, particularly the Modern Slavery Act 2015 and the National Referral Mechanism </w:t>
      </w:r>
      <w:r w:rsidRPr="00530907">
        <w:rPr>
          <w:rFonts w:ascii="Arial" w:hAnsi="Arial" w:cs="Arial"/>
          <w:sz w:val="22"/>
          <w:szCs w:val="22"/>
        </w:rPr>
        <w:lastRenderedPageBreak/>
        <w:t>(NRM) process, presented me with significant challenges. The NRM demonstrated both strengths and limitations in its approach (O'Brien, Palmer and Blinkhorn, 2022), with its effectiveness hindered by factors such as the requirement for adult consent, the low proportion of recognised victims receiving support, and the difficulty in identifying certain types of exploitation (O'Brien, Palmer and Blinkhorn, 2022).</w:t>
      </w:r>
    </w:p>
    <w:p w14:paraId="403949D7"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 xml:space="preserve">During Operation </w:t>
      </w:r>
      <w:proofErr w:type="spellStart"/>
      <w:r w:rsidRPr="00530907">
        <w:rPr>
          <w:rFonts w:ascii="Arial" w:hAnsi="Arial" w:cs="Arial"/>
          <w:sz w:val="22"/>
          <w:szCs w:val="22"/>
        </w:rPr>
        <w:t>Exacum</w:t>
      </w:r>
      <w:proofErr w:type="spellEnd"/>
      <w:r w:rsidRPr="00530907">
        <w:rPr>
          <w:rFonts w:ascii="Arial" w:hAnsi="Arial" w:cs="Arial"/>
          <w:sz w:val="22"/>
          <w:szCs w:val="22"/>
        </w:rPr>
        <w:t>, I interviewed cannabis factory workers who provided similar accounts, claiming trafficking victimisation due to debts owed to Albanian criminals (Holt, 2024). Investigating these claims required extensive international cooperation and navigating complex mutual legal assistance protocols (Home Office, 2013). I faced challenges arising from disagreements with Crown Prosecution Service lawyers not fully conversant with the NRM process, resulting in suspects being granted bail and many absconding or continuing to produce cannabis using false identities. Although the NRM is intended to support genuine victims (GOV.UK, n.d.), I uncovered evidence revealing its exploitation by organised crime group (OCG) members.</w:t>
      </w:r>
    </w:p>
    <w:p w14:paraId="70D29751"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 xml:space="preserve">Through prison telephone intercepts, I confirmed that suspects had received coaching on interview responses and defence statements </w:t>
      </w:r>
      <w:r w:rsidRPr="00530907">
        <w:rPr>
          <w:rFonts w:ascii="Arial" w:hAnsi="Arial" w:cs="Arial"/>
          <w:color w:val="000000" w:themeColor="text1"/>
          <w:sz w:val="22"/>
          <w:szCs w:val="22"/>
        </w:rPr>
        <w:t>(</w:t>
      </w:r>
      <w:hyperlink r:id="rId49" w:history="1">
        <w:r w:rsidRPr="00530907">
          <w:rPr>
            <w:rStyle w:val="Hyperlink"/>
            <w:rFonts w:ascii="Arial" w:hAnsi="Arial" w:cs="Arial"/>
            <w:color w:val="000000" w:themeColor="text1"/>
            <w:sz w:val="22"/>
            <w:szCs w:val="22"/>
            <w:u w:val="none"/>
          </w:rPr>
          <w:t>www.cps.gov.uk</w:t>
        </w:r>
      </w:hyperlink>
      <w:r w:rsidRPr="00530907">
        <w:rPr>
          <w:rFonts w:ascii="Arial" w:hAnsi="Arial" w:cs="Arial"/>
          <w:sz w:val="22"/>
          <w:szCs w:val="22"/>
        </w:rPr>
        <w:t xml:space="preserve">, n.d.), raising concerns about the impartiality of the legal process (HMICFRS, 2019). This external guidance enables suspects to tailor their responses, avoid self-incrimination, and maintain consistent but potentially untruthful narratives (Tekin et al., 2015), undermining my efforts to gather accurate information and pursue justice (Hartwig, Anders </w:t>
      </w:r>
      <w:proofErr w:type="spellStart"/>
      <w:r w:rsidRPr="00530907">
        <w:rPr>
          <w:rFonts w:ascii="Arial" w:hAnsi="Arial" w:cs="Arial"/>
          <w:sz w:val="22"/>
          <w:szCs w:val="22"/>
        </w:rPr>
        <w:t>Granhag</w:t>
      </w:r>
      <w:proofErr w:type="spellEnd"/>
      <w:r w:rsidRPr="00530907">
        <w:rPr>
          <w:rFonts w:ascii="Arial" w:hAnsi="Arial" w:cs="Arial"/>
          <w:sz w:val="22"/>
          <w:szCs w:val="22"/>
        </w:rPr>
        <w:t xml:space="preserve"> and </w:t>
      </w:r>
      <w:proofErr w:type="spellStart"/>
      <w:r w:rsidRPr="00530907">
        <w:rPr>
          <w:rFonts w:ascii="Arial" w:hAnsi="Arial" w:cs="Arial"/>
          <w:sz w:val="22"/>
          <w:szCs w:val="22"/>
        </w:rPr>
        <w:t>Strömwall</w:t>
      </w:r>
      <w:proofErr w:type="spellEnd"/>
      <w:r w:rsidRPr="00530907">
        <w:rPr>
          <w:rFonts w:ascii="Arial" w:hAnsi="Arial" w:cs="Arial"/>
          <w:sz w:val="22"/>
          <w:szCs w:val="22"/>
        </w:rPr>
        <w:t xml:space="preserve">, 2007). Defence statements should provide a genuine account of the suspect's version of events (Crown Prosecution Service, 2017), but during Operation </w:t>
      </w:r>
      <w:proofErr w:type="spellStart"/>
      <w:r w:rsidRPr="00530907">
        <w:rPr>
          <w:rFonts w:ascii="Arial" w:hAnsi="Arial" w:cs="Arial"/>
          <w:sz w:val="22"/>
          <w:szCs w:val="22"/>
        </w:rPr>
        <w:t>Exacum</w:t>
      </w:r>
      <w:proofErr w:type="spellEnd"/>
      <w:r w:rsidRPr="00530907">
        <w:rPr>
          <w:rFonts w:ascii="Arial" w:hAnsi="Arial" w:cs="Arial"/>
          <w:sz w:val="22"/>
          <w:szCs w:val="22"/>
        </w:rPr>
        <w:t>, suspects were instructed to claim they were working in cannabis factories to pay off debts, a tactic also employed by young UK-based gang members (Robinson, McLean and Densley, 2018).</w:t>
      </w:r>
    </w:p>
    <w:p w14:paraId="5A03F2F0"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Distinguishing between trafficking suspects and victims proved to be a complex task (Broad and Turnbull, 2019), exacerbated by my collaboration with inexperienced prosecution staff (</w:t>
      </w:r>
      <w:proofErr w:type="spellStart"/>
      <w:r w:rsidRPr="00530907">
        <w:rPr>
          <w:rFonts w:ascii="Arial" w:hAnsi="Arial" w:cs="Arial"/>
          <w:sz w:val="22"/>
          <w:szCs w:val="22"/>
        </w:rPr>
        <w:t>Forstenlechner</w:t>
      </w:r>
      <w:proofErr w:type="spellEnd"/>
      <w:r w:rsidRPr="00530907">
        <w:rPr>
          <w:rFonts w:ascii="Arial" w:hAnsi="Arial" w:cs="Arial"/>
          <w:sz w:val="22"/>
          <w:szCs w:val="22"/>
        </w:rPr>
        <w:t xml:space="preserve"> and Lettice, 2008). Genuine trafficking victims' distrust and fear of law enforcement created substantial barriers to effective communication (Journal of Identity and Migration Studies RCIMI, 2013), while victims often failed to recognise their own exploitation, likely due to psychological manipulation (Atkinson-Sheppard et al., 2023).</w:t>
      </w:r>
    </w:p>
    <w:p w14:paraId="648BCC68"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sz w:val="22"/>
          <w:szCs w:val="22"/>
        </w:rPr>
        <w:t>Despite my carefully considered approaches to build rapport and encourage cooperation while avoiding re-traumatisation (</w:t>
      </w:r>
      <w:proofErr w:type="spellStart"/>
      <w:r w:rsidRPr="00530907">
        <w:rPr>
          <w:rFonts w:ascii="Arial" w:hAnsi="Arial" w:cs="Arial"/>
          <w:sz w:val="22"/>
          <w:szCs w:val="22"/>
        </w:rPr>
        <w:t>O'neill</w:t>
      </w:r>
      <w:proofErr w:type="spellEnd"/>
      <w:r w:rsidRPr="00530907">
        <w:rPr>
          <w:rFonts w:ascii="Arial" w:hAnsi="Arial" w:cs="Arial"/>
          <w:sz w:val="22"/>
          <w:szCs w:val="22"/>
        </w:rPr>
        <w:t xml:space="preserve">, n.d.), my efforts were largely unsuccessful, likely due to the influence of the Albanian cultural code of "Besa" (Kosovo Online, 2024). This deeply ingrained honour system, paralleling the Italian mafia's code of Omertà, significantly </w:t>
      </w:r>
      <w:r w:rsidRPr="00530907">
        <w:rPr>
          <w:rFonts w:ascii="Arial" w:hAnsi="Arial" w:cs="Arial"/>
          <w:sz w:val="22"/>
          <w:szCs w:val="22"/>
        </w:rPr>
        <w:lastRenderedPageBreak/>
        <w:t xml:space="preserve">impacted my ability to gather intelligence and secure cooperation (Wheatstone and Ryan, 2019). </w:t>
      </w:r>
    </w:p>
    <w:p w14:paraId="622DAF36" w14:textId="77777777" w:rsidR="008A50FD" w:rsidRPr="00530907" w:rsidRDefault="008A50FD" w:rsidP="00530907">
      <w:pPr>
        <w:pStyle w:val="whitespace-pre-wrap"/>
        <w:spacing w:line="360" w:lineRule="auto"/>
        <w:rPr>
          <w:rFonts w:ascii="Arial" w:hAnsi="Arial" w:cs="Arial"/>
          <w:sz w:val="22"/>
          <w:szCs w:val="22"/>
        </w:rPr>
      </w:pPr>
      <w:r w:rsidRPr="00530907">
        <w:rPr>
          <w:rFonts w:ascii="Arial" w:hAnsi="Arial" w:cs="Arial"/>
          <w:b/>
          <w:bCs/>
          <w:sz w:val="22"/>
          <w:szCs w:val="22"/>
        </w:rPr>
        <w:t>Conclusion</w:t>
      </w:r>
      <w:r w:rsidRPr="00530907">
        <w:rPr>
          <w:rFonts w:ascii="Arial" w:hAnsi="Arial" w:cs="Arial"/>
          <w:sz w:val="22"/>
          <w:szCs w:val="22"/>
        </w:rPr>
        <w:t xml:space="preserve"> </w:t>
      </w:r>
    </w:p>
    <w:p w14:paraId="0DA78702" w14:textId="77777777" w:rsidR="008A50FD" w:rsidRPr="00530907" w:rsidRDefault="008A50FD" w:rsidP="00530907">
      <w:pPr>
        <w:spacing w:line="360" w:lineRule="auto"/>
        <w:rPr>
          <w:rFonts w:ascii="Arial" w:hAnsi="Arial" w:cs="Arial"/>
        </w:rPr>
      </w:pPr>
      <w:r w:rsidRPr="00530907">
        <w:rPr>
          <w:rFonts w:ascii="Arial" w:hAnsi="Arial" w:cs="Arial"/>
        </w:rPr>
        <w:t xml:space="preserve">Operation </w:t>
      </w:r>
      <w:proofErr w:type="spellStart"/>
      <w:r w:rsidRPr="00530907">
        <w:rPr>
          <w:rFonts w:ascii="Arial" w:hAnsi="Arial" w:cs="Arial"/>
        </w:rPr>
        <w:t>Exacum</w:t>
      </w:r>
      <w:proofErr w:type="spellEnd"/>
      <w:r w:rsidRPr="00530907">
        <w:rPr>
          <w:rFonts w:ascii="Arial" w:hAnsi="Arial" w:cs="Arial"/>
        </w:rPr>
        <w:t>, as part of the larger national Operation Mille, exposed the complex and interconnected nature of modern slavery and organised crime within the Albanian community in the UK. The investigation highlighted the challenges faced by law enforcement in tackling these issues, particularly in navigating the legislative framework of the Modern Slavery Act 2015 and the National Referral Mechanism (NRM) process.</w:t>
      </w:r>
    </w:p>
    <w:p w14:paraId="6EF309C7" w14:textId="77777777" w:rsidR="008A50FD" w:rsidRPr="00530907" w:rsidRDefault="008A50FD" w:rsidP="00530907">
      <w:pPr>
        <w:spacing w:line="360" w:lineRule="auto"/>
        <w:rPr>
          <w:rFonts w:ascii="Arial" w:hAnsi="Arial" w:cs="Arial"/>
        </w:rPr>
      </w:pPr>
      <w:r w:rsidRPr="00530907">
        <w:rPr>
          <w:rFonts w:ascii="Arial" w:hAnsi="Arial" w:cs="Arial"/>
        </w:rPr>
        <w:t>While the NRM has made significant strides in identifying and supporting victims of modern slavery, its effectiveness is hampered by several limitations, such as the requirement for adult consent and the difficulty in identifying certain types of exploitation. The exploitation of the NRM by organised crime group members, as evidenced by the coaching of suspects on interview responses and defence statements, further undermines the integrity of the system and the ability of law enforcement to bring perpetrators to justice.</w:t>
      </w:r>
    </w:p>
    <w:p w14:paraId="7CCAFE04" w14:textId="77777777" w:rsidR="008A50FD" w:rsidRPr="00530907" w:rsidRDefault="008A50FD" w:rsidP="00530907">
      <w:pPr>
        <w:spacing w:line="360" w:lineRule="auto"/>
        <w:rPr>
          <w:rFonts w:ascii="Arial" w:hAnsi="Arial" w:cs="Arial"/>
        </w:rPr>
      </w:pPr>
      <w:r w:rsidRPr="00530907">
        <w:rPr>
          <w:rFonts w:ascii="Arial" w:hAnsi="Arial" w:cs="Arial"/>
        </w:rPr>
        <w:t xml:space="preserve">The challenges encountered during Operation </w:t>
      </w:r>
      <w:proofErr w:type="spellStart"/>
      <w:r w:rsidRPr="00530907">
        <w:rPr>
          <w:rFonts w:ascii="Arial" w:hAnsi="Arial" w:cs="Arial"/>
        </w:rPr>
        <w:t>Exacum</w:t>
      </w:r>
      <w:proofErr w:type="spellEnd"/>
      <w:r w:rsidRPr="00530907">
        <w:rPr>
          <w:rFonts w:ascii="Arial" w:hAnsi="Arial" w:cs="Arial"/>
        </w:rPr>
        <w:t xml:space="preserve"> underscore the need for a multi-faceted approach to combating modern slavery and organised crime. This includes increased training for law enforcement and legal professionals to better understand and navigate the complexities of the NRM process, as well as enhanced international cooperation to investigate and prosecute cross-border crimes. </w:t>
      </w:r>
    </w:p>
    <w:p w14:paraId="127FE0DB" w14:textId="77777777" w:rsidR="008A50FD" w:rsidRPr="00530907" w:rsidRDefault="008A50FD" w:rsidP="00530907">
      <w:pPr>
        <w:spacing w:line="360" w:lineRule="auto"/>
        <w:rPr>
          <w:rFonts w:ascii="Arial" w:hAnsi="Arial" w:cs="Arial"/>
        </w:rPr>
      </w:pPr>
      <w:r w:rsidRPr="00530907">
        <w:rPr>
          <w:rFonts w:ascii="Arial" w:hAnsi="Arial" w:cs="Arial"/>
        </w:rPr>
        <w:t xml:space="preserve">Moreover, the psychological manipulation of victims by traffickers and the influence of cultural codes such as "Besa" highlight the importance of culturally sensitive interventions and support services for victims. Collaboration with community leaders and organisations is crucial in building trust and breaking down barriers to communication and cooperation. </w:t>
      </w:r>
    </w:p>
    <w:p w14:paraId="4EE1FFB5" w14:textId="77777777" w:rsidR="008A50FD" w:rsidRPr="00530907" w:rsidRDefault="008A50FD" w:rsidP="00530907">
      <w:pPr>
        <w:spacing w:line="360" w:lineRule="auto"/>
        <w:rPr>
          <w:rFonts w:ascii="Arial" w:hAnsi="Arial" w:cs="Arial"/>
        </w:rPr>
      </w:pPr>
      <w:r w:rsidRPr="00530907">
        <w:rPr>
          <w:rFonts w:ascii="Arial" w:hAnsi="Arial" w:cs="Arial"/>
        </w:rPr>
        <w:t xml:space="preserve">Operation </w:t>
      </w:r>
      <w:proofErr w:type="spellStart"/>
      <w:r w:rsidRPr="00530907">
        <w:rPr>
          <w:rFonts w:ascii="Arial" w:hAnsi="Arial" w:cs="Arial"/>
        </w:rPr>
        <w:t>Exacum</w:t>
      </w:r>
      <w:proofErr w:type="spellEnd"/>
      <w:r w:rsidRPr="00530907">
        <w:rPr>
          <w:rFonts w:ascii="Arial" w:hAnsi="Arial" w:cs="Arial"/>
        </w:rPr>
        <w:t xml:space="preserve"> serves as a stark reminder of the scale and complexity of modern slavery and organised crime within the UK. Addressing these issues will require a sustained and coordinated effort from law enforcement, policymakers, and support services, as well as a commitment to understanding and engaging with the communities most affected by these crimes. Only by working together can we hope to dismantle the criminal networks that perpetuate exploitation and bring justice to the victims of these heinous crimes.</w:t>
      </w:r>
    </w:p>
    <w:p w14:paraId="4F1BADE7" w14:textId="602622BE" w:rsidR="008A50FD" w:rsidRPr="00530907" w:rsidRDefault="008A50FD" w:rsidP="00530907">
      <w:pPr>
        <w:spacing w:line="360" w:lineRule="auto"/>
        <w:rPr>
          <w:rFonts w:ascii="Arial" w:hAnsi="Arial" w:cs="Arial"/>
          <w:b/>
          <w:bCs/>
          <w:u w:val="single"/>
        </w:rPr>
      </w:pPr>
      <w:r w:rsidRPr="00530907">
        <w:rPr>
          <w:rFonts w:ascii="Arial" w:hAnsi="Arial" w:cs="Arial"/>
          <w:b/>
          <w:bCs/>
          <w:u w:val="single"/>
        </w:rPr>
        <w:t>Words Count – 914 Words.</w:t>
      </w:r>
    </w:p>
    <w:p w14:paraId="1C9A89E1" w14:textId="77777777" w:rsidR="00D00333" w:rsidRDefault="00D00333" w:rsidP="00530907">
      <w:pPr>
        <w:spacing w:line="360" w:lineRule="auto"/>
        <w:rPr>
          <w:rFonts w:ascii="Arial" w:hAnsi="Arial" w:cs="Arial"/>
          <w:b/>
          <w:bCs/>
        </w:rPr>
      </w:pPr>
    </w:p>
    <w:p w14:paraId="2428CA51" w14:textId="77777777" w:rsidR="00D00333" w:rsidRDefault="00D00333" w:rsidP="00530907">
      <w:pPr>
        <w:spacing w:line="360" w:lineRule="auto"/>
        <w:rPr>
          <w:rFonts w:ascii="Arial" w:hAnsi="Arial" w:cs="Arial"/>
          <w:b/>
          <w:bCs/>
        </w:rPr>
      </w:pPr>
    </w:p>
    <w:p w14:paraId="73EB4703" w14:textId="6FA83C93" w:rsidR="008A50FD" w:rsidRPr="00530907" w:rsidRDefault="008A50FD" w:rsidP="00530907">
      <w:pPr>
        <w:spacing w:line="360" w:lineRule="auto"/>
        <w:rPr>
          <w:rFonts w:ascii="Arial" w:hAnsi="Arial" w:cs="Arial"/>
          <w:b/>
          <w:bCs/>
        </w:rPr>
      </w:pPr>
      <w:r w:rsidRPr="00530907">
        <w:rPr>
          <w:rFonts w:ascii="Arial" w:hAnsi="Arial" w:cs="Arial"/>
          <w:b/>
          <w:bCs/>
        </w:rPr>
        <w:lastRenderedPageBreak/>
        <w:t>Reference</w:t>
      </w:r>
    </w:p>
    <w:p w14:paraId="241044F6"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Atkinson-Sheppard, S., Dando, C., Ormerod, T. and Robinson, B. (2023) ‘Coercion and crime: Convergences, Divergences and ‘County Lines’. Criminology &amp; Criminal Justice. Available at: doi:https://doi.org/10.1177/17488958231153981 (Accessed: 06 May 2025). </w:t>
      </w:r>
    </w:p>
    <w:p w14:paraId="1F326969"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Broad, R. and Turnbull, N. (2019) ‘From Human Trafficking to Modern Slavery: The Development of Anti-Trafficking Policy in the UK’. European Journal on Criminal Policy and Research, 25(25), pp.119–133. Available at: doi:https://doi.org/10.1007/s10610-018-9375-4 (Accessed: 06 May 2025).</w:t>
      </w:r>
    </w:p>
    <w:p w14:paraId="6C02A507"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Crocker, R., Webb, S., Garner, S. and Skidmore, M. (2017) ‘The impact of organised crime in local communities’. Available at: </w:t>
      </w:r>
      <w:hyperlink r:id="rId50" w:history="1">
        <w:r w:rsidRPr="00530907">
          <w:rPr>
            <w:rFonts w:ascii="Arial" w:hAnsi="Arial" w:cs="Arial"/>
            <w:lang w:val="en-GB"/>
          </w:rPr>
          <w:t>https://www.police-foundation.org.uk/wp-content/uploads/2017/10/oc_in_local_communities_final.pdf</w:t>
        </w:r>
      </w:hyperlink>
      <w:r w:rsidRPr="00530907">
        <w:rPr>
          <w:rFonts w:ascii="Arial" w:hAnsi="Arial" w:cs="Arial"/>
          <w:color w:val="000000" w:themeColor="text1"/>
          <w:lang w:val="en-GB"/>
        </w:rPr>
        <w:t xml:space="preserve"> (Accessed: 06 May 2025). </w:t>
      </w:r>
    </w:p>
    <w:p w14:paraId="3C81ED1D"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Crown Prosecution Service (2017) ‘Disclosure | The Crown Prosecution Service’. Available at: </w:t>
      </w:r>
      <w:hyperlink r:id="rId51" w:history="1">
        <w:r w:rsidRPr="00530907">
          <w:rPr>
            <w:rFonts w:ascii="Arial" w:hAnsi="Arial" w:cs="Arial"/>
          </w:rPr>
          <w:t>https://www.cps.gov.uk/about-cps/disclosure</w:t>
        </w:r>
      </w:hyperlink>
      <w:r w:rsidRPr="00530907">
        <w:rPr>
          <w:rFonts w:ascii="Arial" w:hAnsi="Arial" w:cs="Arial"/>
          <w:color w:val="000000" w:themeColor="text1"/>
          <w:lang w:val="en-GB"/>
        </w:rPr>
        <w:t xml:space="preserve"> (Accessed: 06 May 2025).</w:t>
      </w:r>
    </w:p>
    <w:p w14:paraId="5F7236D8"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Forstenlechner, I. and Lettice, F. (2008) ‘Well paid but undervalued and overworked’. Employee Relations, 30(6), pp.640–652. Available at: doi:https://doi.org/10.1108/01425450810910037 (Accessed: 06 May 2025).</w:t>
      </w:r>
    </w:p>
    <w:p w14:paraId="3BAED6FC" w14:textId="4BE6431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GOV.uk (2015) ‘Modern Slavery Act 2015’. Available at: </w:t>
      </w:r>
      <w:hyperlink r:id="rId52" w:history="1">
        <w:r w:rsidRPr="00530907">
          <w:rPr>
            <w:rFonts w:ascii="Arial" w:hAnsi="Arial" w:cs="Arial"/>
          </w:rPr>
          <w:t>https://www.legislation.gov.uk/ukpga/2015/30/section/2</w:t>
        </w:r>
      </w:hyperlink>
      <w:r w:rsidRPr="00530907">
        <w:rPr>
          <w:rFonts w:ascii="Arial" w:hAnsi="Arial" w:cs="Arial"/>
          <w:color w:val="000000" w:themeColor="text1"/>
          <w:lang w:val="en-GB"/>
        </w:rPr>
        <w:t xml:space="preserve"> (Accessed: 06 May 2025).</w:t>
      </w:r>
    </w:p>
    <w:p w14:paraId="3D7A4535" w14:textId="5BA8B600"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GOV.UK. (n.d.) ‘National referral mechanism guidance: adult’ (England and Wales). Available at: </w:t>
      </w:r>
      <w:hyperlink r:id="rId53" w:anchor="Section-6" w:history="1">
        <w:r w:rsidRPr="00530907">
          <w:rPr>
            <w:rFonts w:ascii="Arial" w:hAnsi="Arial" w:cs="Arial"/>
            <w:lang w:val="en-GB"/>
          </w:rPr>
          <w:t>https://www.gov.uk/government/publications/human-trafficking-victims-referral-and-assessment-forms/guidance-on-the-national-referral-mechanism-for-potential-adult-victims-of-modern-slavery-england-and-wales#Section-6</w:t>
        </w:r>
      </w:hyperlink>
      <w:r w:rsidRPr="00530907">
        <w:rPr>
          <w:rFonts w:ascii="Arial" w:hAnsi="Arial" w:cs="Arial"/>
          <w:color w:val="000000" w:themeColor="text1"/>
          <w:lang w:val="en-GB"/>
        </w:rPr>
        <w:t xml:space="preserve"> (Accessed: 06 May 2025).</w:t>
      </w:r>
    </w:p>
    <w:p w14:paraId="16BDDCEC"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Griffith, H. (2024) ‘Cannabis: Drug production booming in UK’s empty high streets’. BBC News. 9 August. Available at: </w:t>
      </w:r>
      <w:hyperlink r:id="rId54" w:history="1">
        <w:r w:rsidRPr="00530907">
          <w:rPr>
            <w:rFonts w:ascii="Arial" w:hAnsi="Arial" w:cs="Arial"/>
            <w:lang w:val="en-GB"/>
          </w:rPr>
          <w:t>https://www.bbc.co.uk/news/articles/c2x0x6ypgneo</w:t>
        </w:r>
      </w:hyperlink>
      <w:r w:rsidRPr="00530907">
        <w:rPr>
          <w:rFonts w:ascii="Arial" w:hAnsi="Arial" w:cs="Arial"/>
          <w:color w:val="000000" w:themeColor="text1"/>
          <w:lang w:val="en-GB"/>
        </w:rPr>
        <w:t xml:space="preserve"> (Accessed: 06 May 2025).</w:t>
      </w:r>
    </w:p>
    <w:p w14:paraId="0CD0F4F9"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Hartwig, M., Anders Granhag, P. and Strömwall, L.A. (2007) ‘Guilty and innocent suspects’ strategies during police interrogations’. Psychology, Crime &amp; Law, 13(2), pp.213–227. </w:t>
      </w:r>
      <w:r w:rsidRPr="00530907">
        <w:rPr>
          <w:rFonts w:ascii="Arial" w:hAnsi="Arial" w:cs="Arial"/>
          <w:color w:val="000000" w:themeColor="text1"/>
          <w:lang w:val="en-GB"/>
        </w:rPr>
        <w:lastRenderedPageBreak/>
        <w:t>Available at: doi:https://doi.org/10.1080/10683160600750264 (Accessed: 06 May 2025).</w:t>
      </w:r>
    </w:p>
    <w:p w14:paraId="4752A084"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HMICFRS (2019) ‘An inspection into activism and impartiality in policing’. Available at: </w:t>
      </w:r>
      <w:hyperlink r:id="rId55" w:history="1">
        <w:r w:rsidRPr="00530907">
          <w:rPr>
            <w:rFonts w:ascii="Arial" w:hAnsi="Arial" w:cs="Arial"/>
          </w:rPr>
          <w:t>https://hmicfrs.justiceinspectorates.gov.uk/publication-html/activism-and-impartiality-in-policing</w:t>
        </w:r>
      </w:hyperlink>
      <w:r w:rsidRPr="00530907">
        <w:rPr>
          <w:rFonts w:ascii="Arial" w:hAnsi="Arial" w:cs="Arial"/>
          <w:color w:val="000000" w:themeColor="text1"/>
          <w:lang w:val="en-GB"/>
        </w:rPr>
        <w:t xml:space="preserve"> (Accessed: 06 May 2025).</w:t>
      </w:r>
    </w:p>
    <w:p w14:paraId="47E4BA4D"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Holt, R., (2024) ‘Albanian organised crime in the UK; Monopolisation, Security Risks and Effective Counterstrategies’. Available at: </w:t>
      </w:r>
      <w:hyperlink r:id="rId56" w:history="1">
        <w:r w:rsidRPr="00530907">
          <w:rPr>
            <w:rFonts w:ascii="Arial" w:hAnsi="Arial" w:cs="Arial"/>
            <w:lang w:val="en-GB"/>
          </w:rPr>
          <w:t>https://dspace.cuni.cz/bitstream/handle/20.500.11956/196745/120483928.pdf?sequence=1</w:t>
        </w:r>
      </w:hyperlink>
      <w:r w:rsidRPr="00530907">
        <w:rPr>
          <w:rFonts w:ascii="Arial" w:hAnsi="Arial" w:cs="Arial"/>
          <w:color w:val="000000" w:themeColor="text1"/>
          <w:lang w:val="en-GB"/>
        </w:rPr>
        <w:t xml:space="preserve"> (Accessed: 06 May 2025).</w:t>
      </w:r>
    </w:p>
    <w:p w14:paraId="2CCBE75A"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Home Office (2013) ‘Mutual legal assistance requests’. Available at: </w:t>
      </w:r>
      <w:hyperlink r:id="rId57" w:history="1">
        <w:r w:rsidRPr="00530907">
          <w:rPr>
            <w:rFonts w:ascii="Arial" w:hAnsi="Arial" w:cs="Arial"/>
            <w:lang w:val="en-GB"/>
          </w:rPr>
          <w:t>https://www.gov.uk/guidance/mutual-legal-assistance-mla-requests</w:t>
        </w:r>
      </w:hyperlink>
      <w:r w:rsidRPr="00530907">
        <w:rPr>
          <w:rFonts w:ascii="Arial" w:hAnsi="Arial" w:cs="Arial"/>
          <w:color w:val="000000" w:themeColor="text1"/>
          <w:lang w:val="en-GB"/>
        </w:rPr>
        <w:t xml:space="preserve"> (Accessed: 06 May 2025).</w:t>
      </w:r>
    </w:p>
    <w:p w14:paraId="25773732"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Home Office (2022) ‘Policy paper, PACE Code B’. (Accessible). Available at: </w:t>
      </w:r>
      <w:hyperlink r:id="rId58" w:anchor="action-after-searches" w:history="1">
        <w:r w:rsidRPr="00530907">
          <w:rPr>
            <w:rFonts w:ascii="Arial" w:hAnsi="Arial" w:cs="Arial"/>
            <w:lang w:val="en-GB"/>
          </w:rPr>
          <w:t>https://www.gov.uk/government/publications/pace-code-b-2013/pace-code-b-accessible#action-after-searches</w:t>
        </w:r>
      </w:hyperlink>
      <w:r w:rsidRPr="00530907">
        <w:rPr>
          <w:rFonts w:ascii="Arial" w:hAnsi="Arial" w:cs="Arial"/>
          <w:color w:val="000000" w:themeColor="text1"/>
          <w:lang w:val="en-GB"/>
        </w:rPr>
        <w:t xml:space="preserve"> (Accessed: 06 May 2025).</w:t>
      </w:r>
    </w:p>
    <w:p w14:paraId="698D4849" w14:textId="725B065F"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Home Office (2023) ‘Regulation of Investigatory Powers Act 2000 (RIPA)’. Available: </w:t>
      </w:r>
      <w:hyperlink r:id="rId59" w:history="1">
        <w:r w:rsidRPr="00530907">
          <w:rPr>
            <w:rFonts w:ascii="Arial" w:hAnsi="Arial" w:cs="Arial"/>
            <w:lang w:val="en-GB"/>
          </w:rPr>
          <w:t>https://www.gov.uk/government/publications/regulation-of-investigatory-powers-act-2000-ripa/regulation-of-investigatory-powers-act-2000-ripa</w:t>
        </w:r>
      </w:hyperlink>
      <w:r w:rsidRPr="00530907">
        <w:rPr>
          <w:rFonts w:ascii="Arial" w:hAnsi="Arial" w:cs="Arial"/>
          <w:color w:val="000000" w:themeColor="text1"/>
          <w:lang w:val="en-GB"/>
        </w:rPr>
        <w:t xml:space="preserve"> (Accessed: 06 May 2025).</w:t>
      </w:r>
    </w:p>
    <w:p w14:paraId="657C4F4B"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Journal of Identity and Migration Studies RCIMI (2013). Available at: </w:t>
      </w:r>
      <w:hyperlink r:id="rId60" w:anchor="page=71" w:history="1">
        <w:r w:rsidRPr="00530907">
          <w:rPr>
            <w:rFonts w:ascii="Arial" w:hAnsi="Arial" w:cs="Arial"/>
            <w:lang w:val="en-GB"/>
          </w:rPr>
          <w:t>https://e-migration.ro/jims/Vol7_No1_2013/JIMS_Vol7_No1_2013.pdf#page=71</w:t>
        </w:r>
      </w:hyperlink>
      <w:r w:rsidRPr="00530907">
        <w:rPr>
          <w:rFonts w:ascii="Arial" w:hAnsi="Arial" w:cs="Arial"/>
          <w:color w:val="000000" w:themeColor="text1"/>
          <w:lang w:val="en-GB"/>
        </w:rPr>
        <w:t xml:space="preserve"> (Accessed: 06 May 2025).</w:t>
      </w:r>
    </w:p>
    <w:p w14:paraId="6CFAD5C6"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Kosovo Online (2024) ‘The impact and significance of the word ‘besa’ among Albanians - then and now - Kosovo Online’. 10 January. Available at: https://www.kosovo-online.com/en/news/kontext/impact-and-significance-word-besa-among-albanians-then-and-now-10-1-2024 (Accessed: 06 May 2025).</w:t>
      </w:r>
    </w:p>
    <w:p w14:paraId="6DE7EB7D"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Legislation.gov.uk. (2011) ‘Criminal Law Act 1977’. Available at: </w:t>
      </w:r>
      <w:hyperlink r:id="rId61" w:history="1">
        <w:r w:rsidRPr="00530907">
          <w:rPr>
            <w:rFonts w:ascii="Arial" w:hAnsi="Arial" w:cs="Arial"/>
            <w:lang w:val="en-GB"/>
          </w:rPr>
          <w:t>https://www.legislation.gov.uk/ukpga/1977/45/section/1</w:t>
        </w:r>
      </w:hyperlink>
      <w:r w:rsidRPr="00530907">
        <w:rPr>
          <w:rFonts w:ascii="Arial" w:hAnsi="Arial" w:cs="Arial"/>
          <w:color w:val="000000" w:themeColor="text1"/>
          <w:lang w:val="en-GB"/>
        </w:rPr>
        <w:t xml:space="preserve"> (Accessed: 06 May 2025).</w:t>
      </w:r>
    </w:p>
    <w:p w14:paraId="7541FD3D" w14:textId="29106BB1"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Modern Slavery Act 2015, Second Section, (Online)  Available at: </w:t>
      </w:r>
      <w:hyperlink r:id="rId62" w:history="1">
        <w:r w:rsidRPr="00530907">
          <w:rPr>
            <w:rFonts w:ascii="Arial" w:hAnsi="Arial" w:cs="Arial"/>
            <w:lang w:val="en-GB"/>
          </w:rPr>
          <w:t>https://www.legislation.gov.uk/ukpga/2015/30/section/2</w:t>
        </w:r>
      </w:hyperlink>
      <w:r w:rsidRPr="00530907">
        <w:rPr>
          <w:rFonts w:ascii="Arial" w:hAnsi="Arial" w:cs="Arial"/>
          <w:color w:val="000000" w:themeColor="text1"/>
          <w:lang w:val="en-GB"/>
        </w:rPr>
        <w:t xml:space="preserve"> (Accessed: 06 May 2025).</w:t>
      </w:r>
    </w:p>
    <w:p w14:paraId="7F9CFD79" w14:textId="76001E78"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National Police Chiefs’ Council (NPCC). (n.d.) ‘Unprecedented operation leads to £130M of cannabis seized’. Available at: </w:t>
      </w:r>
      <w:hyperlink r:id="rId63" w:history="1">
        <w:r w:rsidRPr="00530907">
          <w:rPr>
            <w:rFonts w:ascii="Arial" w:hAnsi="Arial" w:cs="Arial"/>
            <w:lang w:val="en-GB"/>
          </w:rPr>
          <w:t>https://news.npcc.police.uk/releases/unprecedented-</w:t>
        </w:r>
        <w:r w:rsidRPr="00530907">
          <w:rPr>
            <w:rFonts w:ascii="Arial" w:hAnsi="Arial" w:cs="Arial"/>
            <w:lang w:val="en-GB"/>
          </w:rPr>
          <w:lastRenderedPageBreak/>
          <w:t>police-operation-against-organised-crime-leads-to-1-000-arrests-and-gbp-130-million-of-cannabis-seized</w:t>
        </w:r>
      </w:hyperlink>
      <w:r w:rsidRPr="00530907">
        <w:rPr>
          <w:rFonts w:ascii="Arial" w:hAnsi="Arial" w:cs="Arial"/>
          <w:color w:val="000000" w:themeColor="text1"/>
          <w:lang w:val="en-GB"/>
        </w:rPr>
        <w:t>. (Accessed: 06 May 2025).</w:t>
      </w:r>
    </w:p>
    <w:p w14:paraId="44B515F3"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Npcc (2024) ‘County Lines are changing to become more localised, reveals new County Lines Strategic Threat Risk Assessment’. Available: </w:t>
      </w:r>
      <w:hyperlink r:id="rId64" w:history="1">
        <w:r w:rsidRPr="00530907">
          <w:rPr>
            <w:rFonts w:ascii="Arial" w:hAnsi="Arial" w:cs="Arial"/>
            <w:lang w:val="en-GB"/>
          </w:rPr>
          <w:t>https://news.npcc.police.uk/releases/county-lines-are-changing-to-become-more-localised-reveals-new-county-lines-strategic-threat-risk-assessment</w:t>
        </w:r>
      </w:hyperlink>
      <w:r w:rsidRPr="00530907">
        <w:rPr>
          <w:rFonts w:ascii="Arial" w:hAnsi="Arial" w:cs="Arial"/>
          <w:color w:val="000000" w:themeColor="text1"/>
          <w:lang w:val="en-GB"/>
        </w:rPr>
        <w:t xml:space="preserve"> (Accessed: 06 May 2025).</w:t>
      </w:r>
    </w:p>
    <w:p w14:paraId="7217E304"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O’Brien, F., Palmer, S. and Blinkhorn, V., (2022) ‘Factors that predict the referral of adult Modern Day Slavery cases to the UK's National Referral Mechanism’. International Journal of Police Science &amp; Management, 24(3), pp.273-284. Available at: doi:https://doi.org/10.1177/14613557221074989 (Accessed: 06 May 2025). </w:t>
      </w:r>
    </w:p>
    <w:p w14:paraId="196D0532" w14:textId="7D9DD222"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O'neill, C. (n.d.) ‘People, not just books: An Investigation into the Knowledge and Understanding of Trauma Informed Practice in The Justice System’. Available at: </w:t>
      </w:r>
      <w:hyperlink r:id="rId65" w:history="1">
        <w:r w:rsidRPr="00530907">
          <w:rPr>
            <w:rFonts w:ascii="Arial" w:hAnsi="Arial" w:cs="Arial"/>
          </w:rPr>
          <w:t>https://www.intermediaries-for-justice.org/sites/default/files/people_not_just_books-_an_investigation_into_the_knowledge_and_understanding_of_trauma_informed_practice_in_the_justice_system.pdf</w:t>
        </w:r>
      </w:hyperlink>
      <w:r w:rsidRPr="00530907">
        <w:rPr>
          <w:rFonts w:ascii="Arial" w:hAnsi="Arial" w:cs="Arial"/>
          <w:color w:val="000000" w:themeColor="text1"/>
          <w:lang w:val="en-GB"/>
        </w:rPr>
        <w:t>. (Accessed: 06 May 2025).</w:t>
      </w:r>
    </w:p>
    <w:p w14:paraId="066D02A5"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Robinson, G., McLean, R. and Densley, J., (2019) ‘Working county lines: Child criminal exploitation and illicit drug dealing in Glasgow and Merseyside’. International Journal of Offender Therapy and Comparative Criminology, 63(5), pp.694-711. Available at: </w:t>
      </w:r>
      <w:hyperlink r:id="rId66" w:history="1">
        <w:r w:rsidRPr="00530907">
          <w:rPr>
            <w:rFonts w:ascii="Arial" w:hAnsi="Arial" w:cs="Arial"/>
          </w:rPr>
          <w:t>https://journals.sagepub.com/doi/full/10.1177/0306624X18806742</w:t>
        </w:r>
      </w:hyperlink>
      <w:r w:rsidRPr="00530907">
        <w:rPr>
          <w:rFonts w:ascii="Arial" w:hAnsi="Arial" w:cs="Arial"/>
          <w:color w:val="000000" w:themeColor="text1"/>
          <w:lang w:val="en-GB"/>
        </w:rPr>
        <w:t xml:space="preserve"> (Accessed: 06 May 2025). </w:t>
      </w:r>
    </w:p>
    <w:p w14:paraId="1F0B1F41"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Tekin, S. et al. (2015) ‘Interviewing Strategically to Elicit Admissions From Guilty Suspects’, Law and human behavior, 39(3), pp. 244–252. Available at: </w:t>
      </w:r>
      <w:hyperlink r:id="rId67" w:history="1">
        <w:r w:rsidRPr="00530907">
          <w:rPr>
            <w:rFonts w:ascii="Arial" w:hAnsi="Arial" w:cs="Arial"/>
          </w:rPr>
          <w:t>https://doi.org/10.1037/lhb0000131</w:t>
        </w:r>
      </w:hyperlink>
      <w:r w:rsidRPr="00530907">
        <w:rPr>
          <w:rFonts w:ascii="Arial" w:hAnsi="Arial" w:cs="Arial"/>
          <w:color w:val="000000" w:themeColor="text1"/>
          <w:lang w:val="en-GB"/>
        </w:rPr>
        <w:t xml:space="preserve"> (Accessed: 06 May 2025).</w:t>
      </w:r>
    </w:p>
    <w:p w14:paraId="08BAB3A5" w14:textId="77777777"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Wheatstone, R. and Ryan, J. (2019) ‘The inside story of how brutal Albanian gangs rose from the UK’s premier sex traffickers to kingpin cocaine dealers’. 08 July. Available at: https://www.thesun.co.uk/news/9328852/albanian-gang-uk-sex-traffickers-cocaine-dealers (Accessed: 7 May 2025).</w:t>
      </w:r>
    </w:p>
    <w:p w14:paraId="7D8A68CD" w14:textId="2A935BF6" w:rsidR="008A50FD" w:rsidRPr="00530907" w:rsidRDefault="008A50FD" w:rsidP="00530907">
      <w:pPr>
        <w:pStyle w:val="EndNoteBibliography"/>
        <w:spacing w:before="240" w:after="0" w:line="360" w:lineRule="auto"/>
        <w:ind w:left="720" w:hanging="720"/>
        <w:rPr>
          <w:rFonts w:ascii="Arial" w:hAnsi="Arial" w:cs="Arial"/>
          <w:color w:val="000000" w:themeColor="text1"/>
          <w:lang w:val="en-GB"/>
        </w:rPr>
      </w:pPr>
      <w:r w:rsidRPr="00530907">
        <w:rPr>
          <w:rFonts w:ascii="Arial" w:hAnsi="Arial" w:cs="Arial"/>
          <w:color w:val="000000" w:themeColor="text1"/>
          <w:lang w:val="en-GB"/>
        </w:rPr>
        <w:t xml:space="preserve">www.cps.gov.uk. (n.d.) ‘Disclosure Manual: Chapter 15 - Defence Disclosure | The Crown Prosecution Service’. Available at: </w:t>
      </w:r>
      <w:hyperlink r:id="rId68" w:history="1">
        <w:r w:rsidRPr="00530907">
          <w:rPr>
            <w:rFonts w:ascii="Arial" w:hAnsi="Arial" w:cs="Arial"/>
          </w:rPr>
          <w:t>https://www.cps.gov.uk/legal-guidance/disclosure-manual-chapter-15-defence-disclosure</w:t>
        </w:r>
      </w:hyperlink>
      <w:r w:rsidRPr="00530907">
        <w:rPr>
          <w:rFonts w:ascii="Arial" w:hAnsi="Arial" w:cs="Arial"/>
          <w:color w:val="000000" w:themeColor="text1"/>
          <w:lang w:val="en-GB"/>
        </w:rPr>
        <w:t>. (Accessed: 06 May 2025).</w:t>
      </w:r>
    </w:p>
    <w:p w14:paraId="5D29D856" w14:textId="73C7208F" w:rsidR="0044401C" w:rsidRPr="0044401C" w:rsidRDefault="0044401C">
      <w:pPr>
        <w:rPr>
          <w:rFonts w:asciiTheme="minorBidi" w:hAnsiTheme="minorBidi"/>
          <w:noProof/>
          <w:color w:val="000000" w:themeColor="text1"/>
          <w:kern w:val="2"/>
          <w14:ligatures w14:val="standardContextual"/>
        </w:rPr>
      </w:pPr>
      <w:r w:rsidRPr="0044401C">
        <w:rPr>
          <w:rFonts w:asciiTheme="minorBidi" w:hAnsiTheme="minorBidi"/>
          <w:color w:val="000000" w:themeColor="text1"/>
        </w:rPr>
        <w:br w:type="page"/>
      </w:r>
    </w:p>
    <w:bookmarkEnd w:id="1"/>
    <w:p w14:paraId="12E7C99E" w14:textId="181A0097" w:rsidR="008A50FD" w:rsidRPr="00D00333" w:rsidRDefault="0054097D" w:rsidP="00D00333">
      <w:pPr>
        <w:spacing w:line="360" w:lineRule="auto"/>
        <w:ind w:right="107"/>
        <w:rPr>
          <w:rFonts w:ascii="Arial" w:eastAsia="Arial" w:hAnsi="Arial" w:cs="Arial"/>
          <w:b/>
          <w:bCs/>
          <w:color w:val="000000" w:themeColor="text1"/>
        </w:rPr>
      </w:pPr>
      <w:r w:rsidRPr="00D00333">
        <w:rPr>
          <w:rFonts w:ascii="Arial" w:eastAsia="Arial" w:hAnsi="Arial" w:cs="Arial"/>
          <w:b/>
          <w:bCs/>
          <w:color w:val="000000" w:themeColor="text1"/>
        </w:rPr>
        <w:lastRenderedPageBreak/>
        <w:t>Continuation of Task 2.</w:t>
      </w:r>
    </w:p>
    <w:p w14:paraId="7AF32222" w14:textId="5F4C7315" w:rsidR="008A50FD" w:rsidRPr="00D00333" w:rsidRDefault="008A50FD" w:rsidP="00D00333">
      <w:pPr>
        <w:spacing w:line="360" w:lineRule="auto"/>
        <w:ind w:right="107"/>
        <w:rPr>
          <w:rFonts w:ascii="Arial" w:eastAsia="Arial" w:hAnsi="Arial" w:cs="Arial"/>
          <w:b/>
          <w:bCs/>
          <w:color w:val="000000" w:themeColor="text1"/>
        </w:rPr>
      </w:pPr>
      <w:r w:rsidRPr="00D00333">
        <w:rPr>
          <w:rFonts w:ascii="Arial" w:eastAsia="Arial" w:hAnsi="Arial" w:cs="Arial"/>
          <w:b/>
          <w:bCs/>
          <w:color w:val="000000" w:themeColor="text1"/>
        </w:rPr>
        <w:t>Task 2B</w:t>
      </w:r>
    </w:p>
    <w:p w14:paraId="02B25F0B" w14:textId="119FD558" w:rsidR="008A50FD" w:rsidRPr="00D00333" w:rsidRDefault="008A50FD" w:rsidP="00D00333">
      <w:pPr>
        <w:spacing w:line="360" w:lineRule="auto"/>
        <w:ind w:right="107"/>
        <w:rPr>
          <w:rFonts w:ascii="Arial" w:eastAsia="Arial" w:hAnsi="Arial" w:cs="Arial"/>
          <w:b/>
          <w:bCs/>
          <w:color w:val="000000" w:themeColor="text1"/>
        </w:rPr>
      </w:pPr>
      <w:r w:rsidRPr="00D00333">
        <w:rPr>
          <w:rFonts w:ascii="Arial" w:eastAsia="Arial" w:hAnsi="Arial" w:cs="Arial"/>
          <w:b/>
          <w:bCs/>
          <w:color w:val="000000" w:themeColor="text1"/>
        </w:rPr>
        <w:t>Answer:</w:t>
      </w:r>
    </w:p>
    <w:p w14:paraId="107772BD" w14:textId="61369057" w:rsidR="008A50FD" w:rsidRPr="00D00333" w:rsidRDefault="008A50FD" w:rsidP="00D00333">
      <w:pPr>
        <w:spacing w:line="360" w:lineRule="auto"/>
        <w:ind w:right="107"/>
        <w:rPr>
          <w:rFonts w:ascii="Arial" w:eastAsia="Arial" w:hAnsi="Arial" w:cs="Arial"/>
          <w:b/>
          <w:bCs/>
          <w:color w:val="000000" w:themeColor="text1"/>
        </w:rPr>
      </w:pPr>
      <w:r w:rsidRPr="00D00333">
        <w:rPr>
          <w:rFonts w:ascii="Arial" w:eastAsia="Arial" w:hAnsi="Arial" w:cs="Arial"/>
          <w:b/>
          <w:bCs/>
          <w:color w:val="000000" w:themeColor="text1"/>
        </w:rPr>
        <w:t>Introduction</w:t>
      </w:r>
    </w:p>
    <w:p w14:paraId="5CCCCAE3" w14:textId="77777777" w:rsidR="008A50FD" w:rsidRPr="00D00333" w:rsidRDefault="008A50FD" w:rsidP="00D00333">
      <w:pPr>
        <w:spacing w:line="360" w:lineRule="auto"/>
        <w:rPr>
          <w:rFonts w:ascii="Arial" w:hAnsi="Arial" w:cs="Arial"/>
        </w:rPr>
      </w:pPr>
      <w:r w:rsidRPr="00D00333">
        <w:rPr>
          <w:rFonts w:ascii="Arial" w:hAnsi="Arial" w:cs="Arial"/>
        </w:rPr>
        <w:t>Supporting vulnerable victims and witnesses through the criminal justice process presents significant challenges. Obstacles such as fear, stigma, communication barriers, mental health issues, and lack of understanding of the legal system can prevent vulnerable individuals from reporting crimes, participating in investigations, and testifying effectively in court (</w:t>
      </w:r>
      <w:proofErr w:type="spellStart"/>
      <w:r w:rsidRPr="00D00333">
        <w:rPr>
          <w:rFonts w:ascii="Arial" w:hAnsi="Arial" w:cs="Arial"/>
        </w:rPr>
        <w:t>Beckene</w:t>
      </w:r>
      <w:proofErr w:type="spellEnd"/>
      <w:r w:rsidRPr="00D00333">
        <w:rPr>
          <w:rFonts w:ascii="Arial" w:hAnsi="Arial" w:cs="Arial"/>
        </w:rPr>
        <w:t>, Forrester</w:t>
      </w:r>
      <w:r w:rsidRPr="00D00333">
        <w:rPr>
          <w:rFonts w:ascii="Cambria Math" w:hAnsi="Cambria Math" w:cs="Cambria Math"/>
        </w:rPr>
        <w:t>‐</w:t>
      </w:r>
      <w:r w:rsidRPr="00D00333">
        <w:rPr>
          <w:rFonts w:ascii="Arial" w:hAnsi="Arial" w:cs="Arial"/>
        </w:rPr>
        <w:t xml:space="preserve">Jones and Murphy, 2017). In this essay, I will critically evaluate the effectiveness of investigative methods and legal processes that aim to overcome these specific obstacles to successfully support vulnerable victims and witnesses, drawing upon my experiences from Operation </w:t>
      </w:r>
      <w:proofErr w:type="spellStart"/>
      <w:r w:rsidRPr="00D00333">
        <w:rPr>
          <w:rFonts w:ascii="Arial" w:hAnsi="Arial" w:cs="Arial"/>
        </w:rPr>
        <w:t>Exacum</w:t>
      </w:r>
      <w:proofErr w:type="spellEnd"/>
      <w:r w:rsidRPr="00D00333">
        <w:rPr>
          <w:rFonts w:ascii="Arial" w:hAnsi="Arial" w:cs="Arial"/>
        </w:rPr>
        <w:t>.</w:t>
      </w:r>
    </w:p>
    <w:p w14:paraId="379042C7" w14:textId="77777777" w:rsidR="008A50FD" w:rsidRPr="00D00333" w:rsidRDefault="008A50FD" w:rsidP="00D00333">
      <w:pPr>
        <w:spacing w:line="360" w:lineRule="auto"/>
        <w:rPr>
          <w:rFonts w:ascii="Arial" w:hAnsi="Arial" w:cs="Arial"/>
          <w:b/>
          <w:bCs/>
        </w:rPr>
      </w:pPr>
      <w:r w:rsidRPr="00D00333">
        <w:rPr>
          <w:rFonts w:ascii="Arial" w:hAnsi="Arial" w:cs="Arial"/>
          <w:b/>
          <w:bCs/>
        </w:rPr>
        <w:t xml:space="preserve">Achieving Best Evidence (ABE) Interviews </w:t>
      </w:r>
    </w:p>
    <w:p w14:paraId="345E9DBE" w14:textId="77777777" w:rsidR="008A50FD" w:rsidRPr="00D00333" w:rsidRDefault="008A50FD" w:rsidP="00D00333">
      <w:pPr>
        <w:spacing w:line="360" w:lineRule="auto"/>
        <w:rPr>
          <w:rFonts w:ascii="Arial" w:hAnsi="Arial" w:cs="Arial"/>
        </w:rPr>
      </w:pPr>
      <w:r w:rsidRPr="00D00333">
        <w:rPr>
          <w:rFonts w:ascii="Arial" w:hAnsi="Arial" w:cs="Arial"/>
        </w:rPr>
        <w:t>ABE interviews help overcome fear and trauma that may prevent vulnerable individuals from providing their accounts by capturing evidence in a controlled environment that minimises distress. Video-recording the interview reduces the need for multiple interviews and allows the recording to be played in court, minimising the trauma of testifying (Smith, 2024).</w:t>
      </w:r>
    </w:p>
    <w:p w14:paraId="2CD64682" w14:textId="77777777" w:rsidR="008A50FD" w:rsidRPr="00D00333" w:rsidRDefault="008A50FD" w:rsidP="00D00333">
      <w:pPr>
        <w:spacing w:line="360" w:lineRule="auto"/>
        <w:rPr>
          <w:rFonts w:ascii="Arial" w:hAnsi="Arial" w:cs="Arial"/>
        </w:rPr>
      </w:pPr>
      <w:r w:rsidRPr="00D00333">
        <w:rPr>
          <w:rFonts w:ascii="Arial" w:hAnsi="Arial" w:cs="Arial"/>
        </w:rPr>
        <w:t>However, the effectiveness of ABE interviews in addressing these obstacles has been questioned. Richardson, Stokoe, and Antaki (2018) found that officers sometimes inappropriately elicited confirmations rather than demonstrations of understanding, repeated questions implying dishonesty, and introduced truth/lies discussions at unsuitable times during ABE interviews with vulnerable sexual assault victims. These practices can discredit victims' evidence and increase their fear or trauma, undermining the supportive intent of ABE guidelines. The study emphasises the importance of adhering to ABE guidance to create a safe environment for victims and reduce barriers to seeking justice. Research suggests many officers lack the necessary skills to conduct ABE interviews properly, resulting in poor - quality evidence (Hanway &amp; Akehurst, 2018). ABE interviews have been criticised for being too long, using inappropriate questioning techniques, and failing to meet the specific needs of certain vulnerable groups (42br.com, 2018).</w:t>
      </w:r>
    </w:p>
    <w:p w14:paraId="5834FFFC" w14:textId="459342D7" w:rsidR="0054097D" w:rsidRPr="00D00333" w:rsidRDefault="008A50FD" w:rsidP="00D00333">
      <w:pPr>
        <w:spacing w:line="360" w:lineRule="auto"/>
        <w:rPr>
          <w:rFonts w:ascii="Arial" w:hAnsi="Arial" w:cs="Arial"/>
        </w:rPr>
      </w:pPr>
      <w:r w:rsidRPr="00D00333">
        <w:rPr>
          <w:rFonts w:ascii="Arial" w:hAnsi="Arial" w:cs="Arial"/>
        </w:rPr>
        <w:t xml:space="preserve">During Operation </w:t>
      </w:r>
      <w:proofErr w:type="spellStart"/>
      <w:r w:rsidRPr="00D00333">
        <w:rPr>
          <w:rFonts w:ascii="Arial" w:hAnsi="Arial" w:cs="Arial"/>
        </w:rPr>
        <w:t>Exacum</w:t>
      </w:r>
      <w:proofErr w:type="spellEnd"/>
      <w:r w:rsidRPr="00D00333">
        <w:rPr>
          <w:rFonts w:ascii="Arial" w:hAnsi="Arial" w:cs="Arial"/>
        </w:rPr>
        <w:t xml:space="preserve">, I encountered challenges in conducting effective ABE interviews with vulnerable victims and witnesses. Many of the cannabis factory workers were reluctant to provide detailed accounts of their experiences due to fear and distrust of law enforcement (Journal of Identity and Migration Studies RCIMI, 2013). This reluctance was likely exacerbated by the cultural influence of "Besa", which discouraged cooperation with </w:t>
      </w:r>
      <w:r w:rsidRPr="00D00333">
        <w:rPr>
          <w:rFonts w:ascii="Arial" w:hAnsi="Arial" w:cs="Arial"/>
        </w:rPr>
        <w:lastRenderedPageBreak/>
        <w:t xml:space="preserve">authorities (Kosovo Online, 2024). Despite my efforts to create a safe and supportive environment during the interviews, the quality of the evidence obtained was often limited, highlighting the need for further training and cultural awareness among investigators like me (Hamida </w:t>
      </w:r>
      <w:proofErr w:type="spellStart"/>
      <w:r w:rsidRPr="00D00333">
        <w:rPr>
          <w:rFonts w:ascii="Arial" w:hAnsi="Arial" w:cs="Arial"/>
        </w:rPr>
        <w:t>Zekiroski</w:t>
      </w:r>
      <w:proofErr w:type="spellEnd"/>
      <w:r w:rsidRPr="00D00333">
        <w:rPr>
          <w:rFonts w:ascii="Arial" w:hAnsi="Arial" w:cs="Arial"/>
        </w:rPr>
        <w:t>, Powell and Cashman, 2024).</w:t>
      </w:r>
    </w:p>
    <w:p w14:paraId="15536522" w14:textId="33F54C5F" w:rsidR="008A50FD" w:rsidRPr="00D00333" w:rsidRDefault="008A50FD" w:rsidP="00D00333">
      <w:pPr>
        <w:spacing w:line="360" w:lineRule="auto"/>
        <w:rPr>
          <w:rFonts w:ascii="Arial" w:hAnsi="Arial" w:cs="Arial"/>
          <w:b/>
          <w:bCs/>
        </w:rPr>
      </w:pPr>
      <w:r w:rsidRPr="00D00333">
        <w:rPr>
          <w:rFonts w:ascii="Arial" w:hAnsi="Arial" w:cs="Arial"/>
          <w:b/>
          <w:bCs/>
        </w:rPr>
        <w:t>Special Measures</w:t>
      </w:r>
    </w:p>
    <w:p w14:paraId="3B5B74F6" w14:textId="77777777" w:rsidR="008A50FD" w:rsidRPr="00D00333" w:rsidRDefault="008A50FD" w:rsidP="00D00333">
      <w:pPr>
        <w:spacing w:line="360" w:lineRule="auto"/>
        <w:rPr>
          <w:rFonts w:ascii="Arial" w:hAnsi="Arial" w:cs="Arial"/>
        </w:rPr>
      </w:pPr>
      <w:r w:rsidRPr="00D00333">
        <w:rPr>
          <w:rFonts w:ascii="Arial" w:hAnsi="Arial" w:cs="Arial"/>
        </w:rPr>
        <w:t>Special measures can assist vulnerable victims and witnesses during court proceedings (Youth Justice and Criminal Evidence Act, 1999), addressing obstacles such as fear, communication difficulties, and mental health issues.</w:t>
      </w:r>
    </w:p>
    <w:p w14:paraId="3EA2D044" w14:textId="77777777" w:rsidR="008A50FD" w:rsidRPr="00D00333" w:rsidRDefault="008A50FD" w:rsidP="00D00333">
      <w:pPr>
        <w:spacing w:line="360" w:lineRule="auto"/>
        <w:rPr>
          <w:rFonts w:ascii="Arial" w:hAnsi="Arial" w:cs="Arial"/>
        </w:rPr>
      </w:pPr>
      <w:r w:rsidRPr="00D00333">
        <w:rPr>
          <w:rFonts w:ascii="Arial" w:hAnsi="Arial" w:cs="Arial"/>
        </w:rPr>
        <w:t>Research shows these measures are valuable in reducing distress and facilitating participation (Burton et al., 2007). Screens can prevent witnesses from seeing defendants, alleviating fear and anxiety. Live links allow testimony from outside the courtroom, providing a less intimidating environment. Intermediaries can assist with communication barriers.</w:t>
      </w:r>
    </w:p>
    <w:p w14:paraId="071CA4D0" w14:textId="77777777" w:rsidR="008A50FD" w:rsidRPr="00D00333" w:rsidRDefault="008A50FD" w:rsidP="00D00333">
      <w:pPr>
        <w:spacing w:line="360" w:lineRule="auto"/>
        <w:rPr>
          <w:rFonts w:ascii="Arial" w:hAnsi="Arial" w:cs="Arial"/>
        </w:rPr>
      </w:pPr>
      <w:r w:rsidRPr="00D00333">
        <w:rPr>
          <w:rFonts w:ascii="Arial" w:hAnsi="Arial" w:cs="Arial"/>
        </w:rPr>
        <w:t>However, there are limitations. Some witnesses find special measures daunting (Fairclough, 2021). Screens or video links may hamper the defence's ability to cross-examine and undermine jurors' ability to assess credibility (Cooper, 2014). Judges must carefully consider whether a whole trial order for an intermediary is justified (Winson, 2024). While judges generally allow special measures requests, refusal may occur (Majeed-Ariss et al., 2019).</w:t>
      </w:r>
    </w:p>
    <w:p w14:paraId="70EB6673" w14:textId="77777777" w:rsidR="008A50FD" w:rsidRPr="00D00333" w:rsidRDefault="008A50FD" w:rsidP="00D00333">
      <w:pPr>
        <w:spacing w:line="360" w:lineRule="auto"/>
        <w:rPr>
          <w:rFonts w:ascii="Arial" w:hAnsi="Arial" w:cs="Arial"/>
        </w:rPr>
      </w:pPr>
      <w:r w:rsidRPr="00D00333">
        <w:rPr>
          <w:rFonts w:ascii="Arial" w:hAnsi="Arial" w:cs="Arial"/>
        </w:rPr>
        <w:t xml:space="preserve">In the context of Operation </w:t>
      </w:r>
      <w:proofErr w:type="spellStart"/>
      <w:r w:rsidRPr="00D00333">
        <w:rPr>
          <w:rFonts w:ascii="Arial" w:hAnsi="Arial" w:cs="Arial"/>
        </w:rPr>
        <w:t>Exacum</w:t>
      </w:r>
      <w:proofErr w:type="spellEnd"/>
      <w:r w:rsidRPr="00D00333">
        <w:rPr>
          <w:rFonts w:ascii="Arial" w:hAnsi="Arial" w:cs="Arial"/>
        </w:rPr>
        <w:t>, the use of special measures was non-existent due to the nature of the investigation and the reluctance of the victims and witnesses to engage with the criminal justice process. Their fear and distrust of law enforcement, as well as the cultural barriers posed by "Besa", made it challenging for me to persuade vulnerable individuals to testify in court, even with the availability of special measures (Journal of Identity and Migration Studies RCIMI, 2013; Kosovo Online, 2024). This highlights the need for a more proactive and culturally sensitive approach to building trust and rapport with vulnerable communities to encourage their participation in the legal process (Atkinson-Sheppard et al., 2023).</w:t>
      </w:r>
    </w:p>
    <w:p w14:paraId="11C62E09" w14:textId="77777777" w:rsidR="008A50FD" w:rsidRPr="00D00333" w:rsidRDefault="008A50FD" w:rsidP="00D00333">
      <w:pPr>
        <w:spacing w:line="360" w:lineRule="auto"/>
        <w:rPr>
          <w:rFonts w:ascii="Arial" w:hAnsi="Arial" w:cs="Arial"/>
          <w:b/>
          <w:bCs/>
        </w:rPr>
      </w:pPr>
      <w:r w:rsidRPr="00D00333">
        <w:rPr>
          <w:rFonts w:ascii="Arial" w:hAnsi="Arial" w:cs="Arial"/>
          <w:b/>
          <w:bCs/>
        </w:rPr>
        <w:t xml:space="preserve">Intermediaries </w:t>
      </w:r>
    </w:p>
    <w:p w14:paraId="7AE0C43E" w14:textId="77777777" w:rsidR="008A50FD" w:rsidRPr="00D00333" w:rsidRDefault="008A50FD" w:rsidP="00D00333">
      <w:pPr>
        <w:spacing w:line="360" w:lineRule="auto"/>
        <w:rPr>
          <w:rFonts w:ascii="Arial" w:hAnsi="Arial" w:cs="Arial"/>
        </w:rPr>
      </w:pPr>
      <w:r w:rsidRPr="00D00333">
        <w:rPr>
          <w:rFonts w:ascii="Arial" w:hAnsi="Arial" w:cs="Arial"/>
        </w:rPr>
        <w:t>Registered Intermediaries (RIs) assist vulnerable witnesses in communicating during police interviews and court proceedings, helping to overcome communication barriers and ensure the witness's evidence is accurately understood. However, using RIs can be costly and time-consuming and may lead to trial delays due to limited availability. Defendants are not statutorily eligible for intermediaries under the Youth Justice Criminal Evidence Act 1999, but courts have allowed their use to ensure fair trials (CPS, 2023).</w:t>
      </w:r>
    </w:p>
    <w:p w14:paraId="1BD56879" w14:textId="072F0477" w:rsidR="008A50FD" w:rsidRPr="00D00333" w:rsidRDefault="008A50FD" w:rsidP="00D00333">
      <w:pPr>
        <w:spacing w:line="360" w:lineRule="auto"/>
        <w:rPr>
          <w:rFonts w:ascii="Arial" w:hAnsi="Arial" w:cs="Arial"/>
        </w:rPr>
      </w:pPr>
      <w:r w:rsidRPr="00D00333">
        <w:rPr>
          <w:rFonts w:ascii="Arial" w:hAnsi="Arial" w:cs="Arial"/>
        </w:rPr>
        <w:lastRenderedPageBreak/>
        <w:t xml:space="preserve">Trafficking victims' evidence weaknesses can often be shown without cross-examination. The prosecution must prove to a criminal standard that the witness is afraid and that this fear prevents them from testifying. These high standard risks prejudging the defendants' guilt (Ward and </w:t>
      </w:r>
      <w:proofErr w:type="spellStart"/>
      <w:r w:rsidRPr="00D00333">
        <w:rPr>
          <w:rFonts w:ascii="Arial" w:hAnsi="Arial" w:cs="Arial"/>
        </w:rPr>
        <w:t>Fouladvand</w:t>
      </w:r>
      <w:proofErr w:type="spellEnd"/>
      <w:r w:rsidRPr="00D00333">
        <w:rPr>
          <w:rFonts w:ascii="Arial" w:hAnsi="Arial" w:cs="Arial"/>
        </w:rPr>
        <w:t>, 2018).</w:t>
      </w:r>
    </w:p>
    <w:p w14:paraId="6515BDCD" w14:textId="77777777" w:rsidR="008A50FD" w:rsidRPr="00D00333" w:rsidRDefault="008A50FD" w:rsidP="00D00333">
      <w:pPr>
        <w:spacing w:line="360" w:lineRule="auto"/>
        <w:rPr>
          <w:rFonts w:ascii="Arial" w:hAnsi="Arial" w:cs="Arial"/>
        </w:rPr>
      </w:pPr>
      <w:r w:rsidRPr="00D00333">
        <w:rPr>
          <w:rFonts w:ascii="Arial" w:hAnsi="Arial" w:cs="Arial"/>
        </w:rPr>
        <w:t xml:space="preserve">During Operation </w:t>
      </w:r>
      <w:proofErr w:type="spellStart"/>
      <w:r w:rsidRPr="00D00333">
        <w:rPr>
          <w:rFonts w:ascii="Arial" w:hAnsi="Arial" w:cs="Arial"/>
        </w:rPr>
        <w:t>Exacum</w:t>
      </w:r>
      <w:proofErr w:type="spellEnd"/>
      <w:r w:rsidRPr="00D00333">
        <w:rPr>
          <w:rFonts w:ascii="Arial" w:hAnsi="Arial" w:cs="Arial"/>
        </w:rPr>
        <w:t>, I considered the use of intermediaries to assist with communication barriers and ensure the accurate understanding of victim and witness evidence. However, due to guilty pleas being entered, intermediaries were not required. Additionally, the cultural barriers posed by "Besa" and the distrust of law enforcement among the Albanians I dealt with made it impossible for me to secure the cooperation of victims and witnesses (Kosovo Online, 2024; Journal of Identity and Migration Studies RCIMI, 2013).</w:t>
      </w:r>
    </w:p>
    <w:p w14:paraId="0E1F4521" w14:textId="77777777" w:rsidR="008A50FD" w:rsidRPr="00D00333" w:rsidRDefault="008A50FD" w:rsidP="00D00333">
      <w:pPr>
        <w:spacing w:line="360" w:lineRule="auto"/>
        <w:rPr>
          <w:rFonts w:ascii="Arial" w:hAnsi="Arial" w:cs="Arial"/>
          <w:b/>
          <w:bCs/>
        </w:rPr>
      </w:pPr>
      <w:r w:rsidRPr="00D00333">
        <w:rPr>
          <w:rFonts w:ascii="Arial" w:hAnsi="Arial" w:cs="Arial"/>
          <w:b/>
          <w:bCs/>
        </w:rPr>
        <w:t xml:space="preserve">Multi-Agency Support </w:t>
      </w:r>
    </w:p>
    <w:p w14:paraId="60ABCCCA" w14:textId="77777777" w:rsidR="008A50FD" w:rsidRPr="00D00333" w:rsidRDefault="008A50FD" w:rsidP="00D00333">
      <w:pPr>
        <w:spacing w:line="360" w:lineRule="auto"/>
        <w:rPr>
          <w:rFonts w:ascii="Arial" w:hAnsi="Arial" w:cs="Arial"/>
        </w:rPr>
      </w:pPr>
      <w:r w:rsidRPr="00D00333">
        <w:rPr>
          <w:rFonts w:ascii="Arial" w:hAnsi="Arial" w:cs="Arial"/>
        </w:rPr>
        <w:t>A joined-up multi-agency approach is vital to effectively supporting vulnerable victims and witnesses (Barton et al., 2018). Multi-agency support, such as the recently introduced Right Care, Right Person (RCRP) approach, can help address various obstacles, including lack of understanding of the legal system, fear, and mental health issues, by providing comprehensive and tailored assistance to vulnerable individuals (Crawford, 2024).</w:t>
      </w:r>
    </w:p>
    <w:p w14:paraId="39DC5E5D" w14:textId="77777777" w:rsidR="008A50FD" w:rsidRPr="00D00333" w:rsidRDefault="008A50FD" w:rsidP="00D00333">
      <w:pPr>
        <w:spacing w:line="360" w:lineRule="auto"/>
        <w:rPr>
          <w:rFonts w:ascii="Arial" w:hAnsi="Arial" w:cs="Arial"/>
        </w:rPr>
      </w:pPr>
      <w:r w:rsidRPr="00D00333">
        <w:rPr>
          <w:rFonts w:ascii="Arial" w:hAnsi="Arial" w:cs="Arial"/>
        </w:rPr>
        <w:t>Forbes et al. (2023) demonstrate the value of hospital-based Independent Domestic Violence Advisor (IDVA) programmes in improving outcomes for domestic violence and abuse (DVA) survivors, emphasising the need for sustainable funding and staff training through joint local DVA services and Integrated Care Boards. These programmes can help overcome barriers to reporting abuse and seeking support by providing accessible, trauma-informed assistance within a healthcare setting.</w:t>
      </w:r>
    </w:p>
    <w:p w14:paraId="561CEEB9" w14:textId="77777777" w:rsidR="008A50FD" w:rsidRPr="00D00333" w:rsidRDefault="008A50FD" w:rsidP="00D00333">
      <w:pPr>
        <w:spacing w:line="360" w:lineRule="auto"/>
        <w:rPr>
          <w:rFonts w:ascii="Arial" w:hAnsi="Arial" w:cs="Arial"/>
        </w:rPr>
      </w:pPr>
      <w:r w:rsidRPr="00D00333">
        <w:rPr>
          <w:rFonts w:ascii="Arial" w:hAnsi="Arial" w:cs="Arial"/>
        </w:rPr>
        <w:t xml:space="preserve">The challenges I encountered during Operation </w:t>
      </w:r>
      <w:proofErr w:type="spellStart"/>
      <w:r w:rsidRPr="00D00333">
        <w:rPr>
          <w:rFonts w:ascii="Arial" w:hAnsi="Arial" w:cs="Arial"/>
        </w:rPr>
        <w:t>Exacum</w:t>
      </w:r>
      <w:proofErr w:type="spellEnd"/>
      <w:r w:rsidRPr="00D00333">
        <w:rPr>
          <w:rFonts w:ascii="Arial" w:hAnsi="Arial" w:cs="Arial"/>
        </w:rPr>
        <w:t xml:space="preserve"> underscore the importance of a multi-agency approach in supporting vulnerable victims and witnesses. Collaboration between law enforcement, social services, and community organisations is crucial in identifying and assisting victims of trafficking and exploitation (Barton et al., 2018). However, the cultural barriers and distrust of law enforcement among the Albanian nationals I dealt with highlighted to me the need for more culturally sensitive and trauma-informed support services (Journal of Identity and Migration Studies RCIMI, 2013). Engaging with community leaders and building trust through a more proactive and compassionate approach could help overcome those obstacles and ensure that vulnerable individuals receive the support they need (Atkinson-Sheppard et al., 2023).</w:t>
      </w:r>
    </w:p>
    <w:p w14:paraId="284C04CE" w14:textId="77777777" w:rsidR="00D00333" w:rsidRDefault="00D00333" w:rsidP="00D00333">
      <w:pPr>
        <w:spacing w:line="360" w:lineRule="auto"/>
        <w:rPr>
          <w:rFonts w:ascii="Arial" w:hAnsi="Arial" w:cs="Arial"/>
          <w:b/>
          <w:bCs/>
        </w:rPr>
      </w:pPr>
    </w:p>
    <w:p w14:paraId="30E2B53C" w14:textId="77777777" w:rsidR="00D00333" w:rsidRDefault="00D00333" w:rsidP="00D00333">
      <w:pPr>
        <w:spacing w:line="360" w:lineRule="auto"/>
        <w:rPr>
          <w:rFonts w:ascii="Arial" w:hAnsi="Arial" w:cs="Arial"/>
          <w:b/>
          <w:bCs/>
        </w:rPr>
      </w:pPr>
    </w:p>
    <w:p w14:paraId="2EFF205A" w14:textId="07610AA9" w:rsidR="008A50FD" w:rsidRPr="00D00333" w:rsidRDefault="008A50FD" w:rsidP="00D00333">
      <w:pPr>
        <w:spacing w:line="360" w:lineRule="auto"/>
        <w:rPr>
          <w:rFonts w:ascii="Arial" w:hAnsi="Arial" w:cs="Arial"/>
          <w:b/>
          <w:bCs/>
        </w:rPr>
      </w:pPr>
      <w:r w:rsidRPr="00D00333">
        <w:rPr>
          <w:rFonts w:ascii="Arial" w:hAnsi="Arial" w:cs="Arial"/>
          <w:b/>
          <w:bCs/>
        </w:rPr>
        <w:lastRenderedPageBreak/>
        <w:t xml:space="preserve">Conclusion </w:t>
      </w:r>
    </w:p>
    <w:p w14:paraId="0C88DAD0" w14:textId="77777777" w:rsidR="008A50FD" w:rsidRPr="00D00333" w:rsidRDefault="008A50FD" w:rsidP="00D00333">
      <w:pPr>
        <w:spacing w:line="360" w:lineRule="auto"/>
        <w:rPr>
          <w:rFonts w:ascii="Arial" w:hAnsi="Arial" w:cs="Arial"/>
        </w:rPr>
      </w:pPr>
      <w:r w:rsidRPr="00D00333">
        <w:rPr>
          <w:rFonts w:ascii="Arial" w:hAnsi="Arial" w:cs="Arial"/>
        </w:rPr>
        <w:t xml:space="preserve">My critical evaluation of the effectiveness of investigative methods and legal processes in supporting vulnerable victims and witnesses, informed by my experiences in Operation </w:t>
      </w:r>
      <w:proofErr w:type="spellStart"/>
      <w:r w:rsidRPr="00D00333">
        <w:rPr>
          <w:rFonts w:ascii="Arial" w:hAnsi="Arial" w:cs="Arial"/>
        </w:rPr>
        <w:t>Exacum</w:t>
      </w:r>
      <w:proofErr w:type="spellEnd"/>
      <w:r w:rsidRPr="00D00333">
        <w:rPr>
          <w:rFonts w:ascii="Arial" w:hAnsi="Arial" w:cs="Arial"/>
        </w:rPr>
        <w:t>, reveals both strengths and limitations. ABE interviews, special measures, intermediaries, and multi-agency support can help overcome obstacles such as fear, communication barriers, and lack of understanding of the legal system. However, issues such as inadequate training, limited resources, and cultural barriers can hinder their effectiveness.</w:t>
      </w:r>
    </w:p>
    <w:p w14:paraId="793F274A" w14:textId="77777777" w:rsidR="008A50FD" w:rsidRPr="00D00333" w:rsidRDefault="008A50FD" w:rsidP="00D00333">
      <w:pPr>
        <w:spacing w:line="360" w:lineRule="auto"/>
        <w:rPr>
          <w:rFonts w:ascii="Arial" w:hAnsi="Arial" w:cs="Arial"/>
        </w:rPr>
      </w:pPr>
      <w:r w:rsidRPr="00D00333">
        <w:rPr>
          <w:rFonts w:ascii="Arial" w:hAnsi="Arial" w:cs="Arial"/>
        </w:rPr>
        <w:t xml:space="preserve">The challenges encountered during Operation </w:t>
      </w:r>
      <w:proofErr w:type="spellStart"/>
      <w:r w:rsidRPr="00D00333">
        <w:rPr>
          <w:rFonts w:ascii="Arial" w:hAnsi="Arial" w:cs="Arial"/>
        </w:rPr>
        <w:t>Exacum</w:t>
      </w:r>
      <w:proofErr w:type="spellEnd"/>
      <w:r w:rsidRPr="00D00333">
        <w:rPr>
          <w:rFonts w:ascii="Arial" w:hAnsi="Arial" w:cs="Arial"/>
        </w:rPr>
        <w:t>, particularly in relation to the Albanian community's distrust of authorities and the influence of "Besa", highlight the need for a more culturally sensitive and trauma-informed approach to supporting vulnerable individuals. By prioritising training for investigators, increasing access to special measures and intermediaries, and fostering stronger multi-agency collaboration, we can work towards more effectively supporting vulnerable victims and witnesses in their pursuit of justice.</w:t>
      </w:r>
    </w:p>
    <w:p w14:paraId="06D337E6" w14:textId="77777777" w:rsidR="008A50FD" w:rsidRPr="00D00333" w:rsidRDefault="008A50FD" w:rsidP="00D00333">
      <w:pPr>
        <w:spacing w:line="360" w:lineRule="auto"/>
        <w:rPr>
          <w:rFonts w:ascii="Arial" w:hAnsi="Arial" w:cs="Arial"/>
        </w:rPr>
      </w:pPr>
      <w:r w:rsidRPr="00D00333">
        <w:rPr>
          <w:rFonts w:ascii="Arial" w:hAnsi="Arial" w:cs="Arial"/>
        </w:rPr>
        <w:t>Ultimately, overcoming the obstacles faced by vulnerable individuals in the criminal justice system requires a sustained, multi-faceted effort that considers the unique cultural, social, and psychological factors at play. By continually refining our investigative methods and legal processes, and by prioritising the needs and well-being of vulnerable victims and witnesses, we can create a more inclusive and supportive criminal justice system that ensures equal access to justice for all.</w:t>
      </w:r>
    </w:p>
    <w:p w14:paraId="70142953" w14:textId="74A4D3F5" w:rsidR="008A50FD" w:rsidRPr="00D00333" w:rsidRDefault="008A50FD" w:rsidP="00D00333">
      <w:pPr>
        <w:spacing w:line="360" w:lineRule="auto"/>
        <w:rPr>
          <w:rFonts w:ascii="Arial" w:hAnsi="Arial" w:cs="Arial"/>
          <w:b/>
          <w:bCs/>
          <w:u w:val="single"/>
        </w:rPr>
      </w:pPr>
      <w:r w:rsidRPr="00D00333">
        <w:rPr>
          <w:rFonts w:ascii="Arial" w:hAnsi="Arial" w:cs="Arial"/>
          <w:b/>
          <w:bCs/>
          <w:u w:val="single"/>
        </w:rPr>
        <w:t>Word Count – 1,286 Words.</w:t>
      </w:r>
    </w:p>
    <w:p w14:paraId="50824CE3" w14:textId="77777777" w:rsidR="008A50FD" w:rsidRPr="00D00333" w:rsidRDefault="008A50FD" w:rsidP="00D00333">
      <w:pPr>
        <w:pStyle w:val="EndNoteBibliography"/>
        <w:spacing w:after="0" w:line="360" w:lineRule="auto"/>
        <w:ind w:left="720" w:hanging="720"/>
        <w:rPr>
          <w:rFonts w:ascii="Arial" w:hAnsi="Arial" w:cs="Arial"/>
          <w:b/>
          <w:bCs/>
          <w:color w:val="000000" w:themeColor="text1"/>
          <w:lang w:val="en-GB"/>
        </w:rPr>
      </w:pPr>
      <w:r w:rsidRPr="00D00333">
        <w:rPr>
          <w:rFonts w:ascii="Arial" w:hAnsi="Arial" w:cs="Arial"/>
          <w:b/>
          <w:bCs/>
          <w:color w:val="000000" w:themeColor="text1"/>
          <w:lang w:val="en-GB"/>
        </w:rPr>
        <w:t>Reference</w:t>
      </w:r>
    </w:p>
    <w:p w14:paraId="31CC847F"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42br.com. (2018) ‘Applying Criminal Law and Procedure to Police Evidence in Care Proceedings – The ABE Interview by Gemma Farrington and Alison Pryor - Latest news - 42BR Barristers’ Available at: https://www.42br.com/latest-news/applying-criminal-law-and-procedure-to-police-evidence-in-care-proceedings-the-abe-interview-by-gemma-farrington-and-alison-pryor.htm (Accessed: 06 May 2025). </w:t>
      </w:r>
    </w:p>
    <w:p w14:paraId="0E03C26C"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Barton, E.R., Bezeczky, Z., Newbury, A. and Roberts, J., (2018) ‘Evaluation of a structured multi-agency, early intervention approach to vulnerability with neighbourhood policing teams’. Public Health Wales. Available at: </w:t>
      </w:r>
      <w:hyperlink r:id="rId69" w:history="1">
        <w:r w:rsidRPr="00D00333">
          <w:rPr>
            <w:rFonts w:ascii="Arial" w:hAnsi="Arial" w:cs="Arial"/>
            <w:lang w:val="en-GB"/>
          </w:rPr>
          <w:t>https://icccgsib.co.uk/wp-content/uploads/2020/07/Evaluation-of-a-structured-multi-agency-early-intervention-approach.pdf</w:t>
        </w:r>
      </w:hyperlink>
      <w:r w:rsidRPr="00D00333">
        <w:rPr>
          <w:rFonts w:ascii="Arial" w:hAnsi="Arial" w:cs="Arial"/>
          <w:color w:val="000000" w:themeColor="text1"/>
          <w:lang w:val="en-GB"/>
        </w:rPr>
        <w:t xml:space="preserve"> (Accessed: 06 May 2025).</w:t>
      </w:r>
    </w:p>
    <w:p w14:paraId="41466B3F"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Beckene, T., Forrester</w:t>
      </w:r>
      <w:r w:rsidRPr="00D00333">
        <w:rPr>
          <w:rFonts w:ascii="Cambria Math" w:hAnsi="Cambria Math" w:cs="Cambria Math"/>
          <w:color w:val="000000" w:themeColor="text1"/>
          <w:lang w:val="en-GB"/>
        </w:rPr>
        <w:t>‐</w:t>
      </w:r>
      <w:r w:rsidRPr="00D00333">
        <w:rPr>
          <w:rFonts w:ascii="Arial" w:hAnsi="Arial" w:cs="Arial"/>
          <w:color w:val="000000" w:themeColor="text1"/>
          <w:lang w:val="en-GB"/>
        </w:rPr>
        <w:t>Jones, R. and Murphy, G.H. (2017) ‘Experiences of going to court: Witnesses with intellectual disabilities and their carers speak up’. Journal of Applied Research in Intellectual Disabilities, 33(1), pp.67–78. Available at: doi:https://doi.org/10.1111/jar.12334 (Accessed: 06 May 2025).</w:t>
      </w:r>
    </w:p>
    <w:p w14:paraId="458D2AB3"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Burton, M., Evans, R. and Sanders, A. (2007) ‘Vulnerable and Intimidated Witnesses and the Adversarial Process in England and Wales’. The International Journal of Evidence &amp; Proof, (online) 11(1), pp.1–23. Available at: doi:https://doi.org/10.1350/ijep.2006.11.1.1 (Accessed: 06 May 2025).</w:t>
      </w:r>
    </w:p>
    <w:p w14:paraId="53ABF48F"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Cooper, P., (2014) ‘Speaking when they are spoken to: hearing vulnerable witnesses in care proceedings’. Child &amp; Fam. LQ, 26, p.132. Available at: </w:t>
      </w:r>
      <w:hyperlink r:id="rId70" w:history="1">
        <w:r w:rsidRPr="00D00333">
          <w:rPr>
            <w:rFonts w:ascii="Arial" w:hAnsi="Arial" w:cs="Arial"/>
            <w:lang w:val="en-GB"/>
          </w:rPr>
          <w:t>https://pennycooper.co.uk/wp-content/uploads/2019/01/P-Cooper-2014-Speaking-when-they-are-spoken-to-CFLQ-Speaking-When-They-Are-Spoken-To.pdf</w:t>
        </w:r>
      </w:hyperlink>
      <w:r w:rsidRPr="00D00333">
        <w:rPr>
          <w:rFonts w:ascii="Arial" w:hAnsi="Arial" w:cs="Arial"/>
          <w:color w:val="000000" w:themeColor="text1"/>
          <w:lang w:val="en-GB"/>
        </w:rPr>
        <w:t xml:space="preserve"> (Accessed: 06 May 2025).</w:t>
      </w:r>
    </w:p>
    <w:p w14:paraId="06D2027F"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CPS (2023) ‘Special Measures | the Crown Prosecution Service’. Available at: </w:t>
      </w:r>
      <w:hyperlink r:id="rId71" w:history="1">
        <w:r w:rsidRPr="00D00333">
          <w:rPr>
            <w:rFonts w:ascii="Arial" w:hAnsi="Arial" w:cs="Arial"/>
            <w:lang w:val="en-GB"/>
          </w:rPr>
          <w:t>https://www.cps.gov.uk/legal-guidance/special-measures</w:t>
        </w:r>
      </w:hyperlink>
      <w:r w:rsidRPr="00D00333">
        <w:rPr>
          <w:rFonts w:ascii="Arial" w:hAnsi="Arial" w:cs="Arial"/>
          <w:color w:val="000000" w:themeColor="text1"/>
          <w:lang w:val="en-GB"/>
        </w:rPr>
        <w:t xml:space="preserve">. (Accessed: 06 May 2025).  </w:t>
      </w:r>
    </w:p>
    <w:p w14:paraId="41B66EDE"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Crawford, A. (2024) ‘Vulnerability and Policing: Rethinking the Role and Limits of the Police’. Political quarterly, 95(3). Available at: doi:https://doi.org/10.1111/1467-923x.13422 (Accessed: 06 May 2025).  </w:t>
      </w:r>
    </w:p>
    <w:p w14:paraId="0EC8255A"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Fairclough, S. (2021) ‘The Lost Leg of the Youth Justice and Criminal Evidence Act (1999): Special Measures and Humane Treatment’, Oxford journal of legal studies, 41(4), pp. 1066–1095. Available at: </w:t>
      </w:r>
      <w:hyperlink r:id="rId72" w:history="1">
        <w:r w:rsidRPr="00D00333">
          <w:rPr>
            <w:rFonts w:ascii="Arial" w:hAnsi="Arial" w:cs="Arial"/>
            <w:lang w:val="en-GB"/>
          </w:rPr>
          <w:t>https://doi.org/10.1093/ojls/gqab014</w:t>
        </w:r>
      </w:hyperlink>
      <w:r w:rsidRPr="00D00333">
        <w:rPr>
          <w:rFonts w:ascii="Arial" w:hAnsi="Arial" w:cs="Arial"/>
          <w:color w:val="000000" w:themeColor="text1"/>
          <w:lang w:val="en-GB"/>
        </w:rPr>
        <w:t xml:space="preserve"> (Accessed: 06 May 2025).  </w:t>
      </w:r>
    </w:p>
    <w:p w14:paraId="2F4D93FC"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Forbes, C., Alderson, H., Domoney, J., Papamichail, A., Berry, V., McGovern, R., Sevdalis, N., Rankin, J., Newburn, M., Healey, A., Easter, A., Heslin, M., Feder, G., Hudson, K., Wilson, C.A., Melendez-Torres, G.J., Howard, L.M. and Trevillion, K. (2023) ‘A survey and stakeholder consultation of Independent Domestic Violence Advisor (IDVA) programmes in English maternity services’. BMC pregnancy and childbirth, 23(1), p.404. Available at: doi:https://doi.org/10.1186/s12884-023-05731-1 (Accessed: 06 May 2025).  </w:t>
      </w:r>
    </w:p>
    <w:p w14:paraId="4E32FD6B"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Hamida Zekiroski, Powell, M.B. and Cashman, K. (2024) ‘Police officers’ perceptions of a training course designed to enhance open-ended questions with adult witnesses’. Psychiatry Psychology and Law, pp.1–17. Available at: doi:https://doi.org/10.1080/13218719.2024.2346718 (Accessed: 06 May 2025).  </w:t>
      </w:r>
    </w:p>
    <w:p w14:paraId="1530C7AB"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 xml:space="preserve">Hanway, P. and Akehurst, L. (2018) ‘The voice from the front line: Police officers’ perceptions of real-world interviewing with vulnerable witnesses’. 9(1), pp.14–33. Available at: </w:t>
      </w:r>
      <w:hyperlink r:id="rId73" w:history="1">
        <w:r w:rsidRPr="00D00333">
          <w:rPr>
            <w:rFonts w:ascii="Arial" w:hAnsi="Arial" w:cs="Arial"/>
            <w:lang w:val="en-GB"/>
          </w:rPr>
          <w:t>https://www.researchgate.net/profile/Pamela-Hanway/publication/325646282_The_voice_from_the_front_line_Police_officers</w:t>
        </w:r>
      </w:hyperlink>
      <w:r w:rsidRPr="00D00333">
        <w:rPr>
          <w:rFonts w:ascii="Arial" w:hAnsi="Arial" w:cs="Arial"/>
          <w:color w:val="000000" w:themeColor="text1"/>
          <w:lang w:val="en-GB"/>
        </w:rPr>
        <w:t xml:space="preserve"> (Accessed: 06 May 2025). </w:t>
      </w:r>
    </w:p>
    <w:p w14:paraId="0B689DC7" w14:textId="044F8F59"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Journal of Identity and Migration Studies RCIMI (2013) Available at: </w:t>
      </w:r>
      <w:hyperlink r:id="rId74" w:anchor="page=71" w:history="1">
        <w:r w:rsidRPr="00D00333">
          <w:rPr>
            <w:rFonts w:ascii="Arial" w:hAnsi="Arial" w:cs="Arial"/>
            <w:lang w:val="en-GB"/>
          </w:rPr>
          <w:t>https://e-migration.ro/jims/Vol7_No1_2013/JIMS_Vol7_No1_2013.pdf#page=71</w:t>
        </w:r>
      </w:hyperlink>
      <w:r w:rsidRPr="00D00333">
        <w:rPr>
          <w:rFonts w:ascii="Arial" w:hAnsi="Arial" w:cs="Arial"/>
          <w:color w:val="000000" w:themeColor="text1"/>
          <w:lang w:val="en-GB"/>
        </w:rPr>
        <w:t xml:space="preserve"> (Accessed: 06 May 2025).</w:t>
      </w:r>
    </w:p>
    <w:p w14:paraId="477986A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Kosovo Online (2024) ‘The impact and significance of the word ‘besa’ among Albanians - then and now - Kosovo Online’. 10 January. Available at: https://www.kosovo-online.com/en/news/kontext/impact-and-significance-word-besa-among-albanians-then-and-now-10-1-2024 (Accessed: 06 May 2025).</w:t>
      </w:r>
    </w:p>
    <w:p w14:paraId="1C307B35"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Majeed-Ariss, R., Brockway, A., Cook, K. and White, C. (2019) ‘Could do better’: Report on the use of special measures in sexual offences cases. Criminology &amp; Criminal Justice, 21(1), p.174889581984039. Available at: doi:https://doi.org/10.1177/1748895819840396 (Accessed: 06 May 2025).</w:t>
      </w:r>
    </w:p>
    <w:p w14:paraId="3744178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Ministry of Justice. (2022) ‘Achieving Best Evidence in Criminal Proceedings: Guidance on interviewing victims and witnesses, and guidance on using special measures’. Available at: </w:t>
      </w:r>
      <w:hyperlink r:id="rId75" w:history="1">
        <w:r w:rsidRPr="00D00333">
          <w:rPr>
            <w:rFonts w:ascii="Arial" w:hAnsi="Arial" w:cs="Arial"/>
            <w:lang w:val="en-GB"/>
          </w:rPr>
          <w:t>https://www.gov.uk/government/publications/achieving-best-evidence-in-criminal-proceedings</w:t>
        </w:r>
      </w:hyperlink>
      <w:r w:rsidRPr="00D00333">
        <w:rPr>
          <w:rFonts w:ascii="Arial" w:hAnsi="Arial" w:cs="Arial"/>
          <w:color w:val="000000" w:themeColor="text1"/>
          <w:lang w:val="en-GB"/>
        </w:rPr>
        <w:t xml:space="preserve"> (Accessed: 06 May 2025).</w:t>
      </w:r>
    </w:p>
    <w:p w14:paraId="4A4844AE"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Richardson, E., Stokoe, E. and Antaki, C. (2018) ‘Establishing Intellectually Impaired Victims’ Understanding about ‘Truth’ and ‘Lies’: Police Interview Guidance and Practice in Cases of Sexual Assault’. Applied Linguistics. Available at: doi:https://doi.org/10.1093/applin/amy023 (Accessed: 06 May 2025).</w:t>
      </w:r>
    </w:p>
    <w:p w14:paraId="517F937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Smith, K. (2024) ‘Twenty-five Years of Achieving Best evidence: Investigative Interviews with Victims and Witnesses in England and Wales’. International Journal of Police Science &amp; Management, 26(4), pp.421–428. Available at: doi:https://doi.org/10.1177/14613557241298802 (Accessed: 06 May 2025).</w:t>
      </w:r>
    </w:p>
    <w:p w14:paraId="2649F8CE"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Ward, T. and Fouladvand, S. (2018) ‘Human Trafficking, Victims’ Rights and Fair Trials’. The Journal of Criminal Law, 82(2), pp.138–155. Available at doi:https://doi.org/10.1177/0022018318761680 (Accessed: 06 May 2025).</w:t>
      </w:r>
    </w:p>
    <w:p w14:paraId="7EDABADE" w14:textId="2B7F2FEA" w:rsidR="0044401C"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Winson, L. (2024) ‘High Court judge gives guidance on use of intermediaries in Family Court’. Available at: https://www.localgovernmentlawyer.co.uk/child-protection/392-children-protection-news/56242-high-court-judge-gives-guidance-on-use-of-intermediaries-in-family-court (Accessed: 06 May 2025).</w:t>
      </w:r>
    </w:p>
    <w:p w14:paraId="25A0EFCF" w14:textId="77777777" w:rsidR="00D00333" w:rsidRPr="00D00333" w:rsidRDefault="00D00333" w:rsidP="00D00333">
      <w:pPr>
        <w:pStyle w:val="EndNoteBibliography"/>
        <w:spacing w:before="240" w:after="0" w:line="360" w:lineRule="auto"/>
        <w:ind w:left="720" w:hanging="720"/>
        <w:rPr>
          <w:rFonts w:ascii="Arial" w:hAnsi="Arial" w:cs="Arial"/>
          <w:color w:val="000000" w:themeColor="text1"/>
          <w:lang w:val="en-GB"/>
        </w:rPr>
      </w:pPr>
    </w:p>
    <w:p w14:paraId="6664E868" w14:textId="0C9C4205" w:rsidR="4AF6DABA" w:rsidRPr="0044401C" w:rsidRDefault="4AF6DABA" w:rsidP="2F17ACDD">
      <w:pPr>
        <w:ind w:right="107"/>
        <w:rPr>
          <w:rFonts w:asciiTheme="minorBidi" w:eastAsia="Arial" w:hAnsiTheme="minorBidi"/>
          <w:b/>
          <w:bCs/>
          <w:i/>
          <w:iCs/>
          <w:color w:val="000000" w:themeColor="text1"/>
          <w:sz w:val="24"/>
          <w:szCs w:val="24"/>
        </w:rPr>
      </w:pPr>
      <w:r w:rsidRPr="0044401C">
        <w:rPr>
          <w:rFonts w:asciiTheme="minorBidi" w:eastAsia="Arial" w:hAnsiTheme="minorBidi"/>
          <w:b/>
          <w:bCs/>
          <w:i/>
          <w:iCs/>
          <w:color w:val="000000" w:themeColor="text1"/>
          <w:sz w:val="24"/>
          <w:szCs w:val="24"/>
        </w:rPr>
        <w:t xml:space="preserve">Task 3: </w:t>
      </w:r>
      <w:r w:rsidR="77EF1F52" w:rsidRPr="0044401C">
        <w:rPr>
          <w:rFonts w:asciiTheme="minorBidi" w:eastAsia="Arial" w:hAnsiTheme="minorBidi"/>
          <w:b/>
          <w:bCs/>
          <w:i/>
          <w:iCs/>
          <w:color w:val="000000" w:themeColor="text1"/>
          <w:sz w:val="24"/>
          <w:szCs w:val="24"/>
        </w:rPr>
        <w:t>Interview and Custody Processes</w:t>
      </w:r>
    </w:p>
    <w:tbl>
      <w:tblPr>
        <w:tblStyle w:val="TableGrid"/>
        <w:tblW w:w="0" w:type="auto"/>
        <w:tblLayout w:type="fixed"/>
        <w:tblLook w:val="06A0" w:firstRow="1" w:lastRow="0" w:firstColumn="1" w:lastColumn="0" w:noHBand="1" w:noVBand="1"/>
      </w:tblPr>
      <w:tblGrid>
        <w:gridCol w:w="9015"/>
      </w:tblGrid>
      <w:tr w:rsidR="7336895D" w:rsidRPr="0044401C" w14:paraId="66F0C074" w14:textId="77777777" w:rsidTr="43D343CA">
        <w:tc>
          <w:tcPr>
            <w:tcW w:w="9015" w:type="dxa"/>
          </w:tcPr>
          <w:p w14:paraId="5C5A628C" w14:textId="579C4C2D" w:rsidR="7336895D" w:rsidRPr="0044401C" w:rsidRDefault="210DC2DC" w:rsidP="2F17ACDD">
            <w:pPr>
              <w:spacing w:line="259" w:lineRule="auto"/>
              <w:rPr>
                <w:rFonts w:asciiTheme="minorBidi" w:eastAsia="Arial" w:hAnsiTheme="minorBidi"/>
                <w:b/>
                <w:bCs/>
                <w:color w:val="000000" w:themeColor="text1"/>
                <w:sz w:val="24"/>
                <w:szCs w:val="24"/>
              </w:rPr>
            </w:pPr>
            <w:r w:rsidRPr="0044401C">
              <w:rPr>
                <w:rFonts w:asciiTheme="minorBidi" w:eastAsia="Arial" w:hAnsiTheme="minorBidi"/>
                <w:color w:val="000000" w:themeColor="text1"/>
                <w:sz w:val="24"/>
                <w:szCs w:val="24"/>
              </w:rPr>
              <w:t>Choose a serious and complex investigation in which you played a significant role with</w:t>
            </w:r>
            <w:r w:rsidRPr="0044401C">
              <w:rPr>
                <w:rFonts w:asciiTheme="minorBidi" w:eastAsia="Arial" w:hAnsiTheme="minorBidi"/>
                <w:b/>
                <w:bCs/>
                <w:color w:val="000000" w:themeColor="text1"/>
                <w:sz w:val="24"/>
                <w:szCs w:val="24"/>
              </w:rPr>
              <w:t xml:space="preserve"> witnesses, victims and suspects. </w:t>
            </w:r>
            <w:r w:rsidR="1E611AAB" w:rsidRPr="0044401C">
              <w:rPr>
                <w:rFonts w:asciiTheme="minorBidi" w:eastAsia="Arial" w:hAnsiTheme="minorBidi"/>
                <w:color w:val="000000" w:themeColor="text1"/>
                <w:sz w:val="24"/>
                <w:szCs w:val="24"/>
              </w:rPr>
              <w:t>Give a brief description of the investigation</w:t>
            </w:r>
            <w:r w:rsidR="6F6CABE8" w:rsidRPr="0044401C">
              <w:rPr>
                <w:rFonts w:asciiTheme="minorBidi" w:eastAsia="Arial" w:hAnsiTheme="minorBidi"/>
                <w:color w:val="000000" w:themeColor="text1"/>
                <w:sz w:val="24"/>
                <w:szCs w:val="24"/>
              </w:rPr>
              <w:t>.</w:t>
            </w:r>
            <w:r w:rsidR="1E611AAB" w:rsidRPr="0044401C">
              <w:rPr>
                <w:rFonts w:asciiTheme="minorBidi" w:eastAsia="Arial" w:hAnsiTheme="minorBidi"/>
                <w:color w:val="000000" w:themeColor="text1"/>
                <w:sz w:val="24"/>
                <w:szCs w:val="24"/>
              </w:rPr>
              <w:t xml:space="preserve"> </w:t>
            </w:r>
            <w:r w:rsidR="1E611AAB" w:rsidRPr="0044401C">
              <w:rPr>
                <w:rFonts w:asciiTheme="minorBidi" w:eastAsia="Arial" w:hAnsiTheme="minorBidi"/>
                <w:sz w:val="24"/>
                <w:szCs w:val="24"/>
              </w:rPr>
              <w:t xml:space="preserve"> </w:t>
            </w:r>
          </w:p>
          <w:p w14:paraId="3D2C74E4" w14:textId="37BA7A59" w:rsidR="7336895D" w:rsidRPr="0044401C" w:rsidRDefault="7336895D" w:rsidP="2F17ACDD">
            <w:pPr>
              <w:spacing w:line="259" w:lineRule="auto"/>
              <w:ind w:right="237"/>
              <w:jc w:val="both"/>
              <w:rPr>
                <w:rFonts w:asciiTheme="minorBidi" w:eastAsia="Arial" w:hAnsiTheme="minorBidi"/>
                <w:sz w:val="24"/>
                <w:szCs w:val="24"/>
              </w:rPr>
            </w:pPr>
          </w:p>
          <w:p w14:paraId="68A4B315" w14:textId="4FD20C8E" w:rsidR="7336895D" w:rsidRPr="0044401C" w:rsidRDefault="24A67964" w:rsidP="43D343CA">
            <w:pPr>
              <w:pStyle w:val="ListParagraph"/>
              <w:numPr>
                <w:ilvl w:val="0"/>
                <w:numId w:val="1"/>
              </w:numPr>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 xml:space="preserve">Critically </w:t>
            </w:r>
            <w:r w:rsidR="05AD3B70" w:rsidRPr="0044401C">
              <w:rPr>
                <w:rFonts w:asciiTheme="minorBidi" w:eastAsia="Arial" w:hAnsiTheme="minorBidi"/>
                <w:b/>
                <w:bCs/>
                <w:color w:val="000000" w:themeColor="text1"/>
                <w:sz w:val="24"/>
                <w:szCs w:val="24"/>
              </w:rPr>
              <w:t>evaluate</w:t>
            </w:r>
            <w:r w:rsidRPr="0044401C">
              <w:rPr>
                <w:rFonts w:asciiTheme="minorBidi" w:eastAsia="Arial" w:hAnsiTheme="minorBidi"/>
                <w:b/>
                <w:bCs/>
                <w:color w:val="000000" w:themeColor="text1"/>
                <w:sz w:val="24"/>
                <w:szCs w:val="24"/>
              </w:rPr>
              <w:t xml:space="preserve"> </w:t>
            </w:r>
            <w:r w:rsidRPr="0044401C">
              <w:rPr>
                <w:rFonts w:asciiTheme="minorBidi" w:eastAsia="Arial" w:hAnsiTheme="minorBidi"/>
                <w:color w:val="000000" w:themeColor="text1"/>
                <w:sz w:val="24"/>
                <w:szCs w:val="24"/>
              </w:rPr>
              <w:t xml:space="preserve">the interview process of </w:t>
            </w:r>
            <w:r w:rsidR="6BE0CE1E" w:rsidRPr="0044401C">
              <w:rPr>
                <w:rFonts w:asciiTheme="minorBidi" w:eastAsia="Arial" w:hAnsiTheme="minorBidi"/>
                <w:color w:val="000000" w:themeColor="text1"/>
                <w:sz w:val="24"/>
                <w:szCs w:val="24"/>
              </w:rPr>
              <w:t xml:space="preserve">the </w:t>
            </w:r>
            <w:r w:rsidRPr="0044401C">
              <w:rPr>
                <w:rFonts w:asciiTheme="minorBidi" w:eastAsia="Arial" w:hAnsiTheme="minorBidi"/>
                <w:color w:val="000000" w:themeColor="text1"/>
                <w:sz w:val="24"/>
                <w:szCs w:val="24"/>
              </w:rPr>
              <w:t xml:space="preserve">witnesses and </w:t>
            </w:r>
            <w:r w:rsidR="2608E9FA" w:rsidRPr="0044401C">
              <w:rPr>
                <w:rFonts w:asciiTheme="minorBidi" w:eastAsia="Arial" w:hAnsiTheme="minorBidi"/>
                <w:color w:val="000000" w:themeColor="text1"/>
                <w:sz w:val="24"/>
                <w:szCs w:val="24"/>
              </w:rPr>
              <w:t>suspects</w:t>
            </w:r>
            <w:r w:rsidRPr="0044401C">
              <w:rPr>
                <w:rFonts w:asciiTheme="minorBidi" w:eastAsia="Arial" w:hAnsiTheme="minorBidi"/>
                <w:color w:val="000000" w:themeColor="text1"/>
                <w:sz w:val="24"/>
                <w:szCs w:val="24"/>
              </w:rPr>
              <w:t xml:space="preserve"> </w:t>
            </w:r>
            <w:r w:rsidR="5CF633DD" w:rsidRPr="0044401C">
              <w:rPr>
                <w:rFonts w:asciiTheme="minorBidi" w:eastAsia="Arial" w:hAnsiTheme="minorBidi"/>
                <w:color w:val="000000" w:themeColor="text1"/>
                <w:sz w:val="24"/>
                <w:szCs w:val="24"/>
              </w:rPr>
              <w:t xml:space="preserve">in the case highlighting how </w:t>
            </w:r>
            <w:r w:rsidR="2F5620CE" w:rsidRPr="0044401C">
              <w:rPr>
                <w:rFonts w:asciiTheme="minorBidi" w:eastAsia="Arial" w:hAnsiTheme="minorBidi"/>
                <w:color w:val="000000" w:themeColor="text1"/>
                <w:sz w:val="24"/>
                <w:szCs w:val="24"/>
              </w:rPr>
              <w:t>professionalism and mainta</w:t>
            </w:r>
            <w:r w:rsidR="086F8ED2" w:rsidRPr="0044401C">
              <w:rPr>
                <w:rFonts w:asciiTheme="minorBidi" w:eastAsia="Arial" w:hAnsiTheme="minorBidi"/>
                <w:color w:val="000000" w:themeColor="text1"/>
                <w:sz w:val="24"/>
                <w:szCs w:val="24"/>
              </w:rPr>
              <w:t xml:space="preserve">ining </w:t>
            </w:r>
            <w:r w:rsidR="2F5620CE" w:rsidRPr="0044401C">
              <w:rPr>
                <w:rFonts w:asciiTheme="minorBidi" w:eastAsia="Arial" w:hAnsiTheme="minorBidi"/>
                <w:color w:val="000000" w:themeColor="text1"/>
                <w:sz w:val="24"/>
                <w:szCs w:val="24"/>
              </w:rPr>
              <w:t xml:space="preserve">standards </w:t>
            </w:r>
            <w:r w:rsidR="7B960B1B" w:rsidRPr="0044401C">
              <w:rPr>
                <w:rFonts w:asciiTheme="minorBidi" w:eastAsia="Arial" w:hAnsiTheme="minorBidi"/>
                <w:color w:val="000000" w:themeColor="text1"/>
                <w:sz w:val="24"/>
                <w:szCs w:val="24"/>
              </w:rPr>
              <w:t>impacts upon</w:t>
            </w:r>
            <w:r w:rsidR="003EE87A" w:rsidRPr="0044401C">
              <w:rPr>
                <w:rFonts w:asciiTheme="minorBidi" w:eastAsia="Arial" w:hAnsiTheme="minorBidi"/>
                <w:color w:val="000000" w:themeColor="text1"/>
                <w:sz w:val="24"/>
                <w:szCs w:val="24"/>
              </w:rPr>
              <w:t xml:space="preserve"> the process.</w:t>
            </w:r>
          </w:p>
          <w:p w14:paraId="753FD967" w14:textId="4593FB38" w:rsidR="43D343CA" w:rsidRPr="0044401C" w:rsidRDefault="43D343CA" w:rsidP="43D343CA">
            <w:pPr>
              <w:rPr>
                <w:rFonts w:asciiTheme="minorBidi" w:eastAsia="Arial" w:hAnsiTheme="minorBidi"/>
                <w:color w:val="000000" w:themeColor="text1"/>
                <w:sz w:val="24"/>
                <w:szCs w:val="24"/>
              </w:rPr>
            </w:pPr>
          </w:p>
          <w:p w14:paraId="6E3DF98A" w14:textId="34AF5EEE" w:rsidR="50431ACD" w:rsidRPr="0044401C" w:rsidRDefault="50431ACD" w:rsidP="43D343CA">
            <w:pPr>
              <w:pStyle w:val="ListParagraph"/>
              <w:numPr>
                <w:ilvl w:val="0"/>
                <w:numId w:val="1"/>
              </w:numPr>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Critically r</w:t>
            </w:r>
            <w:r w:rsidR="6E33EB2E" w:rsidRPr="0044401C">
              <w:rPr>
                <w:rFonts w:asciiTheme="minorBidi" w:eastAsia="Arial" w:hAnsiTheme="minorBidi"/>
                <w:b/>
                <w:bCs/>
                <w:color w:val="000000" w:themeColor="text1"/>
                <w:sz w:val="24"/>
                <w:szCs w:val="24"/>
              </w:rPr>
              <w:t xml:space="preserve">eflect </w:t>
            </w:r>
            <w:r w:rsidR="6E33EB2E" w:rsidRPr="0044401C">
              <w:rPr>
                <w:rFonts w:asciiTheme="minorBidi" w:eastAsia="Arial" w:hAnsiTheme="minorBidi"/>
                <w:color w:val="000000" w:themeColor="text1"/>
                <w:sz w:val="24"/>
                <w:szCs w:val="24"/>
              </w:rPr>
              <w:t>upon the planning that you undertook for the interviews</w:t>
            </w:r>
            <w:r w:rsidR="164EAA75" w:rsidRPr="0044401C">
              <w:rPr>
                <w:rFonts w:asciiTheme="minorBidi" w:eastAsia="Arial" w:hAnsiTheme="minorBidi"/>
                <w:color w:val="000000" w:themeColor="text1"/>
                <w:sz w:val="24"/>
                <w:szCs w:val="24"/>
              </w:rPr>
              <w:t xml:space="preserve"> </w:t>
            </w:r>
            <w:r w:rsidR="020C82A6" w:rsidRPr="0044401C">
              <w:rPr>
                <w:rFonts w:asciiTheme="minorBidi" w:eastAsia="Arial" w:hAnsiTheme="minorBidi"/>
                <w:color w:val="000000" w:themeColor="text1"/>
                <w:sz w:val="24"/>
                <w:szCs w:val="24"/>
              </w:rPr>
              <w:t xml:space="preserve">and </w:t>
            </w:r>
            <w:r w:rsidR="5068CC92" w:rsidRPr="0044401C">
              <w:rPr>
                <w:rFonts w:asciiTheme="minorBidi" w:eastAsia="Arial" w:hAnsiTheme="minorBidi"/>
                <w:color w:val="000000" w:themeColor="text1"/>
                <w:sz w:val="24"/>
                <w:szCs w:val="24"/>
              </w:rPr>
              <w:t xml:space="preserve">consider </w:t>
            </w:r>
            <w:r w:rsidR="7EBB5585" w:rsidRPr="0044401C">
              <w:rPr>
                <w:rFonts w:asciiTheme="minorBidi" w:eastAsia="Arial" w:hAnsiTheme="minorBidi"/>
                <w:color w:val="000000" w:themeColor="text1"/>
                <w:sz w:val="24"/>
                <w:szCs w:val="24"/>
              </w:rPr>
              <w:t>the benefits and challenges of doing so.</w:t>
            </w:r>
          </w:p>
          <w:p w14:paraId="7EE609DB" w14:textId="42587E37" w:rsidR="7336895D" w:rsidRPr="0044401C" w:rsidRDefault="7336895D" w:rsidP="4BFE4F66">
            <w:pPr>
              <w:rPr>
                <w:rFonts w:asciiTheme="minorBidi" w:eastAsia="Arial" w:hAnsiTheme="minorBidi"/>
                <w:b/>
                <w:bCs/>
                <w:color w:val="000000" w:themeColor="text1"/>
                <w:sz w:val="24"/>
                <w:szCs w:val="24"/>
              </w:rPr>
            </w:pPr>
          </w:p>
          <w:p w14:paraId="32D22CF4" w14:textId="47BD3A1B" w:rsidR="2F17ACDD" w:rsidRPr="0044401C" w:rsidRDefault="2F17ACDD" w:rsidP="2F17ACDD">
            <w:pPr>
              <w:rPr>
                <w:rFonts w:asciiTheme="minorBidi" w:eastAsia="Arial" w:hAnsiTheme="minorBidi"/>
                <w:color w:val="000000" w:themeColor="text1"/>
                <w:sz w:val="24"/>
                <w:szCs w:val="24"/>
              </w:rPr>
            </w:pPr>
          </w:p>
          <w:p w14:paraId="5B18295C" w14:textId="715434F3" w:rsidR="7336895D" w:rsidRPr="0044401C" w:rsidRDefault="22C5848C" w:rsidP="43D343CA">
            <w:pPr>
              <w:ind w:right="237"/>
              <w:jc w:val="both"/>
              <w:rPr>
                <w:rFonts w:asciiTheme="minorBidi" w:eastAsia="Arial" w:hAnsiTheme="minorBidi"/>
                <w:sz w:val="24"/>
                <w:szCs w:val="24"/>
              </w:rPr>
            </w:pPr>
            <w:r w:rsidRPr="0044401C">
              <w:rPr>
                <w:rFonts w:asciiTheme="minorBidi" w:eastAsia="Arial" w:hAnsiTheme="minorBidi"/>
                <w:b/>
                <w:bCs/>
                <w:color w:val="000000" w:themeColor="text1"/>
                <w:sz w:val="24"/>
                <w:szCs w:val="24"/>
              </w:rPr>
              <w:t xml:space="preserve">2000 words </w:t>
            </w:r>
            <w:r w:rsidRPr="0044401C">
              <w:rPr>
                <w:rFonts w:asciiTheme="minorBidi" w:eastAsia="Arial" w:hAnsiTheme="minorBidi"/>
                <w:i/>
                <w:iCs/>
                <w:color w:val="000000" w:themeColor="text1"/>
                <w:sz w:val="24"/>
                <w:szCs w:val="24"/>
              </w:rPr>
              <w:t>(+/- 10%: include your actual word count at the end of each section)</w:t>
            </w:r>
          </w:p>
          <w:p w14:paraId="296E3AF7" w14:textId="5380D887" w:rsidR="7336895D" w:rsidRPr="0044401C" w:rsidRDefault="7336895D" w:rsidP="43D343CA">
            <w:pPr>
              <w:ind w:right="237"/>
              <w:jc w:val="both"/>
              <w:rPr>
                <w:rFonts w:asciiTheme="minorBidi" w:eastAsia="Arial" w:hAnsiTheme="minorBidi"/>
                <w:i/>
                <w:iCs/>
                <w:color w:val="000000" w:themeColor="text1"/>
                <w:sz w:val="24"/>
                <w:szCs w:val="24"/>
              </w:rPr>
            </w:pPr>
          </w:p>
        </w:tc>
      </w:tr>
    </w:tbl>
    <w:p w14:paraId="7C247AEB" w14:textId="3F5406C8" w:rsidR="2F17ACDD" w:rsidRPr="0044401C" w:rsidRDefault="2F17ACDD" w:rsidP="2F17ACDD">
      <w:pPr>
        <w:ind w:left="3600" w:right="107" w:firstLine="720"/>
        <w:jc w:val="both"/>
        <w:rPr>
          <w:rFonts w:asciiTheme="minorBidi" w:eastAsia="Arial" w:hAnsiTheme="minorBidi"/>
          <w:b/>
          <w:bCs/>
          <w:color w:val="000000" w:themeColor="text1"/>
          <w:sz w:val="24"/>
          <w:szCs w:val="24"/>
        </w:rPr>
      </w:pPr>
    </w:p>
    <w:p w14:paraId="52CCB2DB" w14:textId="76B7B995" w:rsidR="008A50FD" w:rsidRPr="00D00333" w:rsidRDefault="008A50FD" w:rsidP="00D00333">
      <w:pPr>
        <w:spacing w:line="360" w:lineRule="auto"/>
        <w:ind w:right="107"/>
        <w:jc w:val="both"/>
        <w:rPr>
          <w:rFonts w:ascii="Arial" w:eastAsia="Arial" w:hAnsi="Arial" w:cs="Arial"/>
          <w:b/>
          <w:bCs/>
          <w:color w:val="000000" w:themeColor="text1"/>
        </w:rPr>
      </w:pPr>
      <w:r w:rsidRPr="00D00333">
        <w:rPr>
          <w:rFonts w:ascii="Arial" w:eastAsia="Arial" w:hAnsi="Arial" w:cs="Arial"/>
          <w:b/>
          <w:bCs/>
          <w:color w:val="000000" w:themeColor="text1"/>
        </w:rPr>
        <w:t>Task 3A</w:t>
      </w:r>
    </w:p>
    <w:p w14:paraId="15959B21" w14:textId="11FCCA9E" w:rsidR="008A50FD" w:rsidRPr="00D00333" w:rsidRDefault="008A50FD" w:rsidP="00D00333">
      <w:pPr>
        <w:spacing w:line="360" w:lineRule="auto"/>
        <w:ind w:right="107"/>
        <w:jc w:val="both"/>
        <w:rPr>
          <w:rFonts w:ascii="Arial" w:eastAsia="Arial" w:hAnsi="Arial" w:cs="Arial"/>
          <w:b/>
          <w:bCs/>
          <w:color w:val="000000" w:themeColor="text1"/>
        </w:rPr>
      </w:pPr>
      <w:r w:rsidRPr="00D00333">
        <w:rPr>
          <w:rFonts w:ascii="Arial" w:eastAsia="Arial" w:hAnsi="Arial" w:cs="Arial"/>
          <w:b/>
          <w:bCs/>
          <w:color w:val="000000" w:themeColor="text1"/>
        </w:rPr>
        <w:t>Answer:</w:t>
      </w:r>
    </w:p>
    <w:p w14:paraId="23D7C98D" w14:textId="55874454" w:rsidR="008A50FD" w:rsidRPr="00D00333" w:rsidRDefault="008A50FD" w:rsidP="00D00333">
      <w:pPr>
        <w:spacing w:line="360" w:lineRule="auto"/>
        <w:ind w:right="107"/>
        <w:jc w:val="both"/>
        <w:rPr>
          <w:rFonts w:ascii="Arial" w:eastAsia="Arial" w:hAnsi="Arial" w:cs="Arial"/>
          <w:b/>
          <w:bCs/>
          <w:color w:val="000000" w:themeColor="text1"/>
        </w:rPr>
      </w:pPr>
      <w:r w:rsidRPr="00D00333">
        <w:rPr>
          <w:rFonts w:ascii="Arial" w:eastAsia="Arial" w:hAnsi="Arial" w:cs="Arial"/>
          <w:b/>
          <w:bCs/>
          <w:color w:val="000000" w:themeColor="text1"/>
        </w:rPr>
        <w:t>Introduction</w:t>
      </w:r>
    </w:p>
    <w:p w14:paraId="2F6677E0" w14:textId="77777777" w:rsidR="008A50FD" w:rsidRPr="00D00333" w:rsidRDefault="008A50FD" w:rsidP="00D00333">
      <w:pPr>
        <w:spacing w:line="360" w:lineRule="auto"/>
        <w:rPr>
          <w:rFonts w:ascii="Arial" w:hAnsi="Arial" w:cs="Arial"/>
        </w:rPr>
      </w:pPr>
      <w:r w:rsidRPr="00D00333">
        <w:rPr>
          <w:rFonts w:ascii="Arial" w:hAnsi="Arial" w:cs="Arial"/>
        </w:rPr>
        <w:t>"</w:t>
      </w:r>
      <w:r w:rsidRPr="00D00333">
        <w:rPr>
          <w:rFonts w:ascii="Arial" w:hAnsi="Arial" w:cs="Arial"/>
          <w:i/>
          <w:iCs/>
        </w:rPr>
        <w:t>There must be a beginning of any great matter, but the continuing unto the end until it be thoroughly finished yields the true glory</w:t>
      </w:r>
      <w:r w:rsidRPr="00D00333">
        <w:rPr>
          <w:rFonts w:ascii="Arial" w:hAnsi="Arial" w:cs="Arial"/>
        </w:rPr>
        <w:t>" (</w:t>
      </w:r>
      <w:proofErr w:type="spellStart"/>
      <w:r w:rsidRPr="00D00333">
        <w:rPr>
          <w:rFonts w:ascii="Arial" w:hAnsi="Arial" w:cs="Arial"/>
        </w:rPr>
        <w:t>BrainyQuote</w:t>
      </w:r>
      <w:proofErr w:type="spellEnd"/>
      <w:r w:rsidRPr="00D00333">
        <w:rPr>
          <w:rFonts w:ascii="Arial" w:hAnsi="Arial" w:cs="Arial"/>
        </w:rPr>
        <w:t xml:space="preserve">, 2025). This principle guided Operation </w:t>
      </w:r>
      <w:proofErr w:type="spellStart"/>
      <w:r w:rsidRPr="00D00333">
        <w:rPr>
          <w:rFonts w:ascii="Arial" w:hAnsi="Arial" w:cs="Arial"/>
        </w:rPr>
        <w:t>Exacum</w:t>
      </w:r>
      <w:proofErr w:type="spellEnd"/>
      <w:r w:rsidRPr="00D00333">
        <w:rPr>
          <w:rFonts w:ascii="Arial" w:hAnsi="Arial" w:cs="Arial"/>
        </w:rPr>
        <w:t xml:space="preserve">, a 2023 multi-agency investigation into an Albanian organised crime group involved in cannabis production and human trafficking. This essay critically evaluates the interview process of witnesses and suspects in Operation </w:t>
      </w:r>
      <w:proofErr w:type="spellStart"/>
      <w:r w:rsidRPr="00D00333">
        <w:rPr>
          <w:rFonts w:ascii="Arial" w:hAnsi="Arial" w:cs="Arial"/>
        </w:rPr>
        <w:t>Exacum</w:t>
      </w:r>
      <w:proofErr w:type="spellEnd"/>
      <w:r w:rsidRPr="00D00333">
        <w:rPr>
          <w:rFonts w:ascii="Arial" w:hAnsi="Arial" w:cs="Arial"/>
        </w:rPr>
        <w:t>, examining how professionalism and maintaining standards significantly impacted the investigation's success, evidence reliability, and overall justice outcomes.</w:t>
      </w:r>
    </w:p>
    <w:p w14:paraId="09119CED" w14:textId="77777777" w:rsidR="008A50FD" w:rsidRPr="00D00333" w:rsidRDefault="008A50FD" w:rsidP="00D00333">
      <w:pPr>
        <w:spacing w:line="360" w:lineRule="auto"/>
        <w:rPr>
          <w:rFonts w:ascii="Arial" w:hAnsi="Arial" w:cs="Arial"/>
        </w:rPr>
      </w:pPr>
      <w:r w:rsidRPr="00D00333">
        <w:rPr>
          <w:rFonts w:ascii="Arial" w:hAnsi="Arial" w:cs="Arial"/>
          <w:b/>
          <w:bCs/>
        </w:rPr>
        <w:t>The PEACE Interview Model</w:t>
      </w:r>
    </w:p>
    <w:p w14:paraId="03BDEDB1" w14:textId="77777777" w:rsidR="008A50FD" w:rsidRPr="00D00333" w:rsidRDefault="008A50FD" w:rsidP="00D00333">
      <w:pPr>
        <w:spacing w:line="360" w:lineRule="auto"/>
        <w:rPr>
          <w:rFonts w:ascii="Arial" w:hAnsi="Arial" w:cs="Arial"/>
        </w:rPr>
      </w:pPr>
      <w:r w:rsidRPr="00D00333">
        <w:rPr>
          <w:rFonts w:ascii="Arial" w:hAnsi="Arial" w:cs="Arial"/>
        </w:rPr>
        <w:t xml:space="preserve">The foundation of professional interviewing in Operation </w:t>
      </w:r>
      <w:proofErr w:type="spellStart"/>
      <w:r w:rsidRPr="00D00333">
        <w:rPr>
          <w:rFonts w:ascii="Arial" w:hAnsi="Arial" w:cs="Arial"/>
        </w:rPr>
        <w:t>Exacum</w:t>
      </w:r>
      <w:proofErr w:type="spellEnd"/>
      <w:r w:rsidRPr="00D00333">
        <w:rPr>
          <w:rFonts w:ascii="Arial" w:hAnsi="Arial" w:cs="Arial"/>
        </w:rPr>
        <w:t xml:space="preserve"> was the PEACE model, which emphasises a structured, ethical approach focusing on evidence-gathering rather than confessions (Griffiths, 2008). My adherence to this model represented a commitment to professional standards that directly impacted interview outcomes. The model's ethical foundation prioritises human rights and dignity (Howes, 2019), which was essential when </w:t>
      </w:r>
      <w:r w:rsidRPr="00D00333">
        <w:rPr>
          <w:rFonts w:ascii="Arial" w:hAnsi="Arial" w:cs="Arial"/>
        </w:rPr>
        <w:lastRenderedPageBreak/>
        <w:t xml:space="preserve">interviewing potentially vulnerable trafficking victims. By maintaining these professional standards, I sought to produce more meaningful and complete information than would be possible through coercive methods (Goodman-Delahunty and </w:t>
      </w:r>
      <w:proofErr w:type="spellStart"/>
      <w:r w:rsidRPr="00D00333">
        <w:rPr>
          <w:rFonts w:ascii="Arial" w:hAnsi="Arial" w:cs="Arial"/>
        </w:rPr>
        <w:t>Martschuk</w:t>
      </w:r>
      <w:proofErr w:type="spellEnd"/>
      <w:r w:rsidRPr="00D00333">
        <w:rPr>
          <w:rFonts w:ascii="Arial" w:hAnsi="Arial" w:cs="Arial"/>
        </w:rPr>
        <w:t>, 2018).</w:t>
      </w:r>
    </w:p>
    <w:p w14:paraId="28545E9E" w14:textId="77777777" w:rsidR="008A50FD" w:rsidRPr="00D00333" w:rsidRDefault="008A50FD" w:rsidP="00D00333">
      <w:pPr>
        <w:spacing w:line="360" w:lineRule="auto"/>
        <w:rPr>
          <w:rFonts w:ascii="Arial" w:hAnsi="Arial" w:cs="Arial"/>
        </w:rPr>
      </w:pPr>
      <w:r w:rsidRPr="00D00333">
        <w:rPr>
          <w:rFonts w:ascii="Arial" w:hAnsi="Arial" w:cs="Arial"/>
        </w:rPr>
        <w:t>The structure of the PEACE framework—Planning and Preparation, Engage and Explain, Account, Closure, and Evaluation—provided a comprehensive professional standard that guided my interview approach. Research confirms adhering to these standards, interview quality significantly improves (Memon et al., 2010). The cognitive interview technique, a key component of the model, demonstrably maximises witness recall while maintaining witness comfort (Fisher, Geiselman and Amador, 1989), illustrating how professional techniques directly enhance evidence quality.</w:t>
      </w:r>
    </w:p>
    <w:p w14:paraId="47BE9988" w14:textId="77777777" w:rsidR="008A50FD" w:rsidRPr="00D00333" w:rsidRDefault="008A50FD" w:rsidP="00D00333">
      <w:pPr>
        <w:spacing w:line="360" w:lineRule="auto"/>
        <w:rPr>
          <w:rFonts w:ascii="Arial" w:hAnsi="Arial" w:cs="Arial"/>
        </w:rPr>
      </w:pPr>
      <w:r w:rsidRPr="00D00333">
        <w:rPr>
          <w:rFonts w:ascii="Arial" w:hAnsi="Arial" w:cs="Arial"/>
          <w:b/>
          <w:bCs/>
          <w:color w:val="000000" w:themeColor="text1"/>
        </w:rPr>
        <w:t xml:space="preserve">Maintaining Standards </w:t>
      </w:r>
    </w:p>
    <w:p w14:paraId="7614D0D7" w14:textId="77777777" w:rsidR="008A50FD" w:rsidRPr="00D00333" w:rsidRDefault="008A50FD" w:rsidP="00D00333">
      <w:pPr>
        <w:spacing w:line="360" w:lineRule="auto"/>
        <w:rPr>
          <w:rFonts w:ascii="Arial" w:hAnsi="Arial" w:cs="Arial"/>
        </w:rPr>
      </w:pPr>
      <w:r w:rsidRPr="00D00333">
        <w:rPr>
          <w:rFonts w:ascii="Arial" w:hAnsi="Arial" w:cs="Arial"/>
        </w:rPr>
        <w:t xml:space="preserve">During Operation </w:t>
      </w:r>
      <w:proofErr w:type="spellStart"/>
      <w:r w:rsidRPr="00D00333">
        <w:rPr>
          <w:rFonts w:ascii="Arial" w:hAnsi="Arial" w:cs="Arial"/>
        </w:rPr>
        <w:t>Exacum</w:t>
      </w:r>
      <w:proofErr w:type="spellEnd"/>
      <w:r w:rsidRPr="00D00333">
        <w:rPr>
          <w:rFonts w:ascii="Arial" w:hAnsi="Arial" w:cs="Arial"/>
        </w:rPr>
        <w:t>, I encountered challenges in maintaining professional interview standards. When interviewing cannabis factory workers who claimed trafficking victimisation due to debts owed to Albanian criminals (Holt, 2024), the PEACE model's emphasis on rapport-building proved difficult to implement. This highlighted a critical evaluation point: professional standards must adapt to cultural contexts. The inherent distrust of law enforcement among potential trafficking victims created substantial barriers to communication (Journal of Identity and Migration Studies RCIMI, 2013), demonstrating how external factors can undermine even the most professional interview approaches.</w:t>
      </w:r>
    </w:p>
    <w:p w14:paraId="179CD187" w14:textId="77777777" w:rsidR="008A50FD" w:rsidRPr="00D00333" w:rsidRDefault="008A50FD" w:rsidP="00D00333">
      <w:pPr>
        <w:spacing w:line="360" w:lineRule="auto"/>
        <w:rPr>
          <w:rFonts w:ascii="Arial" w:hAnsi="Arial" w:cs="Arial"/>
        </w:rPr>
      </w:pPr>
      <w:r w:rsidRPr="00D00333">
        <w:rPr>
          <w:rFonts w:ascii="Arial" w:hAnsi="Arial" w:cs="Arial"/>
        </w:rPr>
        <w:t xml:space="preserve">Professionalism in suspect interviews manifests through compliance with legal safeguards like PACE (Home Office, 2024), as deviations risk case dismissal and erode the criminal justice system's legitimacy (Griffiths, 2008). This became particularly relevant when I discovered that suspects had received coaching on interview responses and defence </w:t>
      </w:r>
      <w:r w:rsidRPr="00D00333">
        <w:rPr>
          <w:rFonts w:ascii="Arial" w:hAnsi="Arial" w:cs="Arial"/>
          <w:color w:val="000000" w:themeColor="text1"/>
        </w:rPr>
        <w:t>statements (</w:t>
      </w:r>
      <w:hyperlink r:id="rId76" w:history="1">
        <w:r w:rsidRPr="00D00333">
          <w:rPr>
            <w:rStyle w:val="Hyperlink"/>
            <w:rFonts w:ascii="Arial" w:hAnsi="Arial" w:cs="Arial"/>
            <w:color w:val="000000" w:themeColor="text1"/>
            <w:u w:val="none"/>
          </w:rPr>
          <w:t>www.cps.gov.uk</w:t>
        </w:r>
      </w:hyperlink>
      <w:r w:rsidRPr="00D00333">
        <w:rPr>
          <w:rFonts w:ascii="Arial" w:hAnsi="Arial" w:cs="Arial"/>
        </w:rPr>
        <w:t>, n.d.), directly challenging both the PEACE model's premise and the integrity of the trafficking victim identification procedure. Maintaining professional standards becomes even more crucial when facing attempts to manipulate the system, as unprofessional responses could compromise the entire investigation (Vaughan, 2022).</w:t>
      </w:r>
    </w:p>
    <w:p w14:paraId="761EE09C" w14:textId="77777777" w:rsidR="008A50FD" w:rsidRPr="00D00333" w:rsidRDefault="008A50FD" w:rsidP="00D00333">
      <w:pPr>
        <w:spacing w:line="360" w:lineRule="auto"/>
        <w:rPr>
          <w:rFonts w:ascii="Arial" w:hAnsi="Arial" w:cs="Arial"/>
        </w:rPr>
      </w:pPr>
      <w:r w:rsidRPr="00D00333">
        <w:rPr>
          <w:rFonts w:ascii="Arial" w:hAnsi="Arial" w:cs="Arial"/>
        </w:rPr>
        <w:t>The impact of professionalism on evidence quality became evident when suspects exploited procedural systems by tailoring their responses, avoiding self-incrimination, and maintaining consistent but potentially untruthful narratives (Tekin et al., 2015). Despite these challenges, my commitment to professional standards prevented resorting to coercive tactics associated with accusatorial methods like the Reid technique (Gudjonsson &amp; Pearse, 2011). This adherence to ethical standards was particularly important as unprofessional tactics increase false confession risks, especially among vulnerable suspects (Gudjonsson, 2003).</w:t>
      </w:r>
    </w:p>
    <w:p w14:paraId="199BC632" w14:textId="77777777" w:rsidR="008A50FD" w:rsidRPr="00D00333" w:rsidRDefault="008A50FD" w:rsidP="00D00333">
      <w:pPr>
        <w:spacing w:line="360" w:lineRule="auto"/>
        <w:rPr>
          <w:rFonts w:ascii="Arial" w:hAnsi="Arial" w:cs="Arial"/>
        </w:rPr>
      </w:pPr>
      <w:r w:rsidRPr="00D00333">
        <w:rPr>
          <w:rFonts w:ascii="Arial" w:hAnsi="Arial" w:cs="Arial"/>
        </w:rPr>
        <w:lastRenderedPageBreak/>
        <w:t>Documentation standards, including mandatory interview recording, provided crucial accountability (Dixon, 2006) that helped maintain the integrity of my interviews despite communication barriers. The professional standards embedded in the PEACE model proved particularly valuable when attempting to distinguish between genuine trafficking victims and those exploiting the system (Broad and Turnbull, 2019), though collaboration with inexperienced prosecution staff created additional challenges to maintaining consistent professional standards (</w:t>
      </w:r>
      <w:proofErr w:type="spellStart"/>
      <w:r w:rsidRPr="00D00333">
        <w:rPr>
          <w:rFonts w:ascii="Arial" w:hAnsi="Arial" w:cs="Arial"/>
        </w:rPr>
        <w:t>Forstenlechner</w:t>
      </w:r>
      <w:proofErr w:type="spellEnd"/>
      <w:r w:rsidRPr="00D00333">
        <w:rPr>
          <w:rFonts w:ascii="Arial" w:hAnsi="Arial" w:cs="Arial"/>
        </w:rPr>
        <w:t xml:space="preserve"> and Lettice, 2008).</w:t>
      </w:r>
    </w:p>
    <w:p w14:paraId="4B317ABA" w14:textId="77777777" w:rsidR="008A50FD" w:rsidRPr="00D00333" w:rsidRDefault="008A50FD" w:rsidP="00D00333">
      <w:pPr>
        <w:spacing w:line="360" w:lineRule="auto"/>
        <w:rPr>
          <w:rFonts w:ascii="Arial" w:hAnsi="Arial" w:cs="Arial"/>
          <w:color w:val="000000" w:themeColor="text1"/>
        </w:rPr>
      </w:pPr>
      <w:r w:rsidRPr="00D00333">
        <w:rPr>
          <w:rFonts w:ascii="Arial" w:hAnsi="Arial" w:cs="Arial"/>
        </w:rPr>
        <w:t xml:space="preserve">A critical evaluation of the interview process in Operation </w:t>
      </w:r>
      <w:proofErr w:type="spellStart"/>
      <w:r w:rsidRPr="00D00333">
        <w:rPr>
          <w:rFonts w:ascii="Arial" w:hAnsi="Arial" w:cs="Arial"/>
        </w:rPr>
        <w:t>Exacum</w:t>
      </w:r>
      <w:proofErr w:type="spellEnd"/>
      <w:r w:rsidRPr="00D00333">
        <w:rPr>
          <w:rFonts w:ascii="Arial" w:hAnsi="Arial" w:cs="Arial"/>
        </w:rPr>
        <w:t xml:space="preserve"> must acknowledge how cultural factors affected professional practice. The Albanian code of "Besa" </w:t>
      </w:r>
      <w:bookmarkStart w:id="2" w:name="_Hlk197512249"/>
      <w:r w:rsidRPr="00D00333">
        <w:rPr>
          <w:rFonts w:ascii="Arial" w:hAnsi="Arial" w:cs="Arial"/>
        </w:rPr>
        <w:t xml:space="preserve">(Wheatstone and Ryan, 2019) </w:t>
      </w:r>
      <w:bookmarkEnd w:id="2"/>
      <w:r w:rsidRPr="00D00333">
        <w:rPr>
          <w:rFonts w:ascii="Arial" w:hAnsi="Arial" w:cs="Arial"/>
        </w:rPr>
        <w:t xml:space="preserve">created substantial communication obstacles, undermining the rapport-building phase that Howes (2019) identifies as critical to effective interviewing. Despite my professional efforts to build rapport as recommended in the PEACE framework, eliciting crucial details from suspected trafficking victims proved difficult due to deep-rooted cultural barriers and vulnerabilities </w:t>
      </w:r>
      <w:r w:rsidRPr="00D00333">
        <w:rPr>
          <w:rFonts w:ascii="Arial" w:hAnsi="Arial" w:cs="Arial"/>
          <w:color w:val="000000" w:themeColor="text1"/>
        </w:rPr>
        <w:t>(</w:t>
      </w:r>
      <w:proofErr w:type="spellStart"/>
      <w:r w:rsidRPr="00D00333">
        <w:rPr>
          <w:rFonts w:ascii="Arial" w:hAnsi="Arial" w:cs="Arial"/>
          <w:color w:val="000000" w:themeColor="text1"/>
        </w:rPr>
        <w:t>Arsovska</w:t>
      </w:r>
      <w:proofErr w:type="spellEnd"/>
      <w:r w:rsidRPr="00D00333">
        <w:rPr>
          <w:rFonts w:ascii="Arial" w:hAnsi="Arial" w:cs="Arial"/>
          <w:color w:val="000000" w:themeColor="text1"/>
        </w:rPr>
        <w:t>, n.d.).</w:t>
      </w:r>
    </w:p>
    <w:p w14:paraId="443E1227" w14:textId="77777777" w:rsidR="008A50FD" w:rsidRPr="00D00333" w:rsidRDefault="008A50FD" w:rsidP="00D00333">
      <w:pPr>
        <w:spacing w:line="360" w:lineRule="auto"/>
        <w:rPr>
          <w:rFonts w:ascii="Arial" w:hAnsi="Arial" w:cs="Arial"/>
        </w:rPr>
      </w:pPr>
      <w:r w:rsidRPr="00D00333">
        <w:rPr>
          <w:rFonts w:ascii="Arial" w:hAnsi="Arial" w:cs="Arial"/>
        </w:rPr>
        <w:t>When suspected trafficking victims were reluctant to disclose information due to fear of reprisals (Pajon and Walsh, 2024), I needed to adapt professional techniques while maintaining ethical standards. This required patience, empathy, and creative approaches to building trust while gathering evidence. The PEACE model, while theoretically appropriate, required extensive adaptation when confronted with coached interview responses, demonstrating that professional standards must be flexible yet robust.</w:t>
      </w:r>
    </w:p>
    <w:p w14:paraId="1C4B412E" w14:textId="77777777" w:rsidR="008A50FD" w:rsidRPr="00D00333" w:rsidRDefault="008A50FD" w:rsidP="00D00333">
      <w:pPr>
        <w:spacing w:line="360" w:lineRule="auto"/>
        <w:rPr>
          <w:rFonts w:ascii="Arial" w:hAnsi="Arial" w:cs="Arial"/>
        </w:rPr>
      </w:pPr>
      <w:r w:rsidRPr="00D00333">
        <w:rPr>
          <w:rFonts w:ascii="Arial" w:hAnsi="Arial" w:cs="Arial"/>
        </w:rPr>
        <w:t xml:space="preserve">The challenges in Operation </w:t>
      </w:r>
      <w:proofErr w:type="spellStart"/>
      <w:r w:rsidRPr="00D00333">
        <w:rPr>
          <w:rFonts w:ascii="Arial" w:hAnsi="Arial" w:cs="Arial"/>
        </w:rPr>
        <w:t>Exacum</w:t>
      </w:r>
      <w:proofErr w:type="spellEnd"/>
      <w:r w:rsidRPr="00D00333">
        <w:rPr>
          <w:rFonts w:ascii="Arial" w:hAnsi="Arial" w:cs="Arial"/>
        </w:rPr>
        <w:t xml:space="preserve"> underscore that prioritising ethical, psychologically informed approaches is crucial for ensuring investigative integrity (Roberts, 2012). Professional standards must be supported by ongoing training to better navigate complex cultural dynamics and build trust with vulnerable witnesses and suspects from diverse backgrounds (Hope et al., 2021). The potential rigidity of the PEACE model (Clarke et al., 2011) highlights the importance of adaptable professionalism that maintains core standards while responding to complex investigative contexts.</w:t>
      </w:r>
    </w:p>
    <w:p w14:paraId="0E10417A" w14:textId="77777777" w:rsidR="008A50FD" w:rsidRPr="00D00333" w:rsidRDefault="008A50FD" w:rsidP="00D00333">
      <w:pPr>
        <w:spacing w:line="360" w:lineRule="auto"/>
        <w:rPr>
          <w:rFonts w:ascii="Arial" w:hAnsi="Arial" w:cs="Arial"/>
        </w:rPr>
      </w:pPr>
      <w:r w:rsidRPr="00D00333">
        <w:rPr>
          <w:rFonts w:ascii="Arial" w:hAnsi="Arial" w:cs="Arial"/>
        </w:rPr>
        <w:t xml:space="preserve">Coercive tactics or cultural insensitivity undermine interview integrity and evidence admissibility (Pearse and Gudjonsson, 1999). Operation </w:t>
      </w:r>
      <w:proofErr w:type="spellStart"/>
      <w:r w:rsidRPr="00D00333">
        <w:rPr>
          <w:rFonts w:ascii="Arial" w:hAnsi="Arial" w:cs="Arial"/>
        </w:rPr>
        <w:t>Exacum</w:t>
      </w:r>
      <w:proofErr w:type="spellEnd"/>
      <w:r w:rsidRPr="00D00333">
        <w:rPr>
          <w:rFonts w:ascii="Arial" w:hAnsi="Arial" w:cs="Arial"/>
        </w:rPr>
        <w:t xml:space="preserve"> demonstrated that maintaining professional standards while adapting to challenges necessitates robust support systems, including collaboration among law enforcement, academia, and the community (Mitchell, 2024).</w:t>
      </w:r>
    </w:p>
    <w:p w14:paraId="20ACAEE7" w14:textId="77777777" w:rsidR="008A50FD" w:rsidRPr="00D00333" w:rsidRDefault="008A50FD" w:rsidP="00D00333">
      <w:pPr>
        <w:spacing w:line="360" w:lineRule="auto"/>
        <w:rPr>
          <w:rFonts w:ascii="Arial" w:hAnsi="Arial" w:cs="Arial"/>
        </w:rPr>
      </w:pPr>
      <w:r w:rsidRPr="00D00333">
        <w:rPr>
          <w:rFonts w:ascii="Arial" w:hAnsi="Arial" w:cs="Arial"/>
          <w:b/>
          <w:bCs/>
        </w:rPr>
        <w:t>Conclusion</w:t>
      </w:r>
    </w:p>
    <w:p w14:paraId="1BBE95A2" w14:textId="77777777" w:rsidR="008A50FD" w:rsidRPr="00D00333" w:rsidRDefault="008A50FD" w:rsidP="00D00333">
      <w:pPr>
        <w:spacing w:line="360" w:lineRule="auto"/>
        <w:rPr>
          <w:rFonts w:ascii="Arial" w:hAnsi="Arial" w:cs="Arial"/>
        </w:rPr>
      </w:pPr>
      <w:r w:rsidRPr="00D00333">
        <w:rPr>
          <w:rFonts w:ascii="Arial" w:hAnsi="Arial" w:cs="Arial"/>
        </w:rPr>
        <w:t xml:space="preserve">This critical evaluation of Operation </w:t>
      </w:r>
      <w:proofErr w:type="spellStart"/>
      <w:r w:rsidRPr="00D00333">
        <w:rPr>
          <w:rFonts w:ascii="Arial" w:hAnsi="Arial" w:cs="Arial"/>
        </w:rPr>
        <w:t>Exacum</w:t>
      </w:r>
      <w:proofErr w:type="spellEnd"/>
      <w:r w:rsidRPr="00D00333">
        <w:rPr>
          <w:rFonts w:ascii="Arial" w:hAnsi="Arial" w:cs="Arial"/>
        </w:rPr>
        <w:t xml:space="preserve"> demonstrates how professionalism and standards directly impacted the interview process with witnesses and suspects. As shown </w:t>
      </w:r>
      <w:r w:rsidRPr="00D00333">
        <w:rPr>
          <w:rFonts w:ascii="Arial" w:hAnsi="Arial" w:cs="Arial"/>
        </w:rPr>
        <w:lastRenderedPageBreak/>
        <w:t>throughout this evaluation, the PEACE model provided a structured ethical framework but faced significant implementation challenges when confronted with the Albanian cultural code of "Besa" and trafficking victims' inherent distrust of law enforcement.</w:t>
      </w:r>
    </w:p>
    <w:p w14:paraId="797F26CA" w14:textId="77777777" w:rsidR="008A50FD" w:rsidRPr="00D00333" w:rsidRDefault="008A50FD" w:rsidP="00D00333">
      <w:pPr>
        <w:spacing w:line="360" w:lineRule="auto"/>
        <w:rPr>
          <w:rFonts w:ascii="Arial" w:hAnsi="Arial" w:cs="Arial"/>
        </w:rPr>
      </w:pPr>
      <w:r w:rsidRPr="00D00333">
        <w:rPr>
          <w:rFonts w:ascii="Arial" w:hAnsi="Arial" w:cs="Arial"/>
        </w:rPr>
        <w:t>The discovery that suspects had received coaching on interview responses highlighted how external factors undermined professional practices, while compliance with legal safeguards remained essential for preserving case integrity. The limitations of both the PEACE model and the National Referral Mechanism became evident when suspects exploited these systems by tailoring responses and maintaining potentially untruthful narratives.</w:t>
      </w:r>
    </w:p>
    <w:p w14:paraId="1E000367" w14:textId="77777777" w:rsidR="008A50FD" w:rsidRPr="00D00333" w:rsidRDefault="008A50FD" w:rsidP="00D00333">
      <w:pPr>
        <w:spacing w:line="360" w:lineRule="auto"/>
        <w:rPr>
          <w:rFonts w:ascii="Arial" w:hAnsi="Arial" w:cs="Arial"/>
        </w:rPr>
      </w:pPr>
      <w:r w:rsidRPr="00D00333">
        <w:rPr>
          <w:rFonts w:ascii="Arial" w:hAnsi="Arial" w:cs="Arial"/>
        </w:rPr>
        <w:t xml:space="preserve">Despite these challenges, adhering to non-coercive approaches was crucial when interviewing potentially vulnerable trafficking victims. The difficulties in distinguishing between genuine victims and those exploiting the system underscored the importance of adaptable professionalism supported by specialised training in cultural sensitivity. Operation </w:t>
      </w:r>
      <w:proofErr w:type="spellStart"/>
      <w:r w:rsidRPr="00D00333">
        <w:rPr>
          <w:rFonts w:ascii="Arial" w:hAnsi="Arial" w:cs="Arial"/>
        </w:rPr>
        <w:t>Exacum</w:t>
      </w:r>
      <w:proofErr w:type="spellEnd"/>
      <w:r w:rsidRPr="00D00333">
        <w:rPr>
          <w:rFonts w:ascii="Arial" w:hAnsi="Arial" w:cs="Arial"/>
        </w:rPr>
        <w:t xml:space="preserve"> ultimately revealed that while professional standards face significant challenges in complex cross-cultural investigations, they remain fundamental to ensuring just outcomes.</w:t>
      </w:r>
    </w:p>
    <w:p w14:paraId="018F4F2D" w14:textId="34E11C45" w:rsidR="008A50FD" w:rsidRPr="00D00333" w:rsidRDefault="008A50FD" w:rsidP="00D00333">
      <w:pPr>
        <w:spacing w:line="360" w:lineRule="auto"/>
        <w:rPr>
          <w:rFonts w:ascii="Arial" w:hAnsi="Arial" w:cs="Arial"/>
          <w:b/>
          <w:bCs/>
          <w:u w:val="single"/>
        </w:rPr>
      </w:pPr>
      <w:r w:rsidRPr="00D00333">
        <w:rPr>
          <w:rFonts w:ascii="Arial" w:hAnsi="Arial" w:cs="Arial"/>
          <w:b/>
          <w:bCs/>
          <w:u w:val="single"/>
        </w:rPr>
        <w:t>Word Count – 995 Words.</w:t>
      </w:r>
    </w:p>
    <w:p w14:paraId="71DD3322" w14:textId="77777777" w:rsidR="008A50FD" w:rsidRPr="00D00333" w:rsidRDefault="008A50FD" w:rsidP="00D00333">
      <w:pPr>
        <w:spacing w:line="360" w:lineRule="auto"/>
        <w:rPr>
          <w:rFonts w:ascii="Arial" w:hAnsi="Arial" w:cs="Arial"/>
          <w:b/>
          <w:bCs/>
          <w:color w:val="000000" w:themeColor="text1"/>
        </w:rPr>
      </w:pPr>
      <w:r w:rsidRPr="00D00333">
        <w:rPr>
          <w:rFonts w:ascii="Arial" w:hAnsi="Arial" w:cs="Arial"/>
          <w:b/>
          <w:bCs/>
          <w:color w:val="000000" w:themeColor="text1"/>
        </w:rPr>
        <w:t xml:space="preserve">References </w:t>
      </w:r>
    </w:p>
    <w:p w14:paraId="4DFF8BA0"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Abbe, A. and Brandon, S.E. (2014) 'Building and maintaining rapport in investigative interviews'. Police Practice and Research, 15(3), pp. 207-220. Available at: doi: </w:t>
      </w:r>
      <w:hyperlink r:id="rId77" w:history="1">
        <w:r w:rsidRPr="00D00333">
          <w:rPr>
            <w:rFonts w:ascii="Arial" w:hAnsi="Arial" w:cs="Arial"/>
            <w:lang w:val="en-GB"/>
          </w:rPr>
          <w:t>https://doi.org/10.1080/15614263.2013.827835</w:t>
        </w:r>
      </w:hyperlink>
      <w:r w:rsidRPr="00D00333">
        <w:rPr>
          <w:rFonts w:ascii="Arial" w:hAnsi="Arial" w:cs="Arial"/>
          <w:color w:val="000000" w:themeColor="text1"/>
          <w:lang w:val="en-GB"/>
        </w:rPr>
        <w:t xml:space="preserve"> (Accessed: 07 May 2025).</w:t>
      </w:r>
    </w:p>
    <w:p w14:paraId="5F9C4A45"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Akca, D., Larivière, C.D. and Eastwood, J. (2021) ‘Assessing the efficacy of investigative interviewing training courses: A systematic review’. International Journal of Police Science &amp; Management, 23(1), pp.73–84. Available at: doi:https://doi.org/10.1177/14613557211008470 (Accessed: 07 May 2025).</w:t>
      </w:r>
    </w:p>
    <w:p w14:paraId="09DA2E68" w14:textId="59D4033B"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Arsovska, J. (n.d.) ‘Social Confusion on the Road to Modernity: The Meaning of Violence and Crime in Ethnic Albanian Context’. Available at: https://www.cerge-ei.cz/pdf/gdn/rrc/RRCVI_54_paper_01.pdf (Accessed: 07 May 2025).</w:t>
      </w:r>
    </w:p>
    <w:p w14:paraId="1233107E"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Bennell, C. et al. (2022) 'Knowledge, skills, and abilities for managing potentially volatile police–public interactions: A narrative review', Frontiers in Psychology, 13(818009). Available at: doi: </w:t>
      </w:r>
      <w:hyperlink r:id="rId78" w:history="1">
        <w:r w:rsidRPr="00D00333">
          <w:rPr>
            <w:rFonts w:ascii="Arial" w:hAnsi="Arial" w:cs="Arial"/>
            <w:lang w:val="en-GB"/>
          </w:rPr>
          <w:t>https://doi.org/10.3389/fpsyg.2022.818009</w:t>
        </w:r>
      </w:hyperlink>
      <w:r w:rsidRPr="00D00333">
        <w:rPr>
          <w:rFonts w:ascii="Arial" w:hAnsi="Arial" w:cs="Arial"/>
          <w:color w:val="000000" w:themeColor="text1"/>
          <w:lang w:val="en-GB"/>
        </w:rPr>
        <w:t xml:space="preserve"> (Accessed: 07 May 2025). </w:t>
      </w:r>
    </w:p>
    <w:p w14:paraId="4C0C7AE7"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Beune, K., Giebels, E. and Sanders, K. (2009) 'Are you talking to me? Influencing behaviour and culture in police interviews', Psychology, Crime &amp; Law, 15(7), pp. 597–617. </w:t>
      </w:r>
      <w:r w:rsidRPr="00D00333">
        <w:rPr>
          <w:rFonts w:ascii="Arial" w:hAnsi="Arial" w:cs="Arial"/>
          <w:color w:val="000000" w:themeColor="text1"/>
          <w:lang w:val="en-GB"/>
        </w:rPr>
        <w:lastRenderedPageBreak/>
        <w:t xml:space="preserve">Available at: doi: </w:t>
      </w:r>
      <w:hyperlink r:id="rId79" w:history="1">
        <w:r w:rsidRPr="00D00333">
          <w:rPr>
            <w:rFonts w:ascii="Arial" w:hAnsi="Arial" w:cs="Arial"/>
            <w:lang w:val="en-GB"/>
          </w:rPr>
          <w:t>https://doi.org/10.1080/10683160802442835</w:t>
        </w:r>
      </w:hyperlink>
      <w:r w:rsidRPr="00D00333">
        <w:rPr>
          <w:rFonts w:ascii="Arial" w:hAnsi="Arial" w:cs="Arial"/>
          <w:color w:val="000000" w:themeColor="text1"/>
          <w:lang w:val="en-GB"/>
        </w:rPr>
        <w:t xml:space="preserve"> (Accessed: 07 May 2025). </w:t>
      </w:r>
    </w:p>
    <w:p w14:paraId="15D3D48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BrainyQuote (2025) Francis Drake Quotes. Available at: </w:t>
      </w:r>
      <w:hyperlink r:id="rId80" w:history="1">
        <w:r w:rsidRPr="00D00333">
          <w:rPr>
            <w:rFonts w:ascii="Arial" w:hAnsi="Arial" w:cs="Arial"/>
            <w:lang w:val="en-GB"/>
          </w:rPr>
          <w:t>https://www.brainyquote.com/quotes/francis_drake_192781</w:t>
        </w:r>
      </w:hyperlink>
      <w:r w:rsidRPr="00D00333">
        <w:rPr>
          <w:rFonts w:ascii="Arial" w:hAnsi="Arial" w:cs="Arial"/>
          <w:color w:val="000000" w:themeColor="text1"/>
          <w:lang w:val="en-GB"/>
        </w:rPr>
        <w:t xml:space="preserve"> (Accessed: 07 May 2025).</w:t>
      </w:r>
    </w:p>
    <w:p w14:paraId="7A8DD686"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Clarke, C., Milne, R. and Bull, R. (2011) 'Interviewing Suspects of Crime: The Impact of PEACE Training, Supervision and the Presence of a Legal Advisor', Journal of Investigative Psychology and Offender Profiling, 8(2), pp. 149–162. Available at: doi: </w:t>
      </w:r>
      <w:hyperlink r:id="rId81" w:history="1">
        <w:r w:rsidRPr="00D00333">
          <w:rPr>
            <w:rFonts w:ascii="Arial" w:hAnsi="Arial" w:cs="Arial"/>
            <w:lang w:val="en-GB"/>
          </w:rPr>
          <w:t>https://doi.org/10.1002/jip.144</w:t>
        </w:r>
      </w:hyperlink>
      <w:r w:rsidRPr="00D00333">
        <w:rPr>
          <w:rFonts w:ascii="Arial" w:hAnsi="Arial" w:cs="Arial"/>
          <w:color w:val="000000" w:themeColor="text1"/>
          <w:lang w:val="en-GB"/>
        </w:rPr>
        <w:t xml:space="preserve"> (Accessed: 07 May 2025).</w:t>
      </w:r>
    </w:p>
    <w:p w14:paraId="76C2D9A9"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College of Policing (2022) ‘Investigative interviewing’. Available at: </w:t>
      </w:r>
      <w:hyperlink r:id="rId82" w:history="1">
        <w:r w:rsidRPr="00D00333">
          <w:rPr>
            <w:rFonts w:ascii="Arial" w:hAnsi="Arial" w:cs="Arial"/>
            <w:lang w:val="en-GB"/>
          </w:rPr>
          <w:t>https://www.college.police.uk/guidance/investigative-interviewing</w:t>
        </w:r>
      </w:hyperlink>
      <w:r w:rsidRPr="00D00333">
        <w:rPr>
          <w:rFonts w:ascii="Arial" w:hAnsi="Arial" w:cs="Arial"/>
          <w:color w:val="000000" w:themeColor="text1"/>
          <w:lang w:val="en-GB"/>
        </w:rPr>
        <w:t xml:space="preserve"> (Accessed: 07 May 2025).</w:t>
      </w:r>
    </w:p>
    <w:p w14:paraId="2C251917"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Dixon, D. (2006) 'A window into the interviewing process? The audio</w:t>
      </w:r>
      <w:r w:rsidRPr="00D00333">
        <w:rPr>
          <w:rFonts w:ascii="Cambria Math" w:hAnsi="Cambria Math" w:cs="Cambria Math"/>
          <w:color w:val="000000" w:themeColor="text1"/>
          <w:lang w:val="en-GB"/>
        </w:rPr>
        <w:t>‐</w:t>
      </w:r>
      <w:r w:rsidRPr="00D00333">
        <w:rPr>
          <w:rFonts w:ascii="Arial" w:hAnsi="Arial" w:cs="Arial"/>
          <w:color w:val="000000" w:themeColor="text1"/>
          <w:lang w:val="en-GB"/>
        </w:rPr>
        <w:t xml:space="preserve">visual recording of police interrogation in New South Wales, Australia', Policing and Society, 16(4), pp. 323-348. Available at: doi: </w:t>
      </w:r>
      <w:hyperlink r:id="rId83" w:history="1">
        <w:r w:rsidRPr="00D00333">
          <w:rPr>
            <w:rFonts w:ascii="Arial" w:hAnsi="Arial" w:cs="Arial"/>
            <w:lang w:val="en-GB"/>
          </w:rPr>
          <w:t>https://doi.org/10.1080/10439460600968123</w:t>
        </w:r>
      </w:hyperlink>
      <w:r w:rsidRPr="00D00333">
        <w:rPr>
          <w:rFonts w:ascii="Arial" w:hAnsi="Arial" w:cs="Arial"/>
          <w:color w:val="000000" w:themeColor="text1"/>
          <w:lang w:val="en-GB"/>
        </w:rPr>
        <w:t xml:space="preserve"> (Accessed: 07 May 2025).</w:t>
      </w:r>
    </w:p>
    <w:p w14:paraId="26404207"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Fisher, R. P., Geiselman, R. E., &amp; Amador, M. (1989) ‘Field Test of the Cognitive Interview: Enhancing the Recollection of Actual Victims and Witnesses of Crime’. Journal of Applied Psychology, 74(5), 722–727. Available at: </w:t>
      </w:r>
      <w:hyperlink r:id="rId84" w:history="1">
        <w:r w:rsidRPr="00D00333">
          <w:rPr>
            <w:rFonts w:ascii="Arial" w:hAnsi="Arial" w:cs="Arial"/>
            <w:lang w:val="en-GB"/>
          </w:rPr>
          <w:t>https://doi.org/10.1037/0021-9010.74.5.722</w:t>
        </w:r>
      </w:hyperlink>
      <w:r w:rsidRPr="00D00333">
        <w:rPr>
          <w:rFonts w:ascii="Arial" w:hAnsi="Arial" w:cs="Arial"/>
          <w:color w:val="000000" w:themeColor="text1"/>
          <w:lang w:val="en-GB"/>
        </w:rPr>
        <w:t xml:space="preserve"> (Accessed: 07 May 2025).</w:t>
      </w:r>
    </w:p>
    <w:p w14:paraId="0A31C2A4"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Goodman-Delahunty, J. and Martschuk, N. (2018) ‘Securing reliable information in investigative interviews: coercive and noncoercive strategies preceding turning points’. Police Practice and Research, 21(2), pp.1–20. Available at: doi:https://doi.org/10.1080/15614263.2018.1531752 (Accessed: 07 May 2025).</w:t>
      </w:r>
    </w:p>
    <w:p w14:paraId="3204B49E"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Griffiths, A. (2008) ‘An examination into the efficacy of police advanced investigative interview training’. Institute of Criminal Justice Studies. Available at: </w:t>
      </w:r>
      <w:hyperlink r:id="rId85" w:history="1">
        <w:r w:rsidRPr="00D00333">
          <w:rPr>
            <w:rFonts w:ascii="Arial" w:hAnsi="Arial" w:cs="Arial"/>
            <w:lang w:val="en-GB"/>
          </w:rPr>
          <w:t>https://core.ac.uk/download/pdf/363921711.pdf</w:t>
        </w:r>
      </w:hyperlink>
      <w:r w:rsidRPr="00D00333">
        <w:rPr>
          <w:rFonts w:ascii="Arial" w:hAnsi="Arial" w:cs="Arial"/>
          <w:color w:val="000000" w:themeColor="text1"/>
          <w:lang w:val="en-GB"/>
        </w:rPr>
        <w:t xml:space="preserve"> (Accessed: 07 May 2025).</w:t>
      </w:r>
    </w:p>
    <w:p w14:paraId="7991DD39"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Grossman, S. (2017) 'Effective investigative interviewing: Turning interrogations into conversations', Nauka, bezbednost, policija, 22(1), pp. 141–155. Available at: doi: </w:t>
      </w:r>
      <w:hyperlink r:id="rId86" w:history="1">
        <w:r w:rsidRPr="00D00333">
          <w:rPr>
            <w:rFonts w:ascii="Arial" w:hAnsi="Arial" w:cs="Arial"/>
            <w:lang w:val="en-GB"/>
          </w:rPr>
          <w:t>https://doi.org/10.5937/nabepo22-12310</w:t>
        </w:r>
      </w:hyperlink>
      <w:r w:rsidRPr="00D00333">
        <w:rPr>
          <w:rFonts w:ascii="Arial" w:hAnsi="Arial" w:cs="Arial"/>
          <w:color w:val="000000" w:themeColor="text1"/>
          <w:lang w:val="en-GB"/>
        </w:rPr>
        <w:t xml:space="preserve"> (Accessed: 07 May 2025).</w:t>
      </w:r>
    </w:p>
    <w:p w14:paraId="14726FBB" w14:textId="77777777" w:rsidR="0044401C"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 xml:space="preserve">Gudjonsson, G.H. (2003) ‘The psychology of interrogations and confessions: A handbook’. Google Books. John Wiley &amp; Sons. Available at: </w:t>
      </w:r>
      <w:hyperlink r:id="rId87" w:history="1">
        <w:r w:rsidRPr="00D00333">
          <w:rPr>
            <w:rFonts w:ascii="Arial" w:hAnsi="Arial" w:cs="Arial"/>
            <w:lang w:val="en-GB"/>
          </w:rPr>
          <w:t>https://books.google.co.uk/books?hl=en&amp;lr=&amp;id=GtB65IADRjIC&amp;oi=fnd&amp;pg=PR7&amp;dq=Gudjonsson</w:t>
        </w:r>
      </w:hyperlink>
      <w:r w:rsidRPr="00D00333">
        <w:rPr>
          <w:rFonts w:ascii="Arial" w:hAnsi="Arial" w:cs="Arial"/>
          <w:color w:val="000000" w:themeColor="text1"/>
          <w:lang w:val="en-GB"/>
        </w:rPr>
        <w:t xml:space="preserve"> (Accessed: 07 May 2025).</w:t>
      </w:r>
    </w:p>
    <w:p w14:paraId="2A25EF4A"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Gudjonsson, G.H. and Pearse, J. (2011) ‘Suspect Interviews and False Confessions’. Current Directions in Psychological Science, 20(1), pp.33–37. Available at: doi:https://doi.org/10.1177/0963721410396824 (Accessed: 07 May 2025).</w:t>
      </w:r>
    </w:p>
    <w:p w14:paraId="6B06DE41"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Home Office (2024) ‘Police and Criminal Evidence Act 1984 (PACE) codes of practice’. Available at: </w:t>
      </w:r>
      <w:hyperlink r:id="rId88" w:history="1">
        <w:r w:rsidRPr="00D00333">
          <w:rPr>
            <w:rFonts w:ascii="Arial" w:hAnsi="Arial" w:cs="Arial"/>
            <w:lang w:val="en-GB"/>
          </w:rPr>
          <w:t>https://www.gov.uk/guidance/police-and-criminal-evidence-act-1984-pace-codes-of-practice</w:t>
        </w:r>
      </w:hyperlink>
      <w:r w:rsidRPr="00D00333">
        <w:rPr>
          <w:rFonts w:ascii="Arial" w:hAnsi="Arial" w:cs="Arial"/>
          <w:color w:val="000000" w:themeColor="text1"/>
          <w:lang w:val="en-GB"/>
        </w:rPr>
        <w:t xml:space="preserve"> (Accessed: 07 May 2025).</w:t>
      </w:r>
    </w:p>
    <w:p w14:paraId="01896312"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Hope, L., Anakwah, N., Antfolk, J., Brubacher, S.P., Flowe, H., Gabbert, F., Giebels, E., Kanja, W., Korkman, J., Kyo, A., Naka, M., Otgaar, H., Powell, M.B., Selim, H., Skrifvars, J., Sorkpah, I.K., Sowatey, E.A., Steele, L.C., Stevens, L. and Sumampouw, N.E.J. (2021) ‘Urgent issues and prospects at the intersection of culture, memory, and witness interviews: Exploring the challenges for research and practice’. Legal and Criminological Psychology, 27(1), pp.1–31. Available at: doi:https://doi.org/10.1111/lcrp.12202 (Accessed: 07 May 2025).</w:t>
      </w:r>
    </w:p>
    <w:p w14:paraId="0EAA5BF8"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Howes, L.M. (2019) ‘Interpreted investigative interviews under the PEACE interview model: police interviewers’ perceptions of challenges and suggested solutions’. Police Practice and Research, pp.1–18. Available at: doi:https://doi.org/10.1080/15614263.2019.1617145 (Accessed: 07 May 2025).</w:t>
      </w:r>
    </w:p>
    <w:p w14:paraId="3896F5F0" w14:textId="765BE68B"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Journal of Identity and Migration Studies RCIMI (2013) Available at: </w:t>
      </w:r>
      <w:hyperlink r:id="rId89" w:anchor="page=71" w:history="1">
        <w:r w:rsidRPr="00D00333">
          <w:rPr>
            <w:rFonts w:ascii="Arial" w:hAnsi="Arial" w:cs="Arial"/>
            <w:lang w:val="en-GB"/>
          </w:rPr>
          <w:t>https://e-migration.ro/jims/Vol7_No1_2013/JIMS_Vol7_No1_2013.pdf#page=71</w:t>
        </w:r>
      </w:hyperlink>
      <w:r w:rsidRPr="00D00333">
        <w:rPr>
          <w:rFonts w:ascii="Arial" w:hAnsi="Arial" w:cs="Arial"/>
          <w:color w:val="000000" w:themeColor="text1"/>
          <w:lang w:val="en-GB"/>
        </w:rPr>
        <w:t xml:space="preserve"> (Accessed: 07 May 2025).</w:t>
      </w:r>
    </w:p>
    <w:p w14:paraId="1265CA0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Law Teacher (2011) Human Rights Act and Police and Criminal Evidence (PACE) Act. Available at: </w:t>
      </w:r>
      <w:hyperlink r:id="rId90" w:history="1">
        <w:r w:rsidRPr="00D00333">
          <w:rPr>
            <w:rFonts w:ascii="Arial" w:hAnsi="Arial" w:cs="Arial"/>
            <w:lang w:val="en-GB"/>
          </w:rPr>
          <w:t>https://www.lawteacher.net/free-law-essays/human-rights/human-rights-act-and-police-and-criminal-evidence-pace-act-law-essays.php</w:t>
        </w:r>
      </w:hyperlink>
      <w:r w:rsidRPr="00D00333">
        <w:rPr>
          <w:rFonts w:ascii="Arial" w:hAnsi="Arial" w:cs="Arial"/>
          <w:color w:val="000000" w:themeColor="text1"/>
          <w:lang w:val="en-GB"/>
        </w:rPr>
        <w:t xml:space="preserve"> (Accessed: 07 May 2025).</w:t>
      </w:r>
    </w:p>
    <w:p w14:paraId="66050606"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Memon, A., Meissner, C.A. and Fraser, J. (2010) 'The cognitive interview: A meta-analytic review and study space analysis of the past 25 years', Psychology, Public Policy, and Law, 16(4), pp. 340-372. Available at: doi: </w:t>
      </w:r>
      <w:hyperlink r:id="rId91" w:history="1">
        <w:r w:rsidRPr="00D00333">
          <w:rPr>
            <w:rFonts w:ascii="Arial" w:hAnsi="Arial" w:cs="Arial"/>
            <w:lang w:val="en-GB"/>
          </w:rPr>
          <w:t>https://doi.org/10.1037/a0020518</w:t>
        </w:r>
      </w:hyperlink>
      <w:r w:rsidRPr="00D00333">
        <w:rPr>
          <w:rFonts w:ascii="Arial" w:hAnsi="Arial" w:cs="Arial"/>
          <w:color w:val="000000" w:themeColor="text1"/>
          <w:lang w:val="en-GB"/>
        </w:rPr>
        <w:t xml:space="preserve"> (Accessed: 07 May 2025).</w:t>
      </w:r>
    </w:p>
    <w:p w14:paraId="69C501F3"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Mitchell, R.J. (2024) ‘Evidence-Based Policing’. Oxford Research Encyclopedia of Criminology and Criminal Justice. Available at: doi:https://doi.org/10.1093/acrefore/9780190264079.013.722 (Accessed: 07 May 2025).</w:t>
      </w:r>
    </w:p>
    <w:p w14:paraId="45E8A516"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Pajon, L. &amp; Walsh, D. (2024) ‘Investigating organised human trafficking crimes: case studies of police investigations in England’. Police Practice and Research, 26(2), pp.1–17.1-17 Available at: doi:https://doi.org/10.1080/15614263.2024.2406841 (Accessed: 07 May 2025).</w:t>
      </w:r>
    </w:p>
    <w:p w14:paraId="091226B8"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Pearse, J., &amp; Gudjonsson, G. H. (1999) ‘Measuring influential police interviewing tactics: A factor analytic approach’. Legal and Criminological Psychology, 4(2), 221–238. Available at: </w:t>
      </w:r>
      <w:hyperlink r:id="rId92" w:history="1">
        <w:r w:rsidRPr="00D00333">
          <w:rPr>
            <w:rFonts w:ascii="Arial" w:hAnsi="Arial" w:cs="Arial"/>
            <w:lang w:val="en-GB"/>
          </w:rPr>
          <w:t>https://doi.org/https://doi.org/10.1348/135532599167860</w:t>
        </w:r>
      </w:hyperlink>
      <w:r w:rsidRPr="00D00333">
        <w:rPr>
          <w:rFonts w:ascii="Arial" w:hAnsi="Arial" w:cs="Arial"/>
          <w:color w:val="000000" w:themeColor="text1"/>
          <w:lang w:val="en-GB"/>
        </w:rPr>
        <w:t xml:space="preserve"> (Accessed: 07 May 2025).</w:t>
      </w:r>
    </w:p>
    <w:p w14:paraId="18641FA3"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Roberts, K. (2012) 'Police interviewing of criminal suspects: a historical perspective', Internet Journal of Criminology, 5, pp. 1-17. Available at: </w:t>
      </w:r>
      <w:hyperlink r:id="rId93" w:history="1">
        <w:r w:rsidRPr="00D00333">
          <w:rPr>
            <w:rFonts w:ascii="Arial" w:hAnsi="Arial" w:cs="Arial"/>
            <w:lang w:val="en-GB"/>
          </w:rPr>
          <w:t>https://www.fair360.com/media/2019/10/fefeb899b707418864e1ffef7898cf0cd353.pdf</w:t>
        </w:r>
      </w:hyperlink>
      <w:r w:rsidRPr="00D00333">
        <w:rPr>
          <w:rFonts w:ascii="Arial" w:hAnsi="Arial" w:cs="Arial"/>
          <w:color w:val="000000" w:themeColor="text1"/>
          <w:lang w:val="en-GB"/>
        </w:rPr>
        <w:t xml:space="preserve"> (Accessed: 07 May 2025).</w:t>
      </w:r>
    </w:p>
    <w:p w14:paraId="541E6BEF"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Travaglino, G.A., Abrams, D. and de Moura, G.R. (2016) ‘Men of Honor Don't Talk: The Relationship Between Masculine Honor and Social Activism Against Criminal Organisations in Italy’. Political Psychology, 37(2), pp.183–199. Available at: </w:t>
      </w:r>
      <w:hyperlink r:id="rId94" w:history="1">
        <w:r w:rsidRPr="00D00333">
          <w:rPr>
            <w:rFonts w:ascii="Arial" w:hAnsi="Arial" w:cs="Arial"/>
            <w:lang w:val="en-GB"/>
          </w:rPr>
          <w:t>https://doi-org.ezproxy.uwtsd.ac.uk/10.1111/pops.12226</w:t>
        </w:r>
      </w:hyperlink>
      <w:r w:rsidRPr="00D00333">
        <w:rPr>
          <w:rFonts w:ascii="Arial" w:hAnsi="Arial" w:cs="Arial"/>
          <w:color w:val="000000" w:themeColor="text1"/>
          <w:lang w:val="en-GB"/>
        </w:rPr>
        <w:t xml:space="preserve"> (Accessed: 07 May 2025).</w:t>
      </w:r>
    </w:p>
    <w:p w14:paraId="2E1F80C0" w14:textId="1B1CDED3"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Vaughan, M. (2022) ‘Managing investigative interviews with vulnerable suspects in high stakes investigations: An examination of the role of an Interview Manager’. Available at:</w:t>
      </w:r>
      <w:r w:rsidR="0044401C" w:rsidRPr="00D00333">
        <w:rPr>
          <w:rFonts w:ascii="Arial" w:hAnsi="Arial" w:cs="Arial"/>
          <w:color w:val="000000" w:themeColor="text1"/>
          <w:lang w:val="en-GB"/>
        </w:rPr>
        <w:t xml:space="preserve"> </w:t>
      </w:r>
      <w:hyperlink r:id="rId95" w:history="1">
        <w:r w:rsidRPr="00D00333">
          <w:rPr>
            <w:rFonts w:ascii="Arial" w:hAnsi="Arial" w:cs="Arial"/>
            <w:lang w:val="en-GB"/>
          </w:rPr>
          <w:t>https://pure.port.ac.uk/ws/portalfiles/portal/71027708/Final_thesis_Document_Martin_Vaughan.pdf</w:t>
        </w:r>
      </w:hyperlink>
      <w:r w:rsidRPr="00D00333">
        <w:rPr>
          <w:rFonts w:ascii="Arial" w:hAnsi="Arial" w:cs="Arial"/>
          <w:color w:val="000000" w:themeColor="text1"/>
          <w:lang w:val="en-GB"/>
        </w:rPr>
        <w:t xml:space="preserve"> (Accessed: 07 May 2025).</w:t>
      </w:r>
    </w:p>
    <w:p w14:paraId="099AFFD3" w14:textId="149A1AB5" w:rsidR="0044401C" w:rsidRPr="00D00333" w:rsidRDefault="008A50FD" w:rsidP="00D00333">
      <w:pPr>
        <w:pStyle w:val="EndNoteBibliography"/>
        <w:spacing w:before="240" w:after="0" w:line="360" w:lineRule="auto"/>
        <w:ind w:left="720" w:hanging="720"/>
        <w:rPr>
          <w:rFonts w:ascii="Arial" w:hAnsi="Arial" w:cs="Arial"/>
          <w:color w:val="000000" w:themeColor="text1"/>
          <w:lang w:val="en-GB"/>
        </w:rPr>
      </w:pPr>
      <w:bookmarkStart w:id="3" w:name="_Hlk197512209"/>
      <w:r w:rsidRPr="00D00333">
        <w:rPr>
          <w:rFonts w:ascii="Arial" w:hAnsi="Arial" w:cs="Arial"/>
          <w:color w:val="000000" w:themeColor="text1"/>
          <w:lang w:val="en-GB"/>
        </w:rPr>
        <w:t>Wheatstone, R. and Ryan, J. (2019) ‘The inside story of how brutal Albanian gangs rose from the UK’s premier sex traffickers to kingpin cocaine dealers’. 08 July. Available at: https://www.thesun.co.uk/news/9328852/albanian-gang-uk-sex-traffickers-cocaine-dealers (Accessed: 7 May 2025).</w:t>
      </w:r>
    </w:p>
    <w:p w14:paraId="76FF4766" w14:textId="77777777" w:rsidR="0044401C" w:rsidRPr="0044401C" w:rsidRDefault="0044401C">
      <w:pPr>
        <w:rPr>
          <w:rFonts w:asciiTheme="minorBidi" w:hAnsiTheme="minorBidi"/>
          <w:noProof/>
          <w:color w:val="000000" w:themeColor="text1"/>
          <w:kern w:val="2"/>
          <w14:ligatures w14:val="standardContextual"/>
        </w:rPr>
      </w:pPr>
      <w:r w:rsidRPr="0044401C">
        <w:rPr>
          <w:rFonts w:asciiTheme="minorBidi" w:hAnsiTheme="minorBidi"/>
          <w:color w:val="000000" w:themeColor="text1"/>
        </w:rPr>
        <w:br w:type="page"/>
      </w:r>
    </w:p>
    <w:p w14:paraId="068E192E" w14:textId="35AC98DF" w:rsidR="0054097D" w:rsidRPr="00D00333" w:rsidRDefault="0054097D" w:rsidP="00D00333">
      <w:pPr>
        <w:spacing w:line="360" w:lineRule="auto"/>
        <w:rPr>
          <w:rFonts w:ascii="Arial" w:hAnsi="Arial" w:cs="Arial"/>
          <w:b/>
          <w:bCs/>
          <w:color w:val="000000" w:themeColor="text1"/>
        </w:rPr>
      </w:pPr>
      <w:r w:rsidRPr="00D00333">
        <w:rPr>
          <w:rFonts w:ascii="Arial" w:hAnsi="Arial" w:cs="Arial"/>
          <w:b/>
          <w:bCs/>
          <w:color w:val="000000" w:themeColor="text1"/>
        </w:rPr>
        <w:lastRenderedPageBreak/>
        <w:t>Continuation of Task 3.</w:t>
      </w:r>
    </w:p>
    <w:p w14:paraId="3046CB4E" w14:textId="46EDB47E" w:rsidR="008A50FD" w:rsidRPr="00D00333" w:rsidRDefault="008A50FD" w:rsidP="00D00333">
      <w:pPr>
        <w:spacing w:line="360" w:lineRule="auto"/>
        <w:rPr>
          <w:rFonts w:ascii="Arial" w:hAnsi="Arial" w:cs="Arial"/>
          <w:b/>
          <w:bCs/>
          <w:color w:val="000000" w:themeColor="text1"/>
        </w:rPr>
      </w:pPr>
      <w:r w:rsidRPr="00D00333">
        <w:rPr>
          <w:rFonts w:ascii="Arial" w:hAnsi="Arial" w:cs="Arial"/>
          <w:b/>
          <w:bCs/>
          <w:color w:val="000000" w:themeColor="text1"/>
        </w:rPr>
        <w:t>Task 3B</w:t>
      </w:r>
    </w:p>
    <w:p w14:paraId="251365CC" w14:textId="38DF4F24" w:rsidR="008A50FD" w:rsidRPr="00D00333" w:rsidRDefault="008A50FD" w:rsidP="00D00333">
      <w:pPr>
        <w:spacing w:line="360" w:lineRule="auto"/>
        <w:rPr>
          <w:rFonts w:ascii="Arial" w:hAnsi="Arial" w:cs="Arial"/>
          <w:b/>
          <w:bCs/>
          <w:color w:val="000000" w:themeColor="text1"/>
        </w:rPr>
      </w:pPr>
      <w:r w:rsidRPr="00D00333">
        <w:rPr>
          <w:rFonts w:ascii="Arial" w:hAnsi="Arial" w:cs="Arial"/>
          <w:b/>
          <w:bCs/>
          <w:color w:val="000000" w:themeColor="text1"/>
        </w:rPr>
        <w:t>Answer:</w:t>
      </w:r>
    </w:p>
    <w:p w14:paraId="1CC089A1" w14:textId="46C815B3" w:rsidR="008A50FD" w:rsidRPr="00D00333" w:rsidRDefault="008A50FD" w:rsidP="00D00333">
      <w:pPr>
        <w:spacing w:line="360" w:lineRule="auto"/>
        <w:rPr>
          <w:rFonts w:ascii="Arial" w:hAnsi="Arial" w:cs="Arial"/>
          <w:b/>
          <w:bCs/>
          <w:color w:val="000000" w:themeColor="text1"/>
        </w:rPr>
      </w:pPr>
      <w:r w:rsidRPr="00D00333">
        <w:rPr>
          <w:rFonts w:ascii="Arial" w:hAnsi="Arial" w:cs="Arial"/>
          <w:b/>
          <w:bCs/>
          <w:color w:val="000000" w:themeColor="text1"/>
        </w:rPr>
        <w:t>Introduction</w:t>
      </w:r>
    </w:p>
    <w:p w14:paraId="17D628A9"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As an investigator, I recognise that investigative interviews play a pivotal role in gathering reliable evidence and upholding the integrity of the criminal justice system. In the UK, the introduction of the PEACE model in 1992 marked a significant shift towards a structured, ethical approach to interviewing (College of Policing, 2022). In this essay, I critically reflect on the planning process for the interviews I conducted during Operation </w:t>
      </w:r>
      <w:proofErr w:type="spellStart"/>
      <w:r w:rsidRPr="00D00333">
        <w:rPr>
          <w:rFonts w:ascii="Arial" w:eastAsia="Arial" w:hAnsi="Arial" w:cs="Arial"/>
          <w:color w:val="000000" w:themeColor="text1"/>
        </w:rPr>
        <w:t>Exacum</w:t>
      </w:r>
      <w:proofErr w:type="spellEnd"/>
      <w:r w:rsidRPr="00D00333">
        <w:rPr>
          <w:rFonts w:ascii="Arial" w:eastAsia="Arial" w:hAnsi="Arial" w:cs="Arial"/>
          <w:color w:val="000000" w:themeColor="text1"/>
        </w:rPr>
        <w:t>. By examining the benefits and challenges I encountered during the planning phase, I aim to gain valuable insights to inform my future investigative practices.</w:t>
      </w:r>
    </w:p>
    <w:p w14:paraId="0DE29FBC" w14:textId="77777777" w:rsidR="008A50FD" w:rsidRPr="00D00333" w:rsidRDefault="008A50FD" w:rsidP="00D00333">
      <w:pPr>
        <w:spacing w:line="360" w:lineRule="auto"/>
        <w:rPr>
          <w:rFonts w:ascii="Arial" w:eastAsia="Arial" w:hAnsi="Arial" w:cs="Arial"/>
          <w:b/>
          <w:bCs/>
          <w:color w:val="000000" w:themeColor="text1"/>
        </w:rPr>
      </w:pPr>
      <w:r w:rsidRPr="00D00333">
        <w:rPr>
          <w:rFonts w:ascii="Arial" w:eastAsia="Arial" w:hAnsi="Arial" w:cs="Arial"/>
          <w:b/>
          <w:bCs/>
          <w:color w:val="000000" w:themeColor="text1"/>
        </w:rPr>
        <w:t xml:space="preserve">Critical Reflection on Planning: Benefits </w:t>
      </w:r>
    </w:p>
    <w:p w14:paraId="4A169596"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Comprehensive planning using the PEACE model was instrumental in conducting effective interviews during Operation </w:t>
      </w:r>
      <w:proofErr w:type="spellStart"/>
      <w:r w:rsidRPr="00D00333">
        <w:rPr>
          <w:rFonts w:ascii="Arial" w:eastAsia="Arial" w:hAnsi="Arial" w:cs="Arial"/>
          <w:color w:val="000000" w:themeColor="text1"/>
        </w:rPr>
        <w:t>Exacum</w:t>
      </w:r>
      <w:proofErr w:type="spellEnd"/>
      <w:r w:rsidRPr="00D00333">
        <w:rPr>
          <w:rFonts w:ascii="Arial" w:eastAsia="Arial" w:hAnsi="Arial" w:cs="Arial"/>
          <w:color w:val="000000" w:themeColor="text1"/>
        </w:rPr>
        <w:t>. By preparing thoroughly for the interviews, I identified key objectives, reviewed pertinent evidence, and strategically structured questions (College of Policing, 2022). This structured planning approach clarified investigation priorities and critical information requirements during the operation. Through careful analysis of case details and available evidence, I identified pressing lines of inquiry and determined specific details needed from interviewees. This focused methodology ensured my interviews remained targeted and efficient, allowing me to employ an information-gathering approach rather than resorting to accusatorial techniques (Catlin et al., 2024).</w:t>
      </w:r>
    </w:p>
    <w:p w14:paraId="5F756E5C"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Anticipating potential obstacles, particularly those stemming from cultural differences, was crucial in my preparation for the interviews. Recognising the challenges posed by the Albanian context, such as the influence of the "Besa" code of silence and the general distrust of law enforcement, I proactively researched those cultural factors and attempted to develop tailored strategies for trying to build rapport and encourage disclosure. I prioritised this cultural research, understanding that effective cross-cultural interviewing requires awareness of specific cultural norms that might impact communication and trust-building. This preparation was essential for navigating the complex dynamics of cross-cultural communication (</w:t>
      </w:r>
      <w:proofErr w:type="spellStart"/>
      <w:r w:rsidRPr="00D00333">
        <w:rPr>
          <w:rFonts w:ascii="Arial" w:eastAsia="Arial" w:hAnsi="Arial" w:cs="Arial"/>
          <w:color w:val="000000" w:themeColor="text1"/>
        </w:rPr>
        <w:t>Anakwah</w:t>
      </w:r>
      <w:proofErr w:type="spellEnd"/>
      <w:r w:rsidRPr="00D00333">
        <w:rPr>
          <w:rFonts w:ascii="Arial" w:eastAsia="Arial" w:hAnsi="Arial" w:cs="Arial"/>
          <w:color w:val="000000" w:themeColor="text1"/>
        </w:rPr>
        <w:t xml:space="preserve">, </w:t>
      </w:r>
      <w:proofErr w:type="spellStart"/>
      <w:r w:rsidRPr="00D00333">
        <w:rPr>
          <w:rFonts w:ascii="Arial" w:eastAsia="Arial" w:hAnsi="Arial" w:cs="Arial"/>
          <w:color w:val="000000" w:themeColor="text1"/>
        </w:rPr>
        <w:t>Sumampouw</w:t>
      </w:r>
      <w:proofErr w:type="spellEnd"/>
      <w:r w:rsidRPr="00D00333">
        <w:rPr>
          <w:rFonts w:ascii="Arial" w:eastAsia="Arial" w:hAnsi="Arial" w:cs="Arial"/>
          <w:color w:val="000000" w:themeColor="text1"/>
        </w:rPr>
        <w:t xml:space="preserve"> and </w:t>
      </w:r>
      <w:proofErr w:type="spellStart"/>
      <w:r w:rsidRPr="00D00333">
        <w:rPr>
          <w:rFonts w:ascii="Arial" w:eastAsia="Arial" w:hAnsi="Arial" w:cs="Arial"/>
          <w:color w:val="000000" w:themeColor="text1"/>
        </w:rPr>
        <w:t>Otgaar</w:t>
      </w:r>
      <w:proofErr w:type="spellEnd"/>
      <w:r w:rsidRPr="00D00333">
        <w:rPr>
          <w:rFonts w:ascii="Arial" w:eastAsia="Arial" w:hAnsi="Arial" w:cs="Arial"/>
          <w:color w:val="000000" w:themeColor="text1"/>
        </w:rPr>
        <w:t>, 2023).</w:t>
      </w:r>
    </w:p>
    <w:p w14:paraId="3717BB94"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Another benefit of thorough planning was my ability to structure questions in a clear, logical manner, seeking to elicit comprehensive and reliable accounts. Unfortunately, that did not happen during any of the interviews I conducted. I carefully crafted open-ended, non-leading questions and organised them in a coherent sequence because research indicates this </w:t>
      </w:r>
      <w:r w:rsidRPr="00D00333">
        <w:rPr>
          <w:rFonts w:ascii="Arial" w:eastAsia="Arial" w:hAnsi="Arial" w:cs="Arial"/>
          <w:color w:val="000000" w:themeColor="text1"/>
        </w:rPr>
        <w:lastRenderedPageBreak/>
        <w:t xml:space="preserve">approach minimises suggestion and maximises authentic recall (Hamida </w:t>
      </w:r>
      <w:proofErr w:type="spellStart"/>
      <w:r w:rsidRPr="00D00333">
        <w:rPr>
          <w:rFonts w:ascii="Arial" w:eastAsia="Arial" w:hAnsi="Arial" w:cs="Arial"/>
          <w:color w:val="000000" w:themeColor="text1"/>
        </w:rPr>
        <w:t>Zekiroski</w:t>
      </w:r>
      <w:proofErr w:type="spellEnd"/>
      <w:r w:rsidRPr="00D00333">
        <w:rPr>
          <w:rFonts w:ascii="Arial" w:eastAsia="Arial" w:hAnsi="Arial" w:cs="Arial"/>
          <w:color w:val="000000" w:themeColor="text1"/>
        </w:rPr>
        <w:t xml:space="preserve"> et al., 2024). This structured approach helped me maintain focus and prevented the interview from veering off course (Chin, Milne and Bull, 2022). By developing a logical progression of questioning in advance, I attempted to create an interview framework that would facilitate comprehensive information gathering while remaining adaptable (Gustafsson </w:t>
      </w:r>
      <w:proofErr w:type="spellStart"/>
      <w:r w:rsidRPr="00D00333">
        <w:rPr>
          <w:rFonts w:ascii="Arial" w:eastAsia="Arial" w:hAnsi="Arial" w:cs="Arial"/>
          <w:color w:val="000000" w:themeColor="text1"/>
        </w:rPr>
        <w:t>Jertfelt</w:t>
      </w:r>
      <w:proofErr w:type="spellEnd"/>
      <w:r w:rsidRPr="00D00333">
        <w:rPr>
          <w:rFonts w:ascii="Arial" w:eastAsia="Arial" w:hAnsi="Arial" w:cs="Arial"/>
          <w:color w:val="000000" w:themeColor="text1"/>
        </w:rPr>
        <w:t xml:space="preserve">, </w:t>
      </w:r>
      <w:proofErr w:type="spellStart"/>
      <w:r w:rsidRPr="00D00333">
        <w:rPr>
          <w:rFonts w:ascii="Arial" w:eastAsia="Arial" w:hAnsi="Arial" w:cs="Arial"/>
          <w:color w:val="000000" w:themeColor="text1"/>
        </w:rPr>
        <w:t>Blanchin</w:t>
      </w:r>
      <w:proofErr w:type="spellEnd"/>
      <w:r w:rsidRPr="00D00333">
        <w:rPr>
          <w:rFonts w:ascii="Arial" w:eastAsia="Arial" w:hAnsi="Arial" w:cs="Arial"/>
          <w:color w:val="000000" w:themeColor="text1"/>
        </w:rPr>
        <w:t xml:space="preserve"> and Li, 2016), even though in practice these efforts did not yield the anticipated results due to cultural barriers. Furthermore, following established protocols for accurate recording and transcription was vital for maintaining the integrity and admissibility of any evidence obtained (College of Policing, 2022).</w:t>
      </w:r>
    </w:p>
    <w:p w14:paraId="2483F5C8" w14:textId="1DA05198" w:rsidR="008A50FD" w:rsidRPr="00D00333" w:rsidRDefault="008A50FD" w:rsidP="00D00333">
      <w:pPr>
        <w:spacing w:line="360" w:lineRule="auto"/>
        <w:rPr>
          <w:rFonts w:ascii="Arial" w:eastAsia="Arial" w:hAnsi="Arial" w:cs="Arial"/>
          <w:b/>
          <w:bCs/>
          <w:color w:val="000000" w:themeColor="text1"/>
        </w:rPr>
      </w:pPr>
      <w:r w:rsidRPr="00D00333">
        <w:rPr>
          <w:rFonts w:ascii="Arial" w:eastAsia="Arial" w:hAnsi="Arial" w:cs="Arial"/>
          <w:b/>
          <w:bCs/>
          <w:color w:val="000000" w:themeColor="text1"/>
        </w:rPr>
        <w:t xml:space="preserve">Critical Reflection on Planning: Challenges </w:t>
      </w:r>
    </w:p>
    <w:p w14:paraId="7578CB66"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Despite my extensive planning and preparation, I encountered significant challenges that tested the limits of even my most well-crafted strategies. The most formidable obstacle was the pervasive influence of the Albanian "Besa" code of silence, a cultural phenomenon deeply rooted in notions of honour and loyalty that serves to shield individuals from cooperating with law enforcement </w:t>
      </w:r>
      <w:r w:rsidRPr="00D00333">
        <w:rPr>
          <w:rFonts w:ascii="Arial" w:hAnsi="Arial" w:cs="Arial"/>
        </w:rPr>
        <w:t xml:space="preserve">(Wheatstone and Ryan, 2019). </w:t>
      </w:r>
      <w:r w:rsidRPr="00D00333">
        <w:rPr>
          <w:rFonts w:ascii="Arial" w:eastAsia="Arial" w:hAnsi="Arial" w:cs="Arial"/>
          <w:color w:val="000000" w:themeColor="text1"/>
        </w:rPr>
        <w:t xml:space="preserve">  This code, comparable to the omertà observed in Italian organised crime syndicates, created a formidable barrier to eliciting information from interviewees (Travaglino, Abrams and de Moura, 2014). </w:t>
      </w:r>
    </w:p>
    <w:p w14:paraId="36200EC7"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Compounding this challenge was the widespread distrust of law enforcement among the Albanian community, fuelled by experiences of corruption and misconduct in their country (Integrity Corruption Police in Albania and, 2016). Many interviewees approached the interviews with scepticism and reluctance, making it difficult for me to establish the rapport and trust required for productive communication. Even with my most careful planning and sensitive approach, those ingrained attitudes proved highly resistant to change (Howe and Krosnick, 2017).</w:t>
      </w:r>
    </w:p>
    <w:p w14:paraId="06E3B28D"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The language barrier posed another hurdle, necessitating my use of adequately trained interpreters to ensure accurate communication (Hale, Goodman-Delahunty and </w:t>
      </w:r>
      <w:proofErr w:type="spellStart"/>
      <w:r w:rsidRPr="00D00333">
        <w:rPr>
          <w:rFonts w:ascii="Arial" w:eastAsia="Arial" w:hAnsi="Arial" w:cs="Arial"/>
          <w:color w:val="000000" w:themeColor="text1"/>
        </w:rPr>
        <w:t>Martschuk</w:t>
      </w:r>
      <w:proofErr w:type="spellEnd"/>
      <w:r w:rsidRPr="00D00333">
        <w:rPr>
          <w:rFonts w:ascii="Arial" w:eastAsia="Arial" w:hAnsi="Arial" w:cs="Arial"/>
          <w:color w:val="000000" w:themeColor="text1"/>
        </w:rPr>
        <w:t xml:space="preserve">, 2018). However, the involvement of interpreters added complexity to the interview dynamic, requiring careful coordination and attention to non-verbal cues on my part to maintain the flow and integrity of the conversation (Goodman-Delahunty and </w:t>
      </w:r>
      <w:proofErr w:type="spellStart"/>
      <w:r w:rsidRPr="00D00333">
        <w:rPr>
          <w:rFonts w:ascii="Arial" w:eastAsia="Arial" w:hAnsi="Arial" w:cs="Arial"/>
          <w:color w:val="000000" w:themeColor="text1"/>
        </w:rPr>
        <w:t>Martschuk</w:t>
      </w:r>
      <w:proofErr w:type="spellEnd"/>
      <w:r w:rsidRPr="00D00333">
        <w:rPr>
          <w:rFonts w:ascii="Arial" w:eastAsia="Arial" w:hAnsi="Arial" w:cs="Arial"/>
          <w:color w:val="000000" w:themeColor="text1"/>
        </w:rPr>
        <w:t xml:space="preserve">, 2016). According to the study conducted by Hale, Goodman-Delahunty, and </w:t>
      </w:r>
      <w:proofErr w:type="spellStart"/>
      <w:r w:rsidRPr="00D00333">
        <w:rPr>
          <w:rFonts w:ascii="Arial" w:eastAsia="Arial" w:hAnsi="Arial" w:cs="Arial"/>
          <w:color w:val="000000" w:themeColor="text1"/>
        </w:rPr>
        <w:t>Martschuk</w:t>
      </w:r>
      <w:proofErr w:type="spellEnd"/>
      <w:r w:rsidRPr="00D00333">
        <w:rPr>
          <w:rFonts w:ascii="Arial" w:eastAsia="Arial" w:hAnsi="Arial" w:cs="Arial"/>
          <w:color w:val="000000" w:themeColor="text1"/>
        </w:rPr>
        <w:t xml:space="preserve"> (2018), the use of interpreters in police interviews has both advantages and disadvantages. Trained interpreters can accurately convey not only the content but also the manner, force, register, and discourse strategies used by speakers, which are crucial in legal settings and can affect evaluations of credibility. However, interpreters must master the ability to manage the interaction, coordinate turns, and deal with challenging situations in an ethical way that does </w:t>
      </w:r>
      <w:r w:rsidRPr="00D00333">
        <w:rPr>
          <w:rFonts w:ascii="Arial" w:eastAsia="Arial" w:hAnsi="Arial" w:cs="Arial"/>
          <w:color w:val="000000" w:themeColor="text1"/>
        </w:rPr>
        <w:lastRenderedPageBreak/>
        <w:t xml:space="preserve">not contravene the interpreter's expected role, which can be difficult without proper training and experience. The study emphasises the importance of specialised training for interpreters working in police settings to ensure they are equipped with the necessary skills to navigate the complex dynamics of police interviews effectively. The use of interpreters also raised concerns about the potential for misinterpretation of certain words or phrases or the loss of nuance in the translation process (Blenkinsopp and </w:t>
      </w:r>
      <w:proofErr w:type="spellStart"/>
      <w:r w:rsidRPr="00D00333">
        <w:rPr>
          <w:rFonts w:ascii="Arial" w:eastAsia="Arial" w:hAnsi="Arial" w:cs="Arial"/>
          <w:color w:val="000000" w:themeColor="text1"/>
        </w:rPr>
        <w:t>Shademan</w:t>
      </w:r>
      <w:proofErr w:type="spellEnd"/>
      <w:r w:rsidRPr="00D00333">
        <w:rPr>
          <w:rFonts w:ascii="Arial" w:eastAsia="Arial" w:hAnsi="Arial" w:cs="Arial"/>
          <w:color w:val="000000" w:themeColor="text1"/>
        </w:rPr>
        <w:t xml:space="preserve"> </w:t>
      </w:r>
      <w:proofErr w:type="spellStart"/>
      <w:r w:rsidRPr="00D00333">
        <w:rPr>
          <w:rFonts w:ascii="Arial" w:eastAsia="Arial" w:hAnsi="Arial" w:cs="Arial"/>
          <w:color w:val="000000" w:themeColor="text1"/>
        </w:rPr>
        <w:t>Pajouh</w:t>
      </w:r>
      <w:proofErr w:type="spellEnd"/>
      <w:r w:rsidRPr="00D00333">
        <w:rPr>
          <w:rFonts w:ascii="Arial" w:eastAsia="Arial" w:hAnsi="Arial" w:cs="Arial"/>
          <w:color w:val="000000" w:themeColor="text1"/>
        </w:rPr>
        <w:t xml:space="preserve">, 2010). However, prior to the Operation </w:t>
      </w:r>
      <w:proofErr w:type="spellStart"/>
      <w:r w:rsidRPr="00D00333">
        <w:rPr>
          <w:rFonts w:ascii="Arial" w:eastAsia="Arial" w:hAnsi="Arial" w:cs="Arial"/>
          <w:color w:val="000000" w:themeColor="text1"/>
        </w:rPr>
        <w:t>Exacum</w:t>
      </w:r>
      <w:proofErr w:type="spellEnd"/>
      <w:r w:rsidRPr="00D00333">
        <w:rPr>
          <w:rFonts w:ascii="Arial" w:eastAsia="Arial" w:hAnsi="Arial" w:cs="Arial"/>
          <w:color w:val="000000" w:themeColor="text1"/>
        </w:rPr>
        <w:t xml:space="preserve"> interviews, I conducted thorough and detailed briefings with the appropriately trained and experienced appointed interpreter to try and avoid such issues potentially occurring (Walsh, </w:t>
      </w:r>
      <w:proofErr w:type="spellStart"/>
      <w:r w:rsidRPr="00D00333">
        <w:rPr>
          <w:rFonts w:ascii="Arial" w:eastAsia="Arial" w:hAnsi="Arial" w:cs="Arial"/>
          <w:color w:val="000000" w:themeColor="text1"/>
        </w:rPr>
        <w:t>Oxburgh</w:t>
      </w:r>
      <w:proofErr w:type="spellEnd"/>
      <w:r w:rsidRPr="00D00333">
        <w:rPr>
          <w:rFonts w:ascii="Arial" w:eastAsia="Arial" w:hAnsi="Arial" w:cs="Arial"/>
          <w:color w:val="000000" w:themeColor="text1"/>
        </w:rPr>
        <w:t xml:space="preserve"> and </w:t>
      </w:r>
      <w:proofErr w:type="spellStart"/>
      <w:r w:rsidRPr="00D00333">
        <w:rPr>
          <w:rFonts w:ascii="Arial" w:eastAsia="Arial" w:hAnsi="Arial" w:cs="Arial"/>
          <w:color w:val="000000" w:themeColor="text1"/>
        </w:rPr>
        <w:t>Amurun</w:t>
      </w:r>
      <w:proofErr w:type="spellEnd"/>
      <w:r w:rsidRPr="00D00333">
        <w:rPr>
          <w:rFonts w:ascii="Arial" w:eastAsia="Arial" w:hAnsi="Arial" w:cs="Arial"/>
          <w:color w:val="000000" w:themeColor="text1"/>
        </w:rPr>
        <w:t>, 2020).</w:t>
      </w:r>
    </w:p>
    <w:p w14:paraId="68457EEC"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A further complication I encountered was the frequent use of false identities by suspects, which hindered my efforts to gather background information and tailor interview strategies accordingly. This lack of reliable intelligence made it challenging for me to anticipate barriers and resistance that I might encounter in each interview, necessitating a high degree of adaptability and in-the-moment problem-solving on my part (Chin, Milne and Bull, 2022).</w:t>
      </w:r>
    </w:p>
    <w:p w14:paraId="4D230A50"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Hope et al. (2021) highlight several cultural and individual factors that can negatively impact police interviews, such as how differences in communication styles between low-context and high-context cultures can lead to misunderstandings and perceptions of uncooperativeness. Power distance and honour codes can inhibit free accounts and impede effective communication, especially when discussing sensitive topics (Annelies </w:t>
      </w:r>
      <w:proofErr w:type="spellStart"/>
      <w:r w:rsidRPr="00D00333">
        <w:rPr>
          <w:rFonts w:ascii="Arial" w:eastAsia="Arial" w:hAnsi="Arial" w:cs="Arial"/>
          <w:color w:val="000000" w:themeColor="text1"/>
        </w:rPr>
        <w:t>Vredeveldt</w:t>
      </w:r>
      <w:proofErr w:type="spellEnd"/>
      <w:r w:rsidRPr="00D00333">
        <w:rPr>
          <w:rFonts w:ascii="Arial" w:eastAsia="Arial" w:hAnsi="Arial" w:cs="Arial"/>
          <w:color w:val="000000" w:themeColor="text1"/>
        </w:rPr>
        <w:t>, Given</w:t>
      </w:r>
      <w:r w:rsidRPr="00D00333">
        <w:rPr>
          <w:rFonts w:ascii="Cambria Math" w:eastAsia="Arial" w:hAnsi="Cambria Math" w:cs="Cambria Math"/>
          <w:color w:val="000000" w:themeColor="text1"/>
        </w:rPr>
        <w:t>‐</w:t>
      </w:r>
      <w:r w:rsidRPr="00D00333">
        <w:rPr>
          <w:rFonts w:ascii="Arial" w:eastAsia="Arial" w:hAnsi="Arial" w:cs="Arial"/>
          <w:color w:val="000000" w:themeColor="text1"/>
        </w:rPr>
        <w:t>Wilson and Memon, 2023). Limited understanding of cultural norms, language barriers, and differences in self-construal can undermine rapport building and information gathering (Hope et al., 2021).</w:t>
      </w:r>
    </w:p>
    <w:p w14:paraId="544F6C16" w14:textId="77777777" w:rsidR="008A50FD" w:rsidRPr="00D00333" w:rsidRDefault="008A50FD" w:rsidP="00D00333">
      <w:pPr>
        <w:spacing w:line="360" w:lineRule="auto"/>
        <w:rPr>
          <w:rFonts w:ascii="Arial" w:eastAsia="Arial" w:hAnsi="Arial" w:cs="Arial"/>
          <w:b/>
          <w:bCs/>
          <w:color w:val="000000" w:themeColor="text1"/>
        </w:rPr>
      </w:pPr>
      <w:r w:rsidRPr="00D00333">
        <w:rPr>
          <w:rFonts w:ascii="Arial" w:eastAsia="Arial" w:hAnsi="Arial" w:cs="Arial"/>
          <w:b/>
          <w:bCs/>
          <w:color w:val="000000" w:themeColor="text1"/>
        </w:rPr>
        <w:t xml:space="preserve">Conclusion </w:t>
      </w:r>
    </w:p>
    <w:p w14:paraId="05F27DB5" w14:textId="77777777" w:rsidR="008A50FD" w:rsidRPr="00D00333" w:rsidRDefault="008A50FD" w:rsidP="00D00333">
      <w:pPr>
        <w:spacing w:line="360" w:lineRule="auto"/>
        <w:rPr>
          <w:rFonts w:ascii="Arial" w:eastAsia="Arial" w:hAnsi="Arial" w:cs="Arial"/>
          <w:color w:val="000000" w:themeColor="text1"/>
        </w:rPr>
      </w:pPr>
      <w:r w:rsidRPr="00D00333">
        <w:rPr>
          <w:rFonts w:ascii="Arial" w:eastAsia="Arial" w:hAnsi="Arial" w:cs="Arial"/>
          <w:color w:val="000000" w:themeColor="text1"/>
        </w:rPr>
        <w:t xml:space="preserve">My critical reflection on the planning process for the interviews conducted during Operation </w:t>
      </w:r>
      <w:proofErr w:type="spellStart"/>
      <w:r w:rsidRPr="00D00333">
        <w:rPr>
          <w:rFonts w:ascii="Arial" w:eastAsia="Arial" w:hAnsi="Arial" w:cs="Arial"/>
          <w:color w:val="000000" w:themeColor="text1"/>
        </w:rPr>
        <w:t>Exacum</w:t>
      </w:r>
      <w:proofErr w:type="spellEnd"/>
      <w:r w:rsidRPr="00D00333">
        <w:rPr>
          <w:rFonts w:ascii="Arial" w:eastAsia="Arial" w:hAnsi="Arial" w:cs="Arial"/>
          <w:color w:val="000000" w:themeColor="text1"/>
        </w:rPr>
        <w:t xml:space="preserve"> reveals both benefits and challenges of thorough preparation. The structured approach of the PEACE model, coupled with careful analysis of case details and proactive research on cultural factors, allowed me to identify key objectives, anticipate potential obstacles, and develop tailored strategies for building rapport and encouraging disclosure. However, the challenges encountered, such as the pervasive influence of the Albanian "Besa" code of silence, widespread distrust of law enforcement, language barriers, and the use of false identities by suspects, tested the limits of even the most well-crafted strategies. The studies by Hale, Goodman-Delahunty, and </w:t>
      </w:r>
      <w:proofErr w:type="spellStart"/>
      <w:r w:rsidRPr="00D00333">
        <w:rPr>
          <w:rFonts w:ascii="Arial" w:eastAsia="Arial" w:hAnsi="Arial" w:cs="Arial"/>
          <w:color w:val="000000" w:themeColor="text1"/>
        </w:rPr>
        <w:t>Martschuk</w:t>
      </w:r>
      <w:proofErr w:type="spellEnd"/>
      <w:r w:rsidRPr="00D00333">
        <w:rPr>
          <w:rFonts w:ascii="Arial" w:eastAsia="Arial" w:hAnsi="Arial" w:cs="Arial"/>
          <w:color w:val="000000" w:themeColor="text1"/>
        </w:rPr>
        <w:t xml:space="preserve"> (2018), Blenkinsopp and </w:t>
      </w:r>
      <w:proofErr w:type="spellStart"/>
      <w:r w:rsidRPr="00D00333">
        <w:rPr>
          <w:rFonts w:ascii="Arial" w:eastAsia="Arial" w:hAnsi="Arial" w:cs="Arial"/>
          <w:color w:val="000000" w:themeColor="text1"/>
        </w:rPr>
        <w:t>Shademan</w:t>
      </w:r>
      <w:proofErr w:type="spellEnd"/>
      <w:r w:rsidRPr="00D00333">
        <w:rPr>
          <w:rFonts w:ascii="Arial" w:eastAsia="Arial" w:hAnsi="Arial" w:cs="Arial"/>
          <w:color w:val="000000" w:themeColor="text1"/>
        </w:rPr>
        <w:t xml:space="preserve"> </w:t>
      </w:r>
      <w:proofErr w:type="spellStart"/>
      <w:r w:rsidRPr="00D00333">
        <w:rPr>
          <w:rFonts w:ascii="Arial" w:eastAsia="Arial" w:hAnsi="Arial" w:cs="Arial"/>
          <w:color w:val="000000" w:themeColor="text1"/>
        </w:rPr>
        <w:t>Pajouh</w:t>
      </w:r>
      <w:proofErr w:type="spellEnd"/>
      <w:r w:rsidRPr="00D00333">
        <w:rPr>
          <w:rFonts w:ascii="Arial" w:eastAsia="Arial" w:hAnsi="Arial" w:cs="Arial"/>
          <w:color w:val="000000" w:themeColor="text1"/>
        </w:rPr>
        <w:t xml:space="preserve"> (2010), Hope et al. (2021), and Annelies </w:t>
      </w:r>
      <w:proofErr w:type="spellStart"/>
      <w:r w:rsidRPr="00D00333">
        <w:rPr>
          <w:rFonts w:ascii="Arial" w:eastAsia="Arial" w:hAnsi="Arial" w:cs="Arial"/>
          <w:color w:val="000000" w:themeColor="text1"/>
        </w:rPr>
        <w:t>Vredeveldt</w:t>
      </w:r>
      <w:proofErr w:type="spellEnd"/>
      <w:r w:rsidRPr="00D00333">
        <w:rPr>
          <w:rFonts w:ascii="Arial" w:eastAsia="Arial" w:hAnsi="Arial" w:cs="Arial"/>
          <w:color w:val="000000" w:themeColor="text1"/>
        </w:rPr>
        <w:t>, Given</w:t>
      </w:r>
      <w:r w:rsidRPr="00D00333">
        <w:rPr>
          <w:rFonts w:ascii="Cambria Math" w:eastAsia="Arial" w:hAnsi="Cambria Math" w:cs="Cambria Math"/>
          <w:color w:val="000000" w:themeColor="text1"/>
        </w:rPr>
        <w:t>‐</w:t>
      </w:r>
      <w:r w:rsidRPr="00D00333">
        <w:rPr>
          <w:rFonts w:ascii="Arial" w:eastAsia="Arial" w:hAnsi="Arial" w:cs="Arial"/>
          <w:color w:val="000000" w:themeColor="text1"/>
        </w:rPr>
        <w:t xml:space="preserve">Wilson, and Memon (2023) highlight the importance of specialised training for interpreters, cultural awareness among investigators, and adaptability in the face of complex interview dynamics. </w:t>
      </w:r>
      <w:r w:rsidRPr="00D00333">
        <w:rPr>
          <w:rFonts w:ascii="Arial" w:eastAsia="Arial" w:hAnsi="Arial" w:cs="Arial"/>
          <w:color w:val="000000" w:themeColor="text1"/>
        </w:rPr>
        <w:lastRenderedPageBreak/>
        <w:t>Despite the challenges faced, this critical reflection has provided valuable insights that will inform my future investigative practices and emphasised the need for ongoing training and development to navigate the complexities of cross-cultural communication in investigative interviews.</w:t>
      </w:r>
    </w:p>
    <w:p w14:paraId="42CD49F1" w14:textId="1ADCA485" w:rsidR="008A50FD" w:rsidRPr="00D00333" w:rsidRDefault="008A50FD" w:rsidP="00D00333">
      <w:pPr>
        <w:spacing w:line="360" w:lineRule="auto"/>
        <w:rPr>
          <w:rFonts w:ascii="Arial" w:eastAsia="Arial" w:hAnsi="Arial" w:cs="Arial"/>
          <w:b/>
          <w:bCs/>
          <w:color w:val="000000" w:themeColor="text1"/>
          <w:u w:val="single"/>
        </w:rPr>
      </w:pPr>
      <w:r w:rsidRPr="00D00333">
        <w:rPr>
          <w:rFonts w:ascii="Arial" w:eastAsia="Arial" w:hAnsi="Arial" w:cs="Arial"/>
          <w:b/>
          <w:bCs/>
          <w:color w:val="000000" w:themeColor="text1"/>
          <w:u w:val="single"/>
        </w:rPr>
        <w:t>Word Count – 1,203 Words.</w:t>
      </w:r>
    </w:p>
    <w:p w14:paraId="589A7D70" w14:textId="77777777" w:rsidR="008A50FD" w:rsidRPr="00D00333" w:rsidRDefault="008A50FD" w:rsidP="00D00333">
      <w:pPr>
        <w:spacing w:line="360" w:lineRule="auto"/>
        <w:rPr>
          <w:rFonts w:ascii="Arial" w:eastAsia="Arial" w:hAnsi="Arial" w:cs="Arial"/>
          <w:b/>
          <w:bCs/>
          <w:color w:val="000000" w:themeColor="text1"/>
        </w:rPr>
      </w:pPr>
      <w:r w:rsidRPr="00D00333">
        <w:rPr>
          <w:rFonts w:ascii="Arial" w:eastAsia="Arial" w:hAnsi="Arial" w:cs="Arial"/>
          <w:b/>
          <w:bCs/>
          <w:color w:val="000000" w:themeColor="text1"/>
        </w:rPr>
        <w:t>Reference</w:t>
      </w:r>
    </w:p>
    <w:p w14:paraId="39CB1831"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Anakwah, N., Sumampouw, N. and Otgaar, H. (2023) ‘Cultural Aspects of Interviewing’. Available at: </w:t>
      </w:r>
      <w:hyperlink r:id="rId96" w:history="1">
        <w:r w:rsidRPr="00D00333">
          <w:rPr>
            <w:rFonts w:ascii="Arial" w:hAnsi="Arial" w:cs="Arial"/>
            <w:lang w:val="en-GB"/>
          </w:rPr>
          <w:t>https://www.open-access.bcu.ac.uk/14991/1/230627_PS_42_Chapter_8_Anakwah_Sumampouw_and_Otgaar_.pdf</w:t>
        </w:r>
      </w:hyperlink>
      <w:r w:rsidRPr="00D00333">
        <w:rPr>
          <w:rFonts w:ascii="Arial" w:hAnsi="Arial" w:cs="Arial"/>
          <w:color w:val="000000" w:themeColor="text1"/>
          <w:lang w:val="en-GB"/>
        </w:rPr>
        <w:t xml:space="preserve"> (Accessed: 07 May 2025).</w:t>
      </w:r>
    </w:p>
    <w:p w14:paraId="3F6BD5DC"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Annelies Vredeveldt, Given</w:t>
      </w:r>
      <w:r w:rsidRPr="00D00333">
        <w:rPr>
          <w:rFonts w:ascii="Cambria Math" w:hAnsi="Cambria Math" w:cs="Cambria Math"/>
          <w:color w:val="000000" w:themeColor="text1"/>
          <w:lang w:val="en-GB"/>
        </w:rPr>
        <w:t>‐</w:t>
      </w:r>
      <w:r w:rsidRPr="00D00333">
        <w:rPr>
          <w:rFonts w:ascii="Arial" w:hAnsi="Arial" w:cs="Arial"/>
          <w:color w:val="000000" w:themeColor="text1"/>
          <w:lang w:val="en-GB"/>
        </w:rPr>
        <w:t>Wilson, Z. and Memon, A. (2023) ‘Culture, trauma, and memory in investigative interviews’. Psychology, Crime &amp; Law, pp.1–21. Available at: doi:https://doi.org/10.1080/1068316x.2023.2209262 (Accessed: 07 May 2025).</w:t>
      </w:r>
    </w:p>
    <w:p w14:paraId="26F82C65"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Blenkinsopp, J. and Shademan Pajouh, M. (2010) ‘Lost in translation? Culture, language and the role of the translator in international business’. Critical perspectives on international business, 6(1), pp.38–52. Available at: doi:https://doi.org/10.1108/17422041011017612 (Accessed: 07 May 2025).</w:t>
      </w:r>
    </w:p>
    <w:p w14:paraId="19CBDF82"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Catlin, M., Wilson, D., Redlich, A.D., Talley Bettens, Meissner, C., Bhatt, S. and Brandon, S. (2024) ‘Interview and interrogation methods and their effects on true and false confessions: A systematic review update and extension’. Campbell Systematic Reviews, 20(4). Available at: doi:https://doi.org/10.1002/cl2.1441 (Accessed: 07 May 2025).</w:t>
      </w:r>
    </w:p>
    <w:p w14:paraId="3D4A3646"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Chin, J., Milne, R. and Bull, R. (2022) 'Fuelling an investigative mindset: the importance of pre-interview planning in police interviews with suspects', Psychology, Crime &amp; Law, 30(9), pp. 1–25. Available at: doi: </w:t>
      </w:r>
      <w:hyperlink r:id="rId97" w:history="1">
        <w:r w:rsidRPr="00D00333">
          <w:rPr>
            <w:rFonts w:ascii="Arial" w:hAnsi="Arial" w:cs="Arial"/>
            <w:lang w:val="en-GB"/>
          </w:rPr>
          <w:t>https://doi.org/10.1080/1068316x.2022.2139829</w:t>
        </w:r>
      </w:hyperlink>
      <w:r w:rsidRPr="00D00333">
        <w:rPr>
          <w:rFonts w:ascii="Arial" w:hAnsi="Arial" w:cs="Arial"/>
          <w:color w:val="000000" w:themeColor="text1"/>
          <w:lang w:val="en-GB"/>
        </w:rPr>
        <w:t xml:space="preserve"> (Accessed: 07 May 2025).</w:t>
      </w:r>
    </w:p>
    <w:p w14:paraId="6310F02C"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College of Policing (2022) ‘Investigative interviewing’. Available at: </w:t>
      </w:r>
      <w:hyperlink r:id="rId98" w:history="1">
        <w:r w:rsidRPr="00D00333">
          <w:rPr>
            <w:rFonts w:ascii="Arial" w:hAnsi="Arial" w:cs="Arial"/>
            <w:lang w:val="en-GB"/>
          </w:rPr>
          <w:t>https://www.college.police.uk/guidance/investigative-interviewing</w:t>
        </w:r>
      </w:hyperlink>
      <w:r w:rsidRPr="00D00333">
        <w:rPr>
          <w:rFonts w:ascii="Arial" w:hAnsi="Arial" w:cs="Arial"/>
          <w:color w:val="000000" w:themeColor="text1"/>
          <w:lang w:val="en-GB"/>
        </w:rPr>
        <w:t xml:space="preserve"> (Accessed: 07 May 2025).</w:t>
      </w:r>
    </w:p>
    <w:p w14:paraId="1BDAB289"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Goodman-Delahunty, J. and Martschuk, N., (2016) ‘Risks and Benefits of Interpreter-Mediated Police Interviews’. Varstvoslovje: Journal of Criminal Justice &amp; Security, </w:t>
      </w:r>
      <w:r w:rsidRPr="00D00333">
        <w:rPr>
          <w:rFonts w:ascii="Arial" w:hAnsi="Arial" w:cs="Arial"/>
          <w:color w:val="000000" w:themeColor="text1"/>
          <w:lang w:val="en-GB"/>
        </w:rPr>
        <w:lastRenderedPageBreak/>
        <w:t xml:space="preserve">Available at: </w:t>
      </w:r>
      <w:hyperlink r:id="rId99" w:history="1">
        <w:r w:rsidRPr="00D00333">
          <w:rPr>
            <w:rFonts w:ascii="Arial" w:hAnsi="Arial" w:cs="Arial"/>
            <w:lang w:val="en-GB"/>
          </w:rPr>
          <w:t>https://www.fvv.um.si/rV/arhiv/2016-4/05_Goodman-Delahunty%20_Martschuk_rV_2016-4.pdf</w:t>
        </w:r>
      </w:hyperlink>
      <w:r w:rsidRPr="00D00333">
        <w:rPr>
          <w:rFonts w:ascii="Arial" w:hAnsi="Arial" w:cs="Arial"/>
          <w:color w:val="000000" w:themeColor="text1"/>
          <w:lang w:val="en-GB"/>
        </w:rPr>
        <w:t xml:space="preserve"> (Accessed: 07 May 2025).</w:t>
      </w:r>
    </w:p>
    <w:p w14:paraId="2FFFF07C"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Gustafsson Jertfelt, I.H., Blanchin, A. and Li, S. (2016) ‘Cultural perspective in open-ended interviews – The importance of being adaptable’. Culture &amp; Psychology, 22(4), pp.483–501. Available at: doi:https://doi.org/10.1177/1354067x16650809 (Accessed: 07 May 2025).</w:t>
      </w:r>
    </w:p>
    <w:p w14:paraId="08B9A02A"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Hale, S., Goodman-Delahunty, J. and Martschuk, N. (2018) ‘Interpreter performance in police interviews. Differences between trained interpreters and untrained bilinguals’, The Interpreter and Translator Trainer, 13(2), pp. 107–131. Available at: doi: 10.1080/1750399X.2018.1541649 (Accessed: 07 May 2025).</w:t>
      </w:r>
    </w:p>
    <w:p w14:paraId="544219F0"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Hamida Zekiroski, Powell, M.B. and Cashman, K. (2024) ‘Police officers’ perceptions of a training course designed to enhance open-ended questions with adult witnesses’. Psychiatry Psychology and Law, pp.1–17. Available at: doi:https://doi.org/10.1080/13218719.2024.2346718 (Accessed: 07 May 2025).  </w:t>
      </w:r>
    </w:p>
    <w:p w14:paraId="06E9EC40"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Hope, L., Anakwah, N., Antfolk, J., Brubacher, S.P., Flowe, H., Gabbert, F., Giebels, E., Kanja, W., Korkman, J., Kyo, A., Naka, M., Otgaar, H., Powell, M.B., Selim, H., Skrifvars, J., Sorkpah, I.K., Sowatey, E.A., Steele, L.C., Stevens, L. and Sumampouw, N.E.J. (2021) ‘Urgent issues and prospects at the intersection of culture, memory, and witness interviews: Exploring the challenges for research and practice’. Legal and Criminological Psychology, 27(1), pp.1–31. Available at: doi:https://doi.org/10.1111/lcrp.12202 (Accessed: 07 May 2025).  </w:t>
      </w:r>
    </w:p>
    <w:p w14:paraId="5719017B"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Howe, L.C. and Krosnick, J.A. (2017) ‘Attitude Strength’. Annual Review of Psychology, 68(1), pp.327–351. Available at: doi:https://doi.org/10.1146/annurev-psych-122414-033600 (Accessed: 07 May 2025).  </w:t>
      </w:r>
    </w:p>
    <w:p w14:paraId="755AA84B"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Police Integrity and Corruption in Albania 2.0 (2016) Available at: https://idmalbania.org/wp-content/uploads/2021/11/Police-Integrity-and-Corruption-in-Albania-2.0.pdf (Accessed: 07 May 2025). </w:t>
      </w:r>
    </w:p>
    <w:p w14:paraId="31F73291"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Travaglino, G.A., Abrams, D. and de Moura, G.R. (2016) ‘Men of Honor Don't Talk: The Relationship Between Masculine Honor and Social Activism Against Criminal Organisations in Italy’. Political Psychology, 37(2), pp.183–199. Available at: </w:t>
      </w:r>
      <w:hyperlink r:id="rId100" w:history="1">
        <w:r w:rsidRPr="00D00333">
          <w:rPr>
            <w:rFonts w:ascii="Arial" w:hAnsi="Arial" w:cs="Arial"/>
            <w:lang w:val="en-GB"/>
          </w:rPr>
          <w:t>https://doi-org.ezproxy.uwtsd.ac.uk/10.1111/pops.12226</w:t>
        </w:r>
      </w:hyperlink>
      <w:r w:rsidRPr="00D00333">
        <w:rPr>
          <w:rFonts w:ascii="Arial" w:hAnsi="Arial" w:cs="Arial"/>
          <w:color w:val="000000" w:themeColor="text1"/>
          <w:lang w:val="en-GB"/>
        </w:rPr>
        <w:t xml:space="preserve"> (Accessed: 07 May 2025).</w:t>
      </w:r>
    </w:p>
    <w:p w14:paraId="735BBF1D" w14:textId="77777777" w:rsidR="008A50FD"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Walsh, D., Oxburgh, G.E. and Amurun, T. (2020) ‘Interpreter-Assisted Interviews: Examining Investigators and Interpreters Views on Their Practice’. Journal of Police and Criminal Psychology. Available at: doi:https://doi.org/10.1007/s11896-020-09366-2 (Accessed: 07 May 2025).</w:t>
      </w:r>
    </w:p>
    <w:p w14:paraId="21BF9E98" w14:textId="3C3DE799" w:rsidR="0044401C" w:rsidRPr="00D00333" w:rsidRDefault="008A50FD"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Wheatstone, R. and Ryan, J. (2019) ‘The inside story of how brutal Albanian gangs rose from the UK’s premier sex traffickers to kingpin cocaine dealers’. 08 July. Available at: https://www.thesun.co.uk/news/9328852/albanian-gang-uk-sex-traffickers-cocaine-dealers (Accessed: 7 May 2025).</w:t>
      </w:r>
    </w:p>
    <w:p w14:paraId="2CE56534" w14:textId="77777777" w:rsidR="00D00333" w:rsidRDefault="00D00333" w:rsidP="00D00333">
      <w:pPr>
        <w:spacing w:line="360" w:lineRule="auto"/>
        <w:rPr>
          <w:rFonts w:ascii="Arial" w:hAnsi="Arial" w:cs="Arial"/>
          <w:color w:val="000000" w:themeColor="text1"/>
        </w:rPr>
      </w:pPr>
    </w:p>
    <w:bookmarkEnd w:id="3"/>
    <w:p w14:paraId="5AF715B9" w14:textId="77777777" w:rsidR="00D00333" w:rsidRDefault="00D00333" w:rsidP="2F17ACDD">
      <w:pPr>
        <w:ind w:right="107"/>
        <w:jc w:val="both"/>
        <w:rPr>
          <w:rFonts w:asciiTheme="minorBidi" w:eastAsia="Arial" w:hAnsiTheme="minorBidi"/>
          <w:b/>
          <w:bCs/>
          <w:i/>
          <w:iCs/>
          <w:color w:val="000000" w:themeColor="text1"/>
          <w:sz w:val="24"/>
          <w:szCs w:val="24"/>
        </w:rPr>
      </w:pPr>
    </w:p>
    <w:p w14:paraId="798286C5" w14:textId="794EB15C" w:rsidR="2C28128D" w:rsidRPr="0044401C" w:rsidRDefault="2C28128D" w:rsidP="2F17ACDD">
      <w:pPr>
        <w:ind w:right="107"/>
        <w:jc w:val="both"/>
        <w:rPr>
          <w:rFonts w:asciiTheme="minorBidi" w:eastAsia="Arial" w:hAnsiTheme="minorBidi"/>
          <w:b/>
          <w:bCs/>
          <w:i/>
          <w:iCs/>
          <w:color w:val="000000" w:themeColor="text1"/>
          <w:sz w:val="24"/>
          <w:szCs w:val="24"/>
        </w:rPr>
      </w:pPr>
      <w:r w:rsidRPr="0044401C">
        <w:rPr>
          <w:rFonts w:asciiTheme="minorBidi" w:eastAsia="Arial" w:hAnsiTheme="minorBidi"/>
          <w:b/>
          <w:bCs/>
          <w:i/>
          <w:iCs/>
          <w:color w:val="000000" w:themeColor="text1"/>
          <w:sz w:val="24"/>
          <w:szCs w:val="24"/>
        </w:rPr>
        <w:t xml:space="preserve">Task 4: </w:t>
      </w:r>
      <w:r w:rsidR="62C030DE" w:rsidRPr="0044401C">
        <w:rPr>
          <w:rFonts w:asciiTheme="minorBidi" w:eastAsia="Arial" w:hAnsiTheme="minorBidi"/>
          <w:b/>
          <w:bCs/>
          <w:i/>
          <w:iCs/>
          <w:color w:val="000000" w:themeColor="text1"/>
          <w:sz w:val="24"/>
          <w:szCs w:val="24"/>
        </w:rPr>
        <w:t>Investigation documentation processes</w:t>
      </w:r>
    </w:p>
    <w:p w14:paraId="043F77C6" w14:textId="6207E8F2" w:rsidR="727E3A7D" w:rsidRPr="0044401C" w:rsidRDefault="62F55F56" w:rsidP="2F17ACDD">
      <w:pPr>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rsidRPr="0044401C" w14:paraId="2EA4F0B4" w14:textId="77777777" w:rsidTr="43D343CA">
        <w:tc>
          <w:tcPr>
            <w:tcW w:w="9015" w:type="dxa"/>
          </w:tcPr>
          <w:p w14:paraId="7A93F489" w14:textId="7BC461DC" w:rsidR="7336895D" w:rsidRPr="0044401C" w:rsidRDefault="7336895D" w:rsidP="7336895D">
            <w:pPr>
              <w:rPr>
                <w:rFonts w:asciiTheme="minorBidi" w:eastAsia="Arial" w:hAnsiTheme="minorBidi"/>
                <w:b/>
                <w:bCs/>
                <w:color w:val="000000" w:themeColor="text1"/>
                <w:sz w:val="24"/>
                <w:szCs w:val="24"/>
              </w:rPr>
            </w:pPr>
          </w:p>
          <w:p w14:paraId="1D905E98" w14:textId="6FE4A055" w:rsidR="2F17ACDD" w:rsidRPr="0044401C" w:rsidRDefault="10816A09" w:rsidP="2F17ACDD">
            <w:pPr>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Outline</w:t>
            </w:r>
            <w:r w:rsidRPr="0044401C">
              <w:rPr>
                <w:rFonts w:asciiTheme="minorBidi" w:eastAsia="Arial" w:hAnsiTheme="minorBidi"/>
                <w:color w:val="000000" w:themeColor="text1"/>
                <w:sz w:val="24"/>
                <w:szCs w:val="24"/>
              </w:rPr>
              <w:t xml:space="preserve"> the statutory duties of disclosure within criminal investigations that investigators must adhere to.</w:t>
            </w:r>
          </w:p>
          <w:p w14:paraId="7BB848B8" w14:textId="3B49D8CF" w:rsidR="43D343CA" w:rsidRPr="0044401C" w:rsidRDefault="43D343CA" w:rsidP="43D343CA">
            <w:pPr>
              <w:rPr>
                <w:rFonts w:asciiTheme="minorBidi" w:eastAsia="Arial" w:hAnsiTheme="minorBidi"/>
                <w:color w:val="000000" w:themeColor="text1"/>
                <w:sz w:val="24"/>
                <w:szCs w:val="24"/>
              </w:rPr>
            </w:pPr>
          </w:p>
          <w:p w14:paraId="19960346" w14:textId="2D67F6B8" w:rsidR="47F04EE1" w:rsidRPr="0044401C" w:rsidRDefault="10816A09" w:rsidP="4BFE4F66">
            <w:pPr>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Critically explore</w:t>
            </w:r>
            <w:r w:rsidRPr="0044401C">
              <w:rPr>
                <w:rFonts w:asciiTheme="minorBidi" w:eastAsia="Arial" w:hAnsiTheme="minorBidi"/>
                <w:color w:val="000000" w:themeColor="text1"/>
                <w:sz w:val="24"/>
                <w:szCs w:val="24"/>
              </w:rPr>
              <w:t xml:space="preserve"> the challenges that disclosure presents to investigators, offering potential solutions where appropriate.</w:t>
            </w:r>
          </w:p>
          <w:p w14:paraId="03D4A766" w14:textId="770AE3A0" w:rsidR="4BFE4F66" w:rsidRPr="0044401C" w:rsidRDefault="4BFE4F66" w:rsidP="4BFE4F66">
            <w:pPr>
              <w:rPr>
                <w:rFonts w:asciiTheme="minorBidi" w:eastAsia="Arial" w:hAnsiTheme="minorBidi"/>
                <w:color w:val="000000" w:themeColor="text1"/>
                <w:sz w:val="24"/>
                <w:szCs w:val="24"/>
              </w:rPr>
            </w:pPr>
          </w:p>
          <w:p w14:paraId="5F787D43" w14:textId="728E94B4" w:rsidR="47F04EE1" w:rsidRPr="0044401C" w:rsidRDefault="47F04EE1" w:rsidP="4BFE4F66">
            <w:pPr>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You may draw upon examples from your own professional practice as illustration.</w:t>
            </w:r>
          </w:p>
          <w:p w14:paraId="156C1F5B" w14:textId="72A4E857" w:rsidR="4BFE4F66" w:rsidRPr="0044401C" w:rsidRDefault="4BFE4F66" w:rsidP="4BFE4F66">
            <w:pPr>
              <w:rPr>
                <w:rFonts w:asciiTheme="minorBidi" w:eastAsia="Arial" w:hAnsiTheme="minorBidi"/>
                <w:color w:val="000000" w:themeColor="text1"/>
                <w:sz w:val="24"/>
                <w:szCs w:val="24"/>
              </w:rPr>
            </w:pPr>
          </w:p>
          <w:p w14:paraId="12E49036" w14:textId="7707C521" w:rsidR="7336895D" w:rsidRPr="0044401C" w:rsidRDefault="27A67120" w:rsidP="43D343CA">
            <w:pPr>
              <w:rPr>
                <w:rFonts w:asciiTheme="minorBidi" w:eastAsia="Arial" w:hAnsiTheme="minorBidi"/>
                <w:sz w:val="24"/>
                <w:szCs w:val="24"/>
              </w:rPr>
            </w:pPr>
            <w:r w:rsidRPr="0044401C">
              <w:rPr>
                <w:rFonts w:asciiTheme="minorBidi" w:eastAsia="Arial" w:hAnsiTheme="minorBidi"/>
                <w:b/>
                <w:bCs/>
                <w:color w:val="000000" w:themeColor="text1"/>
                <w:sz w:val="24"/>
                <w:szCs w:val="24"/>
              </w:rPr>
              <w:t xml:space="preserve">2000 words </w:t>
            </w:r>
            <w:r w:rsidRPr="0044401C">
              <w:rPr>
                <w:rFonts w:asciiTheme="minorBidi" w:eastAsia="Arial" w:hAnsiTheme="minorBidi"/>
                <w:i/>
                <w:iCs/>
                <w:color w:val="000000" w:themeColor="text1"/>
                <w:sz w:val="24"/>
                <w:szCs w:val="24"/>
              </w:rPr>
              <w:t>(+/- 10%: include your actual word count at the end of each section)</w:t>
            </w:r>
          </w:p>
          <w:p w14:paraId="3D7DFF00" w14:textId="755FCFBC" w:rsidR="7336895D" w:rsidRPr="0044401C" w:rsidRDefault="7336895D" w:rsidP="43D343CA">
            <w:pPr>
              <w:rPr>
                <w:rFonts w:asciiTheme="minorBidi" w:eastAsia="Arial" w:hAnsiTheme="minorBidi"/>
                <w:i/>
                <w:iCs/>
                <w:color w:val="000000" w:themeColor="text1"/>
                <w:sz w:val="24"/>
                <w:szCs w:val="24"/>
              </w:rPr>
            </w:pPr>
          </w:p>
        </w:tc>
      </w:tr>
    </w:tbl>
    <w:p w14:paraId="5F6C8741" w14:textId="3E5E4629" w:rsidR="2F17ACDD" w:rsidRPr="0044401C" w:rsidRDefault="2F17ACDD" w:rsidP="4BFE4F66">
      <w:pPr>
        <w:ind w:right="107"/>
        <w:jc w:val="both"/>
        <w:rPr>
          <w:rFonts w:asciiTheme="minorBidi" w:eastAsia="Arial" w:hAnsiTheme="minorBidi"/>
          <w:b/>
          <w:bCs/>
          <w:color w:val="000000" w:themeColor="text1"/>
          <w:sz w:val="24"/>
          <w:szCs w:val="24"/>
        </w:rPr>
      </w:pPr>
    </w:p>
    <w:p w14:paraId="3999A614" w14:textId="09D4D0AD" w:rsidR="00965385" w:rsidRPr="00D00333" w:rsidRDefault="005703D5" w:rsidP="00D00333">
      <w:pPr>
        <w:spacing w:line="360" w:lineRule="auto"/>
        <w:ind w:right="237"/>
        <w:jc w:val="both"/>
        <w:rPr>
          <w:rFonts w:ascii="Arial" w:eastAsia="Arial" w:hAnsi="Arial" w:cs="Arial"/>
          <w:b/>
          <w:bCs/>
          <w:color w:val="000000" w:themeColor="text1"/>
        </w:rPr>
      </w:pPr>
      <w:r w:rsidRPr="00D00333">
        <w:rPr>
          <w:rFonts w:ascii="Arial" w:eastAsia="Arial" w:hAnsi="Arial" w:cs="Arial"/>
          <w:b/>
          <w:bCs/>
          <w:color w:val="000000" w:themeColor="text1"/>
        </w:rPr>
        <w:t>Task 4A</w:t>
      </w:r>
    </w:p>
    <w:p w14:paraId="390A3784" w14:textId="27758574" w:rsidR="005703D5" w:rsidRPr="00D00333" w:rsidRDefault="005703D5" w:rsidP="00D00333">
      <w:pPr>
        <w:spacing w:line="360" w:lineRule="auto"/>
        <w:ind w:right="237"/>
        <w:jc w:val="both"/>
        <w:rPr>
          <w:rFonts w:ascii="Arial" w:eastAsia="Arial" w:hAnsi="Arial" w:cs="Arial"/>
          <w:b/>
          <w:bCs/>
          <w:color w:val="000000" w:themeColor="text1"/>
        </w:rPr>
      </w:pPr>
      <w:r w:rsidRPr="00D00333">
        <w:rPr>
          <w:rFonts w:ascii="Arial" w:eastAsia="Arial" w:hAnsi="Arial" w:cs="Arial"/>
          <w:b/>
          <w:bCs/>
          <w:color w:val="000000" w:themeColor="text1"/>
        </w:rPr>
        <w:t>Answer:</w:t>
      </w:r>
    </w:p>
    <w:p w14:paraId="350819C0" w14:textId="77777777" w:rsidR="005703D5" w:rsidRPr="00D00333" w:rsidRDefault="005703D5" w:rsidP="00D00333">
      <w:pPr>
        <w:spacing w:line="360" w:lineRule="auto"/>
        <w:rPr>
          <w:rFonts w:ascii="Arial" w:hAnsi="Arial" w:cs="Arial"/>
          <w:b/>
          <w:bCs/>
        </w:rPr>
      </w:pPr>
      <w:r w:rsidRPr="00D00333">
        <w:rPr>
          <w:rFonts w:ascii="Arial" w:hAnsi="Arial" w:cs="Arial"/>
          <w:b/>
          <w:bCs/>
        </w:rPr>
        <w:t xml:space="preserve">Introduction </w:t>
      </w:r>
    </w:p>
    <w:p w14:paraId="12D0B843" w14:textId="77777777" w:rsidR="005703D5" w:rsidRPr="00D00333" w:rsidRDefault="005703D5" w:rsidP="00D00333">
      <w:pPr>
        <w:spacing w:line="360" w:lineRule="auto"/>
        <w:rPr>
          <w:rFonts w:ascii="Arial" w:hAnsi="Arial" w:cs="Arial"/>
        </w:rPr>
      </w:pPr>
      <w:r w:rsidRPr="00D00333">
        <w:rPr>
          <w:rFonts w:ascii="Arial" w:hAnsi="Arial" w:cs="Arial"/>
        </w:rPr>
        <w:t>Disclosure is crucial in criminal investigations and case preparation. Investigators ensure proper and timely disclosure execution. This essay outlines investigators' statutory disclosure duties in England and Wales.</w:t>
      </w:r>
    </w:p>
    <w:p w14:paraId="6C39B030" w14:textId="77777777" w:rsidR="005703D5" w:rsidRPr="00D00333" w:rsidRDefault="005703D5" w:rsidP="00D00333">
      <w:pPr>
        <w:spacing w:line="360" w:lineRule="auto"/>
        <w:rPr>
          <w:rFonts w:ascii="Arial" w:hAnsi="Arial" w:cs="Arial"/>
          <w:b/>
          <w:bCs/>
        </w:rPr>
      </w:pPr>
      <w:r w:rsidRPr="00D00333">
        <w:rPr>
          <w:rFonts w:ascii="Arial" w:hAnsi="Arial" w:cs="Arial"/>
          <w:b/>
          <w:bCs/>
        </w:rPr>
        <w:t>What is Disclosure</w:t>
      </w:r>
    </w:p>
    <w:p w14:paraId="7C291712" w14:textId="77777777" w:rsidR="005703D5" w:rsidRPr="00D00333" w:rsidRDefault="005703D5" w:rsidP="00D00333">
      <w:pPr>
        <w:spacing w:line="360" w:lineRule="auto"/>
        <w:rPr>
          <w:rFonts w:ascii="Arial" w:hAnsi="Arial" w:cs="Arial"/>
        </w:rPr>
      </w:pPr>
      <w:r w:rsidRPr="00D00333">
        <w:rPr>
          <w:rFonts w:ascii="Arial" w:hAnsi="Arial" w:cs="Arial"/>
          <w:i/>
          <w:iCs/>
        </w:rPr>
        <w:t xml:space="preserve">“Disclosure is a vital part of every investigation and the preparation of every case for prosecution and trial. Public confidence in the system of disclosure needs to be rebuilt and this continues to be a priority for all three of our organisations, both individually and working together.” </w:t>
      </w:r>
      <w:r w:rsidRPr="00D00333">
        <w:rPr>
          <w:rFonts w:ascii="Arial" w:hAnsi="Arial" w:cs="Arial"/>
        </w:rPr>
        <w:t>(Crown Prosecution Service, 2017).</w:t>
      </w:r>
    </w:p>
    <w:p w14:paraId="4F6714A2" w14:textId="77777777" w:rsidR="005703D5" w:rsidRPr="00D00333" w:rsidRDefault="005703D5" w:rsidP="00D00333">
      <w:pPr>
        <w:spacing w:line="360" w:lineRule="auto"/>
        <w:rPr>
          <w:rFonts w:ascii="Arial" w:hAnsi="Arial" w:cs="Arial"/>
        </w:rPr>
      </w:pPr>
      <w:r w:rsidRPr="00D00333">
        <w:rPr>
          <w:rFonts w:ascii="Arial" w:hAnsi="Arial" w:cs="Arial"/>
        </w:rPr>
        <w:lastRenderedPageBreak/>
        <w:t>Disclosure involves investigators, prosecutors, defence, and courts. Police record, retain, review, and reveal material to the prosecution. Investigators review material for relevance, disclosing unused material undermining the prosecution or supporting the defence to the prosecutor, who provides schedules to the defence. The defence may prompt further relevance reassessment (</w:t>
      </w:r>
      <w:proofErr w:type="spellStart"/>
      <w:r w:rsidRPr="00D00333">
        <w:rPr>
          <w:rFonts w:ascii="Arial" w:hAnsi="Arial" w:cs="Arial"/>
        </w:rPr>
        <w:t>Polykarpou</w:t>
      </w:r>
      <w:proofErr w:type="spellEnd"/>
      <w:r w:rsidRPr="00D00333">
        <w:rPr>
          <w:rFonts w:ascii="Arial" w:hAnsi="Arial" w:cs="Arial"/>
        </w:rPr>
        <w:t>, 2022).</w:t>
      </w:r>
    </w:p>
    <w:p w14:paraId="408F77DF" w14:textId="77777777" w:rsidR="005703D5" w:rsidRPr="00D00333" w:rsidRDefault="005703D5" w:rsidP="00D00333">
      <w:pPr>
        <w:spacing w:line="360" w:lineRule="auto"/>
        <w:rPr>
          <w:rFonts w:ascii="Arial" w:hAnsi="Arial" w:cs="Arial"/>
        </w:rPr>
      </w:pPr>
      <w:r w:rsidRPr="00D00333">
        <w:rPr>
          <w:rFonts w:ascii="Arial" w:hAnsi="Arial" w:cs="Arial"/>
        </w:rPr>
        <w:t>Disclosure is vital for public trust and requires collaboration (Crown Prosecution Service, 2017). It involves complex interactions and ongoing material management, assessment, and communication. Non-adherence undermines fairness and confidence (Hoyle, 2023).</w:t>
      </w:r>
    </w:p>
    <w:p w14:paraId="5AF68ADD" w14:textId="4683698A" w:rsidR="005703D5" w:rsidRPr="00D00333" w:rsidRDefault="005703D5" w:rsidP="00D00333">
      <w:pPr>
        <w:spacing w:line="360" w:lineRule="auto"/>
        <w:rPr>
          <w:rFonts w:ascii="Arial" w:hAnsi="Arial" w:cs="Arial"/>
          <w:b/>
          <w:bCs/>
        </w:rPr>
      </w:pPr>
      <w:r w:rsidRPr="00D00333">
        <w:rPr>
          <w:rFonts w:ascii="Arial" w:hAnsi="Arial" w:cs="Arial"/>
          <w:b/>
          <w:bCs/>
        </w:rPr>
        <w:t>History of Disclosure</w:t>
      </w:r>
    </w:p>
    <w:p w14:paraId="3F3A2CDB" w14:textId="77777777" w:rsidR="005703D5" w:rsidRPr="00D00333" w:rsidRDefault="005703D5" w:rsidP="00D00333">
      <w:pPr>
        <w:spacing w:line="360" w:lineRule="auto"/>
        <w:rPr>
          <w:rFonts w:ascii="Arial" w:hAnsi="Arial" w:cs="Arial"/>
        </w:rPr>
      </w:pPr>
      <w:r w:rsidRPr="00D00333">
        <w:rPr>
          <w:rFonts w:ascii="Arial" w:hAnsi="Arial" w:cs="Arial"/>
        </w:rPr>
        <w:t>Morton (2006) offers a critical history of modern disclosure in England and Wales. Before R v Bryant and Dickson (1946), the defence was "blindfolded" with prosecutor discretion (Morton, 2006). The CPIA 1996 began modern disclosure, but Morton argues rules are manipulated, hindering swift justice (Morton, 2006).</w:t>
      </w:r>
    </w:p>
    <w:p w14:paraId="35D7AEF7" w14:textId="77777777" w:rsidR="005703D5" w:rsidRPr="00D00333" w:rsidRDefault="005703D5" w:rsidP="00D00333">
      <w:pPr>
        <w:spacing w:line="360" w:lineRule="auto"/>
        <w:rPr>
          <w:rFonts w:ascii="Arial" w:hAnsi="Arial" w:cs="Arial"/>
        </w:rPr>
      </w:pPr>
      <w:r w:rsidRPr="00D00333">
        <w:rPr>
          <w:rFonts w:ascii="Arial" w:hAnsi="Arial" w:cs="Arial"/>
        </w:rPr>
        <w:t>Disclosure has evolved since the 1960s, now governed by the CPIA 1996 and Code of Practice, establishing the legal framework for investigators (Ministry of Justice, 2020).</w:t>
      </w:r>
    </w:p>
    <w:p w14:paraId="2E6018AA" w14:textId="77777777" w:rsidR="005703D5" w:rsidRPr="00D00333" w:rsidRDefault="005703D5" w:rsidP="00D00333">
      <w:pPr>
        <w:spacing w:line="360" w:lineRule="auto"/>
        <w:rPr>
          <w:rFonts w:ascii="Arial" w:hAnsi="Arial" w:cs="Arial"/>
        </w:rPr>
      </w:pPr>
      <w:r w:rsidRPr="00D00333">
        <w:rPr>
          <w:rFonts w:ascii="Arial" w:hAnsi="Arial" w:cs="Arial"/>
        </w:rPr>
        <w:t>Morton suggests the 1960s system, though unfair, was swifter. Modern practices caused delays and inefficiencies. Nonetheless, balancing efficiency, fairness, and justice is essential. The CPIA and Code of Practice provide a framework while ensuring fair administration.</w:t>
      </w:r>
    </w:p>
    <w:p w14:paraId="379F10EB" w14:textId="77777777" w:rsidR="005703D5" w:rsidRPr="00D00333" w:rsidRDefault="005703D5" w:rsidP="00D00333">
      <w:pPr>
        <w:spacing w:line="360" w:lineRule="auto"/>
        <w:rPr>
          <w:rFonts w:ascii="Arial" w:hAnsi="Arial" w:cs="Arial"/>
        </w:rPr>
      </w:pPr>
      <w:r w:rsidRPr="00D00333">
        <w:rPr>
          <w:rFonts w:ascii="Arial" w:hAnsi="Arial" w:cs="Arial"/>
          <w:b/>
          <w:bCs/>
        </w:rPr>
        <w:t>The Criminal Procedure and Investigations Act 1996</w:t>
      </w:r>
    </w:p>
    <w:p w14:paraId="6C58D512" w14:textId="77777777" w:rsidR="005703D5" w:rsidRPr="00D00333" w:rsidRDefault="005703D5" w:rsidP="00D00333">
      <w:pPr>
        <w:spacing w:line="360" w:lineRule="auto"/>
        <w:rPr>
          <w:rFonts w:ascii="Arial" w:hAnsi="Arial" w:cs="Arial"/>
        </w:rPr>
      </w:pPr>
      <w:r w:rsidRPr="00D00333">
        <w:rPr>
          <w:rFonts w:ascii="Arial" w:hAnsi="Arial" w:cs="Arial"/>
        </w:rPr>
        <w:t>The CPIA 1996 Code outlines investigators' duties: pursue reasonable lines of inquiry, record and retain material, and reveal to prosecutors anything undermining the prosecution or assisting the defence (Brader, 2020).</w:t>
      </w:r>
    </w:p>
    <w:p w14:paraId="26F2FB3E" w14:textId="77777777" w:rsidR="005703D5" w:rsidRPr="00D00333" w:rsidRDefault="005703D5" w:rsidP="00D00333">
      <w:pPr>
        <w:spacing w:line="360" w:lineRule="auto"/>
        <w:rPr>
          <w:rFonts w:ascii="Arial" w:hAnsi="Arial" w:cs="Arial"/>
          <w:color w:val="000000" w:themeColor="text1"/>
        </w:rPr>
      </w:pPr>
      <w:r w:rsidRPr="00D00333">
        <w:rPr>
          <w:rFonts w:ascii="Arial" w:hAnsi="Arial" w:cs="Arial"/>
        </w:rPr>
        <w:t xml:space="preserve">After a defence statement, investigators re-examine material, bringing relevant information to the prosecutor. The disclosure officer and prosecutor jointly examine, reveal, disclose, </w:t>
      </w:r>
      <w:r w:rsidRPr="00D00333">
        <w:rPr>
          <w:rFonts w:ascii="Arial" w:hAnsi="Arial" w:cs="Arial"/>
          <w:color w:val="000000" w:themeColor="text1"/>
        </w:rPr>
        <w:t xml:space="preserve">and certify </w:t>
      </w:r>
      <w:r w:rsidRPr="00CA6160">
        <w:rPr>
          <w:rFonts w:ascii="Arial" w:hAnsi="Arial" w:cs="Arial"/>
          <w:color w:val="000000" w:themeColor="text1"/>
        </w:rPr>
        <w:t>(</w:t>
      </w:r>
      <w:hyperlink r:id="rId101" w:history="1">
        <w:r w:rsidRPr="00CA6160">
          <w:rPr>
            <w:rStyle w:val="Hyperlink"/>
            <w:rFonts w:ascii="Arial" w:hAnsi="Arial" w:cs="Arial"/>
            <w:color w:val="000000" w:themeColor="text1"/>
            <w:u w:val="none"/>
          </w:rPr>
          <w:t>www.jmw.co.uk</w:t>
        </w:r>
      </w:hyperlink>
      <w:r w:rsidRPr="00D00333">
        <w:rPr>
          <w:rFonts w:ascii="Arial" w:hAnsi="Arial" w:cs="Arial"/>
          <w:color w:val="000000" w:themeColor="text1"/>
        </w:rPr>
        <w:t>, n.d.).</w:t>
      </w:r>
    </w:p>
    <w:p w14:paraId="529D3BFC" w14:textId="77777777" w:rsidR="005703D5" w:rsidRPr="00D00333" w:rsidRDefault="005703D5" w:rsidP="00D00333">
      <w:pPr>
        <w:spacing w:line="360" w:lineRule="auto"/>
        <w:rPr>
          <w:rFonts w:ascii="Arial" w:hAnsi="Arial" w:cs="Arial"/>
        </w:rPr>
      </w:pPr>
      <w:r w:rsidRPr="00D00333">
        <w:rPr>
          <w:rFonts w:ascii="Arial" w:hAnsi="Arial" w:cs="Arial"/>
        </w:rPr>
        <w:t>Investigators actively seek, record, retain, review, and reveal material to prosecutors, focusing on unused material potentially undermining the prosecution or aiding the defence (Ministry of Justice, 2020).</w:t>
      </w:r>
    </w:p>
    <w:p w14:paraId="751310CE" w14:textId="77777777" w:rsidR="005703D5" w:rsidRPr="00D00333" w:rsidRDefault="005703D5" w:rsidP="00D00333">
      <w:pPr>
        <w:spacing w:line="360" w:lineRule="auto"/>
        <w:rPr>
          <w:rFonts w:ascii="Arial" w:hAnsi="Arial" w:cs="Arial"/>
        </w:rPr>
      </w:pPr>
      <w:r w:rsidRPr="00D00333">
        <w:rPr>
          <w:rFonts w:ascii="Arial" w:hAnsi="Arial" w:cs="Arial"/>
        </w:rPr>
        <w:t>Griffiths (2022) examines the Attorney General's 2020 Guidelines, updated in 2022, outlining disclosure principles under the CPIA 1996. Guidelines define roles for fair trials through disclosure, balancing fair trial (Article 6 ECHR) and privacy (Article 8 ECHR) rights (European Union Agency for Fundamental Rights, 2018).</w:t>
      </w:r>
    </w:p>
    <w:p w14:paraId="77789C01" w14:textId="77777777" w:rsidR="005703D5" w:rsidRPr="00D00333" w:rsidRDefault="005703D5" w:rsidP="00D00333">
      <w:pPr>
        <w:spacing w:line="360" w:lineRule="auto"/>
        <w:rPr>
          <w:rFonts w:ascii="Arial" w:hAnsi="Arial" w:cs="Arial"/>
        </w:rPr>
      </w:pPr>
      <w:r w:rsidRPr="00D00333">
        <w:rPr>
          <w:rFonts w:ascii="Arial" w:hAnsi="Arial" w:cs="Arial"/>
        </w:rPr>
        <w:lastRenderedPageBreak/>
        <w:t>Disclosure requires ongoing evaluation and engagement. Personal/private material handling must be lawful, necessary, proportionate, and least intrusive. Fair trial rights take precedence, with justified, minimal intrusion (Attorney General's Office, 2024).</w:t>
      </w:r>
    </w:p>
    <w:p w14:paraId="6905C53A" w14:textId="77777777" w:rsidR="005703D5" w:rsidRPr="00D00333" w:rsidRDefault="005703D5" w:rsidP="00D00333">
      <w:pPr>
        <w:spacing w:line="360" w:lineRule="auto"/>
        <w:rPr>
          <w:rFonts w:ascii="Arial" w:hAnsi="Arial" w:cs="Arial"/>
          <w:b/>
          <w:bCs/>
        </w:rPr>
      </w:pPr>
      <w:r w:rsidRPr="00D00333">
        <w:rPr>
          <w:rFonts w:ascii="Arial" w:hAnsi="Arial" w:cs="Arial"/>
          <w:b/>
          <w:bCs/>
        </w:rPr>
        <w:t>Key Duties of Investigators</w:t>
      </w:r>
    </w:p>
    <w:p w14:paraId="1D6C2D72" w14:textId="77777777" w:rsidR="005703D5" w:rsidRPr="00D00333" w:rsidRDefault="005703D5" w:rsidP="00D00333">
      <w:pPr>
        <w:spacing w:line="360" w:lineRule="auto"/>
        <w:rPr>
          <w:rFonts w:ascii="Arial" w:hAnsi="Arial" w:cs="Arial"/>
        </w:rPr>
      </w:pPr>
      <w:r w:rsidRPr="00D00333">
        <w:rPr>
          <w:rFonts w:ascii="Arial" w:hAnsi="Arial" w:cs="Arial"/>
        </w:rPr>
        <w:t>According to the Crown Prosecution Service (CPS, 2021), investigators have three primary duties in criminal investigations. First, they must record, retain, and review all material objectively, ensuring that all relevant information is preserved and considered throughout the investigation. Second, investigators must reveal relevant material to prosecutors, identifying items that undermine the prosecution or support the defence, promoting fairness by allowing the defence access to crucial information. Third, investigators must pursue reasonable lines of inquiry, including those exonerating the suspect, approaching the case objectively and exploring all plausible avenues of investigation, even if they lead to evidence challenging the prosecution's case. By diligently fulfilling these duties, investigators uphold the fairness and integrity of the criminal justice process.</w:t>
      </w:r>
    </w:p>
    <w:p w14:paraId="5A182D0E" w14:textId="77777777" w:rsidR="005703D5" w:rsidRPr="00D00333" w:rsidRDefault="005703D5" w:rsidP="00D00333">
      <w:pPr>
        <w:spacing w:line="360" w:lineRule="auto"/>
        <w:rPr>
          <w:rFonts w:ascii="Arial" w:hAnsi="Arial" w:cs="Arial"/>
          <w:b/>
          <w:bCs/>
        </w:rPr>
      </w:pPr>
      <w:r w:rsidRPr="00D00333">
        <w:rPr>
          <w:rFonts w:ascii="Arial" w:hAnsi="Arial" w:cs="Arial"/>
          <w:b/>
          <w:bCs/>
        </w:rPr>
        <w:t xml:space="preserve">Balancing the Rights to a Fair Trial and Privacy </w:t>
      </w:r>
    </w:p>
    <w:p w14:paraId="6C85463A" w14:textId="77777777" w:rsidR="005703D5" w:rsidRPr="00D00333" w:rsidRDefault="005703D5" w:rsidP="00D00333">
      <w:pPr>
        <w:spacing w:line="360" w:lineRule="auto"/>
        <w:rPr>
          <w:rFonts w:ascii="Arial" w:hAnsi="Arial" w:cs="Arial"/>
        </w:rPr>
      </w:pPr>
      <w:r w:rsidRPr="00D00333">
        <w:rPr>
          <w:rFonts w:ascii="Arial" w:hAnsi="Arial" w:cs="Arial"/>
        </w:rPr>
        <w:t>Investigators must ensure personal/private material handling is lawful, necessary, proportionate, and least intrusive. Fair trial rights (Article 6 ECHR) take precedence over privacy (Article 8 ECHR), but intrusion must be justified and minimal (Horsman, 2022).</w:t>
      </w:r>
    </w:p>
    <w:p w14:paraId="4FE41E99" w14:textId="77777777" w:rsidR="005703D5" w:rsidRPr="00D00333" w:rsidRDefault="005703D5" w:rsidP="00D00333">
      <w:pPr>
        <w:spacing w:line="360" w:lineRule="auto"/>
        <w:rPr>
          <w:rFonts w:ascii="Arial" w:hAnsi="Arial" w:cs="Arial"/>
          <w:b/>
          <w:bCs/>
        </w:rPr>
      </w:pPr>
      <w:r w:rsidRPr="00D00333">
        <w:rPr>
          <w:rFonts w:ascii="Arial" w:hAnsi="Arial" w:cs="Arial"/>
          <w:b/>
          <w:bCs/>
        </w:rPr>
        <w:t xml:space="preserve">Conclusion </w:t>
      </w:r>
    </w:p>
    <w:p w14:paraId="45DE8A23" w14:textId="77777777" w:rsidR="00D555B5" w:rsidRPr="00D00333" w:rsidRDefault="00D555B5" w:rsidP="00D555B5">
      <w:pPr>
        <w:spacing w:line="360" w:lineRule="auto"/>
        <w:rPr>
          <w:rFonts w:ascii="Arial" w:hAnsi="Arial" w:cs="Arial"/>
        </w:rPr>
      </w:pPr>
      <w:bookmarkStart w:id="4" w:name="_Hlk197616740"/>
      <w:r w:rsidRPr="00F438A6">
        <w:rPr>
          <w:rFonts w:ascii="Arial" w:hAnsi="Arial" w:cs="Arial"/>
        </w:rPr>
        <w:t xml:space="preserve">Disclosure is essential for ensuring fairness, transparency, and justice in criminal investigations. As Morton (2006) notes, the disclosure process has evolved to balance efficiency, fairness, and justice. Investigators must adhere to the statutory duties outlined in the CPIA 1996 and its Code of Practice, respecting the rights to a fair trial and privacy. </w:t>
      </w:r>
      <w:r w:rsidRPr="00D00333">
        <w:rPr>
          <w:rFonts w:ascii="Arial" w:hAnsi="Arial" w:cs="Arial"/>
        </w:rPr>
        <w:t>The Attorney General's Guidelines (2020) emphasise this balance, considering fair trial and privacy rights.</w:t>
      </w:r>
    </w:p>
    <w:p w14:paraId="056640B4" w14:textId="77777777" w:rsidR="00D555B5" w:rsidRPr="00F438A6" w:rsidRDefault="00D555B5" w:rsidP="00D555B5">
      <w:pPr>
        <w:spacing w:line="360" w:lineRule="auto"/>
        <w:rPr>
          <w:rFonts w:ascii="Arial" w:hAnsi="Arial" w:cs="Arial"/>
        </w:rPr>
      </w:pPr>
      <w:r w:rsidRPr="00F438A6">
        <w:rPr>
          <w:rFonts w:ascii="Arial" w:hAnsi="Arial" w:cs="Arial"/>
        </w:rPr>
        <w:t>By diligently fulfilling these duties and collaborating with other stakeholders, investigators maintain the integrity of the criminal justice system and public confidence in the disclosure process. Given the critical role of disclosure, investigators must remain committed to their statutory obligations and work to continuously improve the process.</w:t>
      </w:r>
    </w:p>
    <w:bookmarkEnd w:id="4"/>
    <w:p w14:paraId="08DDCEAD" w14:textId="47433DB3" w:rsidR="005703D5" w:rsidRPr="00D00333" w:rsidRDefault="005703D5" w:rsidP="00D00333">
      <w:pPr>
        <w:spacing w:line="360" w:lineRule="auto"/>
        <w:rPr>
          <w:rFonts w:ascii="Arial" w:hAnsi="Arial" w:cs="Arial"/>
          <w:b/>
          <w:bCs/>
          <w:u w:val="single"/>
        </w:rPr>
      </w:pPr>
      <w:r w:rsidRPr="00D00333">
        <w:rPr>
          <w:rFonts w:ascii="Arial" w:hAnsi="Arial" w:cs="Arial"/>
          <w:b/>
          <w:bCs/>
          <w:u w:val="single"/>
        </w:rPr>
        <w:t xml:space="preserve">Word Count – </w:t>
      </w:r>
      <w:r w:rsidR="00D555B5">
        <w:rPr>
          <w:rFonts w:ascii="Arial" w:hAnsi="Arial" w:cs="Arial"/>
          <w:b/>
          <w:bCs/>
          <w:u w:val="single"/>
        </w:rPr>
        <w:t>718</w:t>
      </w:r>
      <w:r w:rsidRPr="00D00333">
        <w:rPr>
          <w:rFonts w:ascii="Arial" w:hAnsi="Arial" w:cs="Arial"/>
          <w:b/>
          <w:bCs/>
          <w:u w:val="single"/>
        </w:rPr>
        <w:t xml:space="preserve"> Words. </w:t>
      </w:r>
    </w:p>
    <w:p w14:paraId="0E577E58" w14:textId="77777777" w:rsidR="00D555B5" w:rsidRDefault="00D555B5" w:rsidP="00D00333">
      <w:pPr>
        <w:spacing w:line="360" w:lineRule="auto"/>
        <w:rPr>
          <w:rFonts w:ascii="Arial" w:hAnsi="Arial" w:cs="Arial"/>
          <w:b/>
          <w:bCs/>
        </w:rPr>
      </w:pPr>
    </w:p>
    <w:p w14:paraId="28AFE36C" w14:textId="77777777" w:rsidR="00D555B5" w:rsidRDefault="00D555B5" w:rsidP="00D00333">
      <w:pPr>
        <w:spacing w:line="360" w:lineRule="auto"/>
        <w:rPr>
          <w:rFonts w:ascii="Arial" w:hAnsi="Arial" w:cs="Arial"/>
          <w:b/>
          <w:bCs/>
        </w:rPr>
      </w:pPr>
    </w:p>
    <w:p w14:paraId="404E7952" w14:textId="4D96AE77" w:rsidR="005703D5" w:rsidRPr="00D00333" w:rsidRDefault="005703D5" w:rsidP="00D00333">
      <w:pPr>
        <w:spacing w:line="360" w:lineRule="auto"/>
        <w:rPr>
          <w:rFonts w:ascii="Arial" w:hAnsi="Arial" w:cs="Arial"/>
          <w:b/>
          <w:bCs/>
        </w:rPr>
      </w:pPr>
      <w:r w:rsidRPr="00D00333">
        <w:rPr>
          <w:rFonts w:ascii="Arial" w:hAnsi="Arial" w:cs="Arial"/>
          <w:b/>
          <w:bCs/>
        </w:rPr>
        <w:lastRenderedPageBreak/>
        <w:t>Reference</w:t>
      </w:r>
    </w:p>
    <w:p w14:paraId="1D911AA7" w14:textId="785853AD"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Attorney General's Office (2020) ‘Attorney General's Guidelines on Disclosure’. Available at: </w:t>
      </w:r>
      <w:hyperlink r:id="rId102" w:history="1">
        <w:r w:rsidRPr="00D00333">
          <w:rPr>
            <w:rFonts w:ascii="Arial" w:hAnsi="Arial" w:cs="Arial"/>
            <w:lang w:val="en-GB"/>
          </w:rPr>
          <w:t>https://www.gov.uk/government/publications/attorney-generals-guidelines-on-disclosure-2020</w:t>
        </w:r>
      </w:hyperlink>
      <w:r w:rsidRPr="00D00333">
        <w:rPr>
          <w:rFonts w:ascii="Arial" w:hAnsi="Arial" w:cs="Arial"/>
          <w:color w:val="000000" w:themeColor="text1"/>
          <w:lang w:val="en-GB"/>
        </w:rPr>
        <w:t xml:space="preserve"> (Assessed: 06 May 2025).</w:t>
      </w:r>
    </w:p>
    <w:p w14:paraId="62B846AB"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Attorney General's Office (2024) ‘Attorney General's Guidelines on Disclosure 2024’. Available at: </w:t>
      </w:r>
      <w:hyperlink r:id="rId103" w:history="1">
        <w:r w:rsidRPr="00D00333">
          <w:rPr>
            <w:rFonts w:ascii="Arial" w:hAnsi="Arial" w:cs="Arial"/>
            <w:lang w:val="en-GB"/>
          </w:rPr>
          <w:t>https://assets.publishing.service.gov.uk/media/65e1ab9d2f2b3b00117cd803/Attorney_General_s_Guidelines_on_Disclosure_-_2024.pdf</w:t>
        </w:r>
      </w:hyperlink>
      <w:r w:rsidRPr="00D00333">
        <w:rPr>
          <w:rFonts w:ascii="Arial" w:hAnsi="Arial" w:cs="Arial"/>
          <w:color w:val="000000" w:themeColor="text1"/>
          <w:lang w:val="en-GB"/>
        </w:rPr>
        <w:t xml:space="preserve"> (Accessed: 06 May 2025).</w:t>
      </w:r>
    </w:p>
    <w:p w14:paraId="527BEB55"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Brader, C. (2020) ‘The Criminal Procedure and Investigations Act 1996 (Code of Practice) Order 2020’. House of Lords Library. Available at: </w:t>
      </w:r>
      <w:hyperlink r:id="rId104" w:history="1">
        <w:r w:rsidRPr="00D00333">
          <w:rPr>
            <w:rFonts w:ascii="Arial" w:hAnsi="Arial" w:cs="Arial"/>
            <w:lang w:val="en-GB"/>
          </w:rPr>
          <w:t>https://lordslibrary.parliament.uk/the-criminal-procedure-and-investigations-act-1996-code-of-practice-order-2020</w:t>
        </w:r>
      </w:hyperlink>
      <w:r w:rsidRPr="00D00333">
        <w:rPr>
          <w:rFonts w:ascii="Arial" w:hAnsi="Arial" w:cs="Arial"/>
          <w:color w:val="000000" w:themeColor="text1"/>
          <w:lang w:val="en-GB"/>
        </w:rPr>
        <w:t xml:space="preserve"> (Accessed: 06 May 2025).</w:t>
      </w:r>
    </w:p>
    <w:p w14:paraId="76FFF437"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CPS (2021) ‘Disclosure Manual: Chapter 3 - Roles and Responsibilities | The Crown Prosecution Service’. Available at: </w:t>
      </w:r>
      <w:hyperlink r:id="rId105" w:history="1">
        <w:r w:rsidRPr="00D00333">
          <w:rPr>
            <w:rFonts w:ascii="Arial" w:hAnsi="Arial" w:cs="Arial"/>
            <w:lang w:val="en-GB"/>
          </w:rPr>
          <w:t>https://www.cps.gov.uk/legal-guidance/disclosure-manual-chapter-3-roles-and-responsibilities</w:t>
        </w:r>
      </w:hyperlink>
      <w:r w:rsidRPr="00D00333">
        <w:rPr>
          <w:rFonts w:ascii="Arial" w:hAnsi="Arial" w:cs="Arial"/>
          <w:color w:val="000000" w:themeColor="text1"/>
          <w:lang w:val="en-GB"/>
        </w:rPr>
        <w:t xml:space="preserve"> (Accessed: 06 May 2025).</w:t>
      </w:r>
    </w:p>
    <w:p w14:paraId="5448E81A"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Crown Prosecution Service (2017) ‘Disclosure | The Crown Prosecution Service’. Available at: </w:t>
      </w:r>
      <w:hyperlink r:id="rId106" w:history="1">
        <w:r w:rsidRPr="00D00333">
          <w:rPr>
            <w:rFonts w:ascii="Arial" w:hAnsi="Arial" w:cs="Arial"/>
            <w:lang w:val="en-GB"/>
          </w:rPr>
          <w:t>https://www.cps.gov.uk/about-cps/disclosure</w:t>
        </w:r>
      </w:hyperlink>
      <w:r w:rsidRPr="00D00333">
        <w:rPr>
          <w:rFonts w:ascii="Arial" w:hAnsi="Arial" w:cs="Arial"/>
          <w:color w:val="000000" w:themeColor="text1"/>
          <w:lang w:val="en-GB"/>
        </w:rPr>
        <w:t xml:space="preserve"> (Accessed: 06 May 2025).</w:t>
      </w:r>
    </w:p>
    <w:p w14:paraId="6E24F251"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European Union Agency for Fundamental Rights (2018) ‘European Convention on Human Rights - Article 6’. Available at: </w:t>
      </w:r>
      <w:hyperlink r:id="rId107" w:history="1">
        <w:r w:rsidRPr="00D00333">
          <w:rPr>
            <w:rFonts w:ascii="Arial" w:hAnsi="Arial" w:cs="Arial"/>
            <w:lang w:val="en-GB"/>
          </w:rPr>
          <w:t>https://fra.europa.eu/en/law-reference/european-convention-human-rights-article-6</w:t>
        </w:r>
      </w:hyperlink>
      <w:r w:rsidRPr="00D00333">
        <w:rPr>
          <w:rFonts w:ascii="Arial" w:hAnsi="Arial" w:cs="Arial"/>
          <w:color w:val="000000" w:themeColor="text1"/>
          <w:lang w:val="en-GB"/>
        </w:rPr>
        <w:t xml:space="preserve"> (Accessed: 06 May 2025).</w:t>
      </w:r>
    </w:p>
    <w:p w14:paraId="1A70F6A1"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European Union Agency for Fundamental Rights (2018) ‘European Convention on Human Rights - Article 8’. Available at: </w:t>
      </w:r>
      <w:hyperlink r:id="rId108" w:history="1">
        <w:r w:rsidRPr="00D00333">
          <w:rPr>
            <w:rFonts w:ascii="Arial" w:hAnsi="Arial" w:cs="Arial"/>
            <w:lang w:val="en-GB"/>
          </w:rPr>
          <w:t>https://fra.europa.eu/en/law-reference/european-convention-human-rights-article-8-0</w:t>
        </w:r>
      </w:hyperlink>
      <w:r w:rsidRPr="00D00333">
        <w:rPr>
          <w:rFonts w:ascii="Arial" w:hAnsi="Arial" w:cs="Arial"/>
          <w:color w:val="000000" w:themeColor="text1"/>
          <w:lang w:val="en-GB"/>
        </w:rPr>
        <w:t xml:space="preserve"> (Accessed: 06 May 2025).</w:t>
      </w:r>
    </w:p>
    <w:p w14:paraId="7AB232DC"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GOV.UK (1996) ‘Criminal Procedure and Investigations Act 1996’. Available at: </w:t>
      </w:r>
      <w:hyperlink r:id="rId109" w:history="1">
        <w:r w:rsidRPr="00D00333">
          <w:rPr>
            <w:rFonts w:ascii="Arial" w:hAnsi="Arial" w:cs="Arial"/>
            <w:lang w:val="en-GB"/>
          </w:rPr>
          <w:t>https://www.legislation.gov.uk/ukpga/1996/25/contents</w:t>
        </w:r>
      </w:hyperlink>
      <w:r w:rsidRPr="00D00333">
        <w:rPr>
          <w:rFonts w:ascii="Arial" w:hAnsi="Arial" w:cs="Arial"/>
          <w:color w:val="000000" w:themeColor="text1"/>
          <w:lang w:val="en-GB"/>
        </w:rPr>
        <w:t xml:space="preserve"> (Accessed: 06 May 2025).</w:t>
      </w:r>
    </w:p>
    <w:p w14:paraId="215620DA"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Griffiths, C. (2022) ‘Getting people thinking and talking: An exploration of the Attorney General's 2020 guidelines on disclosure’. Available at: </w:t>
      </w:r>
      <w:hyperlink r:id="rId110" w:history="1">
        <w:r w:rsidRPr="00D00333">
          <w:rPr>
            <w:rFonts w:ascii="Arial" w:hAnsi="Arial" w:cs="Arial"/>
            <w:lang w:val="en-GB"/>
          </w:rPr>
          <w:t>https://doi.org/10.1177/13657127221124362</w:t>
        </w:r>
      </w:hyperlink>
      <w:r w:rsidRPr="00D00333">
        <w:rPr>
          <w:rFonts w:ascii="Arial" w:hAnsi="Arial" w:cs="Arial"/>
          <w:color w:val="000000" w:themeColor="text1"/>
          <w:lang w:val="en-GB"/>
        </w:rPr>
        <w:t xml:space="preserve"> (Accessed: 06 May 2025).</w:t>
      </w:r>
    </w:p>
    <w:p w14:paraId="003719A6"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Horsman, G. (2022) ‘Defining principles for preserving privacy in digital forensic examinations’. Available at: </w:t>
      </w:r>
      <w:hyperlink r:id="rId111" w:history="1">
        <w:r w:rsidRPr="00D00333">
          <w:rPr>
            <w:rFonts w:ascii="Arial" w:hAnsi="Arial" w:cs="Arial"/>
            <w:lang w:val="en-GB"/>
          </w:rPr>
          <w:t>https://doi.org/10.1016/j.fsidi.2022.301350</w:t>
        </w:r>
      </w:hyperlink>
      <w:r w:rsidRPr="00D00333">
        <w:rPr>
          <w:rFonts w:ascii="Arial" w:hAnsi="Arial" w:cs="Arial"/>
          <w:color w:val="000000" w:themeColor="text1"/>
          <w:lang w:val="en-GB"/>
        </w:rPr>
        <w:t xml:space="preserve"> (Accessed: 06 May 2025).</w:t>
      </w:r>
    </w:p>
    <w:p w14:paraId="5CDFAF99"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lastRenderedPageBreak/>
        <w:t>Hoyle, C. (2023) ‘Review of wrongful convictions following police misconduct: A study of the English Criminal Cases Review Commission’. Monatsschrift Fur Kriminologie Und Strafrechtsreform, 0(0). Available at: doi:https://doi.org/10.1515/mks-2023-0021 (Accessed: 06 May 2025).</w:t>
      </w:r>
    </w:p>
    <w:p w14:paraId="0C606690"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Ministry Of Justice (2020) ‘Criminal Procedure and Investigations Act 1996 (section 23(1)) Code of Practice Revised in accordance with section 25(4) of the Criminal Procedure and Investigations Act 1996 and presented to Parliament pursuant to section 25(2) of the Act’. Available at: </w:t>
      </w:r>
      <w:hyperlink r:id="rId112" w:history="1">
        <w:r w:rsidRPr="00D00333">
          <w:rPr>
            <w:rFonts w:ascii="Arial" w:hAnsi="Arial" w:cs="Arial"/>
            <w:lang w:val="en-GB"/>
          </w:rPr>
          <w:t>https://assets.publishing.service.gov.uk/government/uploads/system/uploads/attachment_data/file/931173/Criminal-procedure-and-investigations-act-1996.pdf</w:t>
        </w:r>
      </w:hyperlink>
      <w:r w:rsidRPr="00D00333">
        <w:rPr>
          <w:rFonts w:ascii="Arial" w:hAnsi="Arial" w:cs="Arial"/>
          <w:color w:val="000000" w:themeColor="text1"/>
          <w:lang w:val="en-GB"/>
        </w:rPr>
        <w:t xml:space="preserve"> (Accessed: 06 May 2025).</w:t>
      </w:r>
    </w:p>
    <w:p w14:paraId="694B6C57"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Morton, J. (2006) ‘If I Ran the Criminal Justice System’. Available at: doi:https://doi.org/10.1350/jcla.2006.70.2.93 (Accessed: 06 May 2025).</w:t>
      </w:r>
    </w:p>
    <w:p w14:paraId="0D883122" w14:textId="77777777" w:rsidR="005703D5"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Polykarpou, M. (2022) ‘Prosecutorial and Police Disclosure Ethics in Criminal Evidence Review in the UK and the US’. A Comparative Account. Available at: doi:https://doi.org/10.1080/0731129x.2022.2056352 (Accessed: 06 May 2025).</w:t>
      </w:r>
    </w:p>
    <w:p w14:paraId="3CD18B91" w14:textId="64D80AD1" w:rsidR="0044401C" w:rsidRPr="00D00333" w:rsidRDefault="005703D5" w:rsidP="00D00333">
      <w:pPr>
        <w:pStyle w:val="EndNoteBibliography"/>
        <w:spacing w:before="240" w:after="0" w:line="360" w:lineRule="auto"/>
        <w:ind w:left="720" w:hanging="720"/>
        <w:rPr>
          <w:rFonts w:ascii="Arial" w:hAnsi="Arial" w:cs="Arial"/>
          <w:color w:val="000000" w:themeColor="text1"/>
          <w:lang w:val="en-GB"/>
        </w:rPr>
      </w:pPr>
      <w:r w:rsidRPr="00D00333">
        <w:rPr>
          <w:rFonts w:ascii="Arial" w:hAnsi="Arial" w:cs="Arial"/>
          <w:color w:val="000000" w:themeColor="text1"/>
          <w:lang w:val="en-GB"/>
        </w:rPr>
        <w:t xml:space="preserve">www.jmw.co.uk. (n.d.). ‘Defence Case Statements in Criminal Defence’. Available at: </w:t>
      </w:r>
      <w:hyperlink r:id="rId113" w:history="1">
        <w:r w:rsidRPr="00D00333">
          <w:rPr>
            <w:rFonts w:ascii="Arial" w:hAnsi="Arial" w:cs="Arial"/>
            <w:lang w:val="en-GB"/>
          </w:rPr>
          <w:t>https://www.jmw.co.uk/blog/business-crime/defence-case-statements-in-criminal-defence</w:t>
        </w:r>
      </w:hyperlink>
      <w:r w:rsidRPr="00D00333">
        <w:rPr>
          <w:rFonts w:ascii="Arial" w:hAnsi="Arial" w:cs="Arial"/>
          <w:color w:val="000000" w:themeColor="text1"/>
          <w:lang w:val="en-GB"/>
        </w:rPr>
        <w:t xml:space="preserve"> (Accessed: 06 May 2025).</w:t>
      </w:r>
    </w:p>
    <w:p w14:paraId="17D08F14" w14:textId="77777777" w:rsidR="00343618" w:rsidRDefault="00343618">
      <w:pPr>
        <w:rPr>
          <w:rFonts w:asciiTheme="minorBidi" w:hAnsiTheme="minorBidi"/>
          <w:color w:val="000000" w:themeColor="text1"/>
        </w:rPr>
      </w:pPr>
    </w:p>
    <w:p w14:paraId="763E5F77" w14:textId="77777777" w:rsidR="00D555B5" w:rsidRDefault="00D555B5" w:rsidP="00343618">
      <w:pPr>
        <w:spacing w:line="360" w:lineRule="auto"/>
        <w:ind w:right="237"/>
        <w:jc w:val="both"/>
        <w:rPr>
          <w:rFonts w:ascii="Arial" w:eastAsia="Arial" w:hAnsi="Arial" w:cs="Arial"/>
          <w:b/>
          <w:bCs/>
          <w:color w:val="000000" w:themeColor="text1"/>
        </w:rPr>
      </w:pPr>
    </w:p>
    <w:p w14:paraId="0E507F10" w14:textId="79A2D125" w:rsidR="0054097D" w:rsidRPr="00343618" w:rsidRDefault="0054097D" w:rsidP="00343618">
      <w:pPr>
        <w:spacing w:line="360" w:lineRule="auto"/>
        <w:ind w:right="237"/>
        <w:jc w:val="both"/>
        <w:rPr>
          <w:rFonts w:ascii="Arial" w:eastAsia="Arial" w:hAnsi="Arial" w:cs="Arial"/>
          <w:b/>
          <w:bCs/>
          <w:color w:val="000000" w:themeColor="text1"/>
        </w:rPr>
      </w:pPr>
      <w:r w:rsidRPr="00343618">
        <w:rPr>
          <w:rFonts w:ascii="Arial" w:eastAsia="Arial" w:hAnsi="Arial" w:cs="Arial"/>
          <w:b/>
          <w:bCs/>
          <w:color w:val="000000" w:themeColor="text1"/>
        </w:rPr>
        <w:t>Continuation of Task 4.</w:t>
      </w:r>
    </w:p>
    <w:p w14:paraId="1B88CDA9" w14:textId="695F7676" w:rsidR="005703D5" w:rsidRPr="00343618" w:rsidRDefault="005703D5" w:rsidP="00343618">
      <w:pPr>
        <w:spacing w:line="360" w:lineRule="auto"/>
        <w:ind w:right="237"/>
        <w:jc w:val="both"/>
        <w:rPr>
          <w:rFonts w:ascii="Arial" w:eastAsia="Arial" w:hAnsi="Arial" w:cs="Arial"/>
          <w:b/>
          <w:bCs/>
          <w:color w:val="000000" w:themeColor="text1"/>
        </w:rPr>
      </w:pPr>
      <w:r w:rsidRPr="00343618">
        <w:rPr>
          <w:rFonts w:ascii="Arial" w:eastAsia="Arial" w:hAnsi="Arial" w:cs="Arial"/>
          <w:b/>
          <w:bCs/>
          <w:color w:val="000000" w:themeColor="text1"/>
        </w:rPr>
        <w:t>Task 4B</w:t>
      </w:r>
    </w:p>
    <w:p w14:paraId="578162C5" w14:textId="02885C91" w:rsidR="005703D5" w:rsidRPr="00343618" w:rsidRDefault="005703D5" w:rsidP="00343618">
      <w:pPr>
        <w:spacing w:line="360" w:lineRule="auto"/>
        <w:ind w:right="237"/>
        <w:jc w:val="both"/>
        <w:rPr>
          <w:rFonts w:ascii="Arial" w:eastAsia="Arial" w:hAnsi="Arial" w:cs="Arial"/>
          <w:b/>
          <w:bCs/>
          <w:color w:val="000000" w:themeColor="text1"/>
        </w:rPr>
      </w:pPr>
      <w:r w:rsidRPr="00343618">
        <w:rPr>
          <w:rFonts w:ascii="Arial" w:eastAsia="Arial" w:hAnsi="Arial" w:cs="Arial"/>
          <w:b/>
          <w:bCs/>
          <w:color w:val="000000" w:themeColor="text1"/>
        </w:rPr>
        <w:t>Answer:</w:t>
      </w:r>
    </w:p>
    <w:p w14:paraId="5EC848A5" w14:textId="52FABCAA" w:rsidR="005703D5" w:rsidRPr="00343618" w:rsidRDefault="005703D5" w:rsidP="00343618">
      <w:pPr>
        <w:spacing w:line="360" w:lineRule="auto"/>
        <w:ind w:right="237"/>
        <w:jc w:val="both"/>
        <w:rPr>
          <w:rFonts w:ascii="Arial" w:eastAsia="Arial" w:hAnsi="Arial" w:cs="Arial"/>
          <w:b/>
          <w:bCs/>
          <w:color w:val="000000" w:themeColor="text1"/>
        </w:rPr>
      </w:pPr>
      <w:r w:rsidRPr="00343618">
        <w:rPr>
          <w:rFonts w:ascii="Arial" w:eastAsia="Arial" w:hAnsi="Arial" w:cs="Arial"/>
          <w:b/>
          <w:bCs/>
          <w:color w:val="000000" w:themeColor="text1"/>
        </w:rPr>
        <w:t>Introduction</w:t>
      </w:r>
    </w:p>
    <w:p w14:paraId="30F29559" w14:textId="77777777" w:rsidR="005703D5" w:rsidRPr="00343618" w:rsidRDefault="005703D5" w:rsidP="00343618">
      <w:pPr>
        <w:spacing w:line="360" w:lineRule="auto"/>
        <w:rPr>
          <w:rFonts w:ascii="Arial" w:hAnsi="Arial" w:cs="Arial"/>
        </w:rPr>
      </w:pPr>
      <w:r w:rsidRPr="00343618">
        <w:rPr>
          <w:rFonts w:ascii="Arial" w:hAnsi="Arial" w:cs="Arial"/>
        </w:rPr>
        <w:t xml:space="preserve">Disclosure, the process of providing the defence with access to all material that could potentially undermine the prosecution's case or support the defence's case, is a fundamental aspect of criminal investigations that ensures fairness and transparency within the criminal justice system. However, the disclosure process presents investigators with a complex array of challenges as they strive to balance the pursuit of justice with the need to protect sensitive information and safeguard the rights of all parties involved. This essay will delve into a critical exploration of the key challenges investigators encounter in relation to disclosure, </w:t>
      </w:r>
      <w:r w:rsidRPr="00343618">
        <w:rPr>
          <w:rFonts w:ascii="Arial" w:hAnsi="Arial" w:cs="Arial"/>
        </w:rPr>
        <w:lastRenderedPageBreak/>
        <w:t xml:space="preserve">drawing upon the high-profile </w:t>
      </w:r>
      <w:proofErr w:type="spellStart"/>
      <w:r w:rsidRPr="00343618">
        <w:rPr>
          <w:rFonts w:ascii="Arial" w:hAnsi="Arial" w:cs="Arial"/>
        </w:rPr>
        <w:t>EncroChat</w:t>
      </w:r>
      <w:proofErr w:type="spellEnd"/>
      <w:r w:rsidRPr="00343618">
        <w:rPr>
          <w:rFonts w:ascii="Arial" w:hAnsi="Arial" w:cs="Arial"/>
        </w:rPr>
        <w:t xml:space="preserve"> case and my personal experience with Operation </w:t>
      </w:r>
      <w:proofErr w:type="spellStart"/>
      <w:r w:rsidRPr="00343618">
        <w:rPr>
          <w:rFonts w:ascii="Arial" w:hAnsi="Arial" w:cs="Arial"/>
        </w:rPr>
        <w:t>Exacum</w:t>
      </w:r>
      <w:proofErr w:type="spellEnd"/>
      <w:r w:rsidRPr="00343618">
        <w:rPr>
          <w:rFonts w:ascii="Arial" w:hAnsi="Arial" w:cs="Arial"/>
        </w:rPr>
        <w:t xml:space="preserve"> to illustrate the potential ramifications of disclosure failures and the intricate complexities of striking a balance between thorough investigative practices and the protection of privacy rights.</w:t>
      </w:r>
    </w:p>
    <w:p w14:paraId="4AB66BC5" w14:textId="77777777" w:rsidR="00343618" w:rsidRPr="00343618" w:rsidRDefault="00343618" w:rsidP="00343618">
      <w:pPr>
        <w:spacing w:line="360" w:lineRule="auto"/>
        <w:rPr>
          <w:rFonts w:ascii="Arial" w:hAnsi="Arial" w:cs="Arial"/>
          <w:b/>
          <w:bCs/>
        </w:rPr>
      </w:pPr>
    </w:p>
    <w:p w14:paraId="65583658" w14:textId="2082885F" w:rsidR="005703D5" w:rsidRPr="00343618" w:rsidRDefault="005703D5" w:rsidP="00343618">
      <w:pPr>
        <w:spacing w:line="360" w:lineRule="auto"/>
        <w:rPr>
          <w:rFonts w:ascii="Arial" w:hAnsi="Arial" w:cs="Arial"/>
          <w:b/>
          <w:bCs/>
        </w:rPr>
      </w:pPr>
      <w:r w:rsidRPr="00343618">
        <w:rPr>
          <w:rFonts w:ascii="Arial" w:hAnsi="Arial" w:cs="Arial"/>
          <w:b/>
          <w:bCs/>
        </w:rPr>
        <w:t>The Changing Landscape of Criminal Investigations</w:t>
      </w:r>
    </w:p>
    <w:p w14:paraId="0429C4F5" w14:textId="77777777" w:rsidR="005703D5" w:rsidRPr="00343618" w:rsidRDefault="005703D5" w:rsidP="00343618">
      <w:pPr>
        <w:spacing w:line="360" w:lineRule="auto"/>
        <w:rPr>
          <w:rFonts w:ascii="Arial" w:hAnsi="Arial" w:cs="Arial"/>
        </w:rPr>
      </w:pPr>
      <w:r w:rsidRPr="00343618">
        <w:rPr>
          <w:rFonts w:ascii="Arial" w:hAnsi="Arial" w:cs="Arial"/>
        </w:rPr>
        <w:t>The rapid expansion and advancement of digital forensics, which encompasses a wide range of devices and presents investigators with a host of new challenges, has propelled digital evidence to the forefront of criminal investigations in recent years (Anderson, Sampson and Gilroy, 2021). The exponential growth in the volume of digital data generated by individuals and organisations has fundamentally transformed the landscape of criminal investigations, necessitating investigators to adapt their approaches and acquire new skill sets to effectively manage, analyse, and disclose this ever-increasing body of evidence (Abhijith Kotasthane et al., 2022).</w:t>
      </w:r>
    </w:p>
    <w:p w14:paraId="7CAA1984" w14:textId="77777777" w:rsidR="005703D5" w:rsidRPr="00343618" w:rsidRDefault="005703D5" w:rsidP="00343618">
      <w:pPr>
        <w:spacing w:line="360" w:lineRule="auto"/>
        <w:rPr>
          <w:rFonts w:ascii="Arial" w:hAnsi="Arial" w:cs="Arial"/>
          <w:b/>
          <w:bCs/>
        </w:rPr>
      </w:pPr>
      <w:r w:rsidRPr="00343618">
        <w:rPr>
          <w:rFonts w:ascii="Arial" w:hAnsi="Arial" w:cs="Arial"/>
          <w:b/>
          <w:bCs/>
        </w:rPr>
        <w:t>Challenges in Digital Evidence Disclosure</w:t>
      </w:r>
    </w:p>
    <w:p w14:paraId="24A1DA3C" w14:textId="77777777" w:rsidR="005703D5" w:rsidRPr="00343618" w:rsidRDefault="005703D5" w:rsidP="00343618">
      <w:pPr>
        <w:spacing w:line="360" w:lineRule="auto"/>
        <w:rPr>
          <w:rFonts w:ascii="Arial" w:hAnsi="Arial" w:cs="Arial"/>
        </w:rPr>
      </w:pPr>
      <w:r w:rsidRPr="00343618">
        <w:rPr>
          <w:rFonts w:ascii="Arial" w:hAnsi="Arial" w:cs="Arial"/>
        </w:rPr>
        <w:t>In the context of digital evidence, investigators face particularly significant challenges when it comes to disclosure. The sheer volume of data that must be processed can make the task of identifying and analysing relevant information a daunting prospect (Anderson, Sampson and Gilroy, 2021). The diverse range of devices and formats involved further complicates the process of collecting, preserving, and presenting digital evidence in a manner that is both comprehensive and easily understandable (Anderson, Sampson and Gilroy, 2021).</w:t>
      </w:r>
    </w:p>
    <w:p w14:paraId="703DFE3F" w14:textId="77777777" w:rsidR="005703D5" w:rsidRPr="00343618" w:rsidRDefault="005703D5" w:rsidP="00343618">
      <w:pPr>
        <w:spacing w:line="360" w:lineRule="auto"/>
        <w:rPr>
          <w:rFonts w:ascii="Arial" w:hAnsi="Arial" w:cs="Arial"/>
        </w:rPr>
      </w:pPr>
      <w:r w:rsidRPr="00343618">
        <w:rPr>
          <w:rFonts w:ascii="Arial" w:hAnsi="Arial" w:cs="Arial"/>
        </w:rPr>
        <w:t>Investigators must also grapple with the delicate balance between conducting a thorough investigation and respecting the privacy rights of individuals (Horsman, 2022), while simultaneously adhering to the principles of data protection (Ico.org.uk, 2024). Anderson, Sampson and Gilroy (2021) emphasise the importance of developing digital evidence strategies that establish clear parameters proportionate to the specific circumstances of each case. Such strategies play a crucial role in overcoming the challenges presented by the vast quantities of data stored on digital devices, while also ensuring that examinations remain focused and targeted.</w:t>
      </w:r>
    </w:p>
    <w:p w14:paraId="154F978C" w14:textId="77777777" w:rsidR="005703D5" w:rsidRPr="00343618" w:rsidRDefault="005703D5" w:rsidP="00343618">
      <w:pPr>
        <w:spacing w:line="360" w:lineRule="auto"/>
        <w:rPr>
          <w:rFonts w:ascii="Arial" w:hAnsi="Arial" w:cs="Arial"/>
        </w:rPr>
      </w:pPr>
      <w:r w:rsidRPr="00343618">
        <w:rPr>
          <w:rFonts w:ascii="Arial" w:hAnsi="Arial" w:cs="Arial"/>
        </w:rPr>
        <w:t xml:space="preserve">The examination of devices belonging to complainants and witnesses presents a unique set of challenges for investigators. As Anderson, Sampson and Gilroy (2021) point out, there is a delicate balance to be struck between "the right of privacy of an individual" and "the suspect's right to a fair trial". To navigate this complex terrain, investigators must obtain informed consent from device owners, ensuring that they fully comprehend the nature and </w:t>
      </w:r>
      <w:r w:rsidRPr="00343618">
        <w:rPr>
          <w:rFonts w:ascii="Arial" w:hAnsi="Arial" w:cs="Arial"/>
        </w:rPr>
        <w:lastRenderedPageBreak/>
        <w:t>extent of the examination process, as well as how the extracted information will be used and shared.</w:t>
      </w:r>
    </w:p>
    <w:p w14:paraId="297595A0" w14:textId="77777777" w:rsidR="005703D5" w:rsidRPr="00343618" w:rsidRDefault="005703D5" w:rsidP="00343618">
      <w:pPr>
        <w:spacing w:line="360" w:lineRule="auto"/>
        <w:rPr>
          <w:rFonts w:ascii="Arial" w:hAnsi="Arial" w:cs="Arial"/>
          <w:b/>
          <w:bCs/>
        </w:rPr>
      </w:pPr>
      <w:r w:rsidRPr="00343618">
        <w:rPr>
          <w:rFonts w:ascii="Arial" w:hAnsi="Arial" w:cs="Arial"/>
          <w:b/>
          <w:bCs/>
        </w:rPr>
        <w:t xml:space="preserve">Operation </w:t>
      </w:r>
      <w:proofErr w:type="spellStart"/>
      <w:r w:rsidRPr="00343618">
        <w:rPr>
          <w:rFonts w:ascii="Arial" w:hAnsi="Arial" w:cs="Arial"/>
          <w:b/>
          <w:bCs/>
        </w:rPr>
        <w:t>Exacum</w:t>
      </w:r>
      <w:proofErr w:type="spellEnd"/>
      <w:r w:rsidRPr="00343618">
        <w:rPr>
          <w:rFonts w:ascii="Arial" w:hAnsi="Arial" w:cs="Arial"/>
          <w:b/>
          <w:bCs/>
        </w:rPr>
        <w:t>: Disclosure Challenges</w:t>
      </w:r>
    </w:p>
    <w:p w14:paraId="1EF9E4B5" w14:textId="77777777" w:rsidR="005703D5" w:rsidRPr="00343618" w:rsidRDefault="005703D5" w:rsidP="00343618">
      <w:pPr>
        <w:spacing w:line="360" w:lineRule="auto"/>
        <w:rPr>
          <w:rFonts w:ascii="Arial" w:hAnsi="Arial" w:cs="Arial"/>
        </w:rPr>
      </w:pPr>
      <w:r w:rsidRPr="00343618">
        <w:rPr>
          <w:rFonts w:ascii="Arial" w:hAnsi="Arial" w:cs="Arial"/>
        </w:rPr>
        <w:t xml:space="preserve">Operation </w:t>
      </w:r>
      <w:proofErr w:type="spellStart"/>
      <w:r w:rsidRPr="00343618">
        <w:rPr>
          <w:rFonts w:ascii="Arial" w:hAnsi="Arial" w:cs="Arial"/>
        </w:rPr>
        <w:t>Exacum</w:t>
      </w:r>
      <w:proofErr w:type="spellEnd"/>
      <w:r w:rsidRPr="00343618">
        <w:rPr>
          <w:rFonts w:ascii="Arial" w:hAnsi="Arial" w:cs="Arial"/>
        </w:rPr>
        <w:t>, a multi-agency investigation undertaken in 2023 to tackle an Albanian organised crime group (OCG) involved in trafficking adults for the purpose of cannabis production, presented me with a range of disclosure challenges that exemplify the complexities investigators face in practice.</w:t>
      </w:r>
    </w:p>
    <w:p w14:paraId="73C7B577" w14:textId="77777777" w:rsidR="005703D5" w:rsidRPr="00343618" w:rsidRDefault="005703D5" w:rsidP="00343618">
      <w:pPr>
        <w:spacing w:line="360" w:lineRule="auto"/>
        <w:rPr>
          <w:rFonts w:ascii="Arial" w:hAnsi="Arial" w:cs="Arial"/>
        </w:rPr>
      </w:pPr>
      <w:r w:rsidRPr="00343618">
        <w:rPr>
          <w:rFonts w:ascii="Arial" w:hAnsi="Arial" w:cs="Arial"/>
        </w:rPr>
        <w:t xml:space="preserve">During Operation </w:t>
      </w:r>
      <w:proofErr w:type="spellStart"/>
      <w:r w:rsidRPr="00343618">
        <w:rPr>
          <w:rFonts w:ascii="Arial" w:hAnsi="Arial" w:cs="Arial"/>
        </w:rPr>
        <w:t>Exacum</w:t>
      </w:r>
      <w:proofErr w:type="spellEnd"/>
      <w:r w:rsidRPr="00343618">
        <w:rPr>
          <w:rFonts w:ascii="Arial" w:hAnsi="Arial" w:cs="Arial"/>
        </w:rPr>
        <w:t xml:space="preserve">, I employed the covert tactic of prison telephone interception (Legislation.GOV.UK, 2016), which yielded crucial evidence but also carried the risk of potential weaknesses if disclosed, as it could compromise the effectiveness of similar operations in the future (Loftus, </w:t>
      </w:r>
      <w:proofErr w:type="spellStart"/>
      <w:r w:rsidRPr="00343618">
        <w:rPr>
          <w:rFonts w:ascii="Arial" w:hAnsi="Arial" w:cs="Arial"/>
        </w:rPr>
        <w:t>Feilzer</w:t>
      </w:r>
      <w:proofErr w:type="spellEnd"/>
      <w:r w:rsidRPr="00343618">
        <w:rPr>
          <w:rFonts w:ascii="Arial" w:hAnsi="Arial" w:cs="Arial"/>
        </w:rPr>
        <w:t xml:space="preserve"> and Goold, 2024). Despite these concerns, I recognised the imperative to disclose the secured evidence to ensure a fair trial for the defendants (Brader, 2020). Through close collaboration with the assigned Crown Prosecution Service lawyer, I carefully weighed the risks and explored strategies to mitigate the potential impact of revealing the covert tactic </w:t>
      </w:r>
      <w:r w:rsidRPr="00343618">
        <w:rPr>
          <w:rFonts w:ascii="Arial" w:hAnsi="Arial" w:cs="Arial"/>
          <w:color w:val="000000" w:themeColor="text1"/>
        </w:rPr>
        <w:t>(</w:t>
      </w:r>
      <w:hyperlink r:id="rId114" w:history="1">
        <w:r w:rsidRPr="00343618">
          <w:rPr>
            <w:rStyle w:val="Hyperlink"/>
            <w:rFonts w:ascii="Arial" w:hAnsi="Arial" w:cs="Arial"/>
            <w:color w:val="000000" w:themeColor="text1"/>
            <w:u w:val="none"/>
          </w:rPr>
          <w:t>www.cps.gov.uk</w:t>
        </w:r>
      </w:hyperlink>
      <w:r w:rsidRPr="00343618">
        <w:rPr>
          <w:rFonts w:ascii="Arial" w:hAnsi="Arial" w:cs="Arial"/>
        </w:rPr>
        <w:t xml:space="preserve">, 2023), ultimately prioritising the principles of fairness and transparency in the legal proceedings (Vogel, n.d.; </w:t>
      </w:r>
      <w:proofErr w:type="spellStart"/>
      <w:r w:rsidRPr="00343618">
        <w:rPr>
          <w:rFonts w:ascii="Arial" w:hAnsi="Arial" w:cs="Arial"/>
        </w:rPr>
        <w:t>Stoykova</w:t>
      </w:r>
      <w:proofErr w:type="spellEnd"/>
      <w:r w:rsidRPr="00343618">
        <w:rPr>
          <w:rFonts w:ascii="Arial" w:hAnsi="Arial" w:cs="Arial"/>
        </w:rPr>
        <w:t>, 2023).</w:t>
      </w:r>
    </w:p>
    <w:p w14:paraId="4F897B88" w14:textId="77777777" w:rsidR="005703D5" w:rsidRPr="00343618" w:rsidRDefault="005703D5" w:rsidP="00343618">
      <w:pPr>
        <w:spacing w:line="360" w:lineRule="auto"/>
        <w:rPr>
          <w:rFonts w:ascii="Arial" w:hAnsi="Arial" w:cs="Arial"/>
        </w:rPr>
      </w:pPr>
      <w:r w:rsidRPr="00343618">
        <w:rPr>
          <w:rFonts w:ascii="Arial" w:hAnsi="Arial" w:cs="Arial"/>
        </w:rPr>
        <w:t xml:space="preserve">The volume and complexity of digital evidence gathered during Operation </w:t>
      </w:r>
      <w:proofErr w:type="spellStart"/>
      <w:r w:rsidRPr="00343618">
        <w:rPr>
          <w:rFonts w:ascii="Arial" w:hAnsi="Arial" w:cs="Arial"/>
        </w:rPr>
        <w:t>Exacum</w:t>
      </w:r>
      <w:proofErr w:type="spellEnd"/>
      <w:r w:rsidRPr="00343618">
        <w:rPr>
          <w:rFonts w:ascii="Arial" w:hAnsi="Arial" w:cs="Arial"/>
        </w:rPr>
        <w:t xml:space="preserve"> presented additional disclosure challenges, particularly due to the language barrier posed by the Albanian suspects communicating in their native tongue. To effectively sift through the vast tranche of telecommunications data, I enlisted the assistance of a qualified interpreter. While interpreters bring valuable advantages to the table, such as their deep understanding of cultural context and specialised linguistic knowledge, they also face challenges, including the potential for subjectivity in their interpretations and difficulties in documentation (Nur Fitria, 2024).</w:t>
      </w:r>
    </w:p>
    <w:p w14:paraId="6855006C" w14:textId="77777777" w:rsidR="005703D5" w:rsidRPr="00343618" w:rsidRDefault="005703D5" w:rsidP="00343618">
      <w:pPr>
        <w:spacing w:line="360" w:lineRule="auto"/>
        <w:rPr>
          <w:rFonts w:ascii="Arial" w:hAnsi="Arial" w:cs="Arial"/>
        </w:rPr>
      </w:pPr>
      <w:r w:rsidRPr="00343618">
        <w:rPr>
          <w:rFonts w:ascii="Arial" w:hAnsi="Arial" w:cs="Arial"/>
        </w:rPr>
        <w:t xml:space="preserve">The substantial volume of telecommunications data recovered during Operation </w:t>
      </w:r>
      <w:proofErr w:type="spellStart"/>
      <w:r w:rsidRPr="00343618">
        <w:rPr>
          <w:rFonts w:ascii="Arial" w:hAnsi="Arial" w:cs="Arial"/>
        </w:rPr>
        <w:t>Exacum</w:t>
      </w:r>
      <w:proofErr w:type="spellEnd"/>
      <w:r w:rsidRPr="00343618">
        <w:rPr>
          <w:rFonts w:ascii="Arial" w:hAnsi="Arial" w:cs="Arial"/>
        </w:rPr>
        <w:t xml:space="preserve"> necessitated the implementation of a rigorous process to ensure the prompt and proper review and disclosure of all relevant digital evidence to the defence while maintaining a clear chain of custody (</w:t>
      </w:r>
      <w:proofErr w:type="spellStart"/>
      <w:r w:rsidRPr="00343618">
        <w:rPr>
          <w:rFonts w:ascii="Arial" w:hAnsi="Arial" w:cs="Arial"/>
        </w:rPr>
        <w:t>Badiye</w:t>
      </w:r>
      <w:proofErr w:type="spellEnd"/>
      <w:r w:rsidRPr="00343618">
        <w:rPr>
          <w:rFonts w:ascii="Arial" w:hAnsi="Arial" w:cs="Arial"/>
        </w:rPr>
        <w:t>, Kapoor and Menezes, 2023). This process required meticulous collaboration with legal experts, as I recognised the critical importance of preserving the integrity of the data to ensure the admissibility of the digital forensic evidence in the impending legal proceedings (Mahajan and Pandit, 2024).</w:t>
      </w:r>
    </w:p>
    <w:p w14:paraId="4BA5FC1B" w14:textId="77777777" w:rsidR="00D555B5" w:rsidRDefault="00D555B5" w:rsidP="00343618">
      <w:pPr>
        <w:spacing w:line="360" w:lineRule="auto"/>
        <w:rPr>
          <w:rFonts w:ascii="Arial" w:hAnsi="Arial" w:cs="Arial"/>
          <w:b/>
          <w:bCs/>
        </w:rPr>
      </w:pPr>
    </w:p>
    <w:p w14:paraId="69773E83" w14:textId="77777777" w:rsidR="00D555B5" w:rsidRDefault="00D555B5" w:rsidP="00343618">
      <w:pPr>
        <w:spacing w:line="360" w:lineRule="auto"/>
        <w:rPr>
          <w:rFonts w:ascii="Arial" w:hAnsi="Arial" w:cs="Arial"/>
          <w:b/>
          <w:bCs/>
        </w:rPr>
      </w:pPr>
    </w:p>
    <w:p w14:paraId="1FFE1E48" w14:textId="39C58475" w:rsidR="005703D5" w:rsidRPr="00343618" w:rsidRDefault="005703D5" w:rsidP="00343618">
      <w:pPr>
        <w:spacing w:line="360" w:lineRule="auto"/>
        <w:rPr>
          <w:rFonts w:ascii="Arial" w:hAnsi="Arial" w:cs="Arial"/>
          <w:b/>
          <w:bCs/>
        </w:rPr>
      </w:pPr>
      <w:r w:rsidRPr="00343618">
        <w:rPr>
          <w:rFonts w:ascii="Arial" w:hAnsi="Arial" w:cs="Arial"/>
          <w:b/>
          <w:bCs/>
        </w:rPr>
        <w:lastRenderedPageBreak/>
        <w:t>Balancing Investigative Thoroughness and Privacy</w:t>
      </w:r>
    </w:p>
    <w:p w14:paraId="72DC6AF9" w14:textId="77777777" w:rsidR="005703D5" w:rsidRPr="00343618" w:rsidRDefault="005703D5" w:rsidP="00343618">
      <w:pPr>
        <w:spacing w:line="360" w:lineRule="auto"/>
        <w:rPr>
          <w:rFonts w:ascii="Arial" w:hAnsi="Arial" w:cs="Arial"/>
        </w:rPr>
      </w:pPr>
      <w:r w:rsidRPr="00343618">
        <w:rPr>
          <w:rFonts w:ascii="Arial" w:hAnsi="Arial" w:cs="Arial"/>
        </w:rPr>
        <w:t xml:space="preserve">Stoykova (2023) sheds light on the challenges inherent in striking a balance between investigative thoroughness and the protection of privacy rights in the context of digital investigations. The </w:t>
      </w:r>
      <w:proofErr w:type="spellStart"/>
      <w:r w:rsidRPr="00343618">
        <w:rPr>
          <w:rFonts w:ascii="Arial" w:hAnsi="Arial" w:cs="Arial"/>
        </w:rPr>
        <w:t>EncroChat</w:t>
      </w:r>
      <w:proofErr w:type="spellEnd"/>
      <w:r w:rsidRPr="00343618">
        <w:rPr>
          <w:rFonts w:ascii="Arial" w:hAnsi="Arial" w:cs="Arial"/>
        </w:rPr>
        <w:t xml:space="preserve"> case serves as a prime example, where questions were raised about the proportionality of intercepting data from thousands of encrypted phones, given the possibility that a significant number of the affected individuals may have been using the service for legitimate purposes, such as safeguarding their privacy. To address these challenges, </w:t>
      </w:r>
      <w:proofErr w:type="spellStart"/>
      <w:r w:rsidRPr="00343618">
        <w:rPr>
          <w:rFonts w:ascii="Arial" w:hAnsi="Arial" w:cs="Arial"/>
        </w:rPr>
        <w:t>Stoykova</w:t>
      </w:r>
      <w:proofErr w:type="spellEnd"/>
      <w:r w:rsidRPr="00343618">
        <w:rPr>
          <w:rFonts w:ascii="Arial" w:hAnsi="Arial" w:cs="Arial"/>
        </w:rPr>
        <w:t xml:space="preserve"> (2023) underscores the importance of developing effective digital evidence strategies that establish clear parameters proportionate to the facts of each case. These strategies are essential for overcoming the challenges posed by the vast quantities of data stored on digital devices while ensuring that examinations remain targeted and proportionate.</w:t>
      </w:r>
    </w:p>
    <w:p w14:paraId="0D00C2DA" w14:textId="77777777" w:rsidR="005703D5" w:rsidRPr="00343618" w:rsidRDefault="005703D5" w:rsidP="00343618">
      <w:pPr>
        <w:spacing w:line="360" w:lineRule="auto"/>
        <w:rPr>
          <w:rFonts w:ascii="Arial" w:hAnsi="Arial" w:cs="Arial"/>
        </w:rPr>
      </w:pPr>
      <w:r w:rsidRPr="00343618">
        <w:rPr>
          <w:rFonts w:ascii="Arial" w:hAnsi="Arial" w:cs="Arial"/>
        </w:rPr>
        <w:t xml:space="preserve">Mindful of the concerns raised by </w:t>
      </w:r>
      <w:proofErr w:type="spellStart"/>
      <w:r w:rsidRPr="00343618">
        <w:rPr>
          <w:rFonts w:ascii="Arial" w:hAnsi="Arial" w:cs="Arial"/>
        </w:rPr>
        <w:t>Stoykova</w:t>
      </w:r>
      <w:proofErr w:type="spellEnd"/>
      <w:r w:rsidRPr="00343618">
        <w:rPr>
          <w:rFonts w:ascii="Arial" w:hAnsi="Arial" w:cs="Arial"/>
        </w:rPr>
        <w:t xml:space="preserve"> (2023), I took great care during Operation </w:t>
      </w:r>
      <w:proofErr w:type="spellStart"/>
      <w:r w:rsidRPr="00343618">
        <w:rPr>
          <w:rFonts w:ascii="Arial" w:hAnsi="Arial" w:cs="Arial"/>
        </w:rPr>
        <w:t>Exacum</w:t>
      </w:r>
      <w:proofErr w:type="spellEnd"/>
      <w:r w:rsidRPr="00343618">
        <w:rPr>
          <w:rFonts w:ascii="Arial" w:hAnsi="Arial" w:cs="Arial"/>
        </w:rPr>
        <w:t xml:space="preserve"> to ensure that only targeted and proportionate examinations were conducted, avoiding any inadvertent intrusion into the realm of private communications unconnected to the offences under investigation. To this end, I sought the advice of experienced colleagues who had previously investigated similar cases (HMICFRS, 2025) and paid close attention to text messages that appeared to be written in code or seemed incoherent at first glance (Csofs.org, 2025).</w:t>
      </w:r>
    </w:p>
    <w:p w14:paraId="713FEA5A" w14:textId="77777777" w:rsidR="005703D5" w:rsidRPr="00343618" w:rsidRDefault="005703D5" w:rsidP="00343618">
      <w:pPr>
        <w:spacing w:line="360" w:lineRule="auto"/>
        <w:rPr>
          <w:rFonts w:ascii="Arial" w:hAnsi="Arial" w:cs="Arial"/>
          <w:b/>
          <w:bCs/>
        </w:rPr>
      </w:pPr>
      <w:r w:rsidRPr="00343618">
        <w:rPr>
          <w:rFonts w:ascii="Arial" w:hAnsi="Arial" w:cs="Arial"/>
          <w:b/>
          <w:bCs/>
        </w:rPr>
        <w:t>Reasonable Lines of Inquiry (RLOI)</w:t>
      </w:r>
    </w:p>
    <w:p w14:paraId="3C0E71A3" w14:textId="77777777" w:rsidR="005703D5" w:rsidRPr="00343618" w:rsidRDefault="005703D5" w:rsidP="00343618">
      <w:pPr>
        <w:spacing w:line="360" w:lineRule="auto"/>
        <w:rPr>
          <w:rFonts w:ascii="Arial" w:hAnsi="Arial" w:cs="Arial"/>
        </w:rPr>
      </w:pPr>
      <w:r w:rsidRPr="00343618">
        <w:rPr>
          <w:rFonts w:ascii="Arial" w:hAnsi="Arial" w:cs="Arial"/>
        </w:rPr>
        <w:t xml:space="preserve">Operation </w:t>
      </w:r>
      <w:proofErr w:type="spellStart"/>
      <w:r w:rsidRPr="00343618">
        <w:rPr>
          <w:rFonts w:ascii="Arial" w:hAnsi="Arial" w:cs="Arial"/>
        </w:rPr>
        <w:t>Exacum</w:t>
      </w:r>
      <w:proofErr w:type="spellEnd"/>
      <w:r w:rsidRPr="00343618">
        <w:rPr>
          <w:rFonts w:ascii="Arial" w:hAnsi="Arial" w:cs="Arial"/>
        </w:rPr>
        <w:t xml:space="preserve"> generated a substantial number of reasonable lines of inquiry, which presented me with additional disclosure challenges inextricably linked to the communications evidence I had recovered. The CPS disclosure manual emphasises the imperative for investigators to thoroughly document their decision-making process when determining reasonable lines of inquiry and handling third-party material. This documentation should include a comprehensive record of the rationale behind any decisions to pursue requests for information from third parties (CPS, 2022).</w:t>
      </w:r>
    </w:p>
    <w:p w14:paraId="112A4645" w14:textId="77777777" w:rsidR="005703D5" w:rsidRPr="00343618" w:rsidRDefault="005703D5" w:rsidP="00343618">
      <w:pPr>
        <w:spacing w:line="360" w:lineRule="auto"/>
        <w:rPr>
          <w:rFonts w:ascii="Arial" w:hAnsi="Arial" w:cs="Arial"/>
        </w:rPr>
      </w:pPr>
      <w:r w:rsidRPr="00343618">
        <w:rPr>
          <w:rFonts w:ascii="Arial" w:hAnsi="Arial" w:cs="Arial"/>
        </w:rPr>
        <w:t xml:space="preserve">One of the primary challenges I encountered during Operation </w:t>
      </w:r>
      <w:proofErr w:type="spellStart"/>
      <w:r w:rsidRPr="00343618">
        <w:rPr>
          <w:rFonts w:ascii="Arial" w:hAnsi="Arial" w:cs="Arial"/>
        </w:rPr>
        <w:t>Exacum</w:t>
      </w:r>
      <w:proofErr w:type="spellEnd"/>
      <w:r w:rsidRPr="00343618">
        <w:rPr>
          <w:rFonts w:ascii="Arial" w:hAnsi="Arial" w:cs="Arial"/>
        </w:rPr>
        <w:t xml:space="preserve"> was the fact that while multiple reasonable lines of inquiry required investigation, I did not have access to the staffing levels necessary to adequately pursue </w:t>
      </w:r>
      <w:proofErr w:type="gramStart"/>
      <w:r w:rsidRPr="00343618">
        <w:rPr>
          <w:rFonts w:ascii="Arial" w:hAnsi="Arial" w:cs="Arial"/>
        </w:rPr>
        <w:t>all of</w:t>
      </w:r>
      <w:proofErr w:type="gramEnd"/>
      <w:r w:rsidRPr="00343618">
        <w:rPr>
          <w:rFonts w:ascii="Arial" w:hAnsi="Arial" w:cs="Arial"/>
        </w:rPr>
        <w:t xml:space="preserve"> the identified RLOIs. In hindsight, the Holmes computerised database, which is commonly used in major crime investigations that involve processing large amounts of data (Oxford Reference, 2025), should have been considered and potentially utilised during the operation.</w:t>
      </w:r>
    </w:p>
    <w:p w14:paraId="1DD6868E" w14:textId="77777777" w:rsidR="005703D5" w:rsidRPr="00343618" w:rsidRDefault="005703D5" w:rsidP="00343618">
      <w:pPr>
        <w:spacing w:line="360" w:lineRule="auto"/>
        <w:rPr>
          <w:rFonts w:ascii="Arial" w:hAnsi="Arial" w:cs="Arial"/>
        </w:rPr>
      </w:pPr>
      <w:r w:rsidRPr="00343618">
        <w:rPr>
          <w:rFonts w:ascii="Arial" w:hAnsi="Arial" w:cs="Arial"/>
        </w:rPr>
        <w:t xml:space="preserve">Horsman (2022) provides a detailed examination of the concept of reasonable lines of inquiry (RLOI) in the context of digital investigations, highlighting both the strengths and </w:t>
      </w:r>
      <w:r w:rsidRPr="00343618">
        <w:rPr>
          <w:rFonts w:ascii="Arial" w:hAnsi="Arial" w:cs="Arial"/>
        </w:rPr>
        <w:lastRenderedPageBreak/>
        <w:t>weaknesses of this approach. On the one hand, the RLOI model offers a structured framework for conducting digital investigations, promoting efficiency, consistency, and legal defensibility. By adhering to the RLOI framework, investigators can focus their efforts on the most relevant data, reducing the risk of error or misinterpretation that may arise from processing excessive amounts of irrelevant information. On the other hand, Horsman (2022) acknowledges the challenges posed by the inherent subjectivity in determining what constitutes a "reasonable" line of inquiry, as well as the technical complexity of digital evidence, which may lead to inconsistency in approach or the potential for missing important evidence.</w:t>
      </w:r>
    </w:p>
    <w:p w14:paraId="4E5C2A90" w14:textId="77777777" w:rsidR="005703D5" w:rsidRPr="00343618" w:rsidRDefault="005703D5" w:rsidP="00343618">
      <w:pPr>
        <w:spacing w:line="360" w:lineRule="auto"/>
        <w:rPr>
          <w:rFonts w:ascii="Arial" w:hAnsi="Arial" w:cs="Arial"/>
          <w:b/>
          <w:bCs/>
        </w:rPr>
      </w:pPr>
      <w:r w:rsidRPr="00343618">
        <w:rPr>
          <w:rFonts w:ascii="Arial" w:hAnsi="Arial" w:cs="Arial"/>
          <w:b/>
          <w:bCs/>
        </w:rPr>
        <w:t>Conclusion</w:t>
      </w:r>
    </w:p>
    <w:p w14:paraId="40D9C43C" w14:textId="77777777" w:rsidR="005703D5" w:rsidRPr="00343618" w:rsidRDefault="005703D5" w:rsidP="00343618">
      <w:pPr>
        <w:spacing w:line="360" w:lineRule="auto"/>
        <w:rPr>
          <w:rFonts w:ascii="Arial" w:hAnsi="Arial" w:cs="Arial"/>
        </w:rPr>
      </w:pPr>
      <w:r w:rsidRPr="00343618">
        <w:rPr>
          <w:rFonts w:ascii="Arial" w:hAnsi="Arial" w:cs="Arial"/>
        </w:rPr>
        <w:t>Disclosure presents investigators with complex challenges, particularly with the increasing volume and importance of digital evidence. Balancing the pursuit of justice with protecting sensitive information and individual rights requires careful navigation.</w:t>
      </w:r>
    </w:p>
    <w:p w14:paraId="7D49F72D" w14:textId="77777777" w:rsidR="005703D5" w:rsidRPr="00343618" w:rsidRDefault="005703D5" w:rsidP="00343618">
      <w:pPr>
        <w:spacing w:line="360" w:lineRule="auto"/>
        <w:rPr>
          <w:rFonts w:ascii="Arial" w:hAnsi="Arial" w:cs="Arial"/>
        </w:rPr>
      </w:pPr>
      <w:r w:rsidRPr="00343618">
        <w:rPr>
          <w:rFonts w:ascii="Arial" w:hAnsi="Arial" w:cs="Arial"/>
        </w:rPr>
        <w:t xml:space="preserve">Operation </w:t>
      </w:r>
      <w:proofErr w:type="spellStart"/>
      <w:r w:rsidRPr="00343618">
        <w:rPr>
          <w:rFonts w:ascii="Arial" w:hAnsi="Arial" w:cs="Arial"/>
        </w:rPr>
        <w:t>Exacum</w:t>
      </w:r>
      <w:proofErr w:type="spellEnd"/>
      <w:r w:rsidRPr="00343618">
        <w:rPr>
          <w:rFonts w:ascii="Arial" w:hAnsi="Arial" w:cs="Arial"/>
        </w:rPr>
        <w:t xml:space="preserve"> illustrated the multifaceted challenges investigators face, from handling covert tactics and language barriers to maintaining data integrity and managing RLOIs with limited resources. Implementing rigorous processes, collaborating with legal experts, using interpreters, and ensuring targeted, proportionate examinations were key strategies employed.</w:t>
      </w:r>
    </w:p>
    <w:p w14:paraId="199C8132" w14:textId="77777777" w:rsidR="005703D5" w:rsidRPr="00343618" w:rsidRDefault="005703D5" w:rsidP="00343618">
      <w:pPr>
        <w:spacing w:line="360" w:lineRule="auto"/>
        <w:rPr>
          <w:rFonts w:ascii="Arial" w:hAnsi="Arial" w:cs="Arial"/>
        </w:rPr>
      </w:pPr>
      <w:r w:rsidRPr="00343618">
        <w:rPr>
          <w:rFonts w:ascii="Arial" w:hAnsi="Arial" w:cs="Arial"/>
        </w:rPr>
        <w:t>As criminal investigations evolve in the digital age, developing clear guidelines, standards, and tools is essential to support investigators in making consistent, defensible disclosure decisions. Ongoing research and collaboration among legal, forensic, and law enforcement professionals is crucial to refine best practices and address the ever-changing challenges posed by digital evidence. By balancing the pursuit of justice with protecting individual rights, investigators can help ensure the fairness, transparency, and integrity of the criminal justice system in an increasingly complex, data-driven world.</w:t>
      </w:r>
    </w:p>
    <w:p w14:paraId="24151AC8" w14:textId="3E4D21B1" w:rsidR="005703D5" w:rsidRPr="00343618" w:rsidRDefault="005703D5" w:rsidP="00343618">
      <w:pPr>
        <w:spacing w:line="360" w:lineRule="auto"/>
        <w:rPr>
          <w:rFonts w:ascii="Arial" w:hAnsi="Arial" w:cs="Arial"/>
          <w:b/>
          <w:bCs/>
          <w:u w:val="single"/>
        </w:rPr>
      </w:pPr>
      <w:r w:rsidRPr="00343618">
        <w:rPr>
          <w:rFonts w:ascii="Arial" w:hAnsi="Arial" w:cs="Arial"/>
          <w:b/>
          <w:bCs/>
          <w:u w:val="single"/>
        </w:rPr>
        <w:t>Word Count – 1,475 Words.</w:t>
      </w:r>
    </w:p>
    <w:p w14:paraId="58B1264C" w14:textId="77777777" w:rsidR="005703D5" w:rsidRPr="00343618" w:rsidRDefault="005703D5" w:rsidP="00343618">
      <w:pPr>
        <w:spacing w:line="360" w:lineRule="auto"/>
        <w:rPr>
          <w:rFonts w:ascii="Arial" w:hAnsi="Arial" w:cs="Arial"/>
          <w:b/>
          <w:bCs/>
        </w:rPr>
      </w:pPr>
      <w:r w:rsidRPr="00343618">
        <w:rPr>
          <w:rFonts w:ascii="Arial" w:hAnsi="Arial" w:cs="Arial"/>
          <w:b/>
          <w:bCs/>
        </w:rPr>
        <w:t>Reference</w:t>
      </w:r>
    </w:p>
    <w:p w14:paraId="1F1721EE"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Abhijith Kotasthane, Khare, A., Bapat Gaurav Sunil, Pradnya Kashikar, S Suhas and Khullar, S. (2022) ‘Advanced Intuitive Model for Digital Forensics Collection Methods in the Context of Cloud Computing and IoT’. International Journal for Research in Applied Science and Engineering Technology. Available at: doi:https://doi.org/10.22214/ijraset.2022.48426 (Accessed: 6 May 2025).</w:t>
      </w:r>
    </w:p>
    <w:p w14:paraId="557D65A7"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lastRenderedPageBreak/>
        <w:t xml:space="preserve">Anderson, P., Sampson, D. and Gilroy, S. (2021) ‘Digital investigations: relevance and confidence in disclosure’. Available at: </w:t>
      </w:r>
      <w:hyperlink r:id="rId115" w:history="1">
        <w:r w:rsidRPr="00343618">
          <w:rPr>
            <w:rFonts w:ascii="Arial" w:hAnsi="Arial" w:cs="Arial"/>
            <w:lang w:val="en-GB"/>
          </w:rPr>
          <w:t>https://doi.org/10.1007/s12027-021-00687-1</w:t>
        </w:r>
      </w:hyperlink>
      <w:r w:rsidRPr="00343618">
        <w:rPr>
          <w:rFonts w:ascii="Arial" w:hAnsi="Arial" w:cs="Arial"/>
          <w:color w:val="000000" w:themeColor="text1"/>
          <w:lang w:val="en-GB"/>
        </w:rPr>
        <w:t xml:space="preserve"> (Accessed: 02 May 2025).</w:t>
      </w:r>
    </w:p>
    <w:p w14:paraId="46B1885E"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Badiye, A., Kapoor, N. and Menezes, R.G. (2023) ‘Chain of custody’. In StatPearls. Available at: </w:t>
      </w:r>
      <w:hyperlink r:id="rId116" w:history="1">
        <w:r w:rsidRPr="00343618">
          <w:rPr>
            <w:rFonts w:ascii="Arial" w:hAnsi="Arial" w:cs="Arial"/>
            <w:lang w:val="en-GB"/>
          </w:rPr>
          <w:t>https://www.ncbi.nlm.nih.gov/books/NBK551677</w:t>
        </w:r>
      </w:hyperlink>
      <w:r w:rsidRPr="00343618">
        <w:rPr>
          <w:rFonts w:ascii="Arial" w:hAnsi="Arial" w:cs="Arial"/>
          <w:color w:val="000000" w:themeColor="text1"/>
          <w:lang w:val="en-GB"/>
        </w:rPr>
        <w:t xml:space="preserve"> (Accessed: 06 May 2025).</w:t>
      </w:r>
    </w:p>
    <w:p w14:paraId="23C949AE"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CPS (2022) ‘Disclosure Manual: Chapter 5 - Reasonable Lines of Enquiry and Third Parties’. Available at: </w:t>
      </w:r>
      <w:hyperlink r:id="rId117" w:history="1">
        <w:r w:rsidRPr="00343618">
          <w:rPr>
            <w:rFonts w:ascii="Arial" w:hAnsi="Arial" w:cs="Arial"/>
            <w:lang w:val="en-GB"/>
          </w:rPr>
          <w:t>https://www.cps.gov.uk/legal-guidance/disclosure-manual-chapter-5-reasonable-lines-enquiry-and-third-parties</w:t>
        </w:r>
      </w:hyperlink>
      <w:r w:rsidRPr="00343618">
        <w:rPr>
          <w:rFonts w:ascii="Arial" w:hAnsi="Arial" w:cs="Arial"/>
          <w:color w:val="000000" w:themeColor="text1"/>
          <w:lang w:val="en-GB"/>
        </w:rPr>
        <w:t xml:space="preserve"> (Accessed 06 May 2025).</w:t>
      </w:r>
    </w:p>
    <w:p w14:paraId="7C1C4F48"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Csofs.org (2025) ‘The Chartered Society of Forensic Sciences’. Available at: </w:t>
      </w:r>
      <w:hyperlink r:id="rId118" w:history="1">
        <w:r w:rsidRPr="00343618">
          <w:rPr>
            <w:rFonts w:ascii="Arial" w:hAnsi="Arial" w:cs="Arial"/>
            <w:lang w:val="en-GB"/>
          </w:rPr>
          <w:t>https://members.csofs.org/blog/view/Codes__Secret_Communications_4fX</w:t>
        </w:r>
      </w:hyperlink>
      <w:r w:rsidRPr="00343618">
        <w:rPr>
          <w:rFonts w:ascii="Arial" w:hAnsi="Arial" w:cs="Arial"/>
          <w:color w:val="000000" w:themeColor="text1"/>
          <w:lang w:val="en-GB"/>
        </w:rPr>
        <w:t xml:space="preserve"> (Accessed: 06 May 2025).</w:t>
      </w:r>
    </w:p>
    <w:p w14:paraId="651A6A66"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Griffiths, C. (2022) ‘Getting people thinking and talking: An exploration of the Attorney General's 2020 guidelines on disclosure’. Available at: </w:t>
      </w:r>
      <w:hyperlink r:id="rId119" w:history="1">
        <w:r w:rsidRPr="00343618">
          <w:rPr>
            <w:rFonts w:ascii="Arial" w:hAnsi="Arial" w:cs="Arial"/>
            <w:lang w:val="en-GB"/>
          </w:rPr>
          <w:t>https://doi.org/10.1177/13657127221124362</w:t>
        </w:r>
      </w:hyperlink>
      <w:r w:rsidRPr="00343618">
        <w:rPr>
          <w:rFonts w:ascii="Arial" w:hAnsi="Arial" w:cs="Arial"/>
          <w:color w:val="000000" w:themeColor="text1"/>
          <w:lang w:val="en-GB"/>
        </w:rPr>
        <w:t xml:space="preserve"> (Accessed: 06 May 2025).</w:t>
      </w:r>
    </w:p>
    <w:p w14:paraId="4170C4F7"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HMICFRS (2025) ‘An inspection into how effectively the police investigate crime’. Available at: </w:t>
      </w:r>
      <w:hyperlink r:id="rId120" w:history="1">
        <w:r w:rsidRPr="00343618">
          <w:rPr>
            <w:rFonts w:ascii="Arial" w:hAnsi="Arial" w:cs="Arial"/>
            <w:lang w:val="en-GB"/>
          </w:rPr>
          <w:t>https://hmicfrs.justiceinspectorates.gov.uk/publication-html/how-effectively-police-investigate-crime</w:t>
        </w:r>
      </w:hyperlink>
      <w:r w:rsidRPr="00343618">
        <w:rPr>
          <w:rFonts w:ascii="Arial" w:hAnsi="Arial" w:cs="Arial"/>
          <w:color w:val="000000" w:themeColor="text1"/>
          <w:lang w:val="en-GB"/>
        </w:rPr>
        <w:t xml:space="preserve"> (Accessed: 06 May 2025).</w:t>
      </w:r>
    </w:p>
    <w:p w14:paraId="1E40FF84"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Horsman, G. (2022) ‘Defining principles for preserving privacy in digital forensic examinations’. Available at: </w:t>
      </w:r>
      <w:hyperlink r:id="rId121" w:history="1">
        <w:r w:rsidRPr="00343618">
          <w:rPr>
            <w:rFonts w:ascii="Arial" w:hAnsi="Arial" w:cs="Arial"/>
            <w:lang w:val="en-GB"/>
          </w:rPr>
          <w:t>https://doi.org/10.1016/j.fsidi.2022.301350</w:t>
        </w:r>
      </w:hyperlink>
      <w:r w:rsidRPr="00343618">
        <w:rPr>
          <w:rFonts w:ascii="Arial" w:hAnsi="Arial" w:cs="Arial"/>
          <w:color w:val="000000" w:themeColor="text1"/>
          <w:lang w:val="en-GB"/>
        </w:rPr>
        <w:t xml:space="preserve"> (Accessed: 06 May 2025).</w:t>
      </w:r>
    </w:p>
    <w:p w14:paraId="3E971EE1"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Horwell, R. (2017) ‘MOUNCHER INVESTIGATION REPORT’. Available at: </w:t>
      </w:r>
      <w:hyperlink r:id="rId122" w:history="1">
        <w:r w:rsidRPr="00343618">
          <w:rPr>
            <w:rFonts w:ascii="Arial" w:hAnsi="Arial" w:cs="Arial"/>
            <w:lang w:val="en-GB"/>
          </w:rPr>
          <w:t>https://assets.publishing.service.gov.uk/media/5a82d6cd40f0b6230269cfa0/mouncher_report_web_accessible_july_2017.pdf</w:t>
        </w:r>
      </w:hyperlink>
      <w:r w:rsidRPr="00343618">
        <w:rPr>
          <w:rFonts w:ascii="Arial" w:hAnsi="Arial" w:cs="Arial"/>
          <w:color w:val="000000" w:themeColor="text1"/>
          <w:lang w:val="en-GB"/>
        </w:rPr>
        <w:t xml:space="preserve"> (Accessed: 06 May 2025).</w:t>
      </w:r>
    </w:p>
    <w:p w14:paraId="468872DB"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Humphries, G. et al. (2021) ‘Law enforcement educational challenges for mobile forensics, Forensic Science International: Digital Investigation’. Available at: </w:t>
      </w:r>
      <w:hyperlink r:id="rId123" w:history="1">
        <w:r w:rsidRPr="00343618">
          <w:rPr>
            <w:rFonts w:ascii="Arial" w:hAnsi="Arial" w:cs="Arial"/>
            <w:lang w:val="en-GB"/>
          </w:rPr>
          <w:t>https://doi.org/10.1016/j.fsidi.2021.301129</w:t>
        </w:r>
      </w:hyperlink>
      <w:r w:rsidRPr="00343618">
        <w:rPr>
          <w:rFonts w:ascii="Arial" w:hAnsi="Arial" w:cs="Arial"/>
          <w:color w:val="000000" w:themeColor="text1"/>
          <w:lang w:val="en-GB"/>
        </w:rPr>
        <w:t xml:space="preserve"> (Accessed: 06 May 2025).</w:t>
      </w:r>
    </w:p>
    <w:p w14:paraId="7BAB2295"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Ico.org.uk. (2024) ‘Sharing personal data with law enforcement authorities’. Available at: </w:t>
      </w:r>
      <w:hyperlink r:id="rId124" w:history="1">
        <w:r w:rsidRPr="00343618">
          <w:rPr>
            <w:rFonts w:ascii="Arial" w:hAnsi="Arial" w:cs="Arial"/>
            <w:lang w:val="en-GB"/>
          </w:rPr>
          <w:t>https://ico.org.uk/for-organisations/uk-gdpr-guidance-and-resources/data-sharing/sharing-personal-data-with-law-enforcement-authorities</w:t>
        </w:r>
      </w:hyperlink>
      <w:r w:rsidRPr="00343618">
        <w:rPr>
          <w:rFonts w:ascii="Arial" w:hAnsi="Arial" w:cs="Arial"/>
          <w:color w:val="000000" w:themeColor="text1"/>
          <w:lang w:val="en-GB"/>
        </w:rPr>
        <w:t xml:space="preserve"> (Accessed: 06 May 2025).</w:t>
      </w:r>
    </w:p>
    <w:p w14:paraId="6F5AA4F6"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lastRenderedPageBreak/>
        <w:t xml:space="preserve">Jones, H. et al. (2020) ‘We need to talk about dialogue: Accomplishing collaborative sensemaking in homicide investigations’. Available at: </w:t>
      </w:r>
      <w:hyperlink r:id="rId125" w:history="1">
        <w:r w:rsidRPr="00343618">
          <w:rPr>
            <w:rFonts w:ascii="Arial" w:hAnsi="Arial" w:cs="Arial"/>
            <w:lang w:val="en-GB"/>
          </w:rPr>
          <w:t>https://doi.org/10.1177/0032258x20970999</w:t>
        </w:r>
      </w:hyperlink>
      <w:r w:rsidRPr="00343618">
        <w:rPr>
          <w:rFonts w:ascii="Arial" w:hAnsi="Arial" w:cs="Arial"/>
          <w:color w:val="000000" w:themeColor="text1"/>
          <w:lang w:val="en-GB"/>
        </w:rPr>
        <w:t xml:space="preserve"> (Accessed: 06 May 2025).</w:t>
      </w:r>
    </w:p>
    <w:p w14:paraId="037774DF"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Legislation.GOV.UK (2016) ‘Investigatory Powers Act 2016’. Available at: </w:t>
      </w:r>
      <w:hyperlink r:id="rId126" w:history="1">
        <w:r w:rsidRPr="00343618">
          <w:rPr>
            <w:rFonts w:ascii="Arial" w:hAnsi="Arial" w:cs="Arial"/>
            <w:lang w:val="en-GB"/>
          </w:rPr>
          <w:t>https://www.legislation.gov.uk/ukpga/2016/25/contents</w:t>
        </w:r>
      </w:hyperlink>
      <w:r w:rsidRPr="00343618">
        <w:rPr>
          <w:rFonts w:ascii="Arial" w:hAnsi="Arial" w:cs="Arial"/>
          <w:color w:val="000000" w:themeColor="text1"/>
          <w:lang w:val="en-GB"/>
        </w:rPr>
        <w:t xml:space="preserve"> (Accessed: 06 May 2025).</w:t>
      </w:r>
    </w:p>
    <w:p w14:paraId="18CB3A19"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Li, L. (2022) ‘Reskilling and Upskilling the future-ready Workforce for Industry 4.0 and beyond, Information Systems Frontiers’. Available at: </w:t>
      </w:r>
      <w:hyperlink r:id="rId127" w:history="1">
        <w:r w:rsidRPr="00343618">
          <w:rPr>
            <w:rFonts w:ascii="Arial" w:hAnsi="Arial" w:cs="Arial"/>
            <w:lang w:val="en-GB"/>
          </w:rPr>
          <w:t>https://doi.org/10.1007/s10796-022-10308-y</w:t>
        </w:r>
      </w:hyperlink>
      <w:r w:rsidRPr="00343618">
        <w:rPr>
          <w:rFonts w:ascii="Arial" w:hAnsi="Arial" w:cs="Arial"/>
          <w:color w:val="000000" w:themeColor="text1"/>
          <w:lang w:val="en-GB"/>
        </w:rPr>
        <w:t xml:space="preserve"> (Accessed: 06 May 2025).</w:t>
      </w:r>
    </w:p>
    <w:p w14:paraId="47809591"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Loftus, B., Feilzer, M. and Goold, B. (2024) ‘Being watched: The aftermath of covert policing’. Available at: </w:t>
      </w:r>
      <w:hyperlink r:id="rId128" w:history="1">
        <w:r w:rsidRPr="00343618">
          <w:rPr>
            <w:rFonts w:ascii="Arial" w:hAnsi="Arial" w:cs="Arial"/>
            <w:lang w:val="en-GB"/>
          </w:rPr>
          <w:t>https://doi.org/10.1111/hojo.12569</w:t>
        </w:r>
      </w:hyperlink>
      <w:r w:rsidRPr="00343618">
        <w:rPr>
          <w:rFonts w:ascii="Arial" w:hAnsi="Arial" w:cs="Arial"/>
          <w:color w:val="000000" w:themeColor="text1"/>
          <w:lang w:val="en-GB"/>
        </w:rPr>
        <w:t xml:space="preserve"> (Accessed: 06 May 2025).</w:t>
      </w:r>
    </w:p>
    <w:p w14:paraId="2AF6B644"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Mahajan, R. and Pandit, K. (2024) ‘Cryptography and Computational Approaches in Ensuring Data Integrity for Digital Forensic Evidence’. Available at: </w:t>
      </w:r>
      <w:hyperlink r:id="rId129" w:history="1">
        <w:r w:rsidRPr="00343618">
          <w:rPr>
            <w:rFonts w:ascii="Arial" w:hAnsi="Arial" w:cs="Arial"/>
            <w:lang w:val="en-GB"/>
          </w:rPr>
          <w:t>https://ieeexplore.ieee.org/abstract/document/10607526</w:t>
        </w:r>
      </w:hyperlink>
      <w:r w:rsidRPr="00343618">
        <w:rPr>
          <w:rFonts w:ascii="Arial" w:hAnsi="Arial" w:cs="Arial"/>
          <w:color w:val="000000" w:themeColor="text1"/>
          <w:lang w:val="en-GB"/>
        </w:rPr>
        <w:t xml:space="preserve"> (Accessed: 06 May 2025).</w:t>
      </w:r>
    </w:p>
    <w:p w14:paraId="55BB1955"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Oxford Reference (2025) ‘Home Office Large Major Enquiry System’. Available at: </w:t>
      </w:r>
      <w:hyperlink r:id="rId130" w:history="1">
        <w:r w:rsidRPr="00343618">
          <w:rPr>
            <w:rFonts w:ascii="Arial" w:hAnsi="Arial" w:cs="Arial"/>
            <w:lang w:val="en-GB"/>
          </w:rPr>
          <w:t>https://www.oxfordreference.com/display/10.1093/oi/authority.20110810105101844</w:t>
        </w:r>
      </w:hyperlink>
      <w:r w:rsidRPr="00343618">
        <w:rPr>
          <w:rFonts w:ascii="Arial" w:hAnsi="Arial" w:cs="Arial"/>
          <w:color w:val="000000" w:themeColor="text1"/>
          <w:lang w:val="en-GB"/>
        </w:rPr>
        <w:t xml:space="preserve"> (Accessed: 06 May 2025).</w:t>
      </w:r>
    </w:p>
    <w:p w14:paraId="05C7A86D"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Radina Stoykova (2023) ‘Encrochat: The hacker with a warrant and fair trials?’ Available at: doi:https://doi.org/10.1016/j.fsidi.2023.301602 (Assessed: 06 May 2025). </w:t>
      </w:r>
    </w:p>
    <w:p w14:paraId="57950934"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Vogel, B. (n.d.) ‘Max-Planck-Institut für ausländisches und internationales Strafrecht Secret Evidence in Criminal Proceedings Balancing Procedural Fairness and Covert Surveillance’. Available at: https://pure.mpg.de/rest/items/item_3372586/component/file_3521614/content (Accessed 06 May 2025).</w:t>
      </w:r>
    </w:p>
    <w:p w14:paraId="0B8F0528"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www.cps.gov.uk. (n.d.) ‘Court of Appeal ruling on Reasonable Lines of Enquiry’. Available at: </w:t>
      </w:r>
      <w:hyperlink r:id="rId131" w:history="1">
        <w:r w:rsidRPr="00343618">
          <w:rPr>
            <w:rFonts w:ascii="Arial" w:hAnsi="Arial" w:cs="Arial"/>
            <w:lang w:val="en-GB"/>
          </w:rPr>
          <w:t>https://www.cps.gov.uk/publication/court-appeal-ruling-reasonable-lines-enquiry-r-v-e-2018-ewca-2426-crim</w:t>
        </w:r>
      </w:hyperlink>
      <w:r w:rsidRPr="00343618">
        <w:rPr>
          <w:rFonts w:ascii="Arial" w:hAnsi="Arial" w:cs="Arial"/>
          <w:color w:val="000000" w:themeColor="text1"/>
          <w:lang w:val="en-GB"/>
        </w:rPr>
        <w:t xml:space="preserve"> (Accessed 06 May 2025).</w:t>
      </w:r>
    </w:p>
    <w:p w14:paraId="08C58D47" w14:textId="77777777" w:rsidR="005703D5"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t xml:space="preserve">www.cps.gov.uk. (n.d.) ‘Disclosure Manual: Chapter 15 - Defence Disclosure | The Crown Prosecution Service’. Available at: </w:t>
      </w:r>
      <w:hyperlink r:id="rId132" w:history="1">
        <w:r w:rsidRPr="00343618">
          <w:rPr>
            <w:rFonts w:ascii="Arial" w:hAnsi="Arial" w:cs="Arial"/>
            <w:lang w:val="en-GB"/>
          </w:rPr>
          <w:t>https://www.cps.gov.uk/legal-guidance/disclosure-manual-chapter-15-defence-disclosure</w:t>
        </w:r>
      </w:hyperlink>
      <w:r w:rsidRPr="00343618">
        <w:rPr>
          <w:rFonts w:ascii="Arial" w:hAnsi="Arial" w:cs="Arial"/>
          <w:color w:val="000000" w:themeColor="text1"/>
          <w:lang w:val="en-GB"/>
        </w:rPr>
        <w:t xml:space="preserve"> (Accessed 06 May 2025).</w:t>
      </w:r>
    </w:p>
    <w:p w14:paraId="56CD8E77" w14:textId="67CD70C7" w:rsidR="0044401C" w:rsidRPr="00343618" w:rsidRDefault="005703D5" w:rsidP="00343618">
      <w:pPr>
        <w:pStyle w:val="EndNoteBibliography"/>
        <w:spacing w:before="240" w:after="0" w:line="360" w:lineRule="auto"/>
        <w:ind w:left="720" w:hanging="720"/>
        <w:rPr>
          <w:rFonts w:ascii="Arial" w:hAnsi="Arial" w:cs="Arial"/>
          <w:color w:val="000000" w:themeColor="text1"/>
          <w:lang w:val="en-GB"/>
        </w:rPr>
      </w:pPr>
      <w:r w:rsidRPr="00343618">
        <w:rPr>
          <w:rFonts w:ascii="Arial" w:hAnsi="Arial" w:cs="Arial"/>
          <w:color w:val="000000" w:themeColor="text1"/>
          <w:lang w:val="en-GB"/>
        </w:rPr>
        <w:lastRenderedPageBreak/>
        <w:t xml:space="preserve">www.cps.gov.uk. (2023) ‘Expert Guidance on Disclosure, Unused Material and Case Management’. Available at: </w:t>
      </w:r>
      <w:hyperlink r:id="rId133" w:history="1">
        <w:r w:rsidRPr="00343618">
          <w:rPr>
            <w:rFonts w:ascii="Arial" w:hAnsi="Arial" w:cs="Arial"/>
            <w:lang w:val="en-GB"/>
          </w:rPr>
          <w:t>https://www.cps.gov.uk/legal-guidance/expert-guidance-disclosure-unused-material-and-case-management</w:t>
        </w:r>
      </w:hyperlink>
      <w:r w:rsidRPr="00343618">
        <w:rPr>
          <w:rFonts w:ascii="Arial" w:hAnsi="Arial" w:cs="Arial"/>
          <w:color w:val="000000" w:themeColor="text1"/>
          <w:lang w:val="en-GB"/>
        </w:rPr>
        <w:t xml:space="preserve"> (Accessed 06 May 2025).</w:t>
      </w:r>
    </w:p>
    <w:p w14:paraId="693F193D" w14:textId="77777777" w:rsidR="008A2295" w:rsidRDefault="008A2295">
      <w:pPr>
        <w:rPr>
          <w:rFonts w:asciiTheme="minorBidi" w:hAnsiTheme="minorBidi"/>
          <w:color w:val="000000" w:themeColor="text1"/>
        </w:rPr>
      </w:pPr>
    </w:p>
    <w:p w14:paraId="19AE7FC5" w14:textId="77777777" w:rsidR="008A2295" w:rsidRDefault="008A2295">
      <w:pPr>
        <w:rPr>
          <w:rFonts w:asciiTheme="minorBidi" w:hAnsiTheme="minorBidi"/>
          <w:color w:val="000000" w:themeColor="text1"/>
        </w:rPr>
      </w:pPr>
    </w:p>
    <w:p w14:paraId="0A253E2D" w14:textId="2E959DF1" w:rsidR="7336895D" w:rsidRPr="0044401C" w:rsidRDefault="3A5EB7B5" w:rsidP="2F17ACDD">
      <w:pPr>
        <w:ind w:right="107"/>
        <w:jc w:val="both"/>
        <w:rPr>
          <w:rFonts w:asciiTheme="minorBidi" w:eastAsia="Arial" w:hAnsiTheme="minorBidi"/>
          <w:i/>
          <w:iCs/>
          <w:color w:val="000000" w:themeColor="text1"/>
          <w:sz w:val="24"/>
          <w:szCs w:val="24"/>
        </w:rPr>
      </w:pPr>
      <w:r w:rsidRPr="0044401C">
        <w:rPr>
          <w:rFonts w:asciiTheme="minorBidi" w:eastAsia="Arial" w:hAnsiTheme="minorBidi"/>
          <w:b/>
          <w:bCs/>
          <w:i/>
          <w:iCs/>
          <w:color w:val="000000" w:themeColor="text1"/>
          <w:sz w:val="24"/>
          <w:szCs w:val="24"/>
        </w:rPr>
        <w:t>Task 5</w:t>
      </w:r>
      <w:r w:rsidR="4C6CB4DE" w:rsidRPr="0044401C">
        <w:rPr>
          <w:rFonts w:asciiTheme="minorBidi" w:eastAsia="Arial" w:hAnsiTheme="minorBidi"/>
          <w:b/>
          <w:bCs/>
          <w:i/>
          <w:iCs/>
          <w:color w:val="000000" w:themeColor="text1"/>
          <w:sz w:val="24"/>
          <w:szCs w:val="24"/>
        </w:rPr>
        <w:t xml:space="preserve">: </w:t>
      </w:r>
      <w:r w:rsidRPr="0044401C">
        <w:rPr>
          <w:rFonts w:asciiTheme="minorBidi" w:eastAsia="Arial" w:hAnsiTheme="minorBidi"/>
          <w:b/>
          <w:bCs/>
          <w:i/>
          <w:iCs/>
          <w:color w:val="000000" w:themeColor="text1"/>
          <w:sz w:val="24"/>
          <w:szCs w:val="24"/>
        </w:rPr>
        <w:t>Personal Development Plan (PDP)</w:t>
      </w:r>
    </w:p>
    <w:p w14:paraId="24ED1ABE" w14:textId="30C130EE" w:rsidR="69B3A30A" w:rsidRPr="0044401C" w:rsidRDefault="3A5EB7B5" w:rsidP="69B3A30A">
      <w:pPr>
        <w:ind w:right="10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As part of your reflective process, please use this table to aid you in identifying the next steps for development. </w:t>
      </w:r>
    </w:p>
    <w:p w14:paraId="233F7648" w14:textId="2581BFB6" w:rsidR="3A5EB7B5" w:rsidRPr="0044401C" w:rsidRDefault="49E3DD73" w:rsidP="2F17ACDD">
      <w:pPr>
        <w:ind w:right="10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F</w:t>
      </w:r>
      <w:r w:rsidR="3C41B539" w:rsidRPr="0044401C">
        <w:rPr>
          <w:rFonts w:asciiTheme="minorBidi" w:eastAsia="Arial" w:hAnsiTheme="minorBidi"/>
          <w:color w:val="000000" w:themeColor="text1"/>
          <w:sz w:val="24"/>
          <w:szCs w:val="24"/>
        </w:rPr>
        <w:t xml:space="preserve">ormulate and implement a </w:t>
      </w:r>
      <w:r w:rsidR="3C41B539" w:rsidRPr="0044401C">
        <w:rPr>
          <w:rFonts w:asciiTheme="minorBidi" w:eastAsia="Arial" w:hAnsiTheme="minorBidi"/>
          <w:b/>
          <w:bCs/>
          <w:color w:val="000000" w:themeColor="text1"/>
          <w:sz w:val="24"/>
          <w:szCs w:val="24"/>
        </w:rPr>
        <w:t xml:space="preserve">personal study programme </w:t>
      </w:r>
      <w:r w:rsidR="3C41B539" w:rsidRPr="0044401C">
        <w:rPr>
          <w:rFonts w:asciiTheme="minorBidi" w:eastAsia="Arial" w:hAnsiTheme="minorBidi"/>
          <w:color w:val="000000" w:themeColor="text1"/>
          <w:sz w:val="24"/>
          <w:szCs w:val="24"/>
        </w:rPr>
        <w:t>to further enhance the development of your professional police practice. A template has been added for an ‘Individual Learning Plan’ that you can use for this task.  </w:t>
      </w:r>
    </w:p>
    <w:p w14:paraId="1D9B8E8A" w14:textId="695C877C" w:rsidR="3A5EB7B5" w:rsidRPr="0044401C" w:rsidRDefault="3C41B539" w:rsidP="69B3A30A">
      <w:pPr>
        <w:ind w:right="225"/>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1C5A6F35" w14:textId="0FE940AF" w:rsidR="00965385" w:rsidRPr="0044401C" w:rsidRDefault="3A5EB7B5" w:rsidP="2F17ACDD">
      <w:pPr>
        <w:ind w:right="10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u w:val="single"/>
        </w:rPr>
        <w:t>This is equivalent to 2000 words</w:t>
      </w:r>
      <w:r w:rsidRPr="0044401C">
        <w:rPr>
          <w:rFonts w:asciiTheme="minorBidi" w:eastAsia="Arial" w:hAnsiTheme="minorBidi"/>
          <w:color w:val="000000" w:themeColor="text1"/>
          <w:sz w:val="24"/>
          <w:szCs w:val="24"/>
        </w:rPr>
        <w:t xml:space="preserve"> towards the overall wordcount, please note this is not the actual number of words used in completing the table, the count reflects the thought and research behind it</w:t>
      </w:r>
    </w:p>
    <w:p w14:paraId="18384075" w14:textId="77777777" w:rsidR="0054097D" w:rsidRPr="0044401C" w:rsidRDefault="0054097D" w:rsidP="2F17ACDD">
      <w:pPr>
        <w:ind w:right="107"/>
        <w:jc w:val="both"/>
        <w:rPr>
          <w:rFonts w:asciiTheme="minorBidi" w:eastAsia="Arial" w:hAnsiTheme="minorBidi"/>
          <w:color w:val="000000" w:themeColor="text1"/>
          <w:sz w:val="24"/>
          <w:szCs w:val="24"/>
        </w:rPr>
      </w:pPr>
    </w:p>
    <w:p w14:paraId="556BDB18" w14:textId="44991FC0" w:rsidR="2F17ACDD" w:rsidRPr="0044401C" w:rsidRDefault="2F17ACDD" w:rsidP="2F17ACDD">
      <w:pPr>
        <w:jc w:val="center"/>
        <w:rPr>
          <w:rFonts w:asciiTheme="minorBidi" w:eastAsia="Arial" w:hAnsiTheme="minorBidi"/>
          <w:b/>
          <w:bCs/>
          <w:color w:val="000000" w:themeColor="text1"/>
          <w:u w:val="single"/>
        </w:rPr>
      </w:pPr>
    </w:p>
    <w:p w14:paraId="3C8AF230" w14:textId="4EE02922" w:rsidR="7336895D" w:rsidRPr="0044401C" w:rsidRDefault="4E6D1421" w:rsidP="2F17ACDD">
      <w:pPr>
        <w:jc w:val="center"/>
        <w:rPr>
          <w:rFonts w:asciiTheme="minorBidi" w:eastAsia="Arial" w:hAnsiTheme="minorBidi"/>
          <w:sz w:val="24"/>
          <w:szCs w:val="24"/>
          <w:u w:val="single"/>
        </w:rPr>
      </w:pPr>
      <w:r w:rsidRPr="0044401C">
        <w:rPr>
          <w:rFonts w:asciiTheme="minorBidi" w:eastAsia="Arial" w:hAnsiTheme="minorBidi"/>
          <w:b/>
          <w:bCs/>
          <w:color w:val="000000" w:themeColor="text1"/>
          <w:u w:val="single"/>
        </w:rPr>
        <w:t>Knowledge, Skills and Experience Assessment</w:t>
      </w:r>
      <w:r w:rsidRPr="0044401C">
        <w:rPr>
          <w:rFonts w:asciiTheme="minorBidi" w:eastAsia="Arial" w:hAnsiTheme="minorBidi"/>
          <w:color w:val="000000" w:themeColor="text1"/>
          <w:u w:val="single"/>
        </w:rPr>
        <w:t> </w:t>
      </w:r>
    </w:p>
    <w:p w14:paraId="71960A1E" w14:textId="3DCF88C8" w:rsidR="7336895D" w:rsidRPr="0044401C" w:rsidRDefault="7336895D" w:rsidP="69B3A30A">
      <w:pPr>
        <w:ind w:right="107"/>
        <w:jc w:val="both"/>
        <w:rPr>
          <w:rFonts w:asciiTheme="minorBidi" w:eastAsia="Arial" w:hAnsiTheme="minorBidi"/>
          <w:color w:val="000000" w:themeColor="text1"/>
          <w:sz w:val="24"/>
          <w:szCs w:val="24"/>
        </w:rPr>
      </w:pPr>
    </w:p>
    <w:tbl>
      <w:tblPr>
        <w:tblW w:w="8880" w:type="dxa"/>
        <w:tblLayout w:type="fixed"/>
        <w:tblLook w:val="04A0" w:firstRow="1" w:lastRow="0" w:firstColumn="1" w:lastColumn="0" w:noHBand="0" w:noVBand="1"/>
      </w:tblPr>
      <w:tblGrid>
        <w:gridCol w:w="1740"/>
        <w:gridCol w:w="855"/>
        <w:gridCol w:w="795"/>
        <w:gridCol w:w="840"/>
        <w:gridCol w:w="705"/>
        <w:gridCol w:w="855"/>
        <w:gridCol w:w="765"/>
        <w:gridCol w:w="2325"/>
      </w:tblGrid>
      <w:tr w:rsidR="69B3A30A" w:rsidRPr="0044401C" w14:paraId="500F4D86" w14:textId="77777777" w:rsidTr="1359001D">
        <w:tc>
          <w:tcPr>
            <w:tcW w:w="1740" w:type="dxa"/>
            <w:tcBorders>
              <w:top w:val="single" w:sz="6" w:space="0" w:color="auto"/>
              <w:left w:val="single" w:sz="6" w:space="0" w:color="auto"/>
              <w:bottom w:val="single" w:sz="6" w:space="0" w:color="auto"/>
              <w:right w:val="single" w:sz="6" w:space="0" w:color="auto"/>
            </w:tcBorders>
            <w:shd w:val="clear" w:color="auto" w:fill="5B9BD5" w:themeFill="accent5"/>
          </w:tcPr>
          <w:p w14:paraId="02D0D3FB" w14:textId="0154C997" w:rsidR="69B3A30A" w:rsidRPr="0044401C" w:rsidRDefault="69B3A30A" w:rsidP="69B3A30A">
            <w:pPr>
              <w:rPr>
                <w:rFonts w:asciiTheme="minorBidi" w:eastAsia="Arial" w:hAnsiTheme="minorBidi"/>
                <w:color w:val="000000" w:themeColor="text1"/>
              </w:rPr>
            </w:pPr>
            <w:r w:rsidRPr="0044401C">
              <w:rPr>
                <w:rFonts w:asciiTheme="minorBidi" w:eastAsia="Arial" w:hAnsiTheme="minorBidi"/>
                <w:color w:val="000000" w:themeColor="text1"/>
              </w:rPr>
              <w:t> </w:t>
            </w:r>
          </w:p>
        </w:tc>
        <w:tc>
          <w:tcPr>
            <w:tcW w:w="2490" w:type="dxa"/>
            <w:gridSpan w:val="3"/>
            <w:tcBorders>
              <w:top w:val="single" w:sz="6" w:space="0" w:color="auto"/>
              <w:left w:val="single" w:sz="6" w:space="0" w:color="auto"/>
              <w:bottom w:val="single" w:sz="6" w:space="0" w:color="auto"/>
              <w:right w:val="single" w:sz="6" w:space="0" w:color="auto"/>
            </w:tcBorders>
            <w:shd w:val="clear" w:color="auto" w:fill="5B9BD5" w:themeFill="accent5"/>
          </w:tcPr>
          <w:p w14:paraId="46F4249D" w14:textId="750A60F9" w:rsidR="69B3A30A" w:rsidRPr="0044401C" w:rsidRDefault="3A7D7E73" w:rsidP="1359001D">
            <w:pPr>
              <w:rPr>
                <w:rFonts w:asciiTheme="minorBidi" w:eastAsia="Arial" w:hAnsiTheme="minorBidi"/>
                <w:b/>
                <w:bCs/>
                <w:color w:val="000000" w:themeColor="text1"/>
              </w:rPr>
            </w:pPr>
            <w:r w:rsidRPr="0044401C">
              <w:rPr>
                <w:rFonts w:asciiTheme="minorBidi" w:eastAsia="Arial" w:hAnsiTheme="minorBidi"/>
                <w:b/>
                <w:bCs/>
                <w:color w:val="000000" w:themeColor="text1"/>
              </w:rPr>
              <w:t>Current level</w:t>
            </w:r>
          </w:p>
        </w:tc>
        <w:tc>
          <w:tcPr>
            <w:tcW w:w="2325" w:type="dxa"/>
            <w:gridSpan w:val="3"/>
            <w:tcBorders>
              <w:top w:val="single" w:sz="6" w:space="0" w:color="auto"/>
              <w:left w:val="nil"/>
              <w:bottom w:val="single" w:sz="6" w:space="0" w:color="auto"/>
              <w:right w:val="single" w:sz="6" w:space="0" w:color="auto"/>
            </w:tcBorders>
            <w:shd w:val="clear" w:color="auto" w:fill="5B9BD5" w:themeFill="accent5"/>
          </w:tcPr>
          <w:p w14:paraId="27848548" w14:textId="27B16091" w:rsidR="69B3A30A" w:rsidRPr="0044401C" w:rsidRDefault="0DFF38BA" w:rsidP="1359001D">
            <w:pPr>
              <w:rPr>
                <w:rFonts w:asciiTheme="minorBidi" w:eastAsia="Arial" w:hAnsiTheme="minorBidi"/>
                <w:b/>
                <w:bCs/>
                <w:color w:val="000000" w:themeColor="text1"/>
              </w:rPr>
            </w:pPr>
            <w:r w:rsidRPr="0044401C">
              <w:rPr>
                <w:rFonts w:asciiTheme="minorBidi" w:eastAsia="Arial" w:hAnsiTheme="minorBidi"/>
                <w:b/>
                <w:bCs/>
                <w:color w:val="000000" w:themeColor="text1"/>
              </w:rPr>
              <w:t>RATING </w:t>
            </w:r>
            <w:r w:rsidR="63FA7F95" w:rsidRPr="0044401C">
              <w:rPr>
                <w:rFonts w:asciiTheme="minorBidi" w:eastAsia="Arial" w:hAnsiTheme="minorBidi"/>
                <w:b/>
                <w:bCs/>
                <w:color w:val="000000" w:themeColor="text1"/>
              </w:rPr>
              <w:t>- next 6</w:t>
            </w:r>
            <w:r w:rsidR="0136CB53" w:rsidRPr="0044401C">
              <w:rPr>
                <w:rFonts w:asciiTheme="minorBidi" w:eastAsia="Arial" w:hAnsiTheme="minorBidi"/>
                <w:b/>
                <w:bCs/>
                <w:color w:val="000000" w:themeColor="text1"/>
              </w:rPr>
              <w:t xml:space="preserve"> to </w:t>
            </w:r>
            <w:r w:rsidR="63FA7F95" w:rsidRPr="0044401C">
              <w:rPr>
                <w:rFonts w:asciiTheme="minorBidi" w:eastAsia="Arial" w:hAnsiTheme="minorBidi"/>
                <w:b/>
                <w:bCs/>
                <w:color w:val="000000" w:themeColor="text1"/>
              </w:rPr>
              <w:t>12mths</w:t>
            </w:r>
          </w:p>
        </w:tc>
        <w:tc>
          <w:tcPr>
            <w:tcW w:w="2325" w:type="dxa"/>
            <w:tcBorders>
              <w:top w:val="single" w:sz="6" w:space="0" w:color="auto"/>
              <w:left w:val="nil"/>
              <w:bottom w:val="single" w:sz="6" w:space="0" w:color="auto"/>
              <w:right w:val="single" w:sz="6" w:space="0" w:color="auto"/>
            </w:tcBorders>
            <w:shd w:val="clear" w:color="auto" w:fill="5B9BD5" w:themeFill="accent5"/>
          </w:tcPr>
          <w:p w14:paraId="2BE8FF50" w14:textId="36D6ED8A" w:rsidR="69B3A30A" w:rsidRPr="0044401C" w:rsidRDefault="4D6E6E2B" w:rsidP="69B3A30A">
            <w:pPr>
              <w:rPr>
                <w:rFonts w:asciiTheme="minorBidi" w:eastAsia="Arial" w:hAnsiTheme="minorBidi"/>
                <w:color w:val="000000" w:themeColor="text1"/>
              </w:rPr>
            </w:pPr>
            <w:r w:rsidRPr="0044401C">
              <w:rPr>
                <w:rFonts w:asciiTheme="minorBidi" w:eastAsia="Arial" w:hAnsiTheme="minorBidi"/>
                <w:b/>
                <w:bCs/>
                <w:color w:val="000000" w:themeColor="text1"/>
              </w:rPr>
              <w:t>DEVELOPMENT NEED</w:t>
            </w:r>
            <w:r w:rsidRPr="0044401C">
              <w:rPr>
                <w:rFonts w:asciiTheme="minorBidi" w:eastAsia="Arial" w:hAnsiTheme="minorBidi"/>
                <w:color w:val="000000" w:themeColor="text1"/>
              </w:rPr>
              <w:t> </w:t>
            </w:r>
            <w:r w:rsidR="6ACDE762" w:rsidRPr="0044401C">
              <w:rPr>
                <w:rFonts w:asciiTheme="minorBidi" w:eastAsia="Arial" w:hAnsiTheme="minorBidi"/>
                <w:b/>
                <w:bCs/>
                <w:color w:val="000000" w:themeColor="text1"/>
              </w:rPr>
              <w:t>IDENTIFIED</w:t>
            </w:r>
          </w:p>
          <w:p w14:paraId="66D1EB09" w14:textId="36C58A06" w:rsidR="69B3A30A" w:rsidRPr="0044401C" w:rsidRDefault="69B3A30A" w:rsidP="69B3A30A">
            <w:pPr>
              <w:rPr>
                <w:rFonts w:asciiTheme="minorBidi" w:eastAsia="Arial" w:hAnsiTheme="minorBidi"/>
                <w:color w:val="000000" w:themeColor="text1"/>
              </w:rPr>
            </w:pPr>
            <w:r w:rsidRPr="0044401C">
              <w:rPr>
                <w:rFonts w:asciiTheme="minorBidi" w:eastAsia="Arial" w:hAnsiTheme="minorBidi"/>
                <w:color w:val="000000" w:themeColor="text1"/>
              </w:rPr>
              <w:t> </w:t>
            </w:r>
          </w:p>
        </w:tc>
      </w:tr>
      <w:tr w:rsidR="69B3A30A" w:rsidRPr="0044401C" w14:paraId="1D5C4F5E" w14:textId="77777777" w:rsidTr="1359001D">
        <w:trPr>
          <w:trHeight w:val="915"/>
        </w:trPr>
        <w:tc>
          <w:tcPr>
            <w:tcW w:w="1740" w:type="dxa"/>
            <w:tcBorders>
              <w:top w:val="single" w:sz="6" w:space="0" w:color="auto"/>
              <w:left w:val="single" w:sz="6" w:space="0" w:color="auto"/>
              <w:bottom w:val="single" w:sz="6" w:space="0" w:color="auto"/>
              <w:right w:val="single" w:sz="6" w:space="0" w:color="auto"/>
            </w:tcBorders>
          </w:tcPr>
          <w:p w14:paraId="48F613F4" w14:textId="10E1D5E7" w:rsidR="69B3A30A" w:rsidRPr="0044401C" w:rsidRDefault="4D6E6E2B" w:rsidP="69B3A30A">
            <w:pPr>
              <w:rPr>
                <w:rFonts w:asciiTheme="minorBidi" w:eastAsia="Arial" w:hAnsiTheme="minorBidi"/>
                <w:color w:val="000000" w:themeColor="text1"/>
              </w:rPr>
            </w:pPr>
            <w:r w:rsidRPr="0044401C">
              <w:rPr>
                <w:rFonts w:asciiTheme="minorBidi" w:eastAsia="Arial" w:hAnsiTheme="minorBidi"/>
                <w:b/>
                <w:bCs/>
                <w:color w:val="000000" w:themeColor="text1"/>
              </w:rPr>
              <w:t>KNOWLEDGE</w:t>
            </w:r>
            <w:r w:rsidRPr="0044401C">
              <w:rPr>
                <w:rFonts w:asciiTheme="minorBidi" w:eastAsia="Arial" w:hAnsiTheme="minorBidi"/>
                <w:color w:val="000000" w:themeColor="text1"/>
              </w:rPr>
              <w:t> </w:t>
            </w:r>
          </w:p>
        </w:tc>
        <w:tc>
          <w:tcPr>
            <w:tcW w:w="855" w:type="dxa"/>
            <w:tcBorders>
              <w:top w:val="single" w:sz="6" w:space="0" w:color="auto"/>
              <w:left w:val="single" w:sz="6" w:space="0" w:color="auto"/>
              <w:bottom w:val="single" w:sz="6" w:space="0" w:color="auto"/>
              <w:right w:val="single" w:sz="6" w:space="0" w:color="auto"/>
            </w:tcBorders>
          </w:tcPr>
          <w:p w14:paraId="59159199" w14:textId="3E1B8AE0"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Low </w:t>
            </w:r>
          </w:p>
          <w:p w14:paraId="448D47A9" w14:textId="59964695"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1-4 </w:t>
            </w:r>
          </w:p>
        </w:tc>
        <w:tc>
          <w:tcPr>
            <w:tcW w:w="795" w:type="dxa"/>
            <w:tcBorders>
              <w:top w:val="nil"/>
              <w:left w:val="single" w:sz="6" w:space="0" w:color="auto"/>
              <w:bottom w:val="single" w:sz="6" w:space="0" w:color="auto"/>
              <w:right w:val="single" w:sz="6" w:space="0" w:color="auto"/>
            </w:tcBorders>
          </w:tcPr>
          <w:p w14:paraId="4D0DF0A9" w14:textId="6538B450"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Med</w:t>
            </w:r>
            <w:r w:rsidRPr="0044401C">
              <w:rPr>
                <w:rFonts w:asciiTheme="minorBidi" w:eastAsia="Arial" w:hAnsiTheme="minorBidi"/>
                <w:color w:val="000000" w:themeColor="text1"/>
                <w:sz w:val="20"/>
                <w:szCs w:val="20"/>
              </w:rPr>
              <w:t> </w:t>
            </w:r>
          </w:p>
          <w:p w14:paraId="7058453A" w14:textId="4BC4DE4E"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5-7</w:t>
            </w:r>
            <w:r w:rsidRPr="0044401C">
              <w:rPr>
                <w:rFonts w:asciiTheme="minorBidi" w:eastAsia="Arial" w:hAnsiTheme="minorBidi"/>
                <w:color w:val="000000" w:themeColor="text1"/>
                <w:sz w:val="20"/>
                <w:szCs w:val="20"/>
              </w:rPr>
              <w:t> </w:t>
            </w:r>
          </w:p>
        </w:tc>
        <w:tc>
          <w:tcPr>
            <w:tcW w:w="840" w:type="dxa"/>
            <w:tcBorders>
              <w:top w:val="nil"/>
              <w:left w:val="single" w:sz="6" w:space="0" w:color="auto"/>
              <w:bottom w:val="single" w:sz="6" w:space="0" w:color="auto"/>
              <w:right w:val="single" w:sz="6" w:space="0" w:color="auto"/>
            </w:tcBorders>
          </w:tcPr>
          <w:p w14:paraId="3FA22AD9" w14:textId="14FB74FC"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High </w:t>
            </w:r>
          </w:p>
          <w:p w14:paraId="1F419609" w14:textId="754F2B67"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14ABE5EC" w14:textId="4271045F"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Low </w:t>
            </w:r>
          </w:p>
          <w:p w14:paraId="0B79785A" w14:textId="265A531E"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1-4 </w:t>
            </w:r>
          </w:p>
        </w:tc>
        <w:tc>
          <w:tcPr>
            <w:tcW w:w="855" w:type="dxa"/>
            <w:tcBorders>
              <w:top w:val="nil"/>
              <w:left w:val="single" w:sz="6" w:space="0" w:color="auto"/>
              <w:bottom w:val="single" w:sz="6" w:space="0" w:color="auto"/>
              <w:right w:val="single" w:sz="6" w:space="0" w:color="auto"/>
            </w:tcBorders>
          </w:tcPr>
          <w:p w14:paraId="6D0C49D5" w14:textId="7EBE074F"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Med </w:t>
            </w:r>
          </w:p>
          <w:p w14:paraId="393E2C5C" w14:textId="2183F999"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5-7 </w:t>
            </w:r>
          </w:p>
        </w:tc>
        <w:tc>
          <w:tcPr>
            <w:tcW w:w="765" w:type="dxa"/>
            <w:tcBorders>
              <w:top w:val="nil"/>
              <w:left w:val="single" w:sz="6" w:space="0" w:color="auto"/>
              <w:bottom w:val="single" w:sz="6" w:space="0" w:color="auto"/>
              <w:right w:val="single" w:sz="6" w:space="0" w:color="auto"/>
            </w:tcBorders>
          </w:tcPr>
          <w:p w14:paraId="4865524F" w14:textId="466BD1BA"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High</w:t>
            </w:r>
            <w:r w:rsidRPr="0044401C">
              <w:rPr>
                <w:rFonts w:asciiTheme="minorBidi" w:eastAsia="Arial" w:hAnsiTheme="minorBidi"/>
                <w:color w:val="000000" w:themeColor="text1"/>
                <w:sz w:val="20"/>
                <w:szCs w:val="20"/>
              </w:rPr>
              <w:t> </w:t>
            </w:r>
          </w:p>
          <w:p w14:paraId="35AECBD8" w14:textId="533068DC" w:rsidR="69B3A30A" w:rsidRPr="0044401C" w:rsidRDefault="69B3A30A" w:rsidP="69B3A30A">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8-10</w:t>
            </w:r>
            <w:r w:rsidRPr="0044401C">
              <w:rPr>
                <w:rFonts w:asciiTheme="minorBidi" w:eastAsia="Arial" w:hAnsiTheme="minorBidi"/>
                <w:color w:val="000000" w:themeColor="text1"/>
                <w:sz w:val="20"/>
                <w:szCs w:val="20"/>
              </w:rPr>
              <w:t> </w:t>
            </w:r>
          </w:p>
        </w:tc>
        <w:tc>
          <w:tcPr>
            <w:tcW w:w="2325" w:type="dxa"/>
            <w:tcBorders>
              <w:top w:val="single" w:sz="6" w:space="0" w:color="auto"/>
              <w:left w:val="single" w:sz="6" w:space="0" w:color="auto"/>
              <w:bottom w:val="single" w:sz="6" w:space="0" w:color="auto"/>
              <w:right w:val="single" w:sz="6" w:space="0" w:color="auto"/>
            </w:tcBorders>
          </w:tcPr>
          <w:p w14:paraId="1E2D2696" w14:textId="1EFBFACA" w:rsidR="69B3A30A" w:rsidRPr="00343618" w:rsidRDefault="005703D5" w:rsidP="00343618">
            <w:pPr>
              <w:spacing w:line="360" w:lineRule="auto"/>
              <w:rPr>
                <w:rFonts w:ascii="Arial" w:eastAsia="Arial" w:hAnsi="Arial" w:cs="Arial"/>
                <w:color w:val="000000" w:themeColor="text1"/>
              </w:rPr>
            </w:pPr>
            <w:r w:rsidRPr="00343618">
              <w:rPr>
                <w:rFonts w:ascii="Arial" w:eastAsia="Arial" w:hAnsi="Arial" w:cs="Arial"/>
                <w:color w:val="000000" w:themeColor="text1"/>
              </w:rPr>
              <w:t xml:space="preserve">My knowledge around advanced </w:t>
            </w:r>
            <w:r w:rsidRPr="00343618">
              <w:rPr>
                <w:rFonts w:ascii="Arial" w:hAnsi="Arial" w:cs="Arial"/>
              </w:rPr>
              <w:t xml:space="preserve">investigative interviewing techniques needs enhancing. I want to enhance my professional competence in conducting investigative </w:t>
            </w:r>
            <w:r w:rsidRPr="00343618">
              <w:rPr>
                <w:rFonts w:ascii="Arial" w:hAnsi="Arial" w:cs="Arial"/>
              </w:rPr>
              <w:lastRenderedPageBreak/>
              <w:t>interviews, I must expand my knowledge and practical application of the PEACE model and cognitive interviewing techniques. While I possess a foundational understanding of these methods, further training and hands-on experience are necessary to develop the expertise required to conduct effective interviews.</w:t>
            </w:r>
          </w:p>
        </w:tc>
      </w:tr>
      <w:tr w:rsidR="005703D5" w:rsidRPr="0044401C" w14:paraId="2D764C6B" w14:textId="77777777" w:rsidTr="1359001D">
        <w:trPr>
          <w:trHeight w:val="1095"/>
        </w:trPr>
        <w:tc>
          <w:tcPr>
            <w:tcW w:w="1740" w:type="dxa"/>
            <w:tcBorders>
              <w:top w:val="single" w:sz="6" w:space="0" w:color="auto"/>
              <w:left w:val="single" w:sz="6" w:space="0" w:color="auto"/>
              <w:bottom w:val="single" w:sz="6" w:space="0" w:color="auto"/>
              <w:right w:val="single" w:sz="6" w:space="0" w:color="auto"/>
            </w:tcBorders>
          </w:tcPr>
          <w:p w14:paraId="5092EBD0" w14:textId="0990B359" w:rsidR="005703D5" w:rsidRPr="0044401C" w:rsidRDefault="005703D5" w:rsidP="005703D5">
            <w:pPr>
              <w:rPr>
                <w:rFonts w:asciiTheme="minorBidi" w:eastAsia="Arial" w:hAnsiTheme="minorBidi"/>
                <w:color w:val="000000" w:themeColor="text1"/>
              </w:rPr>
            </w:pPr>
            <w:r w:rsidRPr="0044401C">
              <w:rPr>
                <w:rFonts w:asciiTheme="minorBidi" w:eastAsia="Arial" w:hAnsiTheme="minorBidi"/>
                <w:b/>
                <w:bCs/>
                <w:color w:val="000000" w:themeColor="text1"/>
              </w:rPr>
              <w:t>SKILLS </w:t>
            </w:r>
          </w:p>
          <w:p w14:paraId="296A7BD7" w14:textId="5F3790A2" w:rsidR="005703D5" w:rsidRPr="0044401C" w:rsidRDefault="005703D5" w:rsidP="005703D5">
            <w:pPr>
              <w:rPr>
                <w:rFonts w:asciiTheme="minorBidi" w:eastAsia="Arial" w:hAnsiTheme="minorBidi"/>
                <w:b/>
                <w:bCs/>
                <w:color w:val="000000" w:themeColor="text1"/>
              </w:rPr>
            </w:pPr>
          </w:p>
        </w:tc>
        <w:tc>
          <w:tcPr>
            <w:tcW w:w="855" w:type="dxa"/>
            <w:tcBorders>
              <w:top w:val="single" w:sz="6" w:space="0" w:color="auto"/>
              <w:left w:val="single" w:sz="6" w:space="0" w:color="auto"/>
              <w:bottom w:val="single" w:sz="6" w:space="0" w:color="auto"/>
              <w:right w:val="single" w:sz="6" w:space="0" w:color="auto"/>
            </w:tcBorders>
          </w:tcPr>
          <w:p w14:paraId="20BCFD79" w14:textId="2A8C50D9" w:rsidR="005703D5" w:rsidRPr="0044401C" w:rsidRDefault="005703D5" w:rsidP="005703D5">
            <w:pPr>
              <w:rPr>
                <w:rFonts w:asciiTheme="minorBidi" w:eastAsia="Arial" w:hAnsiTheme="minorBidi"/>
                <w:color w:val="000000" w:themeColor="text1"/>
                <w:sz w:val="20"/>
                <w:szCs w:val="20"/>
                <w:highlight w:val="yellow"/>
              </w:rPr>
            </w:pPr>
            <w:r w:rsidRPr="0044401C">
              <w:rPr>
                <w:rFonts w:asciiTheme="minorBidi" w:eastAsia="Arial" w:hAnsiTheme="minorBidi"/>
                <w:color w:val="000000" w:themeColor="text1"/>
                <w:sz w:val="20"/>
                <w:szCs w:val="20"/>
                <w:highlight w:val="yellow"/>
              </w:rPr>
              <w:t>Low </w:t>
            </w:r>
          </w:p>
          <w:p w14:paraId="6822E41D" w14:textId="7A048238"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1-4</w:t>
            </w:r>
            <w:r w:rsidRPr="0044401C">
              <w:rPr>
                <w:rFonts w:asciiTheme="minorBidi" w:eastAsia="Arial" w:hAnsiTheme="minorBidi"/>
                <w:color w:val="000000" w:themeColor="text1"/>
                <w:sz w:val="20"/>
                <w:szCs w:val="20"/>
              </w:rPr>
              <w:t> </w:t>
            </w:r>
          </w:p>
        </w:tc>
        <w:tc>
          <w:tcPr>
            <w:tcW w:w="795" w:type="dxa"/>
            <w:tcBorders>
              <w:top w:val="single" w:sz="6" w:space="0" w:color="auto"/>
              <w:left w:val="single" w:sz="6" w:space="0" w:color="auto"/>
              <w:bottom w:val="single" w:sz="6" w:space="0" w:color="auto"/>
              <w:right w:val="single" w:sz="6" w:space="0" w:color="auto"/>
            </w:tcBorders>
          </w:tcPr>
          <w:p w14:paraId="19FD361F" w14:textId="3C573F8C"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Med </w:t>
            </w:r>
          </w:p>
          <w:p w14:paraId="442E6BEE" w14:textId="3AC53E59"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5-7 </w:t>
            </w:r>
          </w:p>
        </w:tc>
        <w:tc>
          <w:tcPr>
            <w:tcW w:w="840" w:type="dxa"/>
            <w:tcBorders>
              <w:top w:val="single" w:sz="6" w:space="0" w:color="auto"/>
              <w:left w:val="single" w:sz="6" w:space="0" w:color="auto"/>
              <w:bottom w:val="single" w:sz="6" w:space="0" w:color="auto"/>
              <w:right w:val="single" w:sz="6" w:space="0" w:color="auto"/>
            </w:tcBorders>
          </w:tcPr>
          <w:p w14:paraId="0D6BFA72" w14:textId="1E2393FA"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High </w:t>
            </w:r>
          </w:p>
          <w:p w14:paraId="2C1255DB" w14:textId="1314F343"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546778DF" w14:textId="431E8770"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Low </w:t>
            </w:r>
          </w:p>
          <w:p w14:paraId="7C13AE98" w14:textId="144B6B66"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1-4 </w:t>
            </w:r>
          </w:p>
        </w:tc>
        <w:tc>
          <w:tcPr>
            <w:tcW w:w="855" w:type="dxa"/>
            <w:tcBorders>
              <w:top w:val="single" w:sz="6" w:space="0" w:color="auto"/>
              <w:left w:val="single" w:sz="6" w:space="0" w:color="auto"/>
              <w:bottom w:val="single" w:sz="6" w:space="0" w:color="auto"/>
              <w:right w:val="single" w:sz="6" w:space="0" w:color="auto"/>
            </w:tcBorders>
          </w:tcPr>
          <w:p w14:paraId="0B45D89C" w14:textId="1AA76628" w:rsidR="005703D5" w:rsidRPr="0044401C" w:rsidRDefault="005703D5" w:rsidP="005703D5">
            <w:pPr>
              <w:rPr>
                <w:rFonts w:asciiTheme="minorBidi" w:eastAsia="Arial" w:hAnsiTheme="minorBidi"/>
                <w:color w:val="000000" w:themeColor="text1"/>
                <w:sz w:val="20"/>
                <w:szCs w:val="20"/>
                <w:highlight w:val="yellow"/>
              </w:rPr>
            </w:pPr>
            <w:r w:rsidRPr="0044401C">
              <w:rPr>
                <w:rFonts w:asciiTheme="minorBidi" w:eastAsia="Arial" w:hAnsiTheme="minorBidi"/>
                <w:color w:val="000000" w:themeColor="text1"/>
                <w:sz w:val="20"/>
                <w:szCs w:val="20"/>
                <w:highlight w:val="yellow"/>
              </w:rPr>
              <w:t>Med </w:t>
            </w:r>
          </w:p>
          <w:p w14:paraId="39CBA4A9" w14:textId="65B776AE"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5-7</w:t>
            </w:r>
            <w:r w:rsidRPr="0044401C">
              <w:rPr>
                <w:rFonts w:asciiTheme="minorBidi" w:eastAsia="Arial" w:hAnsiTheme="minorBidi"/>
                <w:color w:val="000000" w:themeColor="text1"/>
                <w:sz w:val="20"/>
                <w:szCs w:val="20"/>
              </w:rPr>
              <w:t> </w:t>
            </w:r>
          </w:p>
        </w:tc>
        <w:tc>
          <w:tcPr>
            <w:tcW w:w="765" w:type="dxa"/>
            <w:tcBorders>
              <w:top w:val="single" w:sz="6" w:space="0" w:color="auto"/>
              <w:left w:val="single" w:sz="6" w:space="0" w:color="auto"/>
              <w:bottom w:val="single" w:sz="6" w:space="0" w:color="auto"/>
              <w:right w:val="single" w:sz="6" w:space="0" w:color="auto"/>
            </w:tcBorders>
          </w:tcPr>
          <w:p w14:paraId="74DD0F6D" w14:textId="66764C10"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High </w:t>
            </w:r>
          </w:p>
          <w:p w14:paraId="214CED32" w14:textId="0BAB0AEB"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8-10 </w:t>
            </w:r>
          </w:p>
        </w:tc>
        <w:tc>
          <w:tcPr>
            <w:tcW w:w="2325" w:type="dxa"/>
            <w:tcBorders>
              <w:top w:val="single" w:sz="6" w:space="0" w:color="auto"/>
              <w:left w:val="single" w:sz="6" w:space="0" w:color="auto"/>
              <w:bottom w:val="single" w:sz="6" w:space="0" w:color="auto"/>
              <w:right w:val="single" w:sz="6" w:space="0" w:color="auto"/>
            </w:tcBorders>
          </w:tcPr>
          <w:p w14:paraId="751A2E46" w14:textId="77777777" w:rsidR="005703D5" w:rsidRPr="00343618" w:rsidRDefault="005703D5" w:rsidP="00343618">
            <w:pPr>
              <w:spacing w:line="360" w:lineRule="auto"/>
              <w:ind w:left="360"/>
              <w:rPr>
                <w:rFonts w:ascii="Arial" w:hAnsi="Arial" w:cs="Arial"/>
              </w:rPr>
            </w:pPr>
            <w:r w:rsidRPr="00343618">
              <w:rPr>
                <w:rFonts w:ascii="Arial" w:eastAsia="Arial" w:hAnsi="Arial" w:cs="Arial"/>
                <w:color w:val="000000" w:themeColor="text1"/>
              </w:rPr>
              <w:t xml:space="preserve">My knowledge around POCA is basic and sufficient for my current role however I want to </w:t>
            </w:r>
            <w:r w:rsidRPr="00343618">
              <w:rPr>
                <w:rFonts w:ascii="Arial" w:hAnsi="Arial" w:cs="Arial"/>
              </w:rPr>
              <w:t xml:space="preserve">effectively utilise the provisions of POCA in tackling organised crime, I need to deepen my understanding of the legislation and its practical application. Attending specialised training courses </w:t>
            </w:r>
            <w:r w:rsidRPr="00343618">
              <w:rPr>
                <w:rFonts w:ascii="Arial" w:hAnsi="Arial" w:cs="Arial"/>
              </w:rPr>
              <w:lastRenderedPageBreak/>
              <w:t>on POCA, studying relevant case law, and collaborating with experienced financial investigators will enhance my ability to identify and investigate cases where POCA powers can be used to disrupt criminal enterprises and deprive offenders of their illicit gains</w:t>
            </w:r>
          </w:p>
          <w:p w14:paraId="02BD4685" w14:textId="506606A8" w:rsidR="005703D5" w:rsidRPr="00343618" w:rsidRDefault="005703D5" w:rsidP="00343618">
            <w:pPr>
              <w:spacing w:line="360" w:lineRule="auto"/>
              <w:rPr>
                <w:rFonts w:ascii="Arial" w:eastAsia="Arial" w:hAnsi="Arial" w:cs="Arial"/>
                <w:color w:val="000000" w:themeColor="text1"/>
              </w:rPr>
            </w:pPr>
          </w:p>
        </w:tc>
      </w:tr>
      <w:tr w:rsidR="005703D5" w:rsidRPr="0044401C" w14:paraId="1602AB4D" w14:textId="77777777" w:rsidTr="1359001D">
        <w:tc>
          <w:tcPr>
            <w:tcW w:w="1740" w:type="dxa"/>
            <w:tcBorders>
              <w:top w:val="single" w:sz="6" w:space="0" w:color="auto"/>
              <w:left w:val="single" w:sz="6" w:space="0" w:color="auto"/>
              <w:bottom w:val="single" w:sz="6" w:space="0" w:color="auto"/>
              <w:right w:val="single" w:sz="6" w:space="0" w:color="auto"/>
            </w:tcBorders>
          </w:tcPr>
          <w:p w14:paraId="16961DB5" w14:textId="16915CCF" w:rsidR="005703D5" w:rsidRPr="0044401C" w:rsidRDefault="005703D5" w:rsidP="005703D5">
            <w:pPr>
              <w:rPr>
                <w:rFonts w:asciiTheme="minorBidi" w:eastAsia="Arial" w:hAnsiTheme="minorBidi"/>
                <w:color w:val="000000" w:themeColor="text1"/>
              </w:rPr>
            </w:pPr>
            <w:r w:rsidRPr="0044401C">
              <w:rPr>
                <w:rFonts w:asciiTheme="minorBidi" w:eastAsia="Arial" w:hAnsiTheme="minorBidi"/>
                <w:b/>
                <w:bCs/>
                <w:color w:val="000000" w:themeColor="text1"/>
              </w:rPr>
              <w:t>EXPERIENCE </w:t>
            </w:r>
          </w:p>
          <w:p w14:paraId="3EEF2DD1" w14:textId="5A216897" w:rsidR="005703D5" w:rsidRPr="0044401C" w:rsidRDefault="005703D5" w:rsidP="005703D5">
            <w:pPr>
              <w:rPr>
                <w:rFonts w:asciiTheme="minorBidi" w:eastAsia="Arial" w:hAnsiTheme="minorBidi"/>
                <w:b/>
                <w:bCs/>
                <w:color w:val="000000" w:themeColor="text1"/>
              </w:rPr>
            </w:pPr>
          </w:p>
          <w:p w14:paraId="19DEF14E" w14:textId="5BD8FF7A" w:rsidR="005703D5" w:rsidRPr="0044401C" w:rsidRDefault="005703D5" w:rsidP="005703D5">
            <w:pPr>
              <w:rPr>
                <w:rFonts w:asciiTheme="minorBidi" w:eastAsia="Arial" w:hAnsiTheme="minorBidi"/>
                <w:color w:val="000000" w:themeColor="text1"/>
              </w:rPr>
            </w:pPr>
          </w:p>
        </w:tc>
        <w:tc>
          <w:tcPr>
            <w:tcW w:w="855" w:type="dxa"/>
            <w:tcBorders>
              <w:top w:val="single" w:sz="6" w:space="0" w:color="auto"/>
              <w:left w:val="single" w:sz="6" w:space="0" w:color="auto"/>
              <w:bottom w:val="single" w:sz="6" w:space="0" w:color="auto"/>
              <w:right w:val="single" w:sz="6" w:space="0" w:color="auto"/>
            </w:tcBorders>
          </w:tcPr>
          <w:p w14:paraId="7CC02F10" w14:textId="3FF9E308"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Low </w:t>
            </w:r>
          </w:p>
          <w:p w14:paraId="7F980E03" w14:textId="2241AD42"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1-4 </w:t>
            </w:r>
          </w:p>
        </w:tc>
        <w:tc>
          <w:tcPr>
            <w:tcW w:w="795" w:type="dxa"/>
            <w:tcBorders>
              <w:top w:val="single" w:sz="6" w:space="0" w:color="auto"/>
              <w:left w:val="single" w:sz="6" w:space="0" w:color="auto"/>
              <w:bottom w:val="single" w:sz="6" w:space="0" w:color="auto"/>
              <w:right w:val="single" w:sz="6" w:space="0" w:color="auto"/>
            </w:tcBorders>
          </w:tcPr>
          <w:p w14:paraId="55DA1534" w14:textId="3BCFD76F" w:rsidR="005703D5" w:rsidRPr="0044401C" w:rsidRDefault="005703D5" w:rsidP="005703D5">
            <w:pPr>
              <w:rPr>
                <w:rFonts w:asciiTheme="minorBidi" w:eastAsia="Arial" w:hAnsiTheme="minorBidi"/>
                <w:color w:val="000000" w:themeColor="text1"/>
                <w:sz w:val="20"/>
                <w:szCs w:val="20"/>
                <w:highlight w:val="yellow"/>
              </w:rPr>
            </w:pPr>
            <w:r w:rsidRPr="0044401C">
              <w:rPr>
                <w:rFonts w:asciiTheme="minorBidi" w:eastAsia="Arial" w:hAnsiTheme="minorBidi"/>
                <w:color w:val="000000" w:themeColor="text1"/>
                <w:sz w:val="20"/>
                <w:szCs w:val="20"/>
                <w:highlight w:val="yellow"/>
              </w:rPr>
              <w:t>Med </w:t>
            </w:r>
          </w:p>
          <w:p w14:paraId="2D218451" w14:textId="62BA3DED"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5-7</w:t>
            </w:r>
            <w:r w:rsidRPr="0044401C">
              <w:rPr>
                <w:rFonts w:asciiTheme="minorBidi" w:eastAsia="Arial" w:hAnsiTheme="minorBidi"/>
                <w:color w:val="000000" w:themeColor="text1"/>
                <w:sz w:val="20"/>
                <w:szCs w:val="20"/>
              </w:rPr>
              <w:t> </w:t>
            </w:r>
          </w:p>
        </w:tc>
        <w:tc>
          <w:tcPr>
            <w:tcW w:w="840" w:type="dxa"/>
            <w:tcBorders>
              <w:top w:val="single" w:sz="6" w:space="0" w:color="auto"/>
              <w:left w:val="single" w:sz="6" w:space="0" w:color="auto"/>
              <w:bottom w:val="single" w:sz="6" w:space="0" w:color="auto"/>
              <w:right w:val="single" w:sz="6" w:space="0" w:color="auto"/>
            </w:tcBorders>
          </w:tcPr>
          <w:p w14:paraId="7BEBD130" w14:textId="04C5F825"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High </w:t>
            </w:r>
          </w:p>
          <w:p w14:paraId="6B02F38A" w14:textId="1781738A"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2CE7EC86" w14:textId="03847A4F"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Low </w:t>
            </w:r>
          </w:p>
          <w:p w14:paraId="56486F0D" w14:textId="28C000E9"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1-4 </w:t>
            </w:r>
          </w:p>
        </w:tc>
        <w:tc>
          <w:tcPr>
            <w:tcW w:w="855" w:type="dxa"/>
            <w:tcBorders>
              <w:top w:val="single" w:sz="6" w:space="0" w:color="auto"/>
              <w:left w:val="single" w:sz="6" w:space="0" w:color="auto"/>
              <w:bottom w:val="single" w:sz="6" w:space="0" w:color="auto"/>
              <w:right w:val="single" w:sz="6" w:space="0" w:color="auto"/>
            </w:tcBorders>
          </w:tcPr>
          <w:p w14:paraId="4A4760E4" w14:textId="0C3100C3"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Med </w:t>
            </w:r>
          </w:p>
          <w:p w14:paraId="553E8CC1" w14:textId="70611BE1"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rPr>
              <w:t>5-7 </w:t>
            </w:r>
          </w:p>
        </w:tc>
        <w:tc>
          <w:tcPr>
            <w:tcW w:w="765" w:type="dxa"/>
            <w:tcBorders>
              <w:top w:val="single" w:sz="6" w:space="0" w:color="auto"/>
              <w:left w:val="single" w:sz="6" w:space="0" w:color="auto"/>
              <w:bottom w:val="single" w:sz="6" w:space="0" w:color="auto"/>
              <w:right w:val="single" w:sz="6" w:space="0" w:color="auto"/>
            </w:tcBorders>
          </w:tcPr>
          <w:p w14:paraId="25E2791F" w14:textId="69324924" w:rsidR="005703D5" w:rsidRPr="0044401C" w:rsidRDefault="005703D5" w:rsidP="005703D5">
            <w:pPr>
              <w:rPr>
                <w:rFonts w:asciiTheme="minorBidi" w:eastAsia="Arial" w:hAnsiTheme="minorBidi"/>
                <w:color w:val="000000" w:themeColor="text1"/>
                <w:sz w:val="20"/>
                <w:szCs w:val="20"/>
                <w:highlight w:val="yellow"/>
              </w:rPr>
            </w:pPr>
            <w:r w:rsidRPr="0044401C">
              <w:rPr>
                <w:rFonts w:asciiTheme="minorBidi" w:eastAsia="Arial" w:hAnsiTheme="minorBidi"/>
                <w:color w:val="000000" w:themeColor="text1"/>
                <w:sz w:val="20"/>
                <w:szCs w:val="20"/>
                <w:highlight w:val="yellow"/>
              </w:rPr>
              <w:t>High </w:t>
            </w:r>
          </w:p>
          <w:p w14:paraId="0E0F6DB0" w14:textId="3F35C749" w:rsidR="005703D5" w:rsidRPr="0044401C" w:rsidRDefault="005703D5" w:rsidP="005703D5">
            <w:pPr>
              <w:rPr>
                <w:rFonts w:asciiTheme="minorBidi" w:eastAsia="Arial" w:hAnsiTheme="minorBidi"/>
                <w:color w:val="000000" w:themeColor="text1"/>
                <w:sz w:val="20"/>
                <w:szCs w:val="20"/>
              </w:rPr>
            </w:pPr>
            <w:r w:rsidRPr="0044401C">
              <w:rPr>
                <w:rFonts w:asciiTheme="minorBidi" w:eastAsia="Arial" w:hAnsiTheme="minorBidi"/>
                <w:color w:val="000000" w:themeColor="text1"/>
                <w:sz w:val="20"/>
                <w:szCs w:val="20"/>
                <w:highlight w:val="yellow"/>
              </w:rPr>
              <w:t>8-10</w:t>
            </w:r>
            <w:r w:rsidRPr="0044401C">
              <w:rPr>
                <w:rFonts w:asciiTheme="minorBidi" w:eastAsia="Arial" w:hAnsiTheme="minorBidi"/>
                <w:color w:val="000000" w:themeColor="text1"/>
                <w:sz w:val="20"/>
                <w:szCs w:val="20"/>
              </w:rPr>
              <w:t> </w:t>
            </w:r>
          </w:p>
        </w:tc>
        <w:tc>
          <w:tcPr>
            <w:tcW w:w="2325" w:type="dxa"/>
            <w:tcBorders>
              <w:top w:val="single" w:sz="6" w:space="0" w:color="auto"/>
              <w:left w:val="single" w:sz="6" w:space="0" w:color="auto"/>
              <w:bottom w:val="single" w:sz="6" w:space="0" w:color="auto"/>
              <w:right w:val="single" w:sz="6" w:space="0" w:color="auto"/>
            </w:tcBorders>
          </w:tcPr>
          <w:p w14:paraId="747C112A" w14:textId="71CD1677" w:rsidR="005703D5" w:rsidRPr="00343618" w:rsidRDefault="005703D5" w:rsidP="00343618">
            <w:pPr>
              <w:spacing w:line="360" w:lineRule="auto"/>
              <w:ind w:left="360"/>
              <w:rPr>
                <w:rFonts w:ascii="Arial" w:hAnsi="Arial" w:cs="Arial"/>
              </w:rPr>
            </w:pPr>
            <w:r w:rsidRPr="00343618">
              <w:rPr>
                <w:rFonts w:ascii="Arial" w:hAnsi="Arial" w:cs="Arial"/>
              </w:rPr>
              <w:t xml:space="preserve">Developing leadership and mentorship skills is crucial for effectively guiding and supporting the professional growth of junior officers. As I progress in my career, these skills will become increasingly important for creating a supportive and collaborative work environment </w:t>
            </w:r>
            <w:r w:rsidRPr="00343618">
              <w:rPr>
                <w:rFonts w:ascii="Arial" w:hAnsi="Arial" w:cs="Arial"/>
              </w:rPr>
              <w:lastRenderedPageBreak/>
              <w:t xml:space="preserve">and ensuring the success of South Wales Police. To address this development need, I plan to take on additional supervisory responsibilities to gain practical experience in managing and guiding a team, making decisions, and resolving conflicts. Attend leadership seminars and workshops to enhance my understanding of effective leadership principles and strategies. Actively seek opportunities to provide guidance and support to junior officers by offering advice, providing constructive feedback, and sharing my experiences. Read books and </w:t>
            </w:r>
            <w:r w:rsidRPr="00343618">
              <w:rPr>
                <w:rFonts w:ascii="Arial" w:hAnsi="Arial" w:cs="Arial"/>
              </w:rPr>
              <w:lastRenderedPageBreak/>
              <w:t>articles on effective mentoring techniques and seek guidance from experienced leaders within South Wales Police to refine my approach to mentoring. By serving as a mentor and developing strong leadership skills, I can contribute to the professional development of junior officers and help create a positive and supportive work culture.</w:t>
            </w:r>
          </w:p>
          <w:p w14:paraId="00FC4667" w14:textId="56AB67FA" w:rsidR="005703D5" w:rsidRPr="00343618" w:rsidRDefault="005703D5" w:rsidP="00343618">
            <w:pPr>
              <w:spacing w:line="360" w:lineRule="auto"/>
              <w:rPr>
                <w:rFonts w:ascii="Arial" w:eastAsia="Arial" w:hAnsi="Arial" w:cs="Arial"/>
                <w:color w:val="000000" w:themeColor="text1"/>
              </w:rPr>
            </w:pPr>
          </w:p>
        </w:tc>
      </w:tr>
    </w:tbl>
    <w:p w14:paraId="722E34CD" w14:textId="0FE593C5" w:rsidR="2F17ACDD" w:rsidRPr="0044401C" w:rsidRDefault="2F17ACDD" w:rsidP="57DF25C0">
      <w:pPr>
        <w:spacing w:before="240" w:after="60"/>
        <w:rPr>
          <w:rFonts w:asciiTheme="minorBidi" w:eastAsia="Arial" w:hAnsiTheme="minorBidi"/>
          <w:b/>
          <w:bCs/>
          <w:sz w:val="28"/>
          <w:szCs w:val="28"/>
        </w:rPr>
      </w:pPr>
    </w:p>
    <w:p w14:paraId="22AE2DA1" w14:textId="021FD5BB" w:rsidR="57DF25C0" w:rsidRPr="0044401C" w:rsidRDefault="57DF25C0" w:rsidP="57DF25C0">
      <w:pPr>
        <w:rPr>
          <w:rFonts w:asciiTheme="minorBidi" w:eastAsia="Arial" w:hAnsiTheme="minorBidi"/>
          <w:b/>
          <w:bCs/>
          <w:sz w:val="28"/>
          <w:szCs w:val="28"/>
        </w:rPr>
      </w:pPr>
    </w:p>
    <w:p w14:paraId="053211CB" w14:textId="496CB443" w:rsidR="1F9D89F6" w:rsidRPr="0044401C" w:rsidRDefault="2BA52522" w:rsidP="7336895D">
      <w:pPr>
        <w:spacing w:before="240" w:after="60"/>
        <w:ind w:right="237"/>
        <w:jc w:val="both"/>
        <w:rPr>
          <w:rFonts w:asciiTheme="minorBidi" w:eastAsia="Arial" w:hAnsiTheme="minorBidi"/>
          <w:color w:val="000000" w:themeColor="text1"/>
          <w:sz w:val="24"/>
          <w:szCs w:val="24"/>
        </w:rPr>
      </w:pPr>
      <w:r w:rsidRPr="0044401C">
        <w:rPr>
          <w:rFonts w:asciiTheme="minorBidi" w:eastAsia="Arial" w:hAnsiTheme="minorBidi"/>
          <w:b/>
          <w:bCs/>
          <w:color w:val="000000" w:themeColor="text1"/>
          <w:sz w:val="24"/>
          <w:szCs w:val="24"/>
        </w:rPr>
        <w:t xml:space="preserve">6. </w:t>
      </w:r>
      <w:r w:rsidR="7129BA1C" w:rsidRPr="0044401C">
        <w:rPr>
          <w:rFonts w:asciiTheme="minorBidi" w:eastAsia="Arial" w:hAnsiTheme="minorBidi"/>
          <w:b/>
          <w:bCs/>
          <w:color w:val="000000" w:themeColor="text1"/>
          <w:sz w:val="24"/>
          <w:szCs w:val="24"/>
        </w:rPr>
        <w:t>Reference List</w:t>
      </w:r>
    </w:p>
    <w:p w14:paraId="3D3A3146" w14:textId="693B7556" w:rsidR="1F9D89F6" w:rsidRPr="0044401C" w:rsidRDefault="1F9D89F6" w:rsidP="7336895D">
      <w:pPr>
        <w:spacing w:before="240" w:after="60"/>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The </w:t>
      </w:r>
      <w:r w:rsidR="54EB8D63" w:rsidRPr="0044401C">
        <w:rPr>
          <w:rFonts w:asciiTheme="minorBidi" w:eastAsia="Arial" w:hAnsiTheme="minorBidi"/>
          <w:color w:val="000000" w:themeColor="text1"/>
          <w:sz w:val="24"/>
          <w:szCs w:val="24"/>
        </w:rPr>
        <w:t>reference list</w:t>
      </w:r>
      <w:r w:rsidRPr="0044401C">
        <w:rPr>
          <w:rFonts w:asciiTheme="minorBidi" w:eastAsia="Arial" w:hAnsiTheme="minorBidi"/>
          <w:color w:val="000000" w:themeColor="text1"/>
          <w:sz w:val="24"/>
          <w:szCs w:val="24"/>
        </w:rPr>
        <w:t xml:space="preserve"> should only include sources referenced within the workbook using the Harvard referencing system. Information about referencing in written assignments and how to avoid plagiarism can be found on Moodle</w:t>
      </w:r>
      <w:r w:rsidR="79E7F474" w:rsidRPr="0044401C">
        <w:rPr>
          <w:rFonts w:asciiTheme="minorBidi" w:eastAsia="Arial" w:hAnsiTheme="minorBidi"/>
          <w:color w:val="000000" w:themeColor="text1"/>
          <w:sz w:val="24"/>
          <w:szCs w:val="24"/>
        </w:rPr>
        <w:t xml:space="preserve"> and will be provided within your lesson</w:t>
      </w:r>
      <w:r w:rsidRPr="0044401C">
        <w:rPr>
          <w:rFonts w:asciiTheme="minorBidi" w:eastAsia="Arial" w:hAnsiTheme="minorBidi"/>
          <w:color w:val="000000" w:themeColor="text1"/>
          <w:sz w:val="24"/>
          <w:szCs w:val="24"/>
        </w:rPr>
        <w:t>. It is important that you are aware of the importance of ensuring that the work submitted is your original work.</w:t>
      </w:r>
    </w:p>
    <w:p w14:paraId="3467AD3C" w14:textId="22EBFB17" w:rsidR="7336895D" w:rsidRPr="0044401C" w:rsidRDefault="3C360A0F" w:rsidP="43D343CA">
      <w:pPr>
        <w:spacing w:before="240" w:after="60"/>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If you are unsure</w:t>
      </w:r>
      <w:r w:rsidR="2F0A9433" w:rsidRPr="0044401C">
        <w:rPr>
          <w:rFonts w:asciiTheme="minorBidi" w:eastAsia="Arial" w:hAnsiTheme="minorBidi"/>
          <w:color w:val="000000" w:themeColor="text1"/>
          <w:sz w:val="24"/>
          <w:szCs w:val="24"/>
        </w:rPr>
        <w:t>,</w:t>
      </w:r>
      <w:r w:rsidRPr="0044401C">
        <w:rPr>
          <w:rFonts w:asciiTheme="minorBidi" w:eastAsia="Arial" w:hAnsiTheme="minorBidi"/>
          <w:color w:val="000000" w:themeColor="text1"/>
          <w:sz w:val="24"/>
          <w:szCs w:val="24"/>
        </w:rPr>
        <w:t xml:space="preserve"> it is important that you seek guidance.</w:t>
      </w:r>
      <w:r w:rsidR="7760CB70" w:rsidRPr="0044401C">
        <w:rPr>
          <w:rFonts w:asciiTheme="minorBidi" w:eastAsia="Arial" w:hAnsiTheme="minorBidi"/>
          <w:color w:val="000000" w:themeColor="text1"/>
          <w:sz w:val="24"/>
          <w:szCs w:val="24"/>
        </w:rPr>
        <w:t xml:space="preserve"> A copy of the UWTSD Harvard guidebook can be found at:</w:t>
      </w:r>
    </w:p>
    <w:p w14:paraId="4ED6E293" w14:textId="30157E46" w:rsidR="7336895D" w:rsidRPr="0044401C" w:rsidRDefault="7760CB70" w:rsidP="43D343CA">
      <w:pPr>
        <w:spacing w:before="240" w:after="60"/>
        <w:ind w:right="237"/>
        <w:jc w:val="both"/>
        <w:rPr>
          <w:rFonts w:asciiTheme="minorBidi" w:eastAsia="Arial" w:hAnsiTheme="minorBidi"/>
          <w:sz w:val="24"/>
          <w:szCs w:val="24"/>
        </w:rPr>
      </w:pPr>
      <w:hyperlink r:id="rId134">
        <w:r w:rsidRPr="0044401C">
          <w:rPr>
            <w:rStyle w:val="Hyperlink"/>
            <w:rFonts w:asciiTheme="minorBidi" w:eastAsia="Arial" w:hAnsiTheme="minorBidi"/>
            <w:sz w:val="24"/>
            <w:szCs w:val="24"/>
          </w:rPr>
          <w:t>https://intranet.uwtsd.ac.uk/sites/intranet/files/2023-10/Harvard%20en_v.1.3%20%28V6%29.pdf</w:t>
        </w:r>
      </w:hyperlink>
    </w:p>
    <w:p w14:paraId="145AB031" w14:textId="6144EF2A" w:rsidR="7336895D" w:rsidRPr="0044401C" w:rsidRDefault="7760CB70" w:rsidP="7336895D">
      <w:pPr>
        <w:spacing w:before="240" w:after="60"/>
        <w:ind w:right="237"/>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A copy is also available on Moodle.</w:t>
      </w:r>
    </w:p>
    <w:p w14:paraId="4C25DAC8" w14:textId="741CE5A5" w:rsidR="43D343CA" w:rsidRPr="0044401C" w:rsidRDefault="43D343CA" w:rsidP="43D343CA">
      <w:pPr>
        <w:spacing w:before="240" w:after="60"/>
        <w:ind w:right="237"/>
        <w:jc w:val="both"/>
        <w:rPr>
          <w:rFonts w:asciiTheme="minorBidi" w:eastAsia="Arial" w:hAnsiTheme="minorBidi"/>
          <w:color w:val="000000" w:themeColor="text1"/>
          <w:sz w:val="24"/>
          <w:szCs w:val="24"/>
        </w:rPr>
      </w:pPr>
    </w:p>
    <w:p w14:paraId="29AA9BEE" w14:textId="5DCDF1A4" w:rsidR="36C39960" w:rsidRPr="0044401C" w:rsidRDefault="36C39960" w:rsidP="43D343CA">
      <w:pPr>
        <w:pStyle w:val="Heading2"/>
        <w:spacing w:before="0" w:after="160"/>
        <w:jc w:val="both"/>
        <w:rPr>
          <w:rFonts w:asciiTheme="minorBidi" w:eastAsia="Arial" w:hAnsiTheme="minorBidi" w:cstheme="minorBidi"/>
          <w:b/>
          <w:bCs/>
          <w:color w:val="000000" w:themeColor="text1"/>
          <w:sz w:val="24"/>
          <w:szCs w:val="24"/>
        </w:rPr>
      </w:pPr>
      <w:r w:rsidRPr="0044401C">
        <w:rPr>
          <w:rFonts w:asciiTheme="minorBidi" w:eastAsia="Arial" w:hAnsiTheme="minorBidi" w:cstheme="minorBidi"/>
          <w:b/>
          <w:bCs/>
          <w:color w:val="000000" w:themeColor="text1"/>
          <w:sz w:val="24"/>
          <w:szCs w:val="24"/>
        </w:rPr>
        <w:t xml:space="preserve">7. </w:t>
      </w:r>
      <w:r w:rsidR="178EA1FF" w:rsidRPr="0044401C">
        <w:rPr>
          <w:rFonts w:asciiTheme="minorBidi" w:eastAsia="Arial" w:hAnsiTheme="minorBidi" w:cstheme="minorBidi"/>
          <w:b/>
          <w:bCs/>
          <w:color w:val="000000" w:themeColor="text1"/>
          <w:sz w:val="24"/>
          <w:szCs w:val="24"/>
        </w:rPr>
        <w:t>Use of Generative AI in Assessment</w:t>
      </w:r>
    </w:p>
    <w:p w14:paraId="2836D909" w14:textId="59D9CA90" w:rsidR="178EA1FF" w:rsidRPr="0044401C" w:rsidRDefault="178EA1FF" w:rsidP="43D343CA">
      <w:pPr>
        <w:jc w:val="both"/>
        <w:rPr>
          <w:rFonts w:asciiTheme="minorBidi" w:eastAsia="Arial" w:hAnsiTheme="minorBidi"/>
          <w:color w:val="000000" w:themeColor="text1"/>
          <w:sz w:val="24"/>
          <w:szCs w:val="24"/>
        </w:rPr>
      </w:pPr>
      <w:r w:rsidRPr="0044401C">
        <w:rPr>
          <w:rFonts w:asciiTheme="minorBidi" w:eastAsia="Arial" w:hAnsiTheme="minorBidi"/>
          <w:color w:val="000000" w:themeColor="text1"/>
          <w:sz w:val="24"/>
          <w:szCs w:val="24"/>
        </w:rPr>
        <w:t xml:space="preserve">     (Lecturer to indicate Yes or Not against each element)</w:t>
      </w:r>
    </w:p>
    <w:p w14:paraId="57BDBB8F" w14:textId="4FB46BA7" w:rsidR="178EA1FF" w:rsidRPr="0044401C" w:rsidRDefault="178EA1FF" w:rsidP="43D343CA">
      <w:pPr>
        <w:spacing w:after="0"/>
        <w:jc w:val="both"/>
        <w:rPr>
          <w:rFonts w:asciiTheme="minorBidi" w:eastAsia="Times New Roman" w:hAnsiTheme="minorBidi"/>
          <w:color w:val="000000" w:themeColor="text1"/>
          <w:sz w:val="20"/>
          <w:szCs w:val="20"/>
        </w:rPr>
      </w:pPr>
      <w:r w:rsidRPr="0044401C">
        <w:rPr>
          <w:rFonts w:asciiTheme="minorBidi" w:eastAsia="Times New Roman" w:hAnsiTheme="minorBidi"/>
          <w:color w:val="000000" w:themeColor="text1"/>
          <w:sz w:val="20"/>
          <w:szCs w:val="20"/>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474"/>
        <w:gridCol w:w="4895"/>
        <w:gridCol w:w="1645"/>
      </w:tblGrid>
      <w:tr w:rsidR="43D343CA" w:rsidRPr="0044401C" w14:paraId="04679133" w14:textId="77777777" w:rsidTr="43D343CA">
        <w:trPr>
          <w:trHeight w:val="300"/>
        </w:trPr>
        <w:tc>
          <w:tcPr>
            <w:tcW w:w="2474"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DB04FC3" w14:textId="4BEDE07E"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RESEARCH</w:t>
            </w:r>
          </w:p>
        </w:tc>
        <w:tc>
          <w:tcPr>
            <w:tcW w:w="489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1F34AB53" w14:textId="60CB68D3"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 xml:space="preserve">For this assessment, you can use Generative AI to support you in research, including searching for bibliography, using tools to </w:t>
            </w:r>
            <w:proofErr w:type="spellStart"/>
            <w:r w:rsidRPr="0044401C">
              <w:rPr>
                <w:rFonts w:asciiTheme="minorBidi" w:eastAsia="Arial" w:hAnsiTheme="minorBidi"/>
                <w:lang w:val="en-US"/>
              </w:rPr>
              <w:t>summarise</w:t>
            </w:r>
            <w:proofErr w:type="spellEnd"/>
            <w:r w:rsidRPr="0044401C">
              <w:rPr>
                <w:rFonts w:asciiTheme="minorBidi" w:eastAsia="Arial" w:hAnsiTheme="minorBidi"/>
                <w:lang w:val="en-US"/>
              </w:rPr>
              <w:t>, compare and interrogate materials.</w:t>
            </w:r>
          </w:p>
        </w:tc>
        <w:tc>
          <w:tcPr>
            <w:tcW w:w="1645"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5912178D" w14:textId="6B17758D"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1B5E3CBC" w14:textId="3597661E"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22D4B47A" w14:textId="2CC85B39"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No  </w:t>
            </w:r>
            <w:r w:rsidRPr="0044401C">
              <w:rPr>
                <w:rFonts w:ascii="Segoe UI Symbol" w:eastAsia="MS Gothic" w:hAnsi="Segoe UI Symbol" w:cs="Segoe UI Symbol"/>
                <w:lang w:val="en-US"/>
              </w:rPr>
              <w:t>☐</w:t>
            </w:r>
          </w:p>
        </w:tc>
      </w:tr>
      <w:tr w:rsidR="43D343CA" w:rsidRPr="0044401C" w14:paraId="6E63A77B" w14:textId="77777777" w:rsidTr="43D343CA">
        <w:trPr>
          <w:trHeight w:val="300"/>
        </w:trPr>
        <w:tc>
          <w:tcPr>
            <w:tcW w:w="247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2DE07B5" w14:textId="3274E5F0"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STRUCTURE</w:t>
            </w:r>
          </w:p>
        </w:tc>
        <w:tc>
          <w:tcPr>
            <w:tcW w:w="48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6332163" w14:textId="3CF5723E"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For this assessment, you can use Generative AI to support you in structuring your submission, including creating a draft argument structure, identifying parts and headings, etc.</w:t>
            </w:r>
          </w:p>
        </w:tc>
        <w:tc>
          <w:tcPr>
            <w:tcW w:w="164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B8D9ED0" w14:textId="0A048C61"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2558AC03" w14:textId="453E9CD7"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59D0063A" w14:textId="65508ED6"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No  </w:t>
            </w:r>
            <w:r w:rsidRPr="0044401C">
              <w:rPr>
                <w:rFonts w:ascii="Segoe UI Symbol" w:eastAsia="MS Gothic" w:hAnsi="Segoe UI Symbol" w:cs="Segoe UI Symbol"/>
                <w:lang w:val="en-US"/>
              </w:rPr>
              <w:t>☐</w:t>
            </w:r>
          </w:p>
        </w:tc>
      </w:tr>
      <w:tr w:rsidR="43D343CA" w:rsidRPr="0044401C" w14:paraId="413B4356" w14:textId="77777777" w:rsidTr="43D343CA">
        <w:trPr>
          <w:trHeight w:val="300"/>
        </w:trPr>
        <w:tc>
          <w:tcPr>
            <w:tcW w:w="247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117553B" w14:textId="4C7E7201"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PROOFREADING</w:t>
            </w:r>
          </w:p>
        </w:tc>
        <w:tc>
          <w:tcPr>
            <w:tcW w:w="48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B8CA5FB" w14:textId="6F2731E6"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For this assessment, you can use Generative AI to check your own text/creation for grammatical and syntactical mistakes, including rephrasing of your own work within specific standards.</w:t>
            </w:r>
          </w:p>
        </w:tc>
        <w:tc>
          <w:tcPr>
            <w:tcW w:w="164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F86BCAD" w14:textId="51BBEE88"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5D75F3EE" w14:textId="7591179D"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048206BC" w14:textId="5DC4B6E3"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No  </w:t>
            </w:r>
            <w:r w:rsidRPr="0044401C">
              <w:rPr>
                <w:rFonts w:ascii="Segoe UI Symbol" w:eastAsia="MS Gothic" w:hAnsi="Segoe UI Symbol" w:cs="Segoe UI Symbol"/>
                <w:lang w:val="en-US"/>
              </w:rPr>
              <w:t>☐</w:t>
            </w:r>
          </w:p>
        </w:tc>
      </w:tr>
      <w:tr w:rsidR="43D343CA" w:rsidRPr="0044401C" w14:paraId="768421B3" w14:textId="77777777" w:rsidTr="43D343CA">
        <w:trPr>
          <w:trHeight w:val="300"/>
        </w:trPr>
        <w:tc>
          <w:tcPr>
            <w:tcW w:w="247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747DC3E" w14:textId="27C2779F"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WRITING</w:t>
            </w:r>
          </w:p>
        </w:tc>
        <w:tc>
          <w:tcPr>
            <w:tcW w:w="48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0B2C0D4" w14:textId="5F6FCDA8"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For this assessment, you can use Generative AI to create text for submission.</w:t>
            </w:r>
          </w:p>
        </w:tc>
        <w:tc>
          <w:tcPr>
            <w:tcW w:w="164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2509E27" w14:textId="7631FDF3"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08ABD334" w14:textId="3F4BA72A"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42298FE7" w14:textId="61828705"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No  </w:t>
            </w:r>
            <w:r w:rsidRPr="0044401C">
              <w:rPr>
                <w:rFonts w:asciiTheme="minorBidi" w:eastAsia="Arial" w:hAnsiTheme="minorBidi"/>
                <w:b/>
                <w:bCs/>
                <w:lang w:val="en-US"/>
              </w:rPr>
              <w:t>X</w:t>
            </w:r>
          </w:p>
        </w:tc>
      </w:tr>
      <w:tr w:rsidR="43D343CA" w:rsidRPr="0044401C" w14:paraId="564726C4" w14:textId="77777777" w:rsidTr="43D343CA">
        <w:trPr>
          <w:trHeight w:val="300"/>
        </w:trPr>
        <w:tc>
          <w:tcPr>
            <w:tcW w:w="247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BEE9EE7" w14:textId="1208B460"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CREATIVE</w:t>
            </w:r>
          </w:p>
        </w:tc>
        <w:tc>
          <w:tcPr>
            <w:tcW w:w="48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7C6AB1C" w14:textId="4BF0501C"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For this assessment, you can use Generative AI to create creative materials, such as images.</w:t>
            </w:r>
          </w:p>
        </w:tc>
        <w:tc>
          <w:tcPr>
            <w:tcW w:w="164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0DA6CC9" w14:textId="398A136E"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6A1D9EA1" w14:textId="071E5D57"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049BA769" w14:textId="0D44D9AB"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No  </w:t>
            </w:r>
            <w:r w:rsidRPr="0044401C">
              <w:rPr>
                <w:rFonts w:ascii="Segoe UI Symbol" w:eastAsia="MS Gothic" w:hAnsi="Segoe UI Symbol" w:cs="Segoe UI Symbol"/>
                <w:lang w:val="en-US"/>
              </w:rPr>
              <w:t>☐</w:t>
            </w:r>
          </w:p>
        </w:tc>
      </w:tr>
      <w:tr w:rsidR="43D343CA" w:rsidRPr="0044401C" w14:paraId="27C9FF0E" w14:textId="77777777" w:rsidTr="43D343CA">
        <w:trPr>
          <w:trHeight w:val="300"/>
        </w:trPr>
        <w:tc>
          <w:tcPr>
            <w:tcW w:w="2474"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F5B9E0" w14:textId="6E7A235C"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PROGRAMING</w:t>
            </w:r>
          </w:p>
        </w:tc>
        <w:tc>
          <w:tcPr>
            <w:tcW w:w="48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D14BDDD" w14:textId="3E354D2A"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For this assessment, you can use Generative AI to create and check code.</w:t>
            </w:r>
          </w:p>
        </w:tc>
        <w:tc>
          <w:tcPr>
            <w:tcW w:w="1645"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497B0C0" w14:textId="7FDAF97D"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496C5F45" w14:textId="662861F1"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177B5034" w14:textId="2A058B90"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No  </w:t>
            </w:r>
            <w:r w:rsidRPr="0044401C">
              <w:rPr>
                <w:rFonts w:ascii="Segoe UI Symbol" w:eastAsia="MS Gothic" w:hAnsi="Segoe UI Symbol" w:cs="Segoe UI Symbol"/>
                <w:lang w:val="en-US"/>
              </w:rPr>
              <w:t>☐</w:t>
            </w:r>
          </w:p>
        </w:tc>
      </w:tr>
      <w:tr w:rsidR="43D343CA" w:rsidRPr="0044401C" w14:paraId="1B1809D5" w14:textId="77777777" w:rsidTr="43D343CA">
        <w:trPr>
          <w:trHeight w:val="300"/>
        </w:trPr>
        <w:tc>
          <w:tcPr>
            <w:tcW w:w="2474"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145CC7C9" w14:textId="52022DEE"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NONE</w:t>
            </w:r>
          </w:p>
        </w:tc>
        <w:tc>
          <w:tcPr>
            <w:tcW w:w="489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37F4557" w14:textId="3CBB59AE" w:rsidR="43D343CA" w:rsidRPr="0044401C" w:rsidRDefault="43D343CA" w:rsidP="43D343CA">
            <w:pPr>
              <w:spacing w:line="257" w:lineRule="auto"/>
              <w:rPr>
                <w:rFonts w:asciiTheme="minorBidi" w:eastAsia="Arial" w:hAnsiTheme="minorBidi"/>
              </w:rPr>
            </w:pPr>
            <w:r w:rsidRPr="0044401C">
              <w:rPr>
                <w:rFonts w:asciiTheme="minorBidi" w:eastAsia="Arial" w:hAnsiTheme="minorBidi"/>
                <w:lang w:val="en-US"/>
              </w:rPr>
              <w:t xml:space="preserve">For this assessment, you are not allowed to use </w:t>
            </w:r>
            <w:r w:rsidRPr="0044401C">
              <w:rPr>
                <w:rFonts w:asciiTheme="minorBidi" w:eastAsia="Arial" w:hAnsiTheme="minorBidi"/>
                <w:b/>
                <w:bCs/>
                <w:lang w:val="en-US"/>
              </w:rPr>
              <w:t>any</w:t>
            </w:r>
            <w:r w:rsidRPr="0044401C">
              <w:rPr>
                <w:rFonts w:asciiTheme="minorBidi" w:eastAsia="Arial" w:hAnsiTheme="minorBidi"/>
                <w:lang w:val="en-US"/>
              </w:rPr>
              <w:t xml:space="preserve"> type of Generative AI support. This includes research support, structure support, writing/proofreading support and creative support.</w:t>
            </w:r>
          </w:p>
        </w:tc>
        <w:tc>
          <w:tcPr>
            <w:tcW w:w="1645"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33950827" w14:textId="0DB68C7C" w:rsidR="43D343CA" w:rsidRPr="0044401C" w:rsidRDefault="43D343CA" w:rsidP="43D343CA">
            <w:pPr>
              <w:rPr>
                <w:rFonts w:asciiTheme="minorBidi" w:eastAsia="MS Gothic" w:hAnsiTheme="minorBidi"/>
              </w:rPr>
            </w:pPr>
            <w:r w:rsidRPr="0044401C">
              <w:rPr>
                <w:rFonts w:asciiTheme="minorBidi" w:eastAsia="Arial" w:hAnsiTheme="minorBidi"/>
                <w:lang w:val="en-US"/>
              </w:rPr>
              <w:t xml:space="preserve">Yes </w:t>
            </w:r>
            <w:r w:rsidRPr="0044401C">
              <w:rPr>
                <w:rFonts w:ascii="Segoe UI Symbol" w:eastAsia="MS Gothic" w:hAnsi="Segoe UI Symbol" w:cs="Segoe UI Symbol"/>
                <w:lang w:val="en-US"/>
              </w:rPr>
              <w:t>☐</w:t>
            </w:r>
          </w:p>
          <w:p w14:paraId="11039516" w14:textId="25278B49" w:rsidR="43D343CA" w:rsidRPr="0044401C" w:rsidRDefault="43D343CA" w:rsidP="43D343CA">
            <w:pPr>
              <w:rPr>
                <w:rFonts w:asciiTheme="minorBidi" w:eastAsia="Arial" w:hAnsiTheme="minorBidi"/>
              </w:rPr>
            </w:pPr>
            <w:r w:rsidRPr="0044401C">
              <w:rPr>
                <w:rFonts w:asciiTheme="minorBidi" w:eastAsia="Arial" w:hAnsiTheme="minorBidi"/>
                <w:lang w:val="en-US"/>
              </w:rPr>
              <w:t xml:space="preserve"> </w:t>
            </w:r>
          </w:p>
          <w:p w14:paraId="553250E5" w14:textId="2B8451DD" w:rsidR="43D343CA" w:rsidRPr="0044401C" w:rsidRDefault="43D343CA" w:rsidP="43D343CA">
            <w:pPr>
              <w:rPr>
                <w:rFonts w:asciiTheme="minorBidi" w:eastAsia="Arial" w:hAnsiTheme="minorBidi"/>
              </w:rPr>
            </w:pPr>
            <w:r w:rsidRPr="0044401C">
              <w:rPr>
                <w:rFonts w:asciiTheme="minorBidi" w:eastAsia="Arial" w:hAnsiTheme="minorBidi"/>
                <w:lang w:val="en-US"/>
              </w:rPr>
              <w:t>No X</w:t>
            </w:r>
          </w:p>
        </w:tc>
      </w:tr>
    </w:tbl>
    <w:p w14:paraId="66C2B446" w14:textId="255BBA9F" w:rsidR="59C13812" w:rsidRPr="0044401C" w:rsidRDefault="59C13812" w:rsidP="43D343CA">
      <w:pPr>
        <w:jc w:val="center"/>
        <w:rPr>
          <w:rFonts w:asciiTheme="minorBidi" w:eastAsia="Arial" w:hAnsiTheme="minorBidi"/>
          <w:color w:val="000000" w:themeColor="text1"/>
          <w:sz w:val="40"/>
          <w:szCs w:val="40"/>
        </w:rPr>
      </w:pPr>
      <w:r w:rsidRPr="0044401C">
        <w:rPr>
          <w:rFonts w:asciiTheme="minorBidi" w:eastAsia="Arial" w:hAnsiTheme="minorBidi"/>
          <w:b/>
          <w:bCs/>
          <w:caps/>
          <w:color w:val="000000" w:themeColor="text1"/>
          <w:sz w:val="40"/>
          <w:szCs w:val="40"/>
        </w:rPr>
        <w:t>GUIDANCE FOR Students IN THE COMPLETION OF TASKS</w:t>
      </w:r>
    </w:p>
    <w:p w14:paraId="57AB9C98" w14:textId="3D6FFB71" w:rsidR="43D343CA" w:rsidRPr="0044401C" w:rsidRDefault="43D343CA" w:rsidP="43D343CA">
      <w:pPr>
        <w:jc w:val="both"/>
        <w:rPr>
          <w:rFonts w:asciiTheme="minorBidi" w:eastAsia="Arial" w:hAnsiTheme="minorBidi"/>
          <w:color w:val="000000" w:themeColor="text1"/>
        </w:rPr>
      </w:pPr>
    </w:p>
    <w:p w14:paraId="5A32B7CE" w14:textId="394BBAC8"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b/>
          <w:bCs/>
          <w:color w:val="000000" w:themeColor="text1"/>
        </w:rPr>
        <w:t>NOTE: The guidance offered below is linked to the five generic assessment criteria.</w:t>
      </w:r>
    </w:p>
    <w:p w14:paraId="1E73C825" w14:textId="76657291" w:rsidR="59C13812" w:rsidRPr="0044401C" w:rsidRDefault="59C13812" w:rsidP="43D343CA">
      <w:pPr>
        <w:pStyle w:val="ListParagraph"/>
        <w:numPr>
          <w:ilvl w:val="0"/>
          <w:numId w:val="2"/>
        </w:numPr>
        <w:jc w:val="both"/>
        <w:rPr>
          <w:rFonts w:asciiTheme="minorBidi" w:eastAsia="Arial" w:hAnsiTheme="minorBidi"/>
          <w:color w:val="000000" w:themeColor="text1"/>
        </w:rPr>
      </w:pPr>
      <w:r w:rsidRPr="0044401C">
        <w:rPr>
          <w:rFonts w:asciiTheme="minorBidi" w:eastAsia="Arial" w:hAnsiTheme="minorBidi"/>
          <w:b/>
          <w:bCs/>
          <w:color w:val="000000" w:themeColor="text1"/>
        </w:rPr>
        <w:t>Engagement with Literature Skills</w:t>
      </w:r>
    </w:p>
    <w:p w14:paraId="67701632" w14:textId="217F6ADA"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color w:val="000000" w:themeColor="text1"/>
        </w:rPr>
        <w:t xml:space="preserve">Your work must be informed and supported by scholarly material that is </w:t>
      </w:r>
      <w:r w:rsidRPr="0044401C">
        <w:rPr>
          <w:rFonts w:asciiTheme="minorBidi" w:eastAsia="Arial" w:hAnsiTheme="minorBidi"/>
          <w:i/>
          <w:iCs/>
          <w:color w:val="000000" w:themeColor="text1"/>
        </w:rPr>
        <w:t>relevant</w:t>
      </w:r>
      <w:r w:rsidRPr="0044401C">
        <w:rPr>
          <w:rFonts w:asciiTheme="minorBidi" w:eastAsia="Arial" w:hAnsiTheme="minorBidi"/>
          <w:color w:val="000000" w:themeColor="text1"/>
        </w:rPr>
        <w:t xml:space="preserve"> to and </w:t>
      </w:r>
      <w:r w:rsidRPr="0044401C">
        <w:rPr>
          <w:rFonts w:asciiTheme="minorBidi" w:eastAsia="Arial" w:hAnsiTheme="minorBidi"/>
          <w:i/>
          <w:iCs/>
          <w:color w:val="000000" w:themeColor="text1"/>
        </w:rPr>
        <w:t>focused</w:t>
      </w:r>
      <w:r w:rsidRPr="0044401C">
        <w:rPr>
          <w:rFonts w:asciiTheme="minorBidi" w:eastAsia="Arial" w:hAnsiTheme="minorBidi"/>
          <w:color w:val="000000" w:themeColor="text1"/>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44401C">
        <w:rPr>
          <w:rFonts w:asciiTheme="minorBidi" w:eastAsia="Arial" w:hAnsiTheme="minorBidi"/>
          <w:i/>
          <w:iCs/>
          <w:color w:val="000000" w:themeColor="text1"/>
        </w:rPr>
        <w:t>range</w:t>
      </w:r>
      <w:r w:rsidRPr="0044401C">
        <w:rPr>
          <w:rFonts w:asciiTheme="minorBidi" w:eastAsia="Arial" w:hAnsiTheme="minorBidi"/>
          <w:color w:val="000000" w:themeColor="text1"/>
        </w:rPr>
        <w:t xml:space="preserve"> of sources, which may be academic, governmental and industrial; these sources may </w:t>
      </w:r>
      <w:r w:rsidRPr="0044401C">
        <w:rPr>
          <w:rFonts w:asciiTheme="minorBidi" w:eastAsia="Arial" w:hAnsiTheme="minorBidi"/>
          <w:color w:val="000000" w:themeColor="text1"/>
        </w:rPr>
        <w:lastRenderedPageBreak/>
        <w:t xml:space="preserve">include academic journal articles, textbooks, current news articles, organisational documents, and websites.  You should consider the </w:t>
      </w:r>
      <w:r w:rsidRPr="0044401C">
        <w:rPr>
          <w:rFonts w:asciiTheme="minorBidi" w:eastAsia="Arial" w:hAnsiTheme="minorBidi"/>
          <w:i/>
          <w:iCs/>
          <w:color w:val="000000" w:themeColor="text1"/>
        </w:rPr>
        <w:t>credibility</w:t>
      </w:r>
      <w:r w:rsidRPr="0044401C">
        <w:rPr>
          <w:rFonts w:asciiTheme="minorBidi" w:eastAsia="Arial" w:hAnsiTheme="minorBidi"/>
          <w:color w:val="000000" w:themeColor="text1"/>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401C">
        <w:rPr>
          <w:rFonts w:asciiTheme="minorBidi" w:eastAsia="Arial" w:hAnsiTheme="minorBidi"/>
          <w:i/>
          <w:iCs/>
          <w:color w:val="000000" w:themeColor="text1"/>
        </w:rPr>
        <w:t>evidence</w:t>
      </w:r>
      <w:r w:rsidRPr="0044401C">
        <w:rPr>
          <w:rFonts w:asciiTheme="minorBidi" w:eastAsia="Arial" w:hAnsiTheme="minorBidi"/>
          <w:color w:val="000000" w:themeColor="text1"/>
        </w:rPr>
        <w:t xml:space="preserve"> of your research/own reading throughout your work, using a suitable referencing system, including in-text citations in the main body of your work and a reference list at the end of your work. </w:t>
      </w:r>
    </w:p>
    <w:p w14:paraId="7459FD5E" w14:textId="401CEFE4"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b/>
          <w:bCs/>
          <w:i/>
          <w:iCs/>
          <w:color w:val="000000" w:themeColor="text1"/>
        </w:rPr>
        <w:t>Guidance specific to this assessment:</w:t>
      </w:r>
      <w:r w:rsidRPr="0044401C">
        <w:rPr>
          <w:rFonts w:asciiTheme="minorBidi" w:eastAsia="Arial" w:hAnsiTheme="minorBidi"/>
          <w:i/>
          <w:iCs/>
          <w:color w:val="000000" w:themeColor="text1"/>
        </w:rPr>
        <w:t xml:space="preserve"> </w:t>
      </w:r>
      <w:r w:rsidRPr="0044401C">
        <w:rPr>
          <w:rFonts w:asciiTheme="minorBidi" w:eastAsia="Arial" w:hAnsiTheme="minorBidi"/>
          <w:i/>
          <w:iCs/>
          <w:color w:val="0070C0"/>
        </w:rPr>
        <w:t>At level 6 you should be reading extensively on the subject area, your sources should be reliable. Try to limit the quantity of journalistic sources you use and, instead include peer reviewed journal articles or academic sources. The Universities library is 90% available on-line this allows you to access journals through the library, make use of this to gain good grades</w:t>
      </w:r>
      <w:r w:rsidRPr="0044401C">
        <w:rPr>
          <w:rFonts w:asciiTheme="minorBidi" w:eastAsia="Arial" w:hAnsiTheme="minorBidi"/>
          <w:i/>
          <w:iCs/>
          <w:color w:val="000000" w:themeColor="text1"/>
        </w:rPr>
        <w:t xml:space="preserve">. </w:t>
      </w:r>
      <w:r w:rsidRPr="0044401C">
        <w:rPr>
          <w:rFonts w:asciiTheme="minorBidi" w:eastAsia="Arial" w:hAnsiTheme="minorBidi"/>
          <w:color w:val="000000" w:themeColor="text1"/>
        </w:rPr>
        <w:t xml:space="preserve"> </w:t>
      </w:r>
    </w:p>
    <w:p w14:paraId="73643632" w14:textId="011EE9F4" w:rsidR="59C13812" w:rsidRPr="0044401C" w:rsidRDefault="59C13812" w:rsidP="43D343CA">
      <w:pPr>
        <w:pStyle w:val="ListParagraph"/>
        <w:numPr>
          <w:ilvl w:val="0"/>
          <w:numId w:val="2"/>
        </w:numPr>
        <w:jc w:val="both"/>
        <w:rPr>
          <w:rFonts w:asciiTheme="minorBidi" w:eastAsia="Arial" w:hAnsiTheme="minorBidi"/>
          <w:color w:val="000000" w:themeColor="text1"/>
        </w:rPr>
      </w:pPr>
      <w:r w:rsidRPr="0044401C">
        <w:rPr>
          <w:rFonts w:asciiTheme="minorBidi" w:eastAsia="Arial" w:hAnsiTheme="minorBidi"/>
          <w:b/>
          <w:bCs/>
          <w:color w:val="000000" w:themeColor="text1"/>
        </w:rPr>
        <w:t>Knowledge and Understanding Skills</w:t>
      </w:r>
    </w:p>
    <w:p w14:paraId="70F1844A" w14:textId="439810F6" w:rsidR="59C13812" w:rsidRPr="0044401C" w:rsidRDefault="59C13812" w:rsidP="43D343CA">
      <w:pPr>
        <w:jc w:val="both"/>
        <w:rPr>
          <w:rFonts w:asciiTheme="minorBidi" w:eastAsia="Times New Roman" w:hAnsiTheme="minorBidi"/>
          <w:color w:val="000000" w:themeColor="text1"/>
          <w:sz w:val="20"/>
          <w:szCs w:val="20"/>
        </w:rPr>
      </w:pPr>
      <w:r w:rsidRPr="0044401C">
        <w:rPr>
          <w:rFonts w:asciiTheme="minorBidi" w:eastAsia="Arial" w:hAnsiTheme="minorBidi"/>
          <w:color w:val="000000" w:themeColor="text1"/>
        </w:rPr>
        <w:t>At level 6, you should be able to demonstrate</w:t>
      </w:r>
      <w:r w:rsidRPr="0044401C">
        <w:rPr>
          <w:rFonts w:asciiTheme="minorBidi" w:eastAsia="Times New Roman" w:hAnsiTheme="minorBidi"/>
          <w:color w:val="000000" w:themeColor="text1"/>
          <w:sz w:val="20"/>
          <w:szCs w:val="20"/>
        </w:rPr>
        <w:t xml:space="preserve"> </w:t>
      </w:r>
      <w:r w:rsidRPr="0044401C">
        <w:rPr>
          <w:rFonts w:asciiTheme="minorBidi" w:eastAsia="Arial" w:hAnsiTheme="minorBidi"/>
          <w:color w:val="000000" w:themeColor="text1"/>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44401C">
        <w:rPr>
          <w:rFonts w:asciiTheme="minorBidi" w:eastAsia="Arial" w:hAnsiTheme="minorBidi"/>
          <w:i/>
          <w:iCs/>
          <w:color w:val="000000" w:themeColor="text1"/>
        </w:rPr>
        <w:t>Knowledge</w:t>
      </w:r>
      <w:r w:rsidRPr="0044401C">
        <w:rPr>
          <w:rFonts w:asciiTheme="minorBidi" w:eastAsia="Arial" w:hAnsiTheme="minorBidi"/>
          <w:color w:val="000000" w:themeColor="text1"/>
        </w:rPr>
        <w:t xml:space="preserve"> relates to the facts, information and skills you have acquired through your learning.  You demonstrate your </w:t>
      </w:r>
      <w:r w:rsidRPr="0044401C">
        <w:rPr>
          <w:rFonts w:asciiTheme="minorBidi" w:eastAsia="Arial" w:hAnsiTheme="minorBidi"/>
          <w:i/>
          <w:iCs/>
          <w:color w:val="000000" w:themeColor="text1"/>
        </w:rPr>
        <w:t>understanding</w:t>
      </w:r>
      <w:r w:rsidRPr="0044401C">
        <w:rPr>
          <w:rFonts w:asciiTheme="minorBidi" w:eastAsia="Arial" w:hAnsiTheme="minorBidi"/>
          <w:color w:val="000000" w:themeColor="text1"/>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4401C">
        <w:rPr>
          <w:rFonts w:asciiTheme="minorBidi" w:eastAsia="Arial" w:hAnsiTheme="minorBidi"/>
          <w:i/>
          <w:iCs/>
          <w:color w:val="000000" w:themeColor="text1"/>
        </w:rPr>
        <w:t>extent</w:t>
      </w:r>
      <w:r w:rsidRPr="0044401C">
        <w:rPr>
          <w:rFonts w:asciiTheme="minorBidi" w:eastAsia="Arial" w:hAnsiTheme="minorBidi"/>
          <w:color w:val="000000" w:themeColor="text1"/>
        </w:rPr>
        <w:t xml:space="preserve"> to which you demonstrate your knowledge and understanding; ideally each should be complete and detailed, with comprehensive coverage.</w:t>
      </w:r>
      <w:r w:rsidRPr="0044401C">
        <w:rPr>
          <w:rFonts w:asciiTheme="minorBidi" w:eastAsia="Times New Roman" w:hAnsiTheme="minorBidi"/>
          <w:color w:val="000000" w:themeColor="text1"/>
          <w:sz w:val="20"/>
          <w:szCs w:val="20"/>
        </w:rPr>
        <w:t xml:space="preserve"> </w:t>
      </w:r>
    </w:p>
    <w:p w14:paraId="06C26C6E" w14:textId="03B6B31A"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b/>
          <w:bCs/>
          <w:i/>
          <w:iCs/>
          <w:color w:val="000000" w:themeColor="text1"/>
        </w:rPr>
        <w:t>Guidance specific to this assessment:</w:t>
      </w:r>
      <w:r w:rsidRPr="0044401C">
        <w:rPr>
          <w:rFonts w:asciiTheme="minorBidi" w:eastAsia="Arial" w:hAnsiTheme="minorBidi"/>
          <w:i/>
          <w:iCs/>
          <w:color w:val="000000" w:themeColor="text1"/>
        </w:rPr>
        <w:t xml:space="preserve"> </w:t>
      </w:r>
      <w:r w:rsidRPr="0044401C">
        <w:rPr>
          <w:rFonts w:asciiTheme="minorBidi" w:eastAsia="Arial" w:hAnsiTheme="minorBidi"/>
          <w:i/>
          <w:iCs/>
          <w:color w:val="0070C0"/>
        </w:rPr>
        <w:t>You should read to build your knowledge base on the subject using lectures as a basis for learning, if you do not understand an element of the teaching make an appointment to speak to your lecturer. Attendance is key to develop your knowledge and understanding</w:t>
      </w:r>
      <w:r w:rsidRPr="0044401C">
        <w:rPr>
          <w:rFonts w:asciiTheme="minorBidi" w:eastAsia="Arial" w:hAnsiTheme="minorBidi"/>
          <w:i/>
          <w:iCs/>
          <w:color w:val="000000" w:themeColor="text1"/>
        </w:rPr>
        <w:t xml:space="preserve">. </w:t>
      </w:r>
    </w:p>
    <w:p w14:paraId="5250FDAE" w14:textId="2F71EA4B" w:rsidR="43D343CA" w:rsidRPr="0044401C" w:rsidRDefault="43D343CA" w:rsidP="43D343CA">
      <w:pPr>
        <w:jc w:val="both"/>
        <w:rPr>
          <w:rFonts w:asciiTheme="minorBidi" w:eastAsia="Arial" w:hAnsiTheme="minorBidi"/>
          <w:i/>
          <w:iCs/>
          <w:color w:val="000000" w:themeColor="text1"/>
        </w:rPr>
      </w:pPr>
    </w:p>
    <w:p w14:paraId="4D446FD7" w14:textId="13E5CB0C" w:rsidR="43D343CA" w:rsidRPr="0044401C" w:rsidRDefault="43D343CA" w:rsidP="43D343CA">
      <w:pPr>
        <w:jc w:val="both"/>
        <w:rPr>
          <w:rFonts w:asciiTheme="minorBidi" w:eastAsia="Arial" w:hAnsiTheme="minorBidi"/>
          <w:i/>
          <w:iCs/>
          <w:color w:val="000000" w:themeColor="text1"/>
        </w:rPr>
      </w:pPr>
    </w:p>
    <w:p w14:paraId="4292CD1C" w14:textId="25660063" w:rsidR="59C13812" w:rsidRPr="0044401C" w:rsidRDefault="59C13812" w:rsidP="43D343CA">
      <w:pPr>
        <w:pStyle w:val="ListParagraph"/>
        <w:numPr>
          <w:ilvl w:val="0"/>
          <w:numId w:val="2"/>
        </w:numPr>
        <w:jc w:val="both"/>
        <w:rPr>
          <w:rFonts w:asciiTheme="minorBidi" w:eastAsia="Arial" w:hAnsiTheme="minorBidi"/>
          <w:color w:val="000000" w:themeColor="text1"/>
        </w:rPr>
      </w:pPr>
      <w:r w:rsidRPr="0044401C">
        <w:rPr>
          <w:rFonts w:asciiTheme="minorBidi" w:eastAsia="Arial" w:hAnsiTheme="minorBidi"/>
          <w:b/>
          <w:bCs/>
          <w:color w:val="000000" w:themeColor="text1"/>
        </w:rPr>
        <w:t>Cognitive and Intellectual Skills</w:t>
      </w:r>
    </w:p>
    <w:p w14:paraId="12229084" w14:textId="42CBCD96"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color w:val="000000" w:themeColor="text1"/>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44401C">
        <w:rPr>
          <w:rFonts w:asciiTheme="minorBidi" w:eastAsia="Arial" w:hAnsiTheme="minorBidi"/>
          <w:color w:val="000000" w:themeColor="text1"/>
        </w:rPr>
        <w:t>compare and contrast</w:t>
      </w:r>
      <w:proofErr w:type="gramEnd"/>
      <w:r w:rsidRPr="0044401C">
        <w:rPr>
          <w:rFonts w:asciiTheme="minorBidi" w:eastAsia="Arial" w:hAnsiTheme="minorBidi"/>
          <w:color w:val="000000" w:themeColor="text1"/>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t>
      </w:r>
      <w:r w:rsidRPr="0044401C">
        <w:rPr>
          <w:rFonts w:asciiTheme="minorBidi" w:eastAsia="Arial" w:hAnsiTheme="minorBidi"/>
          <w:color w:val="000000" w:themeColor="text1"/>
        </w:rPr>
        <w:lastRenderedPageBreak/>
        <w:t>Sound, valid conclusions are necessary and must be derived from the content of your work.   Where relevant, alternative solutions and recommendations may be proposed.</w:t>
      </w:r>
    </w:p>
    <w:p w14:paraId="1FAA3CA6" w14:textId="3569ACDC" w:rsidR="59C13812" w:rsidRPr="0044401C" w:rsidRDefault="59C13812" w:rsidP="43D343CA">
      <w:pPr>
        <w:jc w:val="both"/>
        <w:rPr>
          <w:rFonts w:asciiTheme="minorBidi" w:eastAsia="Arial" w:hAnsiTheme="minorBidi"/>
          <w:color w:val="0070C0"/>
        </w:rPr>
      </w:pPr>
      <w:r w:rsidRPr="0044401C">
        <w:rPr>
          <w:rFonts w:asciiTheme="minorBidi" w:eastAsia="Arial" w:hAnsiTheme="minorBidi"/>
          <w:b/>
          <w:bCs/>
          <w:i/>
          <w:iCs/>
          <w:color w:val="000000" w:themeColor="text1"/>
        </w:rPr>
        <w:t>Guidance specific to this assessment:</w:t>
      </w:r>
      <w:r w:rsidRPr="0044401C">
        <w:rPr>
          <w:rFonts w:asciiTheme="minorBidi" w:eastAsia="Arial" w:hAnsiTheme="minorBidi"/>
          <w:i/>
          <w:iCs/>
          <w:color w:val="000000" w:themeColor="text1"/>
        </w:rPr>
        <w:t xml:space="preserve"> </w:t>
      </w:r>
      <w:r w:rsidRPr="0044401C">
        <w:rPr>
          <w:rFonts w:asciiTheme="minorBidi" w:eastAsia="Arial" w:hAnsiTheme="minorBidi"/>
          <w:i/>
          <w:iCs/>
          <w:color w:val="0070C0"/>
        </w:rPr>
        <w:t xml:space="preserve">Avoid descriptive accounts of subject areas, you should at this level be discussing and arguing points, do not try to discuss too many points, select an area of study and then analyse and discuss this area.  </w:t>
      </w:r>
      <w:r w:rsidRPr="0044401C">
        <w:rPr>
          <w:rFonts w:asciiTheme="minorBidi" w:eastAsia="Arial" w:hAnsiTheme="minorBidi"/>
          <w:color w:val="0070C0"/>
        </w:rPr>
        <w:t xml:space="preserve"> </w:t>
      </w:r>
    </w:p>
    <w:p w14:paraId="6A7A7537" w14:textId="1A8D0228" w:rsidR="59C13812" w:rsidRPr="0044401C" w:rsidRDefault="59C13812" w:rsidP="43D343CA">
      <w:pPr>
        <w:pStyle w:val="ListParagraph"/>
        <w:numPr>
          <w:ilvl w:val="0"/>
          <w:numId w:val="2"/>
        </w:numPr>
        <w:jc w:val="both"/>
        <w:rPr>
          <w:rFonts w:asciiTheme="minorBidi" w:eastAsia="Arial" w:hAnsiTheme="minorBidi"/>
          <w:color w:val="000000" w:themeColor="text1"/>
        </w:rPr>
      </w:pPr>
      <w:r w:rsidRPr="0044401C">
        <w:rPr>
          <w:rFonts w:asciiTheme="minorBidi" w:eastAsia="Arial" w:hAnsiTheme="minorBidi"/>
          <w:b/>
          <w:bCs/>
          <w:color w:val="000000" w:themeColor="text1"/>
        </w:rPr>
        <w:t>Practical Skills</w:t>
      </w:r>
    </w:p>
    <w:p w14:paraId="4C55ACC8" w14:textId="351D2BC7"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color w:val="000000" w:themeColor="text1"/>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44401C">
        <w:rPr>
          <w:rFonts w:asciiTheme="minorBidi" w:eastAsia="Arial" w:hAnsiTheme="minorBidi"/>
          <w:color w:val="000000" w:themeColor="text1"/>
        </w:rPr>
        <w:t>real world</w:t>
      </w:r>
      <w:proofErr w:type="gramEnd"/>
      <w:r w:rsidRPr="0044401C">
        <w:rPr>
          <w:rFonts w:asciiTheme="minorBidi" w:eastAsia="Arial" w:hAnsiTheme="minorBidi"/>
          <w:color w:val="000000" w:themeColor="text1"/>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CE983C3" w14:textId="594E0068" w:rsidR="59C13812" w:rsidRPr="0044401C" w:rsidRDefault="59C13812" w:rsidP="43D343CA">
      <w:pPr>
        <w:jc w:val="both"/>
        <w:rPr>
          <w:rFonts w:asciiTheme="minorBidi" w:eastAsia="Arial" w:hAnsiTheme="minorBidi"/>
          <w:color w:val="0070C0"/>
        </w:rPr>
      </w:pPr>
      <w:r w:rsidRPr="0044401C">
        <w:rPr>
          <w:rFonts w:asciiTheme="minorBidi" w:eastAsia="Arial" w:hAnsiTheme="minorBidi"/>
          <w:b/>
          <w:bCs/>
          <w:i/>
          <w:iCs/>
          <w:color w:val="000000" w:themeColor="text1"/>
        </w:rPr>
        <w:t>Guidance specific to this assessment:</w:t>
      </w:r>
      <w:r w:rsidRPr="0044401C">
        <w:rPr>
          <w:rFonts w:asciiTheme="minorBidi" w:eastAsia="Arial" w:hAnsiTheme="minorBidi"/>
          <w:i/>
          <w:iCs/>
          <w:color w:val="000000" w:themeColor="text1"/>
        </w:rPr>
        <w:t xml:space="preserve"> </w:t>
      </w:r>
      <w:r w:rsidRPr="0044401C">
        <w:rPr>
          <w:rFonts w:asciiTheme="minorBidi" w:eastAsia="Arial" w:hAnsiTheme="minorBidi"/>
          <w:i/>
          <w:iCs/>
          <w:color w:val="0070C0"/>
          <w:sz w:val="24"/>
          <w:szCs w:val="24"/>
        </w:rPr>
        <w:t xml:space="preserve">Put into practice what you have learned in Academic skills to structure your work so that it flows from one logical argument to the next using ‘linking’ words and sentences. Demonstrate you effective referencing skills. </w:t>
      </w:r>
      <w:r w:rsidRPr="0044401C">
        <w:rPr>
          <w:rFonts w:asciiTheme="minorBidi" w:eastAsia="Arial" w:hAnsiTheme="minorBidi"/>
          <w:color w:val="0070C0"/>
        </w:rPr>
        <w:t xml:space="preserve"> </w:t>
      </w:r>
    </w:p>
    <w:p w14:paraId="5CF8F7C0" w14:textId="65F30003" w:rsidR="43D343CA" w:rsidRPr="0044401C" w:rsidRDefault="43D343CA" w:rsidP="43D343CA">
      <w:pPr>
        <w:jc w:val="both"/>
        <w:rPr>
          <w:rFonts w:asciiTheme="minorBidi" w:eastAsia="Arial" w:hAnsiTheme="minorBidi"/>
          <w:color w:val="000000" w:themeColor="text1"/>
        </w:rPr>
      </w:pPr>
    </w:p>
    <w:p w14:paraId="3FCF0BBC" w14:textId="788343A2" w:rsidR="43D343CA" w:rsidRPr="0044401C" w:rsidRDefault="43D343CA" w:rsidP="43D343CA">
      <w:pPr>
        <w:jc w:val="both"/>
        <w:rPr>
          <w:rFonts w:asciiTheme="minorBidi" w:eastAsia="Arial" w:hAnsiTheme="minorBidi"/>
          <w:color w:val="000000" w:themeColor="text1"/>
        </w:rPr>
      </w:pPr>
    </w:p>
    <w:p w14:paraId="588E4054" w14:textId="3DC3FB20" w:rsidR="43D343CA" w:rsidRPr="0044401C" w:rsidRDefault="43D343CA" w:rsidP="43D343CA">
      <w:pPr>
        <w:jc w:val="both"/>
        <w:rPr>
          <w:rFonts w:asciiTheme="minorBidi" w:eastAsia="Arial" w:hAnsiTheme="minorBidi"/>
          <w:color w:val="000000" w:themeColor="text1"/>
        </w:rPr>
      </w:pPr>
    </w:p>
    <w:p w14:paraId="404DB270" w14:textId="6731741E" w:rsidR="43D343CA" w:rsidRPr="0044401C" w:rsidRDefault="43D343CA" w:rsidP="43D343CA">
      <w:pPr>
        <w:jc w:val="both"/>
        <w:rPr>
          <w:rFonts w:asciiTheme="minorBidi" w:eastAsia="Arial" w:hAnsiTheme="minorBidi"/>
          <w:color w:val="000000" w:themeColor="text1"/>
        </w:rPr>
      </w:pPr>
    </w:p>
    <w:p w14:paraId="13F67B7A" w14:textId="74B5AC10" w:rsidR="43D343CA" w:rsidRPr="0044401C" w:rsidRDefault="43D343CA" w:rsidP="43D343CA">
      <w:pPr>
        <w:jc w:val="both"/>
        <w:rPr>
          <w:rFonts w:asciiTheme="minorBidi" w:eastAsia="Arial" w:hAnsiTheme="minorBidi"/>
          <w:color w:val="000000" w:themeColor="text1"/>
        </w:rPr>
      </w:pPr>
    </w:p>
    <w:p w14:paraId="62554B06" w14:textId="07A6FD56" w:rsidR="59C13812" w:rsidRPr="0044401C" w:rsidRDefault="59C13812" w:rsidP="43D343CA">
      <w:pPr>
        <w:pStyle w:val="ListParagraph"/>
        <w:numPr>
          <w:ilvl w:val="0"/>
          <w:numId w:val="2"/>
        </w:numPr>
        <w:jc w:val="both"/>
        <w:rPr>
          <w:rFonts w:asciiTheme="minorBidi" w:eastAsia="Arial" w:hAnsiTheme="minorBidi"/>
          <w:color w:val="000000" w:themeColor="text1"/>
        </w:rPr>
      </w:pPr>
      <w:r w:rsidRPr="0044401C">
        <w:rPr>
          <w:rFonts w:asciiTheme="minorBidi" w:eastAsia="Arial" w:hAnsiTheme="minorBidi"/>
          <w:b/>
          <w:bCs/>
          <w:color w:val="000000" w:themeColor="text1"/>
        </w:rPr>
        <w:t xml:space="preserve">Transferable Skills for Life and Professional Practice </w:t>
      </w:r>
    </w:p>
    <w:p w14:paraId="775C4CDB" w14:textId="264D75FC"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color w:val="000000" w:themeColor="text1"/>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9980328" w14:textId="0948AC20" w:rsidR="59C13812" w:rsidRPr="0044401C" w:rsidRDefault="59C13812" w:rsidP="43D343CA">
      <w:pPr>
        <w:jc w:val="both"/>
        <w:rPr>
          <w:rFonts w:asciiTheme="minorBidi" w:eastAsia="Arial" w:hAnsiTheme="minorBidi"/>
          <w:color w:val="000000" w:themeColor="text1"/>
        </w:rPr>
      </w:pPr>
      <w:r w:rsidRPr="0044401C">
        <w:rPr>
          <w:rFonts w:asciiTheme="minorBidi" w:eastAsia="Arial" w:hAnsiTheme="minorBidi"/>
          <w:b/>
          <w:bCs/>
          <w:i/>
          <w:iCs/>
          <w:color w:val="000000" w:themeColor="text1"/>
        </w:rPr>
        <w:t>Guidance specific to this assessment:</w:t>
      </w:r>
      <w:r w:rsidRPr="0044401C">
        <w:rPr>
          <w:rFonts w:asciiTheme="minorBidi" w:eastAsia="Arial" w:hAnsiTheme="minorBidi"/>
          <w:i/>
          <w:iCs/>
          <w:color w:val="000000" w:themeColor="text1"/>
        </w:rPr>
        <w:t xml:space="preserve"> </w:t>
      </w:r>
    </w:p>
    <w:p w14:paraId="0ADB8659" w14:textId="4E7E1674" w:rsidR="43D343CA" w:rsidRPr="0044401C" w:rsidRDefault="43D343CA" w:rsidP="43D343CA">
      <w:pPr>
        <w:jc w:val="both"/>
        <w:rPr>
          <w:rFonts w:asciiTheme="minorBidi" w:eastAsia="Arial" w:hAnsiTheme="minorBidi"/>
          <w:color w:val="000000" w:themeColor="text1"/>
        </w:rPr>
      </w:pPr>
    </w:p>
    <w:p w14:paraId="0AC073A3" w14:textId="7969F00F" w:rsidR="43D343CA" w:rsidRPr="0044401C" w:rsidRDefault="43D343CA" w:rsidP="43D343CA">
      <w:pPr>
        <w:jc w:val="both"/>
        <w:rPr>
          <w:rFonts w:asciiTheme="minorBidi" w:eastAsia="Arial" w:hAnsiTheme="minorBidi"/>
          <w:color w:val="000000" w:themeColor="text1"/>
        </w:rPr>
      </w:pPr>
    </w:p>
    <w:p w14:paraId="32D3D45F" w14:textId="385C4455" w:rsidR="43D343CA" w:rsidRPr="0044401C" w:rsidRDefault="43D343CA" w:rsidP="43D343CA">
      <w:pPr>
        <w:jc w:val="both"/>
        <w:rPr>
          <w:rFonts w:asciiTheme="minorBidi" w:eastAsia="Arial" w:hAnsiTheme="minorBidi"/>
          <w:color w:val="000000" w:themeColor="text1"/>
        </w:rPr>
      </w:pPr>
    </w:p>
    <w:p w14:paraId="6F1686AC" w14:textId="05285C89" w:rsidR="43D343CA" w:rsidRPr="0044401C" w:rsidRDefault="43D343CA" w:rsidP="43D343CA">
      <w:pPr>
        <w:jc w:val="both"/>
        <w:rPr>
          <w:rFonts w:asciiTheme="minorBidi" w:eastAsia="Arial" w:hAnsiTheme="minorBidi"/>
          <w:color w:val="000000" w:themeColor="text1"/>
        </w:rPr>
      </w:pPr>
    </w:p>
    <w:p w14:paraId="3FA2FB3F" w14:textId="3B42801A" w:rsidR="43D343CA" w:rsidRPr="0044401C" w:rsidRDefault="43D343CA" w:rsidP="43D343CA">
      <w:pPr>
        <w:jc w:val="both"/>
        <w:rPr>
          <w:rFonts w:asciiTheme="minorBidi" w:eastAsia="Arial" w:hAnsiTheme="minorBidi"/>
          <w:color w:val="000000" w:themeColor="text1"/>
        </w:rPr>
      </w:pPr>
    </w:p>
    <w:p w14:paraId="2CBFB173" w14:textId="5BCA9D56" w:rsidR="43D343CA" w:rsidRPr="0044401C" w:rsidRDefault="43D343CA" w:rsidP="43D343CA">
      <w:pPr>
        <w:jc w:val="both"/>
        <w:rPr>
          <w:rFonts w:asciiTheme="minorBidi" w:eastAsia="Arial" w:hAnsiTheme="minorBidi"/>
          <w:color w:val="000000" w:themeColor="text1"/>
        </w:rPr>
      </w:pPr>
    </w:p>
    <w:p w14:paraId="0E61ADE4" w14:textId="2231E880" w:rsidR="78D8D935" w:rsidRPr="0044401C" w:rsidRDefault="78D8D935" w:rsidP="43D343CA">
      <w:pPr>
        <w:jc w:val="both"/>
        <w:rPr>
          <w:rFonts w:asciiTheme="minorBidi" w:eastAsia="Arial" w:hAnsiTheme="minorBidi"/>
          <w:color w:val="000000" w:themeColor="text1"/>
        </w:rPr>
      </w:pPr>
      <w:r w:rsidRPr="0044401C">
        <w:rPr>
          <w:rFonts w:asciiTheme="minorBidi" w:eastAsia="Arial" w:hAnsiTheme="minorBidi"/>
          <w:color w:val="000000" w:themeColor="text1"/>
        </w:rPr>
        <w:t xml:space="preserve">Marking Criteria: </w:t>
      </w:r>
    </w:p>
    <w:p w14:paraId="67DFB82F" w14:textId="02490B50" w:rsidR="78D8D935" w:rsidRPr="0044401C" w:rsidRDefault="78D8D935" w:rsidP="43D343CA">
      <w:pPr>
        <w:spacing w:before="100" w:after="100"/>
        <w:rPr>
          <w:rFonts w:asciiTheme="minorBidi" w:eastAsia="Arial" w:hAnsiTheme="minorBidi"/>
          <w:color w:val="303B44"/>
        </w:rPr>
      </w:pPr>
      <w:r w:rsidRPr="0044401C">
        <w:rPr>
          <w:rFonts w:asciiTheme="minorBidi" w:eastAsia="Arial" w:hAnsiTheme="minorBidi"/>
          <w:b/>
          <w:bCs/>
          <w:color w:val="303B44"/>
        </w:rPr>
        <w:t>GENERIC ASSESSMENT CRITERIA – Level 6</w:t>
      </w:r>
    </w:p>
    <w:p w14:paraId="30A2D4A1" w14:textId="6E19FC04" w:rsidR="43D343CA" w:rsidRPr="0044401C" w:rsidRDefault="43D343CA" w:rsidP="43D343CA">
      <w:pPr>
        <w:spacing w:before="100" w:after="100"/>
        <w:rPr>
          <w:rFonts w:asciiTheme="minorBidi" w:eastAsia="Arial" w:hAnsiTheme="minorBidi"/>
          <w:color w:val="303B4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15"/>
      </w:tblGrid>
      <w:tr w:rsidR="43D343CA" w:rsidRPr="0044401C" w14:paraId="2FE9C0BA" w14:textId="77777777" w:rsidTr="43D343CA">
        <w:trPr>
          <w:trHeight w:val="300"/>
        </w:trPr>
        <w:tc>
          <w:tcPr>
            <w:tcW w:w="9015" w:type="dxa"/>
            <w:shd w:val="clear" w:color="auto" w:fill="C2D69B"/>
            <w:tcMar>
              <w:left w:w="105" w:type="dxa"/>
              <w:right w:w="105" w:type="dxa"/>
            </w:tcMar>
          </w:tcPr>
          <w:p w14:paraId="0F3F0831" w14:textId="76DBE147" w:rsidR="43D343CA" w:rsidRPr="0044401C" w:rsidRDefault="43D343CA" w:rsidP="43D343CA">
            <w:pPr>
              <w:rPr>
                <w:rFonts w:asciiTheme="minorBidi" w:eastAsia="Arial" w:hAnsiTheme="minorBidi"/>
                <w:sz w:val="20"/>
                <w:szCs w:val="20"/>
              </w:rPr>
            </w:pPr>
            <w:r w:rsidRPr="0044401C">
              <w:rPr>
                <w:rFonts w:asciiTheme="minorBidi" w:eastAsia="Arial" w:hAnsiTheme="minorBidi"/>
                <w:b/>
                <w:bCs/>
                <w:sz w:val="20"/>
                <w:szCs w:val="20"/>
              </w:rPr>
              <w:t>Level 6</w:t>
            </w:r>
          </w:p>
        </w:tc>
      </w:tr>
      <w:tr w:rsidR="43D343CA" w:rsidRPr="0044401C" w14:paraId="103FD2A4" w14:textId="77777777" w:rsidTr="43D343CA">
        <w:trPr>
          <w:trHeight w:val="300"/>
        </w:trPr>
        <w:tc>
          <w:tcPr>
            <w:tcW w:w="9015" w:type="dxa"/>
            <w:shd w:val="clear" w:color="auto" w:fill="EAF1DD"/>
            <w:tcMar>
              <w:left w:w="105" w:type="dxa"/>
              <w:right w:w="105" w:type="dxa"/>
            </w:tcMar>
          </w:tcPr>
          <w:p w14:paraId="7657488F" w14:textId="0C68391A" w:rsidR="43D343CA" w:rsidRPr="0044401C" w:rsidRDefault="43D343CA" w:rsidP="43D343CA">
            <w:pPr>
              <w:rPr>
                <w:rFonts w:asciiTheme="minorBidi" w:eastAsia="Arial" w:hAnsiTheme="minorBidi"/>
                <w:sz w:val="20"/>
                <w:szCs w:val="20"/>
              </w:rPr>
            </w:pPr>
            <w:r w:rsidRPr="0044401C">
              <w:rPr>
                <w:rFonts w:asciiTheme="minorBidi" w:eastAsia="Arial" w:hAnsiTheme="minorBidi"/>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03C51A2" w14:textId="07C0897E" w:rsidR="43D343CA" w:rsidRPr="0044401C" w:rsidRDefault="43D343CA" w:rsidP="43D343CA">
      <w:pPr>
        <w:jc w:val="both"/>
        <w:rPr>
          <w:rFonts w:asciiTheme="minorBidi" w:eastAsia="Arial" w:hAnsiTheme="minorBidi"/>
          <w:color w:val="000000" w:themeColor="text1"/>
        </w:rPr>
      </w:pPr>
    </w:p>
    <w:p w14:paraId="71493592" w14:textId="6BD5176D" w:rsidR="1C4B3B04" w:rsidRPr="0044401C" w:rsidRDefault="1C4B3B04" w:rsidP="43D343CA">
      <w:pPr>
        <w:rPr>
          <w:rFonts w:asciiTheme="minorBidi" w:eastAsia="Arial" w:hAnsiTheme="minorBidi"/>
          <w:sz w:val="24"/>
          <w:szCs w:val="24"/>
        </w:rPr>
      </w:pPr>
      <w:r w:rsidRPr="0044401C">
        <w:rPr>
          <w:rFonts w:asciiTheme="minorBidi" w:eastAsia="Arial" w:hAnsiTheme="minorBidi"/>
          <w:sz w:val="24"/>
          <w:szCs w:val="24"/>
        </w:rPr>
        <w:t>A copy of the Level 6 marking criteria can be found on Moodle</w:t>
      </w:r>
    </w:p>
    <w:p w14:paraId="5B128552" w14:textId="22D575AB" w:rsidR="7336895D" w:rsidRPr="0044401C" w:rsidRDefault="7336895D" w:rsidP="7336895D">
      <w:pPr>
        <w:spacing w:before="240" w:after="60"/>
        <w:ind w:right="237"/>
        <w:jc w:val="both"/>
        <w:rPr>
          <w:rFonts w:asciiTheme="minorBidi" w:eastAsia="Arial" w:hAnsiTheme="minorBidi"/>
          <w:color w:val="000000" w:themeColor="text1"/>
          <w:sz w:val="24"/>
          <w:szCs w:val="24"/>
        </w:rPr>
      </w:pPr>
    </w:p>
    <w:p w14:paraId="61D357BB" w14:textId="2C0401C6" w:rsidR="7336895D" w:rsidRPr="0044401C" w:rsidRDefault="7336895D" w:rsidP="7336895D">
      <w:pPr>
        <w:rPr>
          <w:rFonts w:asciiTheme="minorBidi" w:eastAsia="Arial" w:hAnsiTheme="minorBidi"/>
          <w:b/>
          <w:bCs/>
          <w:sz w:val="28"/>
          <w:szCs w:val="28"/>
        </w:rPr>
      </w:pPr>
    </w:p>
    <w:sectPr w:rsidR="7336895D" w:rsidRPr="0044401C" w:rsidSect="0044401C">
      <w:pgSz w:w="11906" w:h="16838"/>
      <w:pgMar w:top="1440" w:right="1440" w:bottom="1276"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54B40"/>
    <w:multiLevelType w:val="hybridMultilevel"/>
    <w:tmpl w:val="1E502670"/>
    <w:lvl w:ilvl="0" w:tplc="EC02ADA2">
      <w:start w:val="1"/>
      <w:numFmt w:val="bullet"/>
      <w:lvlText w:val=""/>
      <w:lvlJc w:val="left"/>
      <w:pPr>
        <w:ind w:left="720" w:hanging="360"/>
      </w:pPr>
      <w:rPr>
        <w:rFonts w:ascii="Symbol" w:hAnsi="Symbol" w:hint="default"/>
      </w:rPr>
    </w:lvl>
    <w:lvl w:ilvl="1" w:tplc="D5E6908E">
      <w:start w:val="1"/>
      <w:numFmt w:val="bullet"/>
      <w:lvlText w:val="o"/>
      <w:lvlJc w:val="left"/>
      <w:pPr>
        <w:ind w:left="1440" w:hanging="360"/>
      </w:pPr>
      <w:rPr>
        <w:rFonts w:ascii="Courier New" w:hAnsi="Courier New" w:hint="default"/>
      </w:rPr>
    </w:lvl>
    <w:lvl w:ilvl="2" w:tplc="32987B3A">
      <w:start w:val="1"/>
      <w:numFmt w:val="bullet"/>
      <w:lvlText w:val=""/>
      <w:lvlJc w:val="left"/>
      <w:pPr>
        <w:ind w:left="2160" w:hanging="360"/>
      </w:pPr>
      <w:rPr>
        <w:rFonts w:ascii="Wingdings" w:hAnsi="Wingdings" w:hint="default"/>
      </w:rPr>
    </w:lvl>
    <w:lvl w:ilvl="3" w:tplc="D1380B62">
      <w:start w:val="1"/>
      <w:numFmt w:val="bullet"/>
      <w:lvlText w:val=""/>
      <w:lvlJc w:val="left"/>
      <w:pPr>
        <w:ind w:left="2880" w:hanging="360"/>
      </w:pPr>
      <w:rPr>
        <w:rFonts w:ascii="Symbol" w:hAnsi="Symbol" w:hint="default"/>
      </w:rPr>
    </w:lvl>
    <w:lvl w:ilvl="4" w:tplc="FD6A8D76">
      <w:start w:val="1"/>
      <w:numFmt w:val="bullet"/>
      <w:lvlText w:val="o"/>
      <w:lvlJc w:val="left"/>
      <w:pPr>
        <w:ind w:left="3600" w:hanging="360"/>
      </w:pPr>
      <w:rPr>
        <w:rFonts w:ascii="Courier New" w:hAnsi="Courier New" w:hint="default"/>
      </w:rPr>
    </w:lvl>
    <w:lvl w:ilvl="5" w:tplc="4F5845FE">
      <w:start w:val="1"/>
      <w:numFmt w:val="bullet"/>
      <w:lvlText w:val=""/>
      <w:lvlJc w:val="left"/>
      <w:pPr>
        <w:ind w:left="4320" w:hanging="360"/>
      </w:pPr>
      <w:rPr>
        <w:rFonts w:ascii="Wingdings" w:hAnsi="Wingdings" w:hint="default"/>
      </w:rPr>
    </w:lvl>
    <w:lvl w:ilvl="6" w:tplc="6F4C4ACE">
      <w:start w:val="1"/>
      <w:numFmt w:val="bullet"/>
      <w:lvlText w:val=""/>
      <w:lvlJc w:val="left"/>
      <w:pPr>
        <w:ind w:left="5040" w:hanging="360"/>
      </w:pPr>
      <w:rPr>
        <w:rFonts w:ascii="Symbol" w:hAnsi="Symbol" w:hint="default"/>
      </w:rPr>
    </w:lvl>
    <w:lvl w:ilvl="7" w:tplc="56B602C6">
      <w:start w:val="1"/>
      <w:numFmt w:val="bullet"/>
      <w:lvlText w:val="o"/>
      <w:lvlJc w:val="left"/>
      <w:pPr>
        <w:ind w:left="5760" w:hanging="360"/>
      </w:pPr>
      <w:rPr>
        <w:rFonts w:ascii="Courier New" w:hAnsi="Courier New" w:hint="default"/>
      </w:rPr>
    </w:lvl>
    <w:lvl w:ilvl="8" w:tplc="C2B2D3A2">
      <w:start w:val="1"/>
      <w:numFmt w:val="bullet"/>
      <w:lvlText w:val=""/>
      <w:lvlJc w:val="left"/>
      <w:pPr>
        <w:ind w:left="6480" w:hanging="360"/>
      </w:pPr>
      <w:rPr>
        <w:rFonts w:ascii="Wingdings" w:hAnsi="Wingdings" w:hint="default"/>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6701E6C"/>
    <w:multiLevelType w:val="hybridMultilevel"/>
    <w:tmpl w:val="BBBE0406"/>
    <w:lvl w:ilvl="0" w:tplc="A99C661C">
      <w:start w:val="1"/>
      <w:numFmt w:val="bullet"/>
      <w:lvlText w:val=""/>
      <w:lvlJc w:val="left"/>
      <w:pPr>
        <w:ind w:left="720" w:hanging="360"/>
      </w:pPr>
      <w:rPr>
        <w:rFonts w:ascii="Symbol" w:hAnsi="Symbol" w:hint="default"/>
      </w:rPr>
    </w:lvl>
    <w:lvl w:ilvl="1" w:tplc="A996777E">
      <w:start w:val="1"/>
      <w:numFmt w:val="bullet"/>
      <w:lvlText w:val="o"/>
      <w:lvlJc w:val="left"/>
      <w:pPr>
        <w:ind w:left="1440" w:hanging="360"/>
      </w:pPr>
      <w:rPr>
        <w:rFonts w:ascii="Courier New" w:hAnsi="Courier New" w:hint="default"/>
      </w:rPr>
    </w:lvl>
    <w:lvl w:ilvl="2" w:tplc="7EDA0B1E">
      <w:start w:val="1"/>
      <w:numFmt w:val="bullet"/>
      <w:lvlText w:val=""/>
      <w:lvlJc w:val="left"/>
      <w:pPr>
        <w:ind w:left="2160" w:hanging="360"/>
      </w:pPr>
      <w:rPr>
        <w:rFonts w:ascii="Wingdings" w:hAnsi="Wingdings" w:hint="default"/>
      </w:rPr>
    </w:lvl>
    <w:lvl w:ilvl="3" w:tplc="FFEA6F6E">
      <w:start w:val="1"/>
      <w:numFmt w:val="bullet"/>
      <w:lvlText w:val=""/>
      <w:lvlJc w:val="left"/>
      <w:pPr>
        <w:ind w:left="2880" w:hanging="360"/>
      </w:pPr>
      <w:rPr>
        <w:rFonts w:ascii="Symbol" w:hAnsi="Symbol" w:hint="default"/>
      </w:rPr>
    </w:lvl>
    <w:lvl w:ilvl="4" w:tplc="5AC4A364">
      <w:start w:val="1"/>
      <w:numFmt w:val="bullet"/>
      <w:lvlText w:val="o"/>
      <w:lvlJc w:val="left"/>
      <w:pPr>
        <w:ind w:left="3600" w:hanging="360"/>
      </w:pPr>
      <w:rPr>
        <w:rFonts w:ascii="Courier New" w:hAnsi="Courier New" w:hint="default"/>
      </w:rPr>
    </w:lvl>
    <w:lvl w:ilvl="5" w:tplc="AC605BF0">
      <w:start w:val="1"/>
      <w:numFmt w:val="bullet"/>
      <w:lvlText w:val=""/>
      <w:lvlJc w:val="left"/>
      <w:pPr>
        <w:ind w:left="4320" w:hanging="360"/>
      </w:pPr>
      <w:rPr>
        <w:rFonts w:ascii="Wingdings" w:hAnsi="Wingdings" w:hint="default"/>
      </w:rPr>
    </w:lvl>
    <w:lvl w:ilvl="6" w:tplc="995022AC">
      <w:start w:val="1"/>
      <w:numFmt w:val="bullet"/>
      <w:lvlText w:val=""/>
      <w:lvlJc w:val="left"/>
      <w:pPr>
        <w:ind w:left="5040" w:hanging="360"/>
      </w:pPr>
      <w:rPr>
        <w:rFonts w:ascii="Symbol" w:hAnsi="Symbol" w:hint="default"/>
      </w:rPr>
    </w:lvl>
    <w:lvl w:ilvl="7" w:tplc="62224DE4">
      <w:start w:val="1"/>
      <w:numFmt w:val="bullet"/>
      <w:lvlText w:val="o"/>
      <w:lvlJc w:val="left"/>
      <w:pPr>
        <w:ind w:left="5760" w:hanging="360"/>
      </w:pPr>
      <w:rPr>
        <w:rFonts w:ascii="Courier New" w:hAnsi="Courier New" w:hint="default"/>
      </w:rPr>
    </w:lvl>
    <w:lvl w:ilvl="8" w:tplc="AB3C9300">
      <w:start w:val="1"/>
      <w:numFmt w:val="bullet"/>
      <w:lvlText w:val=""/>
      <w:lvlJc w:val="left"/>
      <w:pPr>
        <w:ind w:left="6480" w:hanging="360"/>
      </w:pPr>
      <w:rPr>
        <w:rFonts w:ascii="Wingdings" w:hAnsi="Wingdings" w:hint="default"/>
      </w:rPr>
    </w:lvl>
  </w:abstractNum>
  <w:abstractNum w:abstractNumId="3" w15:restartNumberingAfterBreak="0">
    <w:nsid w:val="41761BC1"/>
    <w:multiLevelType w:val="hybridMultilevel"/>
    <w:tmpl w:val="F2426236"/>
    <w:lvl w:ilvl="0" w:tplc="20328062">
      <w:start w:val="1"/>
      <w:numFmt w:val="bullet"/>
      <w:lvlText w:val=""/>
      <w:lvlJc w:val="left"/>
      <w:pPr>
        <w:ind w:left="720" w:hanging="360"/>
      </w:pPr>
      <w:rPr>
        <w:rFonts w:ascii="Symbol" w:hAnsi="Symbol" w:hint="default"/>
      </w:rPr>
    </w:lvl>
    <w:lvl w:ilvl="1" w:tplc="9796BF00">
      <w:start w:val="1"/>
      <w:numFmt w:val="bullet"/>
      <w:lvlText w:val="o"/>
      <w:lvlJc w:val="left"/>
      <w:pPr>
        <w:ind w:left="1440" w:hanging="360"/>
      </w:pPr>
      <w:rPr>
        <w:rFonts w:ascii="Courier New" w:hAnsi="Courier New" w:hint="default"/>
      </w:rPr>
    </w:lvl>
    <w:lvl w:ilvl="2" w:tplc="E3FE30C0">
      <w:start w:val="1"/>
      <w:numFmt w:val="bullet"/>
      <w:lvlText w:val=""/>
      <w:lvlJc w:val="left"/>
      <w:pPr>
        <w:ind w:left="2160" w:hanging="360"/>
      </w:pPr>
      <w:rPr>
        <w:rFonts w:ascii="Wingdings" w:hAnsi="Wingdings" w:hint="default"/>
      </w:rPr>
    </w:lvl>
    <w:lvl w:ilvl="3" w:tplc="88B8715A">
      <w:start w:val="1"/>
      <w:numFmt w:val="bullet"/>
      <w:lvlText w:val=""/>
      <w:lvlJc w:val="left"/>
      <w:pPr>
        <w:ind w:left="2880" w:hanging="360"/>
      </w:pPr>
      <w:rPr>
        <w:rFonts w:ascii="Symbol" w:hAnsi="Symbol" w:hint="default"/>
      </w:rPr>
    </w:lvl>
    <w:lvl w:ilvl="4" w:tplc="150CDA48">
      <w:start w:val="1"/>
      <w:numFmt w:val="bullet"/>
      <w:lvlText w:val="o"/>
      <w:lvlJc w:val="left"/>
      <w:pPr>
        <w:ind w:left="3600" w:hanging="360"/>
      </w:pPr>
      <w:rPr>
        <w:rFonts w:ascii="Courier New" w:hAnsi="Courier New" w:hint="default"/>
      </w:rPr>
    </w:lvl>
    <w:lvl w:ilvl="5" w:tplc="AA983038">
      <w:start w:val="1"/>
      <w:numFmt w:val="bullet"/>
      <w:lvlText w:val=""/>
      <w:lvlJc w:val="left"/>
      <w:pPr>
        <w:ind w:left="4320" w:hanging="360"/>
      </w:pPr>
      <w:rPr>
        <w:rFonts w:ascii="Wingdings" w:hAnsi="Wingdings" w:hint="default"/>
      </w:rPr>
    </w:lvl>
    <w:lvl w:ilvl="6" w:tplc="35FC761A">
      <w:start w:val="1"/>
      <w:numFmt w:val="bullet"/>
      <w:lvlText w:val=""/>
      <w:lvlJc w:val="left"/>
      <w:pPr>
        <w:ind w:left="5040" w:hanging="360"/>
      </w:pPr>
      <w:rPr>
        <w:rFonts w:ascii="Symbol" w:hAnsi="Symbol" w:hint="default"/>
      </w:rPr>
    </w:lvl>
    <w:lvl w:ilvl="7" w:tplc="6722E56E">
      <w:start w:val="1"/>
      <w:numFmt w:val="bullet"/>
      <w:lvlText w:val="o"/>
      <w:lvlJc w:val="left"/>
      <w:pPr>
        <w:ind w:left="5760" w:hanging="360"/>
      </w:pPr>
      <w:rPr>
        <w:rFonts w:ascii="Courier New" w:hAnsi="Courier New" w:hint="default"/>
      </w:rPr>
    </w:lvl>
    <w:lvl w:ilvl="8" w:tplc="2CE2291A">
      <w:start w:val="1"/>
      <w:numFmt w:val="bullet"/>
      <w:lvlText w:val=""/>
      <w:lvlJc w:val="left"/>
      <w:pPr>
        <w:ind w:left="6480" w:hanging="360"/>
      </w:pPr>
      <w:rPr>
        <w:rFonts w:ascii="Wingdings" w:hAnsi="Wingdings" w:hint="default"/>
      </w:rPr>
    </w:lvl>
  </w:abstractNum>
  <w:abstractNum w:abstractNumId="4" w15:restartNumberingAfterBreak="0">
    <w:nsid w:val="4B1D4E0A"/>
    <w:multiLevelType w:val="hybridMultilevel"/>
    <w:tmpl w:val="51F812FC"/>
    <w:lvl w:ilvl="0" w:tplc="ABB84964">
      <w:start w:val="1"/>
      <w:numFmt w:val="bullet"/>
      <w:lvlText w:val=""/>
      <w:lvlJc w:val="left"/>
      <w:pPr>
        <w:ind w:left="720" w:hanging="360"/>
      </w:pPr>
      <w:rPr>
        <w:rFonts w:ascii="Symbol" w:hAnsi="Symbol" w:hint="default"/>
      </w:rPr>
    </w:lvl>
    <w:lvl w:ilvl="1" w:tplc="F4169BC0">
      <w:start w:val="1"/>
      <w:numFmt w:val="bullet"/>
      <w:lvlText w:val="o"/>
      <w:lvlJc w:val="left"/>
      <w:pPr>
        <w:ind w:left="1440" w:hanging="360"/>
      </w:pPr>
      <w:rPr>
        <w:rFonts w:ascii="Courier New" w:hAnsi="Courier New" w:hint="default"/>
      </w:rPr>
    </w:lvl>
    <w:lvl w:ilvl="2" w:tplc="9E5A485C">
      <w:start w:val="1"/>
      <w:numFmt w:val="bullet"/>
      <w:lvlText w:val=""/>
      <w:lvlJc w:val="left"/>
      <w:pPr>
        <w:ind w:left="2160" w:hanging="360"/>
      </w:pPr>
      <w:rPr>
        <w:rFonts w:ascii="Wingdings" w:hAnsi="Wingdings" w:hint="default"/>
      </w:rPr>
    </w:lvl>
    <w:lvl w:ilvl="3" w:tplc="55EE0194">
      <w:start w:val="1"/>
      <w:numFmt w:val="bullet"/>
      <w:lvlText w:val=""/>
      <w:lvlJc w:val="left"/>
      <w:pPr>
        <w:ind w:left="2880" w:hanging="360"/>
      </w:pPr>
      <w:rPr>
        <w:rFonts w:ascii="Symbol" w:hAnsi="Symbol" w:hint="default"/>
      </w:rPr>
    </w:lvl>
    <w:lvl w:ilvl="4" w:tplc="C1AC993E">
      <w:start w:val="1"/>
      <w:numFmt w:val="bullet"/>
      <w:lvlText w:val="o"/>
      <w:lvlJc w:val="left"/>
      <w:pPr>
        <w:ind w:left="3600" w:hanging="360"/>
      </w:pPr>
      <w:rPr>
        <w:rFonts w:ascii="Courier New" w:hAnsi="Courier New" w:hint="default"/>
      </w:rPr>
    </w:lvl>
    <w:lvl w:ilvl="5" w:tplc="5F8CF5A4">
      <w:start w:val="1"/>
      <w:numFmt w:val="bullet"/>
      <w:lvlText w:val=""/>
      <w:lvlJc w:val="left"/>
      <w:pPr>
        <w:ind w:left="4320" w:hanging="360"/>
      </w:pPr>
      <w:rPr>
        <w:rFonts w:ascii="Wingdings" w:hAnsi="Wingdings" w:hint="default"/>
      </w:rPr>
    </w:lvl>
    <w:lvl w:ilvl="6" w:tplc="358466B4">
      <w:start w:val="1"/>
      <w:numFmt w:val="bullet"/>
      <w:lvlText w:val=""/>
      <w:lvlJc w:val="left"/>
      <w:pPr>
        <w:ind w:left="5040" w:hanging="360"/>
      </w:pPr>
      <w:rPr>
        <w:rFonts w:ascii="Symbol" w:hAnsi="Symbol" w:hint="default"/>
      </w:rPr>
    </w:lvl>
    <w:lvl w:ilvl="7" w:tplc="92A40ED6">
      <w:start w:val="1"/>
      <w:numFmt w:val="bullet"/>
      <w:lvlText w:val="o"/>
      <w:lvlJc w:val="left"/>
      <w:pPr>
        <w:ind w:left="5760" w:hanging="360"/>
      </w:pPr>
      <w:rPr>
        <w:rFonts w:ascii="Courier New" w:hAnsi="Courier New" w:hint="default"/>
      </w:rPr>
    </w:lvl>
    <w:lvl w:ilvl="8" w:tplc="99FE3D0C">
      <w:start w:val="1"/>
      <w:numFmt w:val="bullet"/>
      <w:lvlText w:val=""/>
      <w:lvlJc w:val="left"/>
      <w:pPr>
        <w:ind w:left="6480" w:hanging="360"/>
      </w:pPr>
      <w:rPr>
        <w:rFonts w:ascii="Wingdings" w:hAnsi="Wingdings" w:hint="default"/>
      </w:rPr>
    </w:lvl>
  </w:abstractNum>
  <w:abstractNum w:abstractNumId="5" w15:restartNumberingAfterBreak="0">
    <w:nsid w:val="4CC6BD00"/>
    <w:multiLevelType w:val="hybridMultilevel"/>
    <w:tmpl w:val="EDE40ACC"/>
    <w:lvl w:ilvl="0" w:tplc="78C472B2">
      <w:start w:val="1"/>
      <w:numFmt w:val="decimal"/>
      <w:lvlText w:val="%1."/>
      <w:lvlJc w:val="left"/>
      <w:pPr>
        <w:ind w:left="360" w:hanging="360"/>
      </w:pPr>
      <w:rPr>
        <w:rFonts w:ascii="Arial" w:hAnsi="Arial" w:hint="default"/>
      </w:rPr>
    </w:lvl>
    <w:lvl w:ilvl="1" w:tplc="8808134E">
      <w:start w:val="1"/>
      <w:numFmt w:val="lowerLetter"/>
      <w:lvlText w:val="%2."/>
      <w:lvlJc w:val="left"/>
      <w:pPr>
        <w:ind w:left="1440" w:hanging="360"/>
      </w:pPr>
    </w:lvl>
    <w:lvl w:ilvl="2" w:tplc="04C07EFC">
      <w:start w:val="1"/>
      <w:numFmt w:val="lowerRoman"/>
      <w:lvlText w:val="%3."/>
      <w:lvlJc w:val="right"/>
      <w:pPr>
        <w:ind w:left="2160" w:hanging="180"/>
      </w:pPr>
    </w:lvl>
    <w:lvl w:ilvl="3" w:tplc="0A7EBDCE">
      <w:start w:val="1"/>
      <w:numFmt w:val="decimal"/>
      <w:lvlText w:val="%4."/>
      <w:lvlJc w:val="left"/>
      <w:pPr>
        <w:ind w:left="2880" w:hanging="360"/>
      </w:pPr>
    </w:lvl>
    <w:lvl w:ilvl="4" w:tplc="10BAFE96">
      <w:start w:val="1"/>
      <w:numFmt w:val="lowerLetter"/>
      <w:lvlText w:val="%5."/>
      <w:lvlJc w:val="left"/>
      <w:pPr>
        <w:ind w:left="3600" w:hanging="360"/>
      </w:pPr>
    </w:lvl>
    <w:lvl w:ilvl="5" w:tplc="478669A4">
      <w:start w:val="1"/>
      <w:numFmt w:val="lowerRoman"/>
      <w:lvlText w:val="%6."/>
      <w:lvlJc w:val="right"/>
      <w:pPr>
        <w:ind w:left="4320" w:hanging="180"/>
      </w:pPr>
    </w:lvl>
    <w:lvl w:ilvl="6" w:tplc="4FD62860">
      <w:start w:val="1"/>
      <w:numFmt w:val="decimal"/>
      <w:lvlText w:val="%7."/>
      <w:lvlJc w:val="left"/>
      <w:pPr>
        <w:ind w:left="5040" w:hanging="360"/>
      </w:pPr>
    </w:lvl>
    <w:lvl w:ilvl="7" w:tplc="596C0676">
      <w:start w:val="1"/>
      <w:numFmt w:val="lowerLetter"/>
      <w:lvlText w:val="%8."/>
      <w:lvlJc w:val="left"/>
      <w:pPr>
        <w:ind w:left="5760" w:hanging="360"/>
      </w:pPr>
    </w:lvl>
    <w:lvl w:ilvl="8" w:tplc="5C8C053C">
      <w:start w:val="1"/>
      <w:numFmt w:val="lowerRoman"/>
      <w:lvlText w:val="%9."/>
      <w:lvlJc w:val="right"/>
      <w:pPr>
        <w:ind w:left="6480" w:hanging="180"/>
      </w:pPr>
    </w:lvl>
  </w:abstractNum>
  <w:abstractNum w:abstractNumId="6" w15:restartNumberingAfterBreak="0">
    <w:nsid w:val="538C12F8"/>
    <w:multiLevelType w:val="hybridMultilevel"/>
    <w:tmpl w:val="C010A6C8"/>
    <w:lvl w:ilvl="0" w:tplc="B98EF21C">
      <w:start w:val="1"/>
      <w:numFmt w:val="lowerLetter"/>
      <w:lvlText w:val="%1."/>
      <w:lvlJc w:val="left"/>
      <w:pPr>
        <w:ind w:left="720" w:hanging="360"/>
      </w:pPr>
    </w:lvl>
    <w:lvl w:ilvl="1" w:tplc="D7CC24BE">
      <w:start w:val="1"/>
      <w:numFmt w:val="lowerLetter"/>
      <w:lvlText w:val="%2."/>
      <w:lvlJc w:val="left"/>
      <w:pPr>
        <w:ind w:left="1440" w:hanging="360"/>
      </w:pPr>
    </w:lvl>
    <w:lvl w:ilvl="2" w:tplc="CEDC601C">
      <w:start w:val="1"/>
      <w:numFmt w:val="lowerRoman"/>
      <w:lvlText w:val="%3."/>
      <w:lvlJc w:val="right"/>
      <w:pPr>
        <w:ind w:left="2160" w:hanging="180"/>
      </w:pPr>
    </w:lvl>
    <w:lvl w:ilvl="3" w:tplc="9C6094B0">
      <w:start w:val="1"/>
      <w:numFmt w:val="decimal"/>
      <w:lvlText w:val="%4."/>
      <w:lvlJc w:val="left"/>
      <w:pPr>
        <w:ind w:left="2880" w:hanging="360"/>
      </w:pPr>
    </w:lvl>
    <w:lvl w:ilvl="4" w:tplc="B866CCE8">
      <w:start w:val="1"/>
      <w:numFmt w:val="lowerLetter"/>
      <w:lvlText w:val="%5."/>
      <w:lvlJc w:val="left"/>
      <w:pPr>
        <w:ind w:left="3600" w:hanging="360"/>
      </w:pPr>
    </w:lvl>
    <w:lvl w:ilvl="5" w:tplc="5ADADFB6">
      <w:start w:val="1"/>
      <w:numFmt w:val="lowerRoman"/>
      <w:lvlText w:val="%6."/>
      <w:lvlJc w:val="right"/>
      <w:pPr>
        <w:ind w:left="4320" w:hanging="180"/>
      </w:pPr>
    </w:lvl>
    <w:lvl w:ilvl="6" w:tplc="F3E2ED34">
      <w:start w:val="1"/>
      <w:numFmt w:val="decimal"/>
      <w:lvlText w:val="%7."/>
      <w:lvlJc w:val="left"/>
      <w:pPr>
        <w:ind w:left="5040" w:hanging="360"/>
      </w:pPr>
    </w:lvl>
    <w:lvl w:ilvl="7" w:tplc="69D46670">
      <w:start w:val="1"/>
      <w:numFmt w:val="lowerLetter"/>
      <w:lvlText w:val="%8."/>
      <w:lvlJc w:val="left"/>
      <w:pPr>
        <w:ind w:left="5760" w:hanging="360"/>
      </w:pPr>
    </w:lvl>
    <w:lvl w:ilvl="8" w:tplc="600873B0">
      <w:start w:val="1"/>
      <w:numFmt w:val="lowerRoman"/>
      <w:lvlText w:val="%9."/>
      <w:lvlJc w:val="right"/>
      <w:pPr>
        <w:ind w:left="6480" w:hanging="180"/>
      </w:pPr>
    </w:lvl>
  </w:abstractNum>
  <w:abstractNum w:abstractNumId="7" w15:restartNumberingAfterBreak="0">
    <w:nsid w:val="55293EAD"/>
    <w:multiLevelType w:val="hybridMultilevel"/>
    <w:tmpl w:val="7A7A218E"/>
    <w:lvl w:ilvl="0" w:tplc="B06C9410">
      <w:start w:val="1"/>
      <w:numFmt w:val="bullet"/>
      <w:lvlText w:val=""/>
      <w:lvlJc w:val="left"/>
      <w:pPr>
        <w:ind w:left="720" w:hanging="360"/>
      </w:pPr>
      <w:rPr>
        <w:rFonts w:ascii="Symbol" w:hAnsi="Symbol" w:hint="default"/>
      </w:rPr>
    </w:lvl>
    <w:lvl w:ilvl="1" w:tplc="9DBEF7D6">
      <w:start w:val="1"/>
      <w:numFmt w:val="bullet"/>
      <w:lvlText w:val="o"/>
      <w:lvlJc w:val="left"/>
      <w:pPr>
        <w:ind w:left="1440" w:hanging="360"/>
      </w:pPr>
      <w:rPr>
        <w:rFonts w:ascii="Courier New" w:hAnsi="Courier New" w:hint="default"/>
      </w:rPr>
    </w:lvl>
    <w:lvl w:ilvl="2" w:tplc="6E729404">
      <w:start w:val="1"/>
      <w:numFmt w:val="bullet"/>
      <w:lvlText w:val=""/>
      <w:lvlJc w:val="left"/>
      <w:pPr>
        <w:ind w:left="2160" w:hanging="360"/>
      </w:pPr>
      <w:rPr>
        <w:rFonts w:ascii="Wingdings" w:hAnsi="Wingdings" w:hint="default"/>
      </w:rPr>
    </w:lvl>
    <w:lvl w:ilvl="3" w:tplc="E9C246CE">
      <w:start w:val="1"/>
      <w:numFmt w:val="bullet"/>
      <w:lvlText w:val=""/>
      <w:lvlJc w:val="left"/>
      <w:pPr>
        <w:ind w:left="2880" w:hanging="360"/>
      </w:pPr>
      <w:rPr>
        <w:rFonts w:ascii="Symbol" w:hAnsi="Symbol" w:hint="default"/>
      </w:rPr>
    </w:lvl>
    <w:lvl w:ilvl="4" w:tplc="B0D67076">
      <w:start w:val="1"/>
      <w:numFmt w:val="bullet"/>
      <w:lvlText w:val="o"/>
      <w:lvlJc w:val="left"/>
      <w:pPr>
        <w:ind w:left="3600" w:hanging="360"/>
      </w:pPr>
      <w:rPr>
        <w:rFonts w:ascii="Courier New" w:hAnsi="Courier New" w:hint="default"/>
      </w:rPr>
    </w:lvl>
    <w:lvl w:ilvl="5" w:tplc="FDCE8B32">
      <w:start w:val="1"/>
      <w:numFmt w:val="bullet"/>
      <w:lvlText w:val=""/>
      <w:lvlJc w:val="left"/>
      <w:pPr>
        <w:ind w:left="4320" w:hanging="360"/>
      </w:pPr>
      <w:rPr>
        <w:rFonts w:ascii="Wingdings" w:hAnsi="Wingdings" w:hint="default"/>
      </w:rPr>
    </w:lvl>
    <w:lvl w:ilvl="6" w:tplc="974CD5E4">
      <w:start w:val="1"/>
      <w:numFmt w:val="bullet"/>
      <w:lvlText w:val=""/>
      <w:lvlJc w:val="left"/>
      <w:pPr>
        <w:ind w:left="5040" w:hanging="360"/>
      </w:pPr>
      <w:rPr>
        <w:rFonts w:ascii="Symbol" w:hAnsi="Symbol" w:hint="default"/>
      </w:rPr>
    </w:lvl>
    <w:lvl w:ilvl="7" w:tplc="24542340">
      <w:start w:val="1"/>
      <w:numFmt w:val="bullet"/>
      <w:lvlText w:val="o"/>
      <w:lvlJc w:val="left"/>
      <w:pPr>
        <w:ind w:left="5760" w:hanging="360"/>
      </w:pPr>
      <w:rPr>
        <w:rFonts w:ascii="Courier New" w:hAnsi="Courier New" w:hint="default"/>
      </w:rPr>
    </w:lvl>
    <w:lvl w:ilvl="8" w:tplc="A71C8B78">
      <w:start w:val="1"/>
      <w:numFmt w:val="bullet"/>
      <w:lvlText w:val=""/>
      <w:lvlJc w:val="left"/>
      <w:pPr>
        <w:ind w:left="6480" w:hanging="360"/>
      </w:pPr>
      <w:rPr>
        <w:rFonts w:ascii="Wingdings" w:hAnsi="Wingdings" w:hint="default"/>
      </w:rPr>
    </w:lvl>
  </w:abstractNum>
  <w:abstractNum w:abstractNumId="8" w15:restartNumberingAfterBreak="0">
    <w:nsid w:val="5C519FCD"/>
    <w:multiLevelType w:val="hybridMultilevel"/>
    <w:tmpl w:val="4EACA1AE"/>
    <w:lvl w:ilvl="0" w:tplc="31B0B718">
      <w:start w:val="1"/>
      <w:numFmt w:val="lowerLetter"/>
      <w:lvlText w:val="%1."/>
      <w:lvlJc w:val="left"/>
      <w:pPr>
        <w:ind w:left="720" w:hanging="360"/>
      </w:pPr>
    </w:lvl>
    <w:lvl w:ilvl="1" w:tplc="C7CECCE0">
      <w:start w:val="1"/>
      <w:numFmt w:val="lowerLetter"/>
      <w:lvlText w:val="%2."/>
      <w:lvlJc w:val="left"/>
      <w:pPr>
        <w:ind w:left="1440" w:hanging="360"/>
      </w:pPr>
    </w:lvl>
    <w:lvl w:ilvl="2" w:tplc="57723AEE">
      <w:start w:val="1"/>
      <w:numFmt w:val="lowerRoman"/>
      <w:lvlText w:val="%3."/>
      <w:lvlJc w:val="right"/>
      <w:pPr>
        <w:ind w:left="2160" w:hanging="180"/>
      </w:pPr>
    </w:lvl>
    <w:lvl w:ilvl="3" w:tplc="1BF269D0">
      <w:start w:val="1"/>
      <w:numFmt w:val="decimal"/>
      <w:lvlText w:val="%4."/>
      <w:lvlJc w:val="left"/>
      <w:pPr>
        <w:ind w:left="2880" w:hanging="360"/>
      </w:pPr>
    </w:lvl>
    <w:lvl w:ilvl="4" w:tplc="AF2808BC">
      <w:start w:val="1"/>
      <w:numFmt w:val="lowerLetter"/>
      <w:lvlText w:val="%5."/>
      <w:lvlJc w:val="left"/>
      <w:pPr>
        <w:ind w:left="3600" w:hanging="360"/>
      </w:pPr>
    </w:lvl>
    <w:lvl w:ilvl="5" w:tplc="62887C60">
      <w:start w:val="1"/>
      <w:numFmt w:val="lowerRoman"/>
      <w:lvlText w:val="%6."/>
      <w:lvlJc w:val="right"/>
      <w:pPr>
        <w:ind w:left="4320" w:hanging="180"/>
      </w:pPr>
    </w:lvl>
    <w:lvl w:ilvl="6" w:tplc="F7C04994">
      <w:start w:val="1"/>
      <w:numFmt w:val="decimal"/>
      <w:lvlText w:val="%7."/>
      <w:lvlJc w:val="left"/>
      <w:pPr>
        <w:ind w:left="5040" w:hanging="360"/>
      </w:pPr>
    </w:lvl>
    <w:lvl w:ilvl="7" w:tplc="2D486ED8">
      <w:start w:val="1"/>
      <w:numFmt w:val="lowerLetter"/>
      <w:lvlText w:val="%8."/>
      <w:lvlJc w:val="left"/>
      <w:pPr>
        <w:ind w:left="5760" w:hanging="360"/>
      </w:pPr>
    </w:lvl>
    <w:lvl w:ilvl="8" w:tplc="B78AC30C">
      <w:start w:val="1"/>
      <w:numFmt w:val="lowerRoman"/>
      <w:lvlText w:val="%9."/>
      <w:lvlJc w:val="right"/>
      <w:pPr>
        <w:ind w:left="6480" w:hanging="180"/>
      </w:pPr>
    </w:lvl>
  </w:abstractNum>
  <w:abstractNum w:abstractNumId="9" w15:restartNumberingAfterBreak="0">
    <w:nsid w:val="665C6E65"/>
    <w:multiLevelType w:val="hybridMultilevel"/>
    <w:tmpl w:val="EABA6038"/>
    <w:lvl w:ilvl="0" w:tplc="DB5ACEFE">
      <w:start w:val="1"/>
      <w:numFmt w:val="bullet"/>
      <w:lvlText w:val=""/>
      <w:lvlJc w:val="left"/>
      <w:pPr>
        <w:ind w:left="720" w:hanging="360"/>
      </w:pPr>
      <w:rPr>
        <w:rFonts w:ascii="Symbol" w:hAnsi="Symbol" w:hint="default"/>
      </w:rPr>
    </w:lvl>
    <w:lvl w:ilvl="1" w:tplc="9E129442">
      <w:start w:val="1"/>
      <w:numFmt w:val="bullet"/>
      <w:lvlText w:val="o"/>
      <w:lvlJc w:val="left"/>
      <w:pPr>
        <w:ind w:left="1440" w:hanging="360"/>
      </w:pPr>
      <w:rPr>
        <w:rFonts w:ascii="Courier New" w:hAnsi="Courier New" w:hint="default"/>
      </w:rPr>
    </w:lvl>
    <w:lvl w:ilvl="2" w:tplc="1B560FE4">
      <w:start w:val="1"/>
      <w:numFmt w:val="bullet"/>
      <w:lvlText w:val=""/>
      <w:lvlJc w:val="left"/>
      <w:pPr>
        <w:ind w:left="2160" w:hanging="360"/>
      </w:pPr>
      <w:rPr>
        <w:rFonts w:ascii="Wingdings" w:hAnsi="Wingdings" w:hint="default"/>
      </w:rPr>
    </w:lvl>
    <w:lvl w:ilvl="3" w:tplc="1C58AE7E">
      <w:start w:val="1"/>
      <w:numFmt w:val="bullet"/>
      <w:lvlText w:val=""/>
      <w:lvlJc w:val="left"/>
      <w:pPr>
        <w:ind w:left="2880" w:hanging="360"/>
      </w:pPr>
      <w:rPr>
        <w:rFonts w:ascii="Symbol" w:hAnsi="Symbol" w:hint="default"/>
      </w:rPr>
    </w:lvl>
    <w:lvl w:ilvl="4" w:tplc="ABAED80E">
      <w:start w:val="1"/>
      <w:numFmt w:val="bullet"/>
      <w:lvlText w:val="o"/>
      <w:lvlJc w:val="left"/>
      <w:pPr>
        <w:ind w:left="3600" w:hanging="360"/>
      </w:pPr>
      <w:rPr>
        <w:rFonts w:ascii="Courier New" w:hAnsi="Courier New" w:hint="default"/>
      </w:rPr>
    </w:lvl>
    <w:lvl w:ilvl="5" w:tplc="2CB68EB2">
      <w:start w:val="1"/>
      <w:numFmt w:val="bullet"/>
      <w:lvlText w:val=""/>
      <w:lvlJc w:val="left"/>
      <w:pPr>
        <w:ind w:left="4320" w:hanging="360"/>
      </w:pPr>
      <w:rPr>
        <w:rFonts w:ascii="Wingdings" w:hAnsi="Wingdings" w:hint="default"/>
      </w:rPr>
    </w:lvl>
    <w:lvl w:ilvl="6" w:tplc="B602F11C">
      <w:start w:val="1"/>
      <w:numFmt w:val="bullet"/>
      <w:lvlText w:val=""/>
      <w:lvlJc w:val="left"/>
      <w:pPr>
        <w:ind w:left="5040" w:hanging="360"/>
      </w:pPr>
      <w:rPr>
        <w:rFonts w:ascii="Symbol" w:hAnsi="Symbol" w:hint="default"/>
      </w:rPr>
    </w:lvl>
    <w:lvl w:ilvl="7" w:tplc="838AE19C">
      <w:start w:val="1"/>
      <w:numFmt w:val="bullet"/>
      <w:lvlText w:val="o"/>
      <w:lvlJc w:val="left"/>
      <w:pPr>
        <w:ind w:left="5760" w:hanging="360"/>
      </w:pPr>
      <w:rPr>
        <w:rFonts w:ascii="Courier New" w:hAnsi="Courier New" w:hint="default"/>
      </w:rPr>
    </w:lvl>
    <w:lvl w:ilvl="8" w:tplc="DEA2733C">
      <w:start w:val="1"/>
      <w:numFmt w:val="bullet"/>
      <w:lvlText w:val=""/>
      <w:lvlJc w:val="left"/>
      <w:pPr>
        <w:ind w:left="6480" w:hanging="360"/>
      </w:pPr>
      <w:rPr>
        <w:rFonts w:ascii="Wingdings" w:hAnsi="Wingdings" w:hint="default"/>
      </w:rPr>
    </w:lvl>
  </w:abstractNum>
  <w:abstractNum w:abstractNumId="10" w15:restartNumberingAfterBreak="0">
    <w:nsid w:val="68EA9C69"/>
    <w:multiLevelType w:val="hybridMultilevel"/>
    <w:tmpl w:val="A69C209C"/>
    <w:lvl w:ilvl="0" w:tplc="46244BD8">
      <w:start w:val="1"/>
      <w:numFmt w:val="lowerLetter"/>
      <w:lvlText w:val="%1."/>
      <w:lvlJc w:val="left"/>
      <w:pPr>
        <w:ind w:left="360" w:hanging="360"/>
      </w:pPr>
    </w:lvl>
    <w:lvl w:ilvl="1" w:tplc="09B0EC7A">
      <w:start w:val="1"/>
      <w:numFmt w:val="lowerLetter"/>
      <w:lvlText w:val="%2."/>
      <w:lvlJc w:val="left"/>
      <w:pPr>
        <w:ind w:left="1080" w:hanging="360"/>
      </w:pPr>
    </w:lvl>
    <w:lvl w:ilvl="2" w:tplc="B728F38C">
      <w:start w:val="1"/>
      <w:numFmt w:val="lowerRoman"/>
      <w:lvlText w:val="%3."/>
      <w:lvlJc w:val="right"/>
      <w:pPr>
        <w:ind w:left="1800" w:hanging="180"/>
      </w:pPr>
    </w:lvl>
    <w:lvl w:ilvl="3" w:tplc="C25488CA">
      <w:start w:val="1"/>
      <w:numFmt w:val="decimal"/>
      <w:lvlText w:val="%4."/>
      <w:lvlJc w:val="left"/>
      <w:pPr>
        <w:ind w:left="2520" w:hanging="360"/>
      </w:pPr>
    </w:lvl>
    <w:lvl w:ilvl="4" w:tplc="303CB3B2">
      <w:start w:val="1"/>
      <w:numFmt w:val="lowerLetter"/>
      <w:lvlText w:val="%5."/>
      <w:lvlJc w:val="left"/>
      <w:pPr>
        <w:ind w:left="3240" w:hanging="360"/>
      </w:pPr>
    </w:lvl>
    <w:lvl w:ilvl="5" w:tplc="462A2E66">
      <w:start w:val="1"/>
      <w:numFmt w:val="lowerRoman"/>
      <w:lvlText w:val="%6."/>
      <w:lvlJc w:val="right"/>
      <w:pPr>
        <w:ind w:left="3960" w:hanging="180"/>
      </w:pPr>
    </w:lvl>
    <w:lvl w:ilvl="6" w:tplc="6CA0D0A0">
      <w:start w:val="1"/>
      <w:numFmt w:val="decimal"/>
      <w:lvlText w:val="%7."/>
      <w:lvlJc w:val="left"/>
      <w:pPr>
        <w:ind w:left="4680" w:hanging="360"/>
      </w:pPr>
    </w:lvl>
    <w:lvl w:ilvl="7" w:tplc="2C96058A">
      <w:start w:val="1"/>
      <w:numFmt w:val="lowerLetter"/>
      <w:lvlText w:val="%8."/>
      <w:lvlJc w:val="left"/>
      <w:pPr>
        <w:ind w:left="5400" w:hanging="360"/>
      </w:pPr>
    </w:lvl>
    <w:lvl w:ilvl="8" w:tplc="D65E501E">
      <w:start w:val="1"/>
      <w:numFmt w:val="lowerRoman"/>
      <w:lvlText w:val="%9."/>
      <w:lvlJc w:val="right"/>
      <w:pPr>
        <w:ind w:left="6120" w:hanging="180"/>
      </w:pPr>
    </w:lvl>
  </w:abstractNum>
  <w:abstractNum w:abstractNumId="11" w15:restartNumberingAfterBreak="0">
    <w:nsid w:val="7D6CF4AF"/>
    <w:multiLevelType w:val="hybridMultilevel"/>
    <w:tmpl w:val="B5F64B8A"/>
    <w:lvl w:ilvl="0" w:tplc="424258C2">
      <w:start w:val="1"/>
      <w:numFmt w:val="bullet"/>
      <w:lvlText w:val=""/>
      <w:lvlJc w:val="left"/>
      <w:pPr>
        <w:ind w:left="720" w:hanging="360"/>
      </w:pPr>
      <w:rPr>
        <w:rFonts w:ascii="Symbol" w:hAnsi="Symbol" w:hint="default"/>
      </w:rPr>
    </w:lvl>
    <w:lvl w:ilvl="1" w:tplc="98102414">
      <w:start w:val="1"/>
      <w:numFmt w:val="bullet"/>
      <w:lvlText w:val="o"/>
      <w:lvlJc w:val="left"/>
      <w:pPr>
        <w:ind w:left="1440" w:hanging="360"/>
      </w:pPr>
      <w:rPr>
        <w:rFonts w:ascii="Courier New" w:hAnsi="Courier New" w:hint="default"/>
      </w:rPr>
    </w:lvl>
    <w:lvl w:ilvl="2" w:tplc="8BA499EC">
      <w:start w:val="1"/>
      <w:numFmt w:val="bullet"/>
      <w:lvlText w:val=""/>
      <w:lvlJc w:val="left"/>
      <w:pPr>
        <w:ind w:left="2160" w:hanging="360"/>
      </w:pPr>
      <w:rPr>
        <w:rFonts w:ascii="Wingdings" w:hAnsi="Wingdings" w:hint="default"/>
      </w:rPr>
    </w:lvl>
    <w:lvl w:ilvl="3" w:tplc="5C00EBDC">
      <w:start w:val="1"/>
      <w:numFmt w:val="bullet"/>
      <w:lvlText w:val=""/>
      <w:lvlJc w:val="left"/>
      <w:pPr>
        <w:ind w:left="2880" w:hanging="360"/>
      </w:pPr>
      <w:rPr>
        <w:rFonts w:ascii="Symbol" w:hAnsi="Symbol" w:hint="default"/>
      </w:rPr>
    </w:lvl>
    <w:lvl w:ilvl="4" w:tplc="0C64B4DA">
      <w:start w:val="1"/>
      <w:numFmt w:val="bullet"/>
      <w:lvlText w:val="o"/>
      <w:lvlJc w:val="left"/>
      <w:pPr>
        <w:ind w:left="3600" w:hanging="360"/>
      </w:pPr>
      <w:rPr>
        <w:rFonts w:ascii="Courier New" w:hAnsi="Courier New" w:hint="default"/>
      </w:rPr>
    </w:lvl>
    <w:lvl w:ilvl="5" w:tplc="86480AC6">
      <w:start w:val="1"/>
      <w:numFmt w:val="bullet"/>
      <w:lvlText w:val=""/>
      <w:lvlJc w:val="left"/>
      <w:pPr>
        <w:ind w:left="4320" w:hanging="360"/>
      </w:pPr>
      <w:rPr>
        <w:rFonts w:ascii="Wingdings" w:hAnsi="Wingdings" w:hint="default"/>
      </w:rPr>
    </w:lvl>
    <w:lvl w:ilvl="6" w:tplc="C38430F8">
      <w:start w:val="1"/>
      <w:numFmt w:val="bullet"/>
      <w:lvlText w:val=""/>
      <w:lvlJc w:val="left"/>
      <w:pPr>
        <w:ind w:left="5040" w:hanging="360"/>
      </w:pPr>
      <w:rPr>
        <w:rFonts w:ascii="Symbol" w:hAnsi="Symbol" w:hint="default"/>
      </w:rPr>
    </w:lvl>
    <w:lvl w:ilvl="7" w:tplc="1B8C2CAC">
      <w:start w:val="1"/>
      <w:numFmt w:val="bullet"/>
      <w:lvlText w:val="o"/>
      <w:lvlJc w:val="left"/>
      <w:pPr>
        <w:ind w:left="5760" w:hanging="360"/>
      </w:pPr>
      <w:rPr>
        <w:rFonts w:ascii="Courier New" w:hAnsi="Courier New" w:hint="default"/>
      </w:rPr>
    </w:lvl>
    <w:lvl w:ilvl="8" w:tplc="45DA2C1A">
      <w:start w:val="1"/>
      <w:numFmt w:val="bullet"/>
      <w:lvlText w:val=""/>
      <w:lvlJc w:val="left"/>
      <w:pPr>
        <w:ind w:left="6480" w:hanging="360"/>
      </w:pPr>
      <w:rPr>
        <w:rFonts w:ascii="Wingdings" w:hAnsi="Wingdings" w:hint="default"/>
      </w:rPr>
    </w:lvl>
  </w:abstractNum>
  <w:abstractNum w:abstractNumId="12" w15:restartNumberingAfterBreak="0">
    <w:nsid w:val="7E043FF5"/>
    <w:multiLevelType w:val="hybridMultilevel"/>
    <w:tmpl w:val="C3C8677C"/>
    <w:lvl w:ilvl="0" w:tplc="57EA2F0A">
      <w:start w:val="1"/>
      <w:numFmt w:val="bullet"/>
      <w:lvlText w:val="●"/>
      <w:lvlJc w:val="left"/>
      <w:pPr>
        <w:ind w:left="720" w:hanging="360"/>
      </w:pPr>
      <w:rPr>
        <w:rFonts w:ascii="Noto Sans Symbols" w:hAnsi="Noto Sans Symbols" w:hint="default"/>
      </w:rPr>
    </w:lvl>
    <w:lvl w:ilvl="1" w:tplc="0C4889B4">
      <w:start w:val="1"/>
      <w:numFmt w:val="bullet"/>
      <w:lvlText w:val="o"/>
      <w:lvlJc w:val="left"/>
      <w:pPr>
        <w:ind w:left="1440" w:hanging="360"/>
      </w:pPr>
      <w:rPr>
        <w:rFonts w:ascii="Courier New" w:hAnsi="Courier New" w:hint="default"/>
      </w:rPr>
    </w:lvl>
    <w:lvl w:ilvl="2" w:tplc="4B903C62">
      <w:start w:val="1"/>
      <w:numFmt w:val="bullet"/>
      <w:lvlText w:val=""/>
      <w:lvlJc w:val="left"/>
      <w:pPr>
        <w:ind w:left="2160" w:hanging="360"/>
      </w:pPr>
      <w:rPr>
        <w:rFonts w:ascii="Wingdings" w:hAnsi="Wingdings" w:hint="default"/>
      </w:rPr>
    </w:lvl>
    <w:lvl w:ilvl="3" w:tplc="D7F0A6F8">
      <w:start w:val="1"/>
      <w:numFmt w:val="bullet"/>
      <w:lvlText w:val=""/>
      <w:lvlJc w:val="left"/>
      <w:pPr>
        <w:ind w:left="2880" w:hanging="360"/>
      </w:pPr>
      <w:rPr>
        <w:rFonts w:ascii="Symbol" w:hAnsi="Symbol" w:hint="default"/>
      </w:rPr>
    </w:lvl>
    <w:lvl w:ilvl="4" w:tplc="1E586918">
      <w:start w:val="1"/>
      <w:numFmt w:val="bullet"/>
      <w:lvlText w:val="o"/>
      <w:lvlJc w:val="left"/>
      <w:pPr>
        <w:ind w:left="3600" w:hanging="360"/>
      </w:pPr>
      <w:rPr>
        <w:rFonts w:ascii="Courier New" w:hAnsi="Courier New" w:hint="default"/>
      </w:rPr>
    </w:lvl>
    <w:lvl w:ilvl="5" w:tplc="30FA3322">
      <w:start w:val="1"/>
      <w:numFmt w:val="bullet"/>
      <w:lvlText w:val=""/>
      <w:lvlJc w:val="left"/>
      <w:pPr>
        <w:ind w:left="4320" w:hanging="360"/>
      </w:pPr>
      <w:rPr>
        <w:rFonts w:ascii="Wingdings" w:hAnsi="Wingdings" w:hint="default"/>
      </w:rPr>
    </w:lvl>
    <w:lvl w:ilvl="6" w:tplc="EA4E363A">
      <w:start w:val="1"/>
      <w:numFmt w:val="bullet"/>
      <w:lvlText w:val=""/>
      <w:lvlJc w:val="left"/>
      <w:pPr>
        <w:ind w:left="5040" w:hanging="360"/>
      </w:pPr>
      <w:rPr>
        <w:rFonts w:ascii="Symbol" w:hAnsi="Symbol" w:hint="default"/>
      </w:rPr>
    </w:lvl>
    <w:lvl w:ilvl="7" w:tplc="DFCC3B8C">
      <w:start w:val="1"/>
      <w:numFmt w:val="bullet"/>
      <w:lvlText w:val="o"/>
      <w:lvlJc w:val="left"/>
      <w:pPr>
        <w:ind w:left="5760" w:hanging="360"/>
      </w:pPr>
      <w:rPr>
        <w:rFonts w:ascii="Courier New" w:hAnsi="Courier New" w:hint="default"/>
      </w:rPr>
    </w:lvl>
    <w:lvl w:ilvl="8" w:tplc="EFBE1096">
      <w:start w:val="1"/>
      <w:numFmt w:val="bullet"/>
      <w:lvlText w:val=""/>
      <w:lvlJc w:val="left"/>
      <w:pPr>
        <w:ind w:left="6480" w:hanging="360"/>
      </w:pPr>
      <w:rPr>
        <w:rFonts w:ascii="Wingdings" w:hAnsi="Wingdings" w:hint="default"/>
      </w:rPr>
    </w:lvl>
  </w:abstractNum>
  <w:num w:numId="1" w16cid:durableId="525562098">
    <w:abstractNumId w:val="6"/>
  </w:num>
  <w:num w:numId="2" w16cid:durableId="1393382539">
    <w:abstractNumId w:val="5"/>
  </w:num>
  <w:num w:numId="3" w16cid:durableId="914625468">
    <w:abstractNumId w:val="10"/>
  </w:num>
  <w:num w:numId="4" w16cid:durableId="804585677">
    <w:abstractNumId w:val="8"/>
  </w:num>
  <w:num w:numId="5" w16cid:durableId="573903369">
    <w:abstractNumId w:val="11"/>
  </w:num>
  <w:num w:numId="6" w16cid:durableId="1161891182">
    <w:abstractNumId w:val="9"/>
  </w:num>
  <w:num w:numId="7" w16cid:durableId="411238756">
    <w:abstractNumId w:val="4"/>
  </w:num>
  <w:num w:numId="8" w16cid:durableId="2038044158">
    <w:abstractNumId w:val="2"/>
  </w:num>
  <w:num w:numId="9" w16cid:durableId="971597885">
    <w:abstractNumId w:val="12"/>
  </w:num>
  <w:num w:numId="10" w16cid:durableId="1141730004">
    <w:abstractNumId w:val="7"/>
  </w:num>
  <w:num w:numId="11" w16cid:durableId="1892689379">
    <w:abstractNumId w:val="0"/>
  </w:num>
  <w:num w:numId="12" w16cid:durableId="361250123">
    <w:abstractNumId w:val="3"/>
  </w:num>
  <w:num w:numId="13" w16cid:durableId="1070735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4351B"/>
    <w:rsid w:val="0034230D"/>
    <w:rsid w:val="00343618"/>
    <w:rsid w:val="003EE87A"/>
    <w:rsid w:val="0044401C"/>
    <w:rsid w:val="004A7A86"/>
    <w:rsid w:val="00530907"/>
    <w:rsid w:val="00532B05"/>
    <w:rsid w:val="0054097D"/>
    <w:rsid w:val="005703D5"/>
    <w:rsid w:val="006F19C0"/>
    <w:rsid w:val="00831A92"/>
    <w:rsid w:val="008A2295"/>
    <w:rsid w:val="008A50FD"/>
    <w:rsid w:val="008BEB5E"/>
    <w:rsid w:val="008C1135"/>
    <w:rsid w:val="00965385"/>
    <w:rsid w:val="00CA6160"/>
    <w:rsid w:val="00D00333"/>
    <w:rsid w:val="00D102A7"/>
    <w:rsid w:val="00D555B5"/>
    <w:rsid w:val="00D8137B"/>
    <w:rsid w:val="00EC7044"/>
    <w:rsid w:val="010A2EC9"/>
    <w:rsid w:val="011D4875"/>
    <w:rsid w:val="0136CB53"/>
    <w:rsid w:val="01533711"/>
    <w:rsid w:val="0164F6A5"/>
    <w:rsid w:val="0188E475"/>
    <w:rsid w:val="01A923D8"/>
    <w:rsid w:val="01B3FCC5"/>
    <w:rsid w:val="01CB2635"/>
    <w:rsid w:val="020C82A6"/>
    <w:rsid w:val="021C0392"/>
    <w:rsid w:val="0234B5BF"/>
    <w:rsid w:val="02414E5F"/>
    <w:rsid w:val="025CBA98"/>
    <w:rsid w:val="0282740F"/>
    <w:rsid w:val="02F7C53E"/>
    <w:rsid w:val="03230063"/>
    <w:rsid w:val="0361198B"/>
    <w:rsid w:val="03F28E3E"/>
    <w:rsid w:val="044F70D2"/>
    <w:rsid w:val="048617CA"/>
    <w:rsid w:val="04898A5B"/>
    <w:rsid w:val="051F713A"/>
    <w:rsid w:val="05278E14"/>
    <w:rsid w:val="05AD3B70"/>
    <w:rsid w:val="05D96EF5"/>
    <w:rsid w:val="05FD86C3"/>
    <w:rsid w:val="06BF2D3F"/>
    <w:rsid w:val="06D6C6C7"/>
    <w:rsid w:val="06F105A7"/>
    <w:rsid w:val="0720D680"/>
    <w:rsid w:val="072EA6D4"/>
    <w:rsid w:val="07681D33"/>
    <w:rsid w:val="07A0291E"/>
    <w:rsid w:val="07AC996B"/>
    <w:rsid w:val="07B3E417"/>
    <w:rsid w:val="07B8FE6B"/>
    <w:rsid w:val="07BFD4EB"/>
    <w:rsid w:val="07E04127"/>
    <w:rsid w:val="07F1D9CE"/>
    <w:rsid w:val="07F7DAB7"/>
    <w:rsid w:val="08164BA2"/>
    <w:rsid w:val="083FF0AB"/>
    <w:rsid w:val="086F8ED2"/>
    <w:rsid w:val="090994F4"/>
    <w:rsid w:val="0919B4C8"/>
    <w:rsid w:val="09514B01"/>
    <w:rsid w:val="096AA91A"/>
    <w:rsid w:val="0981EBD8"/>
    <w:rsid w:val="0984B8F7"/>
    <w:rsid w:val="09D70C1D"/>
    <w:rsid w:val="09E6A1C1"/>
    <w:rsid w:val="0A027A66"/>
    <w:rsid w:val="0A04C9C0"/>
    <w:rsid w:val="0A18EE86"/>
    <w:rsid w:val="0A772BB1"/>
    <w:rsid w:val="0A7F7C2A"/>
    <w:rsid w:val="0AAAFA2B"/>
    <w:rsid w:val="0ADE4D50"/>
    <w:rsid w:val="0B0FB833"/>
    <w:rsid w:val="0B227804"/>
    <w:rsid w:val="0B281E6C"/>
    <w:rsid w:val="0B3EFB02"/>
    <w:rsid w:val="0B478D77"/>
    <w:rsid w:val="0B71B5B3"/>
    <w:rsid w:val="0B8A1448"/>
    <w:rsid w:val="0BACF83E"/>
    <w:rsid w:val="0BDD203E"/>
    <w:rsid w:val="0C30F100"/>
    <w:rsid w:val="0C3EB9E8"/>
    <w:rsid w:val="0C51558A"/>
    <w:rsid w:val="0C5C9C3E"/>
    <w:rsid w:val="0C8C6F8E"/>
    <w:rsid w:val="0CAA7532"/>
    <w:rsid w:val="0CF22C5B"/>
    <w:rsid w:val="0D2E6EC3"/>
    <w:rsid w:val="0DB6E58A"/>
    <w:rsid w:val="0DD3FD8E"/>
    <w:rsid w:val="0DE4518D"/>
    <w:rsid w:val="0DFF38BA"/>
    <w:rsid w:val="0E25CFC3"/>
    <w:rsid w:val="0E2F166F"/>
    <w:rsid w:val="0E503034"/>
    <w:rsid w:val="0E8B2F99"/>
    <w:rsid w:val="0EC9CDDE"/>
    <w:rsid w:val="0ECA3F24"/>
    <w:rsid w:val="0F4C1384"/>
    <w:rsid w:val="0F5177FA"/>
    <w:rsid w:val="0F51BB4F"/>
    <w:rsid w:val="0F88331D"/>
    <w:rsid w:val="0F97AE12"/>
    <w:rsid w:val="103F1B9A"/>
    <w:rsid w:val="10812014"/>
    <w:rsid w:val="10816A09"/>
    <w:rsid w:val="109CCF78"/>
    <w:rsid w:val="10B8506F"/>
    <w:rsid w:val="10F2D127"/>
    <w:rsid w:val="11059299"/>
    <w:rsid w:val="1131B43F"/>
    <w:rsid w:val="11557C5A"/>
    <w:rsid w:val="115D7085"/>
    <w:rsid w:val="1161A79E"/>
    <w:rsid w:val="1166B731"/>
    <w:rsid w:val="1175DFA7"/>
    <w:rsid w:val="11893571"/>
    <w:rsid w:val="12084B12"/>
    <w:rsid w:val="120890D5"/>
    <w:rsid w:val="12F55137"/>
    <w:rsid w:val="1307522D"/>
    <w:rsid w:val="131353C9"/>
    <w:rsid w:val="131953EB"/>
    <w:rsid w:val="1359001D"/>
    <w:rsid w:val="1374CDC5"/>
    <w:rsid w:val="13BA565E"/>
    <w:rsid w:val="13E6A450"/>
    <w:rsid w:val="141362C1"/>
    <w:rsid w:val="144B30D3"/>
    <w:rsid w:val="149FDD07"/>
    <w:rsid w:val="14A065ED"/>
    <w:rsid w:val="14C76B9E"/>
    <w:rsid w:val="150D59F0"/>
    <w:rsid w:val="15A75648"/>
    <w:rsid w:val="15C742EA"/>
    <w:rsid w:val="16052562"/>
    <w:rsid w:val="164EAA75"/>
    <w:rsid w:val="165D14E1"/>
    <w:rsid w:val="165D77C9"/>
    <w:rsid w:val="16633BFF"/>
    <w:rsid w:val="16A5B1FE"/>
    <w:rsid w:val="16C40648"/>
    <w:rsid w:val="16E4E6B2"/>
    <w:rsid w:val="174F78FE"/>
    <w:rsid w:val="178EA1FF"/>
    <w:rsid w:val="17DF5312"/>
    <w:rsid w:val="17E316E4"/>
    <w:rsid w:val="17E92F93"/>
    <w:rsid w:val="180A1761"/>
    <w:rsid w:val="181D3C55"/>
    <w:rsid w:val="18253625"/>
    <w:rsid w:val="18332301"/>
    <w:rsid w:val="1870A327"/>
    <w:rsid w:val="18AD1EC8"/>
    <w:rsid w:val="18CD49F2"/>
    <w:rsid w:val="18E5CE36"/>
    <w:rsid w:val="19820E8C"/>
    <w:rsid w:val="19A118D1"/>
    <w:rsid w:val="19A4CD8C"/>
    <w:rsid w:val="19A5EB31"/>
    <w:rsid w:val="1A2769ED"/>
    <w:rsid w:val="1A469B9F"/>
    <w:rsid w:val="1A56100D"/>
    <w:rsid w:val="1A74271E"/>
    <w:rsid w:val="1A7CC191"/>
    <w:rsid w:val="1AEF81B5"/>
    <w:rsid w:val="1B0A8F4D"/>
    <w:rsid w:val="1B19800C"/>
    <w:rsid w:val="1B1D84C5"/>
    <w:rsid w:val="1B3FFD0B"/>
    <w:rsid w:val="1BAF70B6"/>
    <w:rsid w:val="1BCE5E2F"/>
    <w:rsid w:val="1BE58639"/>
    <w:rsid w:val="1BF96E37"/>
    <w:rsid w:val="1C3D0ECF"/>
    <w:rsid w:val="1C4B3B04"/>
    <w:rsid w:val="1C65FF4C"/>
    <w:rsid w:val="1C8B2FA4"/>
    <w:rsid w:val="1CB38D09"/>
    <w:rsid w:val="1CD88FC1"/>
    <w:rsid w:val="1CD8AF0F"/>
    <w:rsid w:val="1CDF7B3F"/>
    <w:rsid w:val="1D389B3A"/>
    <w:rsid w:val="1E060C39"/>
    <w:rsid w:val="1E611AAB"/>
    <w:rsid w:val="1EA2ED36"/>
    <w:rsid w:val="1EA4B145"/>
    <w:rsid w:val="1EBEE606"/>
    <w:rsid w:val="1EC85EE7"/>
    <w:rsid w:val="1ECDA5BD"/>
    <w:rsid w:val="1EDDE44B"/>
    <w:rsid w:val="1EE71178"/>
    <w:rsid w:val="1F18DDCE"/>
    <w:rsid w:val="1F8731CE"/>
    <w:rsid w:val="1F9D89F6"/>
    <w:rsid w:val="1FD2736D"/>
    <w:rsid w:val="2003F727"/>
    <w:rsid w:val="200B16CF"/>
    <w:rsid w:val="20387707"/>
    <w:rsid w:val="204F25C1"/>
    <w:rsid w:val="20571347"/>
    <w:rsid w:val="2064BCDF"/>
    <w:rsid w:val="20A6415A"/>
    <w:rsid w:val="20E090AB"/>
    <w:rsid w:val="210DC2DC"/>
    <w:rsid w:val="216BA024"/>
    <w:rsid w:val="2173DA8E"/>
    <w:rsid w:val="217741BD"/>
    <w:rsid w:val="21E64008"/>
    <w:rsid w:val="2210C572"/>
    <w:rsid w:val="2228C033"/>
    <w:rsid w:val="22333C12"/>
    <w:rsid w:val="223C72C6"/>
    <w:rsid w:val="223DBAF1"/>
    <w:rsid w:val="2258075B"/>
    <w:rsid w:val="22989878"/>
    <w:rsid w:val="229AB46F"/>
    <w:rsid w:val="22C5848C"/>
    <w:rsid w:val="232D13EF"/>
    <w:rsid w:val="233552EC"/>
    <w:rsid w:val="23733B1E"/>
    <w:rsid w:val="2376B2B8"/>
    <w:rsid w:val="23895639"/>
    <w:rsid w:val="239D2ACC"/>
    <w:rsid w:val="23CC4803"/>
    <w:rsid w:val="23DB6FAA"/>
    <w:rsid w:val="23DBD5C3"/>
    <w:rsid w:val="24035274"/>
    <w:rsid w:val="241B4BAD"/>
    <w:rsid w:val="2430E229"/>
    <w:rsid w:val="2464EBBD"/>
    <w:rsid w:val="246D6816"/>
    <w:rsid w:val="2493FC28"/>
    <w:rsid w:val="24A67964"/>
    <w:rsid w:val="24BBEC88"/>
    <w:rsid w:val="24C4670B"/>
    <w:rsid w:val="258727ED"/>
    <w:rsid w:val="25B7CE95"/>
    <w:rsid w:val="2608E9FA"/>
    <w:rsid w:val="260DA7CA"/>
    <w:rsid w:val="26A2D76F"/>
    <w:rsid w:val="26AADBE0"/>
    <w:rsid w:val="2723F8F5"/>
    <w:rsid w:val="2765B99A"/>
    <w:rsid w:val="2779F53D"/>
    <w:rsid w:val="2793C622"/>
    <w:rsid w:val="27A67120"/>
    <w:rsid w:val="27CB5295"/>
    <w:rsid w:val="27E11FF8"/>
    <w:rsid w:val="2820F065"/>
    <w:rsid w:val="2857B0B8"/>
    <w:rsid w:val="287F9B8F"/>
    <w:rsid w:val="28AD8EB8"/>
    <w:rsid w:val="28C5F2AD"/>
    <w:rsid w:val="298DE12D"/>
    <w:rsid w:val="298F8990"/>
    <w:rsid w:val="2A3F2DD6"/>
    <w:rsid w:val="2A40186D"/>
    <w:rsid w:val="2A9E9C60"/>
    <w:rsid w:val="2AFF0D61"/>
    <w:rsid w:val="2B2FD088"/>
    <w:rsid w:val="2B494B0C"/>
    <w:rsid w:val="2BA52522"/>
    <w:rsid w:val="2BD1B6F3"/>
    <w:rsid w:val="2C079DB7"/>
    <w:rsid w:val="2C28128D"/>
    <w:rsid w:val="2C446312"/>
    <w:rsid w:val="2C4EA49A"/>
    <w:rsid w:val="2C817043"/>
    <w:rsid w:val="2CBAE866"/>
    <w:rsid w:val="2CC49DA2"/>
    <w:rsid w:val="2D77689E"/>
    <w:rsid w:val="2D77B92F"/>
    <w:rsid w:val="2D7CBB53"/>
    <w:rsid w:val="2DDDA3BD"/>
    <w:rsid w:val="2E0DA12F"/>
    <w:rsid w:val="2EF19D7E"/>
    <w:rsid w:val="2F0A9433"/>
    <w:rsid w:val="2F10EAD3"/>
    <w:rsid w:val="2F17ACDD"/>
    <w:rsid w:val="2F24BDC2"/>
    <w:rsid w:val="2F5620CE"/>
    <w:rsid w:val="2F670A26"/>
    <w:rsid w:val="2F780E35"/>
    <w:rsid w:val="2F8EB1AF"/>
    <w:rsid w:val="2FAF6BDD"/>
    <w:rsid w:val="2FC435E2"/>
    <w:rsid w:val="300B6FD0"/>
    <w:rsid w:val="304A670B"/>
    <w:rsid w:val="30540EB4"/>
    <w:rsid w:val="310F6DD3"/>
    <w:rsid w:val="31143131"/>
    <w:rsid w:val="3178C28B"/>
    <w:rsid w:val="318CC896"/>
    <w:rsid w:val="31EFDF15"/>
    <w:rsid w:val="320B9728"/>
    <w:rsid w:val="32433627"/>
    <w:rsid w:val="3246B245"/>
    <w:rsid w:val="3358583D"/>
    <w:rsid w:val="338C23AF"/>
    <w:rsid w:val="33DF0688"/>
    <w:rsid w:val="33F0415F"/>
    <w:rsid w:val="34327D67"/>
    <w:rsid w:val="3468E24E"/>
    <w:rsid w:val="34A24916"/>
    <w:rsid w:val="34D73CD2"/>
    <w:rsid w:val="3522A4A6"/>
    <w:rsid w:val="3539A481"/>
    <w:rsid w:val="3568BAC7"/>
    <w:rsid w:val="35824155"/>
    <w:rsid w:val="360EEAD4"/>
    <w:rsid w:val="364F99E9"/>
    <w:rsid w:val="365636C9"/>
    <w:rsid w:val="36799ADB"/>
    <w:rsid w:val="36A04A2A"/>
    <w:rsid w:val="36C39960"/>
    <w:rsid w:val="36CADCB7"/>
    <w:rsid w:val="36DFC64D"/>
    <w:rsid w:val="36ED0FD5"/>
    <w:rsid w:val="36F6C8F2"/>
    <w:rsid w:val="3715F650"/>
    <w:rsid w:val="371806DB"/>
    <w:rsid w:val="374C56F6"/>
    <w:rsid w:val="376F5DDD"/>
    <w:rsid w:val="378EC49D"/>
    <w:rsid w:val="37CCD83B"/>
    <w:rsid w:val="3801623A"/>
    <w:rsid w:val="381A191D"/>
    <w:rsid w:val="38696116"/>
    <w:rsid w:val="387848F6"/>
    <w:rsid w:val="38929953"/>
    <w:rsid w:val="389DACDF"/>
    <w:rsid w:val="38B277AB"/>
    <w:rsid w:val="38C67CA9"/>
    <w:rsid w:val="38F80735"/>
    <w:rsid w:val="3967908E"/>
    <w:rsid w:val="39AE2EC9"/>
    <w:rsid w:val="39B0FD09"/>
    <w:rsid w:val="3A008DF2"/>
    <w:rsid w:val="3A0E2F25"/>
    <w:rsid w:val="3A5EB7B5"/>
    <w:rsid w:val="3A7D7E73"/>
    <w:rsid w:val="3A8DA724"/>
    <w:rsid w:val="3AA9AC71"/>
    <w:rsid w:val="3B430F43"/>
    <w:rsid w:val="3B7DE923"/>
    <w:rsid w:val="3B87AB52"/>
    <w:rsid w:val="3BC963D9"/>
    <w:rsid w:val="3BD54DA1"/>
    <w:rsid w:val="3BEA186D"/>
    <w:rsid w:val="3BFD334C"/>
    <w:rsid w:val="3C0340CA"/>
    <w:rsid w:val="3C066E21"/>
    <w:rsid w:val="3C1A49B2"/>
    <w:rsid w:val="3C2C005B"/>
    <w:rsid w:val="3C360A0F"/>
    <w:rsid w:val="3C41B539"/>
    <w:rsid w:val="3C54D52A"/>
    <w:rsid w:val="3C66CA41"/>
    <w:rsid w:val="3CB6E034"/>
    <w:rsid w:val="3CC35C0F"/>
    <w:rsid w:val="3CDDB861"/>
    <w:rsid w:val="3D95CA7F"/>
    <w:rsid w:val="3DA5FE7C"/>
    <w:rsid w:val="3DABD553"/>
    <w:rsid w:val="3DF2B302"/>
    <w:rsid w:val="3E2D6ABE"/>
    <w:rsid w:val="3E38363E"/>
    <w:rsid w:val="3EA09358"/>
    <w:rsid w:val="3EBD2789"/>
    <w:rsid w:val="3EFC31D6"/>
    <w:rsid w:val="3F637696"/>
    <w:rsid w:val="3FD20A6C"/>
    <w:rsid w:val="3FDA80AC"/>
    <w:rsid w:val="3FFA4FC1"/>
    <w:rsid w:val="402F200C"/>
    <w:rsid w:val="403DF37A"/>
    <w:rsid w:val="4064BF3B"/>
    <w:rsid w:val="408C7892"/>
    <w:rsid w:val="40BD8990"/>
    <w:rsid w:val="41186E84"/>
    <w:rsid w:val="4118EDF5"/>
    <w:rsid w:val="414D9CBA"/>
    <w:rsid w:val="4186055D"/>
    <w:rsid w:val="41A9A5A7"/>
    <w:rsid w:val="41B31C81"/>
    <w:rsid w:val="41C55181"/>
    <w:rsid w:val="420602DF"/>
    <w:rsid w:val="42895FE0"/>
    <w:rsid w:val="42A23346"/>
    <w:rsid w:val="42AA0EA8"/>
    <w:rsid w:val="43722428"/>
    <w:rsid w:val="43AD6644"/>
    <w:rsid w:val="43BA3C9D"/>
    <w:rsid w:val="43CA232F"/>
    <w:rsid w:val="43D343CA"/>
    <w:rsid w:val="43D73861"/>
    <w:rsid w:val="43DD8830"/>
    <w:rsid w:val="440D8E47"/>
    <w:rsid w:val="44398D54"/>
    <w:rsid w:val="443C51A3"/>
    <w:rsid w:val="444D5703"/>
    <w:rsid w:val="4529D914"/>
    <w:rsid w:val="45E69AE2"/>
    <w:rsid w:val="45F832B6"/>
    <w:rsid w:val="4633F64A"/>
    <w:rsid w:val="465DF9F8"/>
    <w:rsid w:val="46F6B78B"/>
    <w:rsid w:val="4727055E"/>
    <w:rsid w:val="476859ED"/>
    <w:rsid w:val="47AD346D"/>
    <w:rsid w:val="47BDBC0E"/>
    <w:rsid w:val="47C3B256"/>
    <w:rsid w:val="47D29FAA"/>
    <w:rsid w:val="47F04EE1"/>
    <w:rsid w:val="4872B6C5"/>
    <w:rsid w:val="48754463"/>
    <w:rsid w:val="487939DB"/>
    <w:rsid w:val="487D31E9"/>
    <w:rsid w:val="48A186CC"/>
    <w:rsid w:val="48E74597"/>
    <w:rsid w:val="48EFF644"/>
    <w:rsid w:val="48F98F71"/>
    <w:rsid w:val="493C9ADF"/>
    <w:rsid w:val="4953F3A6"/>
    <w:rsid w:val="498DEB93"/>
    <w:rsid w:val="49C54495"/>
    <w:rsid w:val="49E3DD73"/>
    <w:rsid w:val="49E421DA"/>
    <w:rsid w:val="4A37436F"/>
    <w:rsid w:val="4A6B6A86"/>
    <w:rsid w:val="4A931C06"/>
    <w:rsid w:val="4AF6DABA"/>
    <w:rsid w:val="4B2F66A2"/>
    <w:rsid w:val="4B51DC32"/>
    <w:rsid w:val="4B6B79B8"/>
    <w:rsid w:val="4BFE4F66"/>
    <w:rsid w:val="4C1A2FF1"/>
    <w:rsid w:val="4C55797E"/>
    <w:rsid w:val="4C6CB4DE"/>
    <w:rsid w:val="4C7DB9DB"/>
    <w:rsid w:val="4CA337CE"/>
    <w:rsid w:val="4CAD43B7"/>
    <w:rsid w:val="4CCE85BA"/>
    <w:rsid w:val="4CE3309A"/>
    <w:rsid w:val="4D1E61E7"/>
    <w:rsid w:val="4D50A30C"/>
    <w:rsid w:val="4D6E6E2B"/>
    <w:rsid w:val="4E184253"/>
    <w:rsid w:val="4E28ED14"/>
    <w:rsid w:val="4E56C8D6"/>
    <w:rsid w:val="4E6D1421"/>
    <w:rsid w:val="4E703491"/>
    <w:rsid w:val="4E806944"/>
    <w:rsid w:val="4E99B54F"/>
    <w:rsid w:val="4EAF7A13"/>
    <w:rsid w:val="4EB2EBD6"/>
    <w:rsid w:val="4EB5FE6F"/>
    <w:rsid w:val="4EC2FFF9"/>
    <w:rsid w:val="4EECA779"/>
    <w:rsid w:val="4F0350FE"/>
    <w:rsid w:val="4F8D1A40"/>
    <w:rsid w:val="4FBD769D"/>
    <w:rsid w:val="503DF1C9"/>
    <w:rsid w:val="50431ACD"/>
    <w:rsid w:val="5068CC92"/>
    <w:rsid w:val="507E9954"/>
    <w:rsid w:val="508843CE"/>
    <w:rsid w:val="5088DE64"/>
    <w:rsid w:val="50AD7ADD"/>
    <w:rsid w:val="510FC244"/>
    <w:rsid w:val="513C9229"/>
    <w:rsid w:val="515A1CF8"/>
    <w:rsid w:val="51A77BE0"/>
    <w:rsid w:val="51CBC66B"/>
    <w:rsid w:val="51D3E347"/>
    <w:rsid w:val="522A5F24"/>
    <w:rsid w:val="525605B4"/>
    <w:rsid w:val="525CCFD5"/>
    <w:rsid w:val="5267DC2E"/>
    <w:rsid w:val="526BD038"/>
    <w:rsid w:val="5274374B"/>
    <w:rsid w:val="52849861"/>
    <w:rsid w:val="52AB92A5"/>
    <w:rsid w:val="52F08452"/>
    <w:rsid w:val="53354D85"/>
    <w:rsid w:val="53548F4B"/>
    <w:rsid w:val="539282CC"/>
    <w:rsid w:val="53CB7794"/>
    <w:rsid w:val="54212D63"/>
    <w:rsid w:val="5432A24F"/>
    <w:rsid w:val="54342F8B"/>
    <w:rsid w:val="5439B245"/>
    <w:rsid w:val="544C3B79"/>
    <w:rsid w:val="54552390"/>
    <w:rsid w:val="546C361F"/>
    <w:rsid w:val="54EB8D63"/>
    <w:rsid w:val="54FD727C"/>
    <w:rsid w:val="551E3023"/>
    <w:rsid w:val="55676C9F"/>
    <w:rsid w:val="55913D77"/>
    <w:rsid w:val="559F7691"/>
    <w:rsid w:val="55B9A6C8"/>
    <w:rsid w:val="55CF82B9"/>
    <w:rsid w:val="560CEE2D"/>
    <w:rsid w:val="567D5FFD"/>
    <w:rsid w:val="5680BDF0"/>
    <w:rsid w:val="56CF73C9"/>
    <w:rsid w:val="57031856"/>
    <w:rsid w:val="571AFF25"/>
    <w:rsid w:val="57715307"/>
    <w:rsid w:val="577D7031"/>
    <w:rsid w:val="57B01AF2"/>
    <w:rsid w:val="57CA3262"/>
    <w:rsid w:val="57DF25C0"/>
    <w:rsid w:val="580A8CD9"/>
    <w:rsid w:val="582FDB51"/>
    <w:rsid w:val="585E7543"/>
    <w:rsid w:val="587461C1"/>
    <w:rsid w:val="589956A7"/>
    <w:rsid w:val="58E32A6B"/>
    <w:rsid w:val="58F07DB9"/>
    <w:rsid w:val="5921A6C2"/>
    <w:rsid w:val="59255165"/>
    <w:rsid w:val="59B60E66"/>
    <w:rsid w:val="59C13812"/>
    <w:rsid w:val="59F59F7C"/>
    <w:rsid w:val="5A18F88D"/>
    <w:rsid w:val="5A230DF6"/>
    <w:rsid w:val="5AD504FB"/>
    <w:rsid w:val="5AF838CC"/>
    <w:rsid w:val="5B2B94AB"/>
    <w:rsid w:val="5B3306FD"/>
    <w:rsid w:val="5B77F9A6"/>
    <w:rsid w:val="5CACBAB9"/>
    <w:rsid w:val="5CF57445"/>
    <w:rsid w:val="5CF633DD"/>
    <w:rsid w:val="5D0A22F4"/>
    <w:rsid w:val="5D33369F"/>
    <w:rsid w:val="5DECB1B5"/>
    <w:rsid w:val="5E00A9FA"/>
    <w:rsid w:val="5E6D5126"/>
    <w:rsid w:val="5E96BD51"/>
    <w:rsid w:val="5F12441E"/>
    <w:rsid w:val="5F2892FE"/>
    <w:rsid w:val="5FC6C293"/>
    <w:rsid w:val="5FDD7E47"/>
    <w:rsid w:val="60031259"/>
    <w:rsid w:val="603AFBA3"/>
    <w:rsid w:val="606AD761"/>
    <w:rsid w:val="60BC0D9D"/>
    <w:rsid w:val="60C9073A"/>
    <w:rsid w:val="612A40DD"/>
    <w:rsid w:val="613E6880"/>
    <w:rsid w:val="616AE7FF"/>
    <w:rsid w:val="6211F24A"/>
    <w:rsid w:val="627AD085"/>
    <w:rsid w:val="6295E62E"/>
    <w:rsid w:val="62B30B4E"/>
    <w:rsid w:val="62C030DE"/>
    <w:rsid w:val="62C9EDBC"/>
    <w:rsid w:val="62F55F56"/>
    <w:rsid w:val="63AFFE02"/>
    <w:rsid w:val="63BD137B"/>
    <w:rsid w:val="63CCC5AE"/>
    <w:rsid w:val="63FA7F95"/>
    <w:rsid w:val="6400A7FC"/>
    <w:rsid w:val="644F48EE"/>
    <w:rsid w:val="6494EADD"/>
    <w:rsid w:val="64980990"/>
    <w:rsid w:val="64E031E7"/>
    <w:rsid w:val="6503FA02"/>
    <w:rsid w:val="65507011"/>
    <w:rsid w:val="6567B49B"/>
    <w:rsid w:val="65DB04A3"/>
    <w:rsid w:val="6639DB35"/>
    <w:rsid w:val="664D3A76"/>
    <w:rsid w:val="66A7BE8E"/>
    <w:rsid w:val="66ED9369"/>
    <w:rsid w:val="675D8102"/>
    <w:rsid w:val="6808E2AE"/>
    <w:rsid w:val="6812DDAA"/>
    <w:rsid w:val="683F5C35"/>
    <w:rsid w:val="68438EEF"/>
    <w:rsid w:val="689A1BFD"/>
    <w:rsid w:val="68DC06A5"/>
    <w:rsid w:val="6907D537"/>
    <w:rsid w:val="69394861"/>
    <w:rsid w:val="69A3C906"/>
    <w:rsid w:val="69B3A30A"/>
    <w:rsid w:val="69D1D01D"/>
    <w:rsid w:val="69D7A8C3"/>
    <w:rsid w:val="69EB98EF"/>
    <w:rsid w:val="6A2CB78F"/>
    <w:rsid w:val="6A77D706"/>
    <w:rsid w:val="6ABF49D4"/>
    <w:rsid w:val="6ACDE762"/>
    <w:rsid w:val="6B3383F7"/>
    <w:rsid w:val="6B4D6251"/>
    <w:rsid w:val="6B6934C4"/>
    <w:rsid w:val="6B858D63"/>
    <w:rsid w:val="6B96B449"/>
    <w:rsid w:val="6BE0CE1E"/>
    <w:rsid w:val="6C21A084"/>
    <w:rsid w:val="6D0F0BE7"/>
    <w:rsid w:val="6D17B72D"/>
    <w:rsid w:val="6DA71254"/>
    <w:rsid w:val="6DCD363F"/>
    <w:rsid w:val="6DDB465A"/>
    <w:rsid w:val="6E27A6BC"/>
    <w:rsid w:val="6E2CCFAB"/>
    <w:rsid w:val="6E33EB2E"/>
    <w:rsid w:val="6E5A9DBE"/>
    <w:rsid w:val="6F0579F7"/>
    <w:rsid w:val="6F6CABE8"/>
    <w:rsid w:val="70163449"/>
    <w:rsid w:val="7046ACA9"/>
    <w:rsid w:val="70ADF34D"/>
    <w:rsid w:val="70B0F0B0"/>
    <w:rsid w:val="70CB6077"/>
    <w:rsid w:val="7129BA1C"/>
    <w:rsid w:val="7195713B"/>
    <w:rsid w:val="71AB9B97"/>
    <w:rsid w:val="71D24FB5"/>
    <w:rsid w:val="71E6567F"/>
    <w:rsid w:val="71F4CEE7"/>
    <w:rsid w:val="72338399"/>
    <w:rsid w:val="727E3A7D"/>
    <w:rsid w:val="728C61F3"/>
    <w:rsid w:val="728DE41C"/>
    <w:rsid w:val="72D45FEC"/>
    <w:rsid w:val="7314DBE2"/>
    <w:rsid w:val="73289BA3"/>
    <w:rsid w:val="7336895D"/>
    <w:rsid w:val="73697B2C"/>
    <w:rsid w:val="743414A8"/>
    <w:rsid w:val="74A513C6"/>
    <w:rsid w:val="74C349E2"/>
    <w:rsid w:val="74C7EEBA"/>
    <w:rsid w:val="74F38385"/>
    <w:rsid w:val="75054B8D"/>
    <w:rsid w:val="757097C1"/>
    <w:rsid w:val="75C402B5"/>
    <w:rsid w:val="75DFBB0C"/>
    <w:rsid w:val="75F08F63"/>
    <w:rsid w:val="75F82496"/>
    <w:rsid w:val="75FCAC8D"/>
    <w:rsid w:val="7635A431"/>
    <w:rsid w:val="7692D3B5"/>
    <w:rsid w:val="76A11BEE"/>
    <w:rsid w:val="76A2CB81"/>
    <w:rsid w:val="76E8A583"/>
    <w:rsid w:val="76EFEBAD"/>
    <w:rsid w:val="7706DBA0"/>
    <w:rsid w:val="77459558"/>
    <w:rsid w:val="7760CB70"/>
    <w:rsid w:val="77690043"/>
    <w:rsid w:val="779BBA30"/>
    <w:rsid w:val="77A3AABD"/>
    <w:rsid w:val="77C57D27"/>
    <w:rsid w:val="77C71395"/>
    <w:rsid w:val="77EF1F52"/>
    <w:rsid w:val="7816090E"/>
    <w:rsid w:val="78354AC2"/>
    <w:rsid w:val="783DAF52"/>
    <w:rsid w:val="7851BE8E"/>
    <w:rsid w:val="78979F44"/>
    <w:rsid w:val="78BDF5D2"/>
    <w:rsid w:val="78D8D935"/>
    <w:rsid w:val="790095D8"/>
    <w:rsid w:val="79039CE6"/>
    <w:rsid w:val="79283025"/>
    <w:rsid w:val="7964D7A3"/>
    <w:rsid w:val="796C5F38"/>
    <w:rsid w:val="79C6599A"/>
    <w:rsid w:val="79E7F474"/>
    <w:rsid w:val="79F85039"/>
    <w:rsid w:val="7A04BE13"/>
    <w:rsid w:val="7A7659B0"/>
    <w:rsid w:val="7AA3C833"/>
    <w:rsid w:val="7AB9772B"/>
    <w:rsid w:val="7AD01DB0"/>
    <w:rsid w:val="7B11F144"/>
    <w:rsid w:val="7B648FD0"/>
    <w:rsid w:val="7B6605B0"/>
    <w:rsid w:val="7B687529"/>
    <w:rsid w:val="7B6D84BB"/>
    <w:rsid w:val="7B8497CE"/>
    <w:rsid w:val="7B895F50"/>
    <w:rsid w:val="7B960B1B"/>
    <w:rsid w:val="7BC6DB81"/>
    <w:rsid w:val="7BECD6D7"/>
    <w:rsid w:val="7C0879D3"/>
    <w:rsid w:val="7C0D9A60"/>
    <w:rsid w:val="7C10A2D4"/>
    <w:rsid w:val="7C23475F"/>
    <w:rsid w:val="7C2C5AE7"/>
    <w:rsid w:val="7C3FC7FE"/>
    <w:rsid w:val="7C77FEE4"/>
    <w:rsid w:val="7CC9909C"/>
    <w:rsid w:val="7CE8C4A3"/>
    <w:rsid w:val="7D1ED19F"/>
    <w:rsid w:val="7D3C5ED5"/>
    <w:rsid w:val="7D495CB6"/>
    <w:rsid w:val="7D6F839B"/>
    <w:rsid w:val="7D85CCE4"/>
    <w:rsid w:val="7DB115CD"/>
    <w:rsid w:val="7DB51989"/>
    <w:rsid w:val="7DE13545"/>
    <w:rsid w:val="7E1A4059"/>
    <w:rsid w:val="7E4CFF6C"/>
    <w:rsid w:val="7EAEC107"/>
    <w:rsid w:val="7EBB5585"/>
    <w:rsid w:val="7F1D0A5F"/>
    <w:rsid w:val="7F481EFC"/>
    <w:rsid w:val="7F89359F"/>
    <w:rsid w:val="7FACCA30"/>
    <w:rsid w:val="7FB5A0C4"/>
    <w:rsid w:val="7FF28B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43D343CA"/>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customStyle="1" w:styleId="EndNoteBibliography">
    <w:name w:val="EndNote Bibliography"/>
    <w:basedOn w:val="Normal"/>
    <w:link w:val="EndNoteBibliographyChar"/>
    <w:rsid w:val="004A7A86"/>
    <w:pPr>
      <w:spacing w:line="240" w:lineRule="auto"/>
    </w:pPr>
    <w:rPr>
      <w:rFonts w:ascii="Aptos" w:hAnsi="Aptos"/>
      <w:noProof/>
      <w:kern w:val="2"/>
      <w:lang w:val="en-US"/>
      <w14:ligatures w14:val="standardContextual"/>
    </w:rPr>
  </w:style>
  <w:style w:type="character" w:customStyle="1" w:styleId="EndNoteBibliographyChar">
    <w:name w:val="EndNote Bibliography Char"/>
    <w:basedOn w:val="DefaultParagraphFont"/>
    <w:link w:val="EndNoteBibliography"/>
    <w:rsid w:val="004A7A86"/>
    <w:rPr>
      <w:rFonts w:ascii="Aptos" w:hAnsi="Aptos"/>
      <w:noProof/>
      <w:kern w:val="2"/>
      <w:lang w:val="en-US"/>
      <w14:ligatures w14:val="standardContextual"/>
    </w:rPr>
  </w:style>
  <w:style w:type="paragraph" w:customStyle="1" w:styleId="whitespace-pre-wrap">
    <w:name w:val="whitespace-pre-wrap"/>
    <w:basedOn w:val="Normal"/>
    <w:rsid w:val="008A50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0FD"/>
    <w:rPr>
      <w:b/>
      <w:bCs/>
    </w:rPr>
  </w:style>
  <w:style w:type="character" w:styleId="Emphasis">
    <w:name w:val="Emphasis"/>
    <w:basedOn w:val="DefaultParagraphFont"/>
    <w:uiPriority w:val="20"/>
    <w:qFormat/>
    <w:rsid w:val="008A50FD"/>
    <w:rPr>
      <w:i/>
      <w:iCs/>
    </w:rPr>
  </w:style>
  <w:style w:type="character" w:styleId="UnresolvedMention">
    <w:name w:val="Unresolved Mention"/>
    <w:basedOn w:val="DefaultParagraphFont"/>
    <w:uiPriority w:val="99"/>
    <w:semiHidden/>
    <w:unhideWhenUsed/>
    <w:rsid w:val="004440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cps.gov.uk/legal-guidance/disclosure-manual-chapter-5-reasonable-lines-enquiry-and-third-parties" TargetMode="External"/><Relationship Id="rId21" Type="http://schemas.openxmlformats.org/officeDocument/2006/relationships/hyperlink" Target="https://www.pbs.org/wgbh/masterpiece/specialfeatures/surprising-history-of-victorian-era-scotland-yard" TargetMode="External"/><Relationship Id="rId42" Type="http://schemas.openxmlformats.org/officeDocument/2006/relationships/hyperlink" Target="https://doi.org/10.1108/pijpsm-04-2021-0054" TargetMode="External"/><Relationship Id="rId63" Type="http://schemas.openxmlformats.org/officeDocument/2006/relationships/hyperlink" Target="https://news.npcc.police.uk/releases/unprecedented-police-operation-against-organised-crime-leads-to-1-000-arrests-and-gbp-130-million-of-cannabis-seized" TargetMode="External"/><Relationship Id="rId84" Type="http://schemas.openxmlformats.org/officeDocument/2006/relationships/hyperlink" Target="https://doi.org/10.1037/0021-9010.74.5.722" TargetMode="External"/><Relationship Id="rId16" Type="http://schemas.openxmlformats.org/officeDocument/2006/relationships/hyperlink" Target="https://ico.org.uk/media/about-the-ico/documents/2617838/ico-report-on-mpe-in-england-and-wales-v1_1.pdf" TargetMode="External"/><Relationship Id="rId107" Type="http://schemas.openxmlformats.org/officeDocument/2006/relationships/hyperlink" Target="https://fra.europa.eu/en/law-reference/european-convention-human-rights-article-6" TargetMode="External"/><Relationship Id="rId11" Type="http://schemas.openxmlformats.org/officeDocument/2006/relationships/hyperlink" Target="https://doi.org/10.3390/math10162929" TargetMode="External"/><Relationship Id="rId32" Type="http://schemas.openxmlformats.org/officeDocument/2006/relationships/hyperlink" Target="https://doi.org/10.1080/23738871.2016.1228990" TargetMode="External"/><Relationship Id="rId37" Type="http://schemas.openxmlformats.org/officeDocument/2006/relationships/hyperlink" Target="https://doi.org/10.1080/10439463.2024.2366311" TargetMode="External"/><Relationship Id="rId53"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58" Type="http://schemas.openxmlformats.org/officeDocument/2006/relationships/hyperlink" Target="https://www.gov.uk/government/publications/pace-code-b-2013/pace-code-b-accessible" TargetMode="External"/><Relationship Id="rId74" Type="http://schemas.openxmlformats.org/officeDocument/2006/relationships/hyperlink" Target="https://e-migration.ro/jims/Vol7_No1_2013/JIMS_Vol7_No1_2013.pdf" TargetMode="External"/><Relationship Id="rId79" Type="http://schemas.openxmlformats.org/officeDocument/2006/relationships/hyperlink" Target="https://doi.org/10.1080/10683160802442835" TargetMode="External"/><Relationship Id="rId102" Type="http://schemas.openxmlformats.org/officeDocument/2006/relationships/hyperlink" Target="https://www.gov.uk/government/publications/attorney-generals-guidelines-on-disclosure-2020" TargetMode="External"/><Relationship Id="rId123" Type="http://schemas.openxmlformats.org/officeDocument/2006/relationships/hyperlink" Target="https://doi.org/10.1016/j.fsidi.2021.301129" TargetMode="External"/><Relationship Id="rId128" Type="http://schemas.openxmlformats.org/officeDocument/2006/relationships/hyperlink" Target="https://doi.org/10.1111/hojo.12569" TargetMode="External"/><Relationship Id="rId5" Type="http://schemas.openxmlformats.org/officeDocument/2006/relationships/image" Target="media/image1.png"/><Relationship Id="rId90" Type="http://schemas.openxmlformats.org/officeDocument/2006/relationships/hyperlink" Target="https://www.lawteacher.net/free-law-essays/human-rights/human-rights-act-and-police-and-criminal-evidence-pace-act-law-essays.php" TargetMode="External"/><Relationship Id="rId95" Type="http://schemas.openxmlformats.org/officeDocument/2006/relationships/hyperlink" Target="https://pure.port.ac.uk/ws/portalfiles/portal/71027708/Final_thesis_Document_Martin_Vaughan.pdf" TargetMode="External"/><Relationship Id="rId22" Type="http://schemas.openxmlformats.org/officeDocument/2006/relationships/hyperlink" Target="https://www.gov.uk/government/publications/criminal-procedure-and-investigations-act-1996-section-231-code-of-practice" TargetMode="External"/><Relationship Id="rId27" Type="http://schemas.openxmlformats.org/officeDocument/2006/relationships/hyperlink" Target="https://library.college.police.uk/docs/acpo/Core-Investigative-Doctrine.pdf" TargetMode="External"/><Relationship Id="rId43" Type="http://schemas.openxmlformats.org/officeDocument/2006/relationships/hyperlink" Target="https://doi.org/10.1111/1468-2230.12749" TargetMode="External"/><Relationship Id="rId48" Type="http://schemas.openxmlformats.org/officeDocument/2006/relationships/hyperlink" Target="https://www.ucpi.org.uk/" TargetMode="External"/><Relationship Id="rId64" Type="http://schemas.openxmlformats.org/officeDocument/2006/relationships/hyperlink" Target="https://news.npcc.police.uk/releases/county-lines-are-changing-to-become-more-localised-reveals-new-county-lines-strategic-threat-risk-assessment" TargetMode="External"/><Relationship Id="rId69" Type="http://schemas.openxmlformats.org/officeDocument/2006/relationships/hyperlink" Target="https://icccgsib.co.uk/wp-content/uploads/2020/07/Evaluation-of-a-structured-multi-agency-early-intervention-approach.pdf" TargetMode="External"/><Relationship Id="rId113" Type="http://schemas.openxmlformats.org/officeDocument/2006/relationships/hyperlink" Target="https://www.jmw.co.uk/blog/business-crime/defence-case-statements-in-criminal-defence" TargetMode="External"/><Relationship Id="rId118" Type="http://schemas.openxmlformats.org/officeDocument/2006/relationships/hyperlink" Target="https://members.csofs.org/blog/view/Codes__Secret_Communications_4fX" TargetMode="External"/><Relationship Id="rId134" Type="http://schemas.openxmlformats.org/officeDocument/2006/relationships/hyperlink" Target="https://intranet.uwtsd.ac.uk/sites/intranet/files/2023-10/Harvard%20en_v.1.3%20%28V6%29.pdf" TargetMode="External"/><Relationship Id="rId80" Type="http://schemas.openxmlformats.org/officeDocument/2006/relationships/hyperlink" Target="https://www.brainyquote.com/quotes/francis_drake_192781" TargetMode="External"/><Relationship Id="rId85" Type="http://schemas.openxmlformats.org/officeDocument/2006/relationships/hyperlink" Target="https://core.ac.uk/download/pdf/363921711.pdf" TargetMode="External"/><Relationship Id="rId12" Type="http://schemas.openxmlformats.org/officeDocument/2006/relationships/hyperlink" Target="https://doi.org/10.1177/1362480620967020" TargetMode="External"/><Relationship Id="rId17" Type="http://schemas.openxmlformats.org/officeDocument/2006/relationships/hyperlink" Target="https://doi.org/10.1108/rmj-03-2023-0016" TargetMode="External"/><Relationship Id="rId33" Type="http://schemas.openxmlformats.org/officeDocument/2006/relationships/hyperlink" Target="https://www.theguardian.com/uk-news/2023/sep/03/lost-missing-evidence-cases-freedom-of-information-police" TargetMode="External"/><Relationship Id="rId38" Type="http://schemas.openxmlformats.org/officeDocument/2006/relationships/hyperlink" Target="https://doi.org/10.1177/00208523241256029" TargetMode="External"/><Relationship Id="rId59" Type="http://schemas.openxmlformats.org/officeDocument/2006/relationships/hyperlink" Target="https://www.gov.uk/government/publications/regulation-of-investigatory-powers-act-2000-ripa/regulation-of-investigatory-powers-act-2000-ripa" TargetMode="External"/><Relationship Id="rId103" Type="http://schemas.openxmlformats.org/officeDocument/2006/relationships/hyperlink" Target="https://assets.publishing.service.gov.uk/media/65e1ab9d2f2b3b00117cd803/Attorney_General_s_Guidelines_on_Disclosure_-_2024.pdf" TargetMode="External"/><Relationship Id="rId108" Type="http://schemas.openxmlformats.org/officeDocument/2006/relationships/hyperlink" Target="https://fra.europa.eu/en/law-reference/european-convention-human-rights-article-8-0" TargetMode="External"/><Relationship Id="rId124" Type="http://schemas.openxmlformats.org/officeDocument/2006/relationships/hyperlink" Target="https://ico.org.uk/for-organisations/uk-gdpr-guidance-and-resources/data-sharing/sharing-personal-data-with-law-enforcement-authorities/" TargetMode="External"/><Relationship Id="rId129" Type="http://schemas.openxmlformats.org/officeDocument/2006/relationships/hyperlink" Target="https://ieeexplore.ieee.org/abstract/document/10607526" TargetMode="External"/><Relationship Id="rId54" Type="http://schemas.openxmlformats.org/officeDocument/2006/relationships/hyperlink" Target="https://www.bbc.co.uk/news/articles/c2x0x6ypgneo" TargetMode="External"/><Relationship Id="rId70" Type="http://schemas.openxmlformats.org/officeDocument/2006/relationships/hyperlink" Target="https://pennycooper.co.uk/wp-content/uploads/2019/01/P-Cooper-2014-Speaking-when-they-are-spoken-to-CFLQ-Speaking-When-They-Are-Spoken-To.pdf" TargetMode="External"/><Relationship Id="rId75" Type="http://schemas.openxmlformats.org/officeDocument/2006/relationships/hyperlink" Target="https://www.gov.uk/government/publications/achieving-best-evidence-in-criminal-proceedings" TargetMode="External"/><Relationship Id="rId91" Type="http://schemas.openxmlformats.org/officeDocument/2006/relationships/hyperlink" Target="https://doi.org/10.1037/a0020518" TargetMode="External"/><Relationship Id="rId96" Type="http://schemas.openxmlformats.org/officeDocument/2006/relationships/hyperlink" Target="https://www.open-access.bcu.ac.uk/14991/1/230627_PS_42_Chapter_8_Anakwah_Sumampouw_and_Otgaar_.pdf" TargetMode="Externa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23" Type="http://schemas.openxmlformats.org/officeDocument/2006/relationships/hyperlink" Target="https://assets.publishing.service.gov.uk/media/63c918b4e90e07071db36a7e/management-handling-evidence-pf.pdf" TargetMode="External"/><Relationship Id="rId28" Type="http://schemas.openxmlformats.org/officeDocument/2006/relationships/hyperlink" Target="https://police-recruitment.co.uk/historical-background-of-policing-in-the-uk/" TargetMode="External"/><Relationship Id="rId49" Type="http://schemas.openxmlformats.org/officeDocument/2006/relationships/hyperlink" Target="http://www.cps.gov.uk" TargetMode="External"/><Relationship Id="rId114" Type="http://schemas.openxmlformats.org/officeDocument/2006/relationships/hyperlink" Target="http://www.cps.gov.uk" TargetMode="External"/><Relationship Id="rId119" Type="http://schemas.openxmlformats.org/officeDocument/2006/relationships/hyperlink" Target="https://doi.org/10.1177/13657127221124362" TargetMode="External"/><Relationship Id="rId44" Type="http://schemas.openxmlformats.org/officeDocument/2006/relationships/hyperlink" Target="https://www.researchgate.net/publication/341355559_The_Evidential_Value_of_Electronic_Communications_Data_in_Rape_and_Sexual_Offence_Cases" TargetMode="External"/><Relationship Id="rId60" Type="http://schemas.openxmlformats.org/officeDocument/2006/relationships/hyperlink" Target="https://e-migration.ro/jims/Vol7_No1_2013/JIMS_Vol7_No1_2013.pdf" TargetMode="External"/><Relationship Id="rId65" Type="http://schemas.openxmlformats.org/officeDocument/2006/relationships/hyperlink" Target="https://www.intermediaries-for-justice.org/sites/default/files/people_not_just_books-_an_investigation_into_the_knowledge_and_understanding_of_trauma_informed_practice_in_the_justice_system.pdf" TargetMode="External"/><Relationship Id="rId81" Type="http://schemas.openxmlformats.org/officeDocument/2006/relationships/hyperlink" Target="https://doi.org/10.1002/jip.144" TargetMode="External"/><Relationship Id="rId86" Type="http://schemas.openxmlformats.org/officeDocument/2006/relationships/hyperlink" Target="https://doi.org/10.5937/nabepo22-12310" TargetMode="External"/><Relationship Id="rId130" Type="http://schemas.openxmlformats.org/officeDocument/2006/relationships/hyperlink" Target="https://www.oxfordreference.com/display/10.1093/oi/authority.20110810105101844" TargetMode="External"/><Relationship Id="rId135" Type="http://schemas.openxmlformats.org/officeDocument/2006/relationships/fontTable" Target="fontTable.xml"/><Relationship Id="rId13" Type="http://schemas.openxmlformats.org/officeDocument/2006/relationships/hyperlink" Target="https://globalcybersecuritynetwork.com/blog/benefits-and-challenges-of-digital-forensics/" TargetMode="External"/><Relationship Id="rId18" Type="http://schemas.openxmlformats.org/officeDocument/2006/relationships/hyperlink" Target="https://www.local.gov.uk/sites/default/files/documents/tackling-serious-and-orga-44a.pdf" TargetMode="External"/><Relationship Id="rId39" Type="http://schemas.openxmlformats.org/officeDocument/2006/relationships/hyperlink" Target="https://doi.org/10.1016/j.diin.2005.02.001" TargetMode="External"/><Relationship Id="rId109" Type="http://schemas.openxmlformats.org/officeDocument/2006/relationships/hyperlink" Target="https://www.legislation.gov.uk/ukpga/1996/25/contents" TargetMode="External"/><Relationship Id="rId34" Type="http://schemas.openxmlformats.org/officeDocument/2006/relationships/hyperlink" Target="https://doi.org/10.1177/25166069231184977" TargetMode="External"/><Relationship Id="rId50" Type="http://schemas.openxmlformats.org/officeDocument/2006/relationships/hyperlink" Target="https://www.police-foundation.org.uk/wp-content/uploads/2017/10/oc_in_local_communities_final.pdf" TargetMode="External"/><Relationship Id="rId55" Type="http://schemas.openxmlformats.org/officeDocument/2006/relationships/hyperlink" Target="https://hmicfrs.justiceinspectorates.gov.uk/publication-html/activism-and-impartiality-in-policing/" TargetMode="External"/><Relationship Id="rId76" Type="http://schemas.openxmlformats.org/officeDocument/2006/relationships/hyperlink" Target="http://www.cps.gov.uk" TargetMode="External"/><Relationship Id="rId97" Type="http://schemas.openxmlformats.org/officeDocument/2006/relationships/hyperlink" Target="https://doi.org/10.1080/1068316x.2022.2139829" TargetMode="External"/><Relationship Id="rId104" Type="http://schemas.openxmlformats.org/officeDocument/2006/relationships/hyperlink" Target="https://lordslibrary.parliament.uk/the-criminal-procedure-and-investigations-act-1996-code-of-practice-order-2020" TargetMode="External"/><Relationship Id="rId120" Type="http://schemas.openxmlformats.org/officeDocument/2006/relationships/hyperlink" Target="https://hmicfrs.justiceinspectorates.gov.uk/publication-html/how-effectively-police-investigate-crime/" TargetMode="External"/><Relationship Id="rId125" Type="http://schemas.openxmlformats.org/officeDocument/2006/relationships/hyperlink" Target="https://doi.org/10.1177/0032258x20970999" TargetMode="External"/><Relationship Id="rId7" Type="http://schemas.openxmlformats.org/officeDocument/2006/relationships/hyperlink" Target="https://moodle.uwtsd.ac.uk/pluginfile.php/298870/mod_resource/content/1/Reflective%20Practice%20for%20Policing%20Students%20-%20Selina%20Copley%20Chapter5.pdf" TargetMode="External"/><Relationship Id="rId71" Type="http://schemas.openxmlformats.org/officeDocument/2006/relationships/hyperlink" Target="https://www.cps.gov.uk/legal-guidance/special-measures" TargetMode="External"/><Relationship Id="rId92" Type="http://schemas.openxmlformats.org/officeDocument/2006/relationships/hyperlink" Target="https://doi.org/https://doi.org/10.1348/135532599167860" TargetMode="External"/><Relationship Id="rId2" Type="http://schemas.openxmlformats.org/officeDocument/2006/relationships/styles" Target="styles.xml"/><Relationship Id="rId29" Type="http://schemas.openxmlformats.org/officeDocument/2006/relationships/hyperlink" Target="https://doi.org/10.1080/17460650500057137" TargetMode="External"/><Relationship Id="rId24" Type="http://schemas.openxmlformats.org/officeDocument/2006/relationships/hyperlink" Target="https://www.researchgate.net/profile/Professor-Modise/publication/376261021_A_Higher_Level_of_Education_in_Police_Work_is_Essential_to_Improving_Professional_Development_and_Opportunities_for_Advancement" TargetMode="External"/><Relationship Id="rId40" Type="http://schemas.openxmlformats.org/officeDocument/2006/relationships/hyperlink" Target="https://doi.org/10.1177/1468794115622529" TargetMode="External"/><Relationship Id="rId45" Type="http://schemas.openxmlformats.org/officeDocument/2006/relationships/hyperlink" Target="https://doi.org/10.30574/ijsra.2023.9.2.0624" TargetMode="External"/><Relationship Id="rId66" Type="http://schemas.openxmlformats.org/officeDocument/2006/relationships/hyperlink" Target="https://journals.sagepub.com/doi/full/10.1177/0306624X18806742" TargetMode="External"/><Relationship Id="rId87" Type="http://schemas.openxmlformats.org/officeDocument/2006/relationships/hyperlink" Target="https://books.google.co.uk/books?hl=en&amp;lr=&amp;id=GtB65IADRjIC&amp;oi=fnd&amp;pg=PR7&amp;dq=Gudjonsson" TargetMode="External"/><Relationship Id="rId110" Type="http://schemas.openxmlformats.org/officeDocument/2006/relationships/hyperlink" Target="https://doi.org/10.1177/13657127221124362" TargetMode="External"/><Relationship Id="rId115" Type="http://schemas.openxmlformats.org/officeDocument/2006/relationships/hyperlink" Target="https://doi.org/10.1007/s12027-021-00687-1" TargetMode="External"/><Relationship Id="rId131" Type="http://schemas.openxmlformats.org/officeDocument/2006/relationships/hyperlink" Target="https://www.cps.gov.uk/publication/court-appeal-ruling-reasonable-lines-enquiry-r-v-e-2018-ewca-2426-crim." TargetMode="External"/><Relationship Id="rId136" Type="http://schemas.openxmlformats.org/officeDocument/2006/relationships/theme" Target="theme/theme1.xml"/><Relationship Id="rId61" Type="http://schemas.openxmlformats.org/officeDocument/2006/relationships/hyperlink" Target="https://www.legislation.gov.uk/ukpga/1977/45/section/1" TargetMode="External"/><Relationship Id="rId82" Type="http://schemas.openxmlformats.org/officeDocument/2006/relationships/hyperlink" Target="https://www.college.police.uk/guidance/investigative-interviewing" TargetMode="External"/><Relationship Id="rId19" Type="http://schemas.openxmlformats.org/officeDocument/2006/relationships/hyperlink" Target="https://ieeexplore.ieee.org/abstract/document/10607526" TargetMode="External"/><Relationship Id="rId14" Type="http://schemas.openxmlformats.org/officeDocument/2006/relationships/hyperlink" Target="https://www.gov.uk/guidance/police-and-criminal-evidence-act-1984-pace-codes-of-practice" TargetMode="External"/><Relationship Id="rId30" Type="http://schemas.openxmlformats.org/officeDocument/2006/relationships/hyperlink" Target="https://interventionsalliance.com/county-lines-literature-review" TargetMode="External"/><Relationship Id="rId35" Type="http://schemas.openxmlformats.org/officeDocument/2006/relationships/hyperlink" Target="https://doi.org/10.1016/j.fsidi.2023.301585" TargetMode="External"/><Relationship Id="rId56" Type="http://schemas.openxmlformats.org/officeDocument/2006/relationships/hyperlink" Target="https://dspace.cuni.cz/bitstream/handle/20.500.11956/196745/120483928.pdf?sequence=1" TargetMode="External"/><Relationship Id="rId77" Type="http://schemas.openxmlformats.org/officeDocument/2006/relationships/hyperlink" Target="https://doi.org/10.1080/15614263.2013.827835" TargetMode="External"/><Relationship Id="rId100" Type="http://schemas.openxmlformats.org/officeDocument/2006/relationships/hyperlink" Target="https://doi-org.ezproxy.uwtsd.ac.uk/10.1111/pops.12226" TargetMode="External"/><Relationship Id="rId105" Type="http://schemas.openxmlformats.org/officeDocument/2006/relationships/hyperlink" Target="https://www.cps.gov.uk/legal-guidance/disclosure-manual-chapter-3-roles-and-responsibilities" TargetMode="External"/><Relationship Id="rId126" Type="http://schemas.openxmlformats.org/officeDocument/2006/relationships/hyperlink" Target="https://www.legislation.gov.uk/ukpga/2016/25/contents" TargetMode="External"/><Relationship Id="rId8" Type="http://schemas.openxmlformats.org/officeDocument/2006/relationships/hyperlink" Target="https://assets.publishing.service.gov.uk/media/5a7ad567e5274a34770e76f6/hoor4305.pdf" TargetMode="External"/><Relationship Id="rId51" Type="http://schemas.openxmlformats.org/officeDocument/2006/relationships/hyperlink" Target="https://www.cps.gov.uk/about-cps/disclosure" TargetMode="External"/><Relationship Id="rId72" Type="http://schemas.openxmlformats.org/officeDocument/2006/relationships/hyperlink" Target="https://doi.org/10.1093/ojls/gqab014" TargetMode="External"/><Relationship Id="rId93" Type="http://schemas.openxmlformats.org/officeDocument/2006/relationships/hyperlink" Target="https://www.fair360.com/media/2019/10/fefeb899b707418864e1ffef7898cf0cd353.pdf" TargetMode="External"/><Relationship Id="rId98" Type="http://schemas.openxmlformats.org/officeDocument/2006/relationships/hyperlink" Target="https://www.college.police.uk/guidance/investigative-interviewing" TargetMode="External"/><Relationship Id="rId121" Type="http://schemas.openxmlformats.org/officeDocument/2006/relationships/hyperlink" Target="https://doi.org/10.1016/j.fsidi.2022.301350" TargetMode="External"/><Relationship Id="rId3" Type="http://schemas.openxmlformats.org/officeDocument/2006/relationships/settings" Target="settings.xml"/><Relationship Id="rId25" Type="http://schemas.openxmlformats.org/officeDocument/2006/relationships/hyperlink" Target="https://doi.org/10.1111/1556-4029.15233" TargetMode="External"/><Relationship Id="rId46" Type="http://schemas.openxmlformats.org/officeDocument/2006/relationships/hyperlink" Target="https://doi.org/10.1016/j.clsr.2021.105575" TargetMode="External"/><Relationship Id="rId67" Type="http://schemas.openxmlformats.org/officeDocument/2006/relationships/hyperlink" Target="https://doi.org/10.1037/lhb0000131" TargetMode="External"/><Relationship Id="rId116" Type="http://schemas.openxmlformats.org/officeDocument/2006/relationships/hyperlink" Target="https://www.ncbi.nlm.nih.gov/books/NBK551677/" TargetMode="External"/><Relationship Id="rId20" Type="http://schemas.openxmlformats.org/officeDocument/2006/relationships/hyperlink" Target="https://www.tandfonline.com/doi/full/10.1080/10439463.2021.1999447" TargetMode="External"/><Relationship Id="rId41" Type="http://schemas.openxmlformats.org/officeDocument/2006/relationships/hyperlink" Target="https://doi.org/10.37256/ccds.5120233845" TargetMode="External"/><Relationship Id="rId62" Type="http://schemas.openxmlformats.org/officeDocument/2006/relationships/hyperlink" Target="https://www.legislation.gov.uk/ukpga/2015/30/section/2" TargetMode="External"/><Relationship Id="rId83" Type="http://schemas.openxmlformats.org/officeDocument/2006/relationships/hyperlink" Target="https://doi.org/10.1080/10439460600968123" TargetMode="External"/><Relationship Id="rId88" Type="http://schemas.openxmlformats.org/officeDocument/2006/relationships/hyperlink" Target="https://www.gov.uk/guidance/police-and-criminal-evidence-act-1984-pace-codes-of-practice" TargetMode="External"/><Relationship Id="rId111" Type="http://schemas.openxmlformats.org/officeDocument/2006/relationships/hyperlink" Target="https://doi.org/10.1016/j.fsidi.2022.301350" TargetMode="External"/><Relationship Id="rId132" Type="http://schemas.openxmlformats.org/officeDocument/2006/relationships/hyperlink" Target="https://www.cps.gov.uk/legal-guidance/disclosure-manual-chapter-15-defence-disclosure" TargetMode="External"/><Relationship Id="rId15" Type="http://schemas.openxmlformats.org/officeDocument/2006/relationships/hyperlink" Target="https://hmicfrs.justiceinspectorates.gov.uk/our-work/article/crime-recording-process/" TargetMode="External"/><Relationship Id="rId36" Type="http://schemas.openxmlformats.org/officeDocument/2006/relationships/hyperlink" Target="https://www.gov.uk/government/publications/regulation-of-investigatory-powers-act-2000-ripa/regulation-of-investigatory-powers-act-2000-ripa" TargetMode="External"/><Relationship Id="rId57" Type="http://schemas.openxmlformats.org/officeDocument/2006/relationships/hyperlink" Target="https://www.gov.uk/guidance/mutual-legal-assistance-mla-requests" TargetMode="External"/><Relationship Id="rId106" Type="http://schemas.openxmlformats.org/officeDocument/2006/relationships/hyperlink" Target="https://www.cps.gov.uk/about-cps/disclosure" TargetMode="External"/><Relationship Id="rId127" Type="http://schemas.openxmlformats.org/officeDocument/2006/relationships/hyperlink" Target="https://doi.org/10.1007/s10796-022-10308-y" TargetMode="External"/><Relationship Id="rId10" Type="http://schemas.openxmlformats.org/officeDocument/2006/relationships/hyperlink" Target="https://www.college.police.uk/article/police-and-criminal-evidence-act-pace-1984-changes" TargetMode="External"/><Relationship Id="rId31" Type="http://schemas.openxmlformats.org/officeDocument/2006/relationships/hyperlink" Target="https://www.hertspastpolicing.org.uk/content/police-history/scientific-services/finger-printing-the-early-days" TargetMode="External"/><Relationship Id="rId52" Type="http://schemas.openxmlformats.org/officeDocument/2006/relationships/hyperlink" Target="https://www.legislation.gov.uk/ukpga/2015/30/section/2" TargetMode="External"/><Relationship Id="rId73" Type="http://schemas.openxmlformats.org/officeDocument/2006/relationships/hyperlink" Target="https://www.researchgate.net/profile/Pamela-Hanway/publication/325646282_The_voice_from_the_front_line_Police_officers" TargetMode="External"/><Relationship Id="rId78" Type="http://schemas.openxmlformats.org/officeDocument/2006/relationships/hyperlink" Target="https://doi.org/10.3389/fpsyg.2022.818009" TargetMode="External"/><Relationship Id="rId94" Type="http://schemas.openxmlformats.org/officeDocument/2006/relationships/hyperlink" Target="https://doi-org.ezproxy.uwtsd.ac.uk/10.1111/pops.12226" TargetMode="External"/><Relationship Id="rId99" Type="http://schemas.openxmlformats.org/officeDocument/2006/relationships/hyperlink" Target="https://www.fvv.um.si/rV/arhiv/2016-4/05_Goodman-Delahunty%20_Martschuk_rV_2016-4.pdf" TargetMode="External"/><Relationship Id="rId101" Type="http://schemas.openxmlformats.org/officeDocument/2006/relationships/hyperlink" Target="http://www.jmw.co.uk" TargetMode="External"/><Relationship Id="rId122" Type="http://schemas.openxmlformats.org/officeDocument/2006/relationships/hyperlink" Target="https://assets.publishing.service.gov.uk/media/5a82d6cd40f0b6230269cfa0/mouncher_report_web_accessible_july_2017.pdf" TargetMode="External"/><Relationship Id="rId4" Type="http://schemas.openxmlformats.org/officeDocument/2006/relationships/webSettings" Target="webSettings.xml"/><Relationship Id="rId9" Type="http://schemas.openxmlformats.org/officeDocument/2006/relationships/hyperlink" Target="https://www.college.police.uk/app/investigation/investigative-strategies/automatic-number-plate-recognition-anpr" TargetMode="External"/><Relationship Id="rId26" Type="http://schemas.openxmlformats.org/officeDocument/2006/relationships/hyperlink" Target="https://doi.org/10.1007/978-3-031-56556-4_4" TargetMode="External"/><Relationship Id="rId47" Type="http://schemas.openxmlformats.org/officeDocument/2006/relationships/hyperlink" Target="https://doi.org/10.1080/10854681.2022.2127579" TargetMode="External"/><Relationship Id="rId68" Type="http://schemas.openxmlformats.org/officeDocument/2006/relationships/hyperlink" Target="https://www.cps.gov.uk/legal-guidance/disclosure-manual-chapter-15-defence-disclosure" TargetMode="External"/><Relationship Id="rId89" Type="http://schemas.openxmlformats.org/officeDocument/2006/relationships/hyperlink" Target="https://e-migration.ro/jims/Vol7_No1_2013/JIMS_Vol7_No1_2013.pdf" TargetMode="External"/><Relationship Id="rId112" Type="http://schemas.openxmlformats.org/officeDocument/2006/relationships/hyperlink" Target="https://assets.publishing.service.gov.uk/government/uploads/system/uploads/attachment_data/file/931173/Criminal-procedure-and-investigations-act-1996.pdf" TargetMode="External"/><Relationship Id="rId133" Type="http://schemas.openxmlformats.org/officeDocument/2006/relationships/hyperlink" Target="https://www.cps.gov.uk/legal-guidance/expert-guidance-disclosure-unused-material-and-cas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60</Pages>
  <Words>21090</Words>
  <Characters>120214</Characters>
  <Application>Microsoft Office Word</Application>
  <DocSecurity>0</DocSecurity>
  <Lines>1001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Wayne Staunton (2222122)</cp:lastModifiedBy>
  <cp:revision>2</cp:revision>
  <cp:lastPrinted>2021-10-05T11:09:00Z</cp:lastPrinted>
  <dcterms:created xsi:type="dcterms:W3CDTF">2025-05-08T16:24:00Z</dcterms:created>
  <dcterms:modified xsi:type="dcterms:W3CDTF">2025-05-08T16:24:00Z</dcterms:modified>
</cp:coreProperties>
</file>