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BFAE1" w14:textId="77777777" w:rsidR="00AB6FBE" w:rsidRDefault="00AB6FBE" w:rsidP="00926EB3">
      <w:pPr>
        <w:pStyle w:val="p1"/>
        <w:rPr>
          <w:b/>
          <w:bCs/>
        </w:rPr>
      </w:pPr>
    </w:p>
    <w:p w14:paraId="119299B4" w14:textId="77777777" w:rsidR="00AB6FBE" w:rsidRPr="001A2EFD" w:rsidRDefault="00AB6FBE" w:rsidP="00AB6FBE">
      <w:pPr>
        <w:jc w:val="center"/>
        <w:rPr>
          <w:rFonts w:ascii="Calibri" w:hAnsi="Calibri" w:cs="Calibri"/>
          <w:b/>
          <w:bCs/>
          <w:sz w:val="22"/>
          <w:szCs w:val="22"/>
          <w:u w:val="single"/>
        </w:rPr>
      </w:pPr>
      <w:r w:rsidRPr="001A2EFD">
        <w:rPr>
          <w:rFonts w:ascii="Calibri" w:hAnsi="Calibri" w:cs="Calibri"/>
          <w:b/>
          <w:bCs/>
          <w:sz w:val="22"/>
          <w:szCs w:val="22"/>
          <w:u w:val="single"/>
        </w:rPr>
        <w:t>AI Recognition</w:t>
      </w:r>
    </w:p>
    <w:p w14:paraId="401F3BB9" w14:textId="45B6A133" w:rsidR="00AB6FBE" w:rsidRDefault="00AB6FBE" w:rsidP="00AB6FBE">
      <w:pPr>
        <w:jc w:val="both"/>
        <w:rPr>
          <w:rFonts w:ascii="Calibri" w:hAnsi="Calibri" w:cs="Calibri"/>
          <w:b/>
          <w:bCs/>
          <w:sz w:val="22"/>
          <w:szCs w:val="22"/>
        </w:rPr>
      </w:pPr>
      <w:r>
        <w:rPr>
          <w:rFonts w:ascii="Calibri" w:hAnsi="Calibri" w:cs="Calibri"/>
          <w:b/>
          <w:bCs/>
          <w:sz w:val="22"/>
          <w:szCs w:val="22"/>
        </w:rPr>
        <w:t>I acknowledge the use of Grammarly on Tuesday 9</w:t>
      </w:r>
      <w:r w:rsidRPr="001A2EFD">
        <w:rPr>
          <w:rFonts w:ascii="Calibri" w:hAnsi="Calibri" w:cs="Calibri"/>
          <w:b/>
          <w:bCs/>
          <w:sz w:val="22"/>
          <w:szCs w:val="22"/>
          <w:vertAlign w:val="superscript"/>
        </w:rPr>
        <w:t>th</w:t>
      </w:r>
      <w:r>
        <w:rPr>
          <w:rFonts w:ascii="Calibri" w:hAnsi="Calibri" w:cs="Calibri"/>
          <w:b/>
          <w:bCs/>
          <w:sz w:val="22"/>
          <w:szCs w:val="22"/>
        </w:rPr>
        <w:t xml:space="preserve"> December 2025 to check my assignment using the prompt:</w:t>
      </w:r>
    </w:p>
    <w:p w14:paraId="0942FDEE" w14:textId="77777777" w:rsidR="00AB6FBE" w:rsidRDefault="00AB6FBE" w:rsidP="00AB6FBE">
      <w:pPr>
        <w:jc w:val="center"/>
        <w:rPr>
          <w:rFonts w:ascii="Calibri" w:hAnsi="Calibri" w:cs="Calibri"/>
          <w:b/>
          <w:bCs/>
          <w:sz w:val="22"/>
          <w:szCs w:val="22"/>
        </w:rPr>
      </w:pPr>
      <w:r>
        <w:rPr>
          <w:rFonts w:ascii="Calibri" w:hAnsi="Calibri" w:cs="Calibri"/>
          <w:b/>
          <w:bCs/>
          <w:sz w:val="22"/>
          <w:szCs w:val="22"/>
        </w:rPr>
        <w:t>“Please check the following text of grammar”.</w:t>
      </w:r>
    </w:p>
    <w:p w14:paraId="6A143F24" w14:textId="77777777" w:rsidR="00AB6FBE" w:rsidRDefault="00AB6FBE" w:rsidP="00AB6FBE">
      <w:pPr>
        <w:jc w:val="both"/>
        <w:rPr>
          <w:rFonts w:ascii="Calibri" w:hAnsi="Calibri" w:cs="Calibri"/>
          <w:b/>
          <w:bCs/>
          <w:sz w:val="22"/>
          <w:szCs w:val="22"/>
        </w:rPr>
      </w:pPr>
      <w:r>
        <w:rPr>
          <w:rFonts w:ascii="Calibri" w:hAnsi="Calibri" w:cs="Calibri"/>
          <w:b/>
          <w:bCs/>
          <w:sz w:val="22"/>
          <w:szCs w:val="22"/>
        </w:rPr>
        <w:t>I confirm that I have not presented any AI generated text as my own work. I confirm that I have drafts, notes and other resources which I can provide for evidence if asked.</w:t>
      </w:r>
    </w:p>
    <w:p w14:paraId="25C74450" w14:textId="77777777" w:rsidR="00AB6FBE" w:rsidRPr="004F11CE" w:rsidRDefault="00AB6FBE" w:rsidP="00AB6FBE">
      <w:pPr>
        <w:spacing w:before="100" w:beforeAutospacing="1" w:after="100" w:afterAutospacing="1"/>
        <w:rPr>
          <w:rFonts w:ascii="Calibri" w:eastAsia="Times New Roman" w:hAnsi="Calibri" w:cs="Calibri"/>
          <w:kern w:val="0"/>
          <w:sz w:val="28"/>
          <w:szCs w:val="28"/>
          <w14:ligatures w14:val="none"/>
        </w:rPr>
      </w:pPr>
    </w:p>
    <w:p w14:paraId="6B4001D1" w14:textId="77777777" w:rsidR="00AB6FBE" w:rsidRDefault="00AB6FBE">
      <w:pPr>
        <w:rPr>
          <w:rFonts w:ascii="Arial" w:eastAsia="Times New Roman" w:hAnsi="Arial" w:cs="Arial"/>
          <w:b/>
          <w:bCs/>
          <w:color w:val="000000"/>
          <w:kern w:val="0"/>
          <w:sz w:val="18"/>
          <w:szCs w:val="18"/>
          <w:lang w:eastAsia="en-GB"/>
          <w14:ligatures w14:val="none"/>
        </w:rPr>
      </w:pPr>
      <w:r>
        <w:rPr>
          <w:b/>
          <w:bCs/>
        </w:rPr>
        <w:br w:type="page"/>
      </w:r>
    </w:p>
    <w:p w14:paraId="5A7A9D09" w14:textId="4D8DA54D" w:rsidR="006B72DB" w:rsidRPr="006B72DB" w:rsidRDefault="006B72DB" w:rsidP="006B72DB">
      <w:pPr>
        <w:jc w:val="center"/>
        <w:rPr>
          <w:rFonts w:ascii="Calibri" w:eastAsia="Times New Roman" w:hAnsi="Calibri" w:cs="Calibri"/>
          <w:color w:val="000000"/>
          <w:kern w:val="0"/>
          <w:sz w:val="17"/>
          <w:szCs w:val="17"/>
          <w:u w:val="single"/>
          <w:lang w:eastAsia="en-GB"/>
          <w14:ligatures w14:val="none"/>
        </w:rPr>
      </w:pPr>
      <w:r w:rsidRPr="006B72DB">
        <w:rPr>
          <w:rFonts w:ascii="Calibri" w:eastAsia="Times New Roman" w:hAnsi="Calibri" w:cs="Calibri"/>
          <w:color w:val="000000"/>
          <w:kern w:val="0"/>
          <w:u w:val="single"/>
          <w:lang w:eastAsia="en-GB"/>
          <w14:ligatures w14:val="none"/>
        </w:rPr>
        <w:lastRenderedPageBreak/>
        <w:t>Understanding Trauma and the Mental Health Needs of the Child - Case Study One: Amira</w:t>
      </w:r>
    </w:p>
    <w:p w14:paraId="39B53840" w14:textId="77777777" w:rsidR="006B72DB" w:rsidRPr="006B72DB" w:rsidRDefault="006B72DB" w:rsidP="00926EB3">
      <w:pPr>
        <w:pStyle w:val="p1"/>
        <w:rPr>
          <w:rFonts w:ascii="Calibri" w:hAnsi="Calibri" w:cs="Calibri"/>
          <w:b/>
          <w:bCs/>
        </w:rPr>
      </w:pPr>
    </w:p>
    <w:p w14:paraId="78F0C683" w14:textId="6634AB0D" w:rsidR="00E817C5" w:rsidRPr="000B735F" w:rsidRDefault="006B72DB" w:rsidP="00926EB3">
      <w:pPr>
        <w:pStyle w:val="p1"/>
        <w:rPr>
          <w:rFonts w:ascii="Calibri" w:hAnsi="Calibri" w:cs="Calibri"/>
          <w:sz w:val="22"/>
          <w:szCs w:val="22"/>
          <w:u w:val="single"/>
        </w:rPr>
      </w:pPr>
      <w:r w:rsidRPr="000B735F">
        <w:rPr>
          <w:rFonts w:ascii="Calibri" w:hAnsi="Calibri" w:cs="Calibri"/>
          <w:b/>
          <w:bCs/>
          <w:sz w:val="22"/>
          <w:szCs w:val="22"/>
          <w:u w:val="single"/>
        </w:rPr>
        <w:t xml:space="preserve">Case Study: </w:t>
      </w:r>
      <w:r w:rsidR="00E817C5" w:rsidRPr="000B735F">
        <w:rPr>
          <w:rFonts w:ascii="Calibri" w:hAnsi="Calibri" w:cs="Calibri"/>
          <w:b/>
          <w:bCs/>
          <w:sz w:val="22"/>
          <w:szCs w:val="22"/>
          <w:u w:val="single"/>
        </w:rPr>
        <w:t>Amira</w:t>
      </w:r>
    </w:p>
    <w:p w14:paraId="13CED3A4" w14:textId="77777777" w:rsidR="006B72DB" w:rsidRDefault="00E817C5" w:rsidP="006B72DB">
      <w:pPr>
        <w:pStyle w:val="p1"/>
        <w:jc w:val="both"/>
        <w:rPr>
          <w:rFonts w:ascii="Calibri" w:hAnsi="Calibri" w:cs="Calibri"/>
          <w:sz w:val="22"/>
          <w:szCs w:val="22"/>
        </w:rPr>
      </w:pPr>
      <w:r w:rsidRPr="006B72DB">
        <w:rPr>
          <w:rFonts w:ascii="Calibri" w:hAnsi="Calibri" w:cs="Calibri"/>
          <w:sz w:val="22"/>
          <w:szCs w:val="22"/>
        </w:rPr>
        <w:t>Amira is eight years old and in her third year of primary school. She lives with her mother. Amira’s</w:t>
      </w:r>
      <w:r w:rsidR="006B72DB" w:rsidRPr="006B72DB">
        <w:rPr>
          <w:rFonts w:ascii="Calibri" w:hAnsi="Calibri" w:cs="Calibri"/>
          <w:sz w:val="22"/>
          <w:szCs w:val="22"/>
        </w:rPr>
        <w:t xml:space="preserve"> </w:t>
      </w:r>
      <w:r w:rsidRPr="006B72DB">
        <w:rPr>
          <w:rFonts w:ascii="Calibri" w:hAnsi="Calibri" w:cs="Calibri"/>
          <w:sz w:val="22"/>
          <w:szCs w:val="22"/>
        </w:rPr>
        <w:t>attendance has always been erratic; however, the school has recently become increasingly</w:t>
      </w:r>
      <w:r w:rsidR="006B72DB" w:rsidRPr="006B72DB">
        <w:rPr>
          <w:rFonts w:ascii="Calibri" w:hAnsi="Calibri" w:cs="Calibri"/>
          <w:sz w:val="22"/>
          <w:szCs w:val="22"/>
        </w:rPr>
        <w:t xml:space="preserve"> </w:t>
      </w:r>
      <w:r w:rsidRPr="006B72DB">
        <w:rPr>
          <w:rFonts w:ascii="Calibri" w:hAnsi="Calibri" w:cs="Calibri"/>
          <w:sz w:val="22"/>
          <w:szCs w:val="22"/>
        </w:rPr>
        <w:t>concerned about a rise in her</w:t>
      </w:r>
      <w:r w:rsidR="006B72DB" w:rsidRPr="006B72DB">
        <w:rPr>
          <w:rFonts w:ascii="Calibri" w:hAnsi="Calibri" w:cs="Calibri"/>
          <w:sz w:val="22"/>
          <w:szCs w:val="22"/>
        </w:rPr>
        <w:t xml:space="preserve"> </w:t>
      </w:r>
      <w:r w:rsidRPr="006B72DB">
        <w:rPr>
          <w:rFonts w:ascii="Calibri" w:hAnsi="Calibri" w:cs="Calibri"/>
          <w:sz w:val="22"/>
          <w:szCs w:val="22"/>
        </w:rPr>
        <w:t>non-attendance. School staff have also voiced concern about</w:t>
      </w:r>
      <w:r w:rsidR="006B72DB" w:rsidRPr="006B72DB">
        <w:rPr>
          <w:rFonts w:ascii="Calibri" w:hAnsi="Calibri" w:cs="Calibri"/>
          <w:sz w:val="22"/>
          <w:szCs w:val="22"/>
        </w:rPr>
        <w:t xml:space="preserve"> </w:t>
      </w:r>
      <w:r w:rsidRPr="006B72DB">
        <w:rPr>
          <w:rFonts w:ascii="Calibri" w:hAnsi="Calibri" w:cs="Calibri"/>
          <w:sz w:val="22"/>
          <w:szCs w:val="22"/>
        </w:rPr>
        <w:t>Amira’s behaviour. She is becoming withdrawn and reluctant to play with her peers. Amira has</w:t>
      </w:r>
      <w:r w:rsidR="006B72DB" w:rsidRPr="006B72DB">
        <w:rPr>
          <w:rFonts w:ascii="Calibri" w:hAnsi="Calibri" w:cs="Calibri"/>
          <w:sz w:val="22"/>
          <w:szCs w:val="22"/>
        </w:rPr>
        <w:t xml:space="preserve"> </w:t>
      </w:r>
      <w:r w:rsidRPr="006B72DB">
        <w:rPr>
          <w:rFonts w:ascii="Calibri" w:hAnsi="Calibri" w:cs="Calibri"/>
          <w:sz w:val="22"/>
          <w:szCs w:val="22"/>
        </w:rPr>
        <w:t>always had a good relationship with her previous nursery teacher. In the schoolyard yard, one</w:t>
      </w:r>
      <w:r w:rsidR="006B72DB" w:rsidRPr="006B72DB">
        <w:rPr>
          <w:rFonts w:ascii="Calibri" w:hAnsi="Calibri" w:cs="Calibri"/>
          <w:sz w:val="22"/>
          <w:szCs w:val="22"/>
        </w:rPr>
        <w:t xml:space="preserve"> </w:t>
      </w:r>
      <w:r w:rsidRPr="006B72DB">
        <w:rPr>
          <w:rFonts w:ascii="Calibri" w:hAnsi="Calibri" w:cs="Calibri"/>
          <w:sz w:val="22"/>
          <w:szCs w:val="22"/>
        </w:rPr>
        <w:t>lunchtime, Amira disclosed to the teacher that she is often home alone for long periods and</w:t>
      </w:r>
      <w:r w:rsidR="006B72DB" w:rsidRPr="006B72DB">
        <w:rPr>
          <w:rFonts w:ascii="Calibri" w:hAnsi="Calibri" w:cs="Calibri"/>
          <w:sz w:val="22"/>
          <w:szCs w:val="22"/>
        </w:rPr>
        <w:t xml:space="preserve"> </w:t>
      </w:r>
      <w:r w:rsidRPr="006B72DB">
        <w:rPr>
          <w:rFonts w:ascii="Calibri" w:hAnsi="Calibri" w:cs="Calibri"/>
          <w:sz w:val="22"/>
          <w:szCs w:val="22"/>
        </w:rPr>
        <w:t>frequently goes without food.</w:t>
      </w:r>
      <w:r w:rsidR="006B72DB" w:rsidRPr="006B72DB">
        <w:rPr>
          <w:rFonts w:ascii="Calibri" w:hAnsi="Calibri" w:cs="Calibri"/>
          <w:sz w:val="22"/>
          <w:szCs w:val="22"/>
        </w:rPr>
        <w:t xml:space="preserve"> </w:t>
      </w:r>
    </w:p>
    <w:p w14:paraId="2F59CCF6" w14:textId="77777777" w:rsidR="00A954B6" w:rsidRPr="006B72DB" w:rsidRDefault="00A954B6" w:rsidP="006B72DB">
      <w:pPr>
        <w:pStyle w:val="p1"/>
        <w:jc w:val="both"/>
        <w:rPr>
          <w:rFonts w:ascii="Calibri" w:hAnsi="Calibri" w:cs="Calibri"/>
          <w:sz w:val="22"/>
          <w:szCs w:val="22"/>
        </w:rPr>
      </w:pPr>
    </w:p>
    <w:p w14:paraId="073594E2" w14:textId="77777777" w:rsidR="006B72DB" w:rsidRDefault="00E817C5" w:rsidP="006B72DB">
      <w:pPr>
        <w:pStyle w:val="p1"/>
        <w:jc w:val="both"/>
        <w:rPr>
          <w:rFonts w:ascii="Calibri" w:hAnsi="Calibri" w:cs="Calibri"/>
          <w:sz w:val="22"/>
          <w:szCs w:val="22"/>
        </w:rPr>
      </w:pPr>
      <w:r w:rsidRPr="006B72DB">
        <w:rPr>
          <w:rFonts w:ascii="Calibri" w:hAnsi="Calibri" w:cs="Calibri"/>
          <w:sz w:val="22"/>
          <w:szCs w:val="22"/>
        </w:rPr>
        <w:t>In response to their concerns about Amira, the school staff have paid an unannounced visit to the</w:t>
      </w:r>
      <w:r w:rsidR="006B72DB" w:rsidRPr="006B72DB">
        <w:rPr>
          <w:rFonts w:ascii="Calibri" w:hAnsi="Calibri" w:cs="Calibri"/>
          <w:sz w:val="22"/>
          <w:szCs w:val="22"/>
        </w:rPr>
        <w:t xml:space="preserve"> </w:t>
      </w:r>
      <w:r w:rsidRPr="006B72DB">
        <w:rPr>
          <w:rFonts w:ascii="Calibri" w:hAnsi="Calibri" w:cs="Calibri"/>
          <w:sz w:val="22"/>
          <w:szCs w:val="22"/>
        </w:rPr>
        <w:t>family home and found Amira’s living conditions to be of significant concern. She does not have a</w:t>
      </w:r>
      <w:r w:rsidR="006B72DB" w:rsidRPr="006B72DB">
        <w:rPr>
          <w:rFonts w:ascii="Calibri" w:hAnsi="Calibri" w:cs="Calibri"/>
          <w:sz w:val="22"/>
          <w:szCs w:val="22"/>
        </w:rPr>
        <w:t xml:space="preserve"> </w:t>
      </w:r>
      <w:r w:rsidRPr="006B72DB">
        <w:rPr>
          <w:rFonts w:ascii="Calibri" w:hAnsi="Calibri" w:cs="Calibri"/>
          <w:sz w:val="22"/>
          <w:szCs w:val="22"/>
        </w:rPr>
        <w:t>mattress to sleep on, the</w:t>
      </w:r>
      <w:r w:rsidR="006B72DB" w:rsidRPr="006B72DB">
        <w:rPr>
          <w:rFonts w:ascii="Calibri" w:hAnsi="Calibri" w:cs="Calibri"/>
          <w:sz w:val="22"/>
          <w:szCs w:val="22"/>
        </w:rPr>
        <w:t xml:space="preserve"> </w:t>
      </w:r>
      <w:r w:rsidRPr="006B72DB">
        <w:rPr>
          <w:rFonts w:ascii="Calibri" w:hAnsi="Calibri" w:cs="Calibri"/>
          <w:sz w:val="22"/>
          <w:szCs w:val="22"/>
        </w:rPr>
        <w:t>bedroom carpet is filthy, and there are no signs of any clean bedding or</w:t>
      </w:r>
      <w:r w:rsidR="006B72DB" w:rsidRPr="006B72DB">
        <w:rPr>
          <w:rFonts w:ascii="Calibri" w:hAnsi="Calibri" w:cs="Calibri"/>
          <w:sz w:val="22"/>
          <w:szCs w:val="22"/>
        </w:rPr>
        <w:t xml:space="preserve"> </w:t>
      </w:r>
      <w:r w:rsidRPr="006B72DB">
        <w:rPr>
          <w:rFonts w:ascii="Calibri" w:hAnsi="Calibri" w:cs="Calibri"/>
          <w:sz w:val="22"/>
          <w:szCs w:val="22"/>
        </w:rPr>
        <w:t>clothing. In addition, when questioned, Mum could not answer clearly, admitting to drinking more</w:t>
      </w:r>
      <w:r w:rsidR="006B72DB" w:rsidRPr="006B72DB">
        <w:rPr>
          <w:rFonts w:ascii="Calibri" w:hAnsi="Calibri" w:cs="Calibri"/>
          <w:sz w:val="22"/>
          <w:szCs w:val="22"/>
        </w:rPr>
        <w:t xml:space="preserve"> </w:t>
      </w:r>
      <w:r w:rsidRPr="006B72DB">
        <w:rPr>
          <w:rFonts w:ascii="Calibri" w:hAnsi="Calibri" w:cs="Calibri"/>
          <w:sz w:val="22"/>
          <w:szCs w:val="22"/>
        </w:rPr>
        <w:t>than a bottle of vodka daily.</w:t>
      </w:r>
      <w:r w:rsidR="006B72DB" w:rsidRPr="006B72DB">
        <w:rPr>
          <w:rFonts w:ascii="Calibri" w:hAnsi="Calibri" w:cs="Calibri"/>
          <w:sz w:val="22"/>
          <w:szCs w:val="22"/>
        </w:rPr>
        <w:t xml:space="preserve"> </w:t>
      </w:r>
    </w:p>
    <w:p w14:paraId="0674B795" w14:textId="77777777" w:rsidR="00A954B6" w:rsidRPr="006B72DB" w:rsidRDefault="00A954B6" w:rsidP="006B72DB">
      <w:pPr>
        <w:pStyle w:val="p1"/>
        <w:jc w:val="both"/>
        <w:rPr>
          <w:rFonts w:ascii="Calibri" w:hAnsi="Calibri" w:cs="Calibri"/>
          <w:sz w:val="22"/>
          <w:szCs w:val="22"/>
        </w:rPr>
      </w:pPr>
    </w:p>
    <w:p w14:paraId="2B943197" w14:textId="56A4B160" w:rsidR="006B72DB" w:rsidRPr="006B72DB" w:rsidRDefault="00E817C5" w:rsidP="006B72DB">
      <w:pPr>
        <w:pStyle w:val="p1"/>
        <w:jc w:val="both"/>
        <w:rPr>
          <w:rFonts w:ascii="Calibri" w:hAnsi="Calibri" w:cs="Calibri"/>
          <w:sz w:val="22"/>
          <w:szCs w:val="22"/>
        </w:rPr>
      </w:pPr>
      <w:r w:rsidRPr="006B72DB">
        <w:rPr>
          <w:rFonts w:ascii="Calibri" w:hAnsi="Calibri" w:cs="Calibri"/>
          <w:sz w:val="22"/>
          <w:szCs w:val="22"/>
        </w:rPr>
        <w:t>Social services were informed, and Amira was removed and went to live with her grandparents.</w:t>
      </w:r>
    </w:p>
    <w:p w14:paraId="070E6A45" w14:textId="77777777" w:rsidR="006B72DB" w:rsidRPr="006B72DB" w:rsidRDefault="006B72DB" w:rsidP="00926EB3">
      <w:pPr>
        <w:pStyle w:val="p1"/>
        <w:rPr>
          <w:rFonts w:ascii="Calibri" w:hAnsi="Calibri" w:cs="Calibri"/>
          <w:sz w:val="22"/>
          <w:szCs w:val="22"/>
        </w:rPr>
      </w:pPr>
    </w:p>
    <w:p w14:paraId="5659C9A1" w14:textId="2FA96B3B" w:rsidR="006B72DB" w:rsidRPr="000B735F" w:rsidRDefault="006B72DB" w:rsidP="00926EB3">
      <w:pPr>
        <w:pStyle w:val="p1"/>
        <w:rPr>
          <w:rFonts w:ascii="Calibri" w:hAnsi="Calibri" w:cs="Calibri"/>
          <w:b/>
          <w:bCs/>
          <w:sz w:val="22"/>
          <w:szCs w:val="22"/>
          <w:u w:val="single"/>
        </w:rPr>
      </w:pPr>
      <w:r w:rsidRPr="000B735F">
        <w:rPr>
          <w:rFonts w:ascii="Calibri" w:hAnsi="Calibri" w:cs="Calibri"/>
          <w:b/>
          <w:bCs/>
          <w:sz w:val="22"/>
          <w:szCs w:val="22"/>
          <w:u w:val="single"/>
        </w:rPr>
        <w:t>Tasks:</w:t>
      </w:r>
    </w:p>
    <w:p w14:paraId="52053725" w14:textId="4752CBDB"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Amira continues attending the same primary school and will need support as she transitions to her new home. Consider how you might support Amira and critically discuss the interventions that might be useful to help her understand her new situation and avoid any significant harm to her future development.</w:t>
      </w:r>
    </w:p>
    <w:p w14:paraId="6478F2E5" w14:textId="4A3DCBB7"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Reflect on your resilience and self-care. You may be the individual to whom Amira discloses her story. How do you ensure you can support Amira yet also care for yourself?</w:t>
      </w:r>
    </w:p>
    <w:p w14:paraId="0F0B32A1" w14:textId="3FBD19C6" w:rsidR="006B72DB" w:rsidRPr="006B72DB" w:rsidRDefault="006B72DB" w:rsidP="006B72DB">
      <w:pPr>
        <w:pStyle w:val="p1"/>
        <w:numPr>
          <w:ilvl w:val="0"/>
          <w:numId w:val="4"/>
        </w:numPr>
        <w:jc w:val="both"/>
        <w:rPr>
          <w:rFonts w:ascii="Calibri" w:hAnsi="Calibri" w:cs="Calibri"/>
          <w:sz w:val="22"/>
          <w:szCs w:val="22"/>
        </w:rPr>
      </w:pPr>
      <w:r w:rsidRPr="006B72DB">
        <w:rPr>
          <w:rFonts w:ascii="Calibri" w:hAnsi="Calibri" w:cs="Calibri"/>
          <w:sz w:val="22"/>
          <w:szCs w:val="22"/>
        </w:rPr>
        <w:t>Critically discuss your resilience strategies to ensure that you avoid personal burnout.</w:t>
      </w:r>
    </w:p>
    <w:p w14:paraId="5A8BCE19" w14:textId="3BA2127F" w:rsidR="006B72DB" w:rsidRDefault="006B72DB" w:rsidP="006B72DB">
      <w:pPr>
        <w:pStyle w:val="p1"/>
      </w:pPr>
    </w:p>
    <w:p w14:paraId="72DE2ABE" w14:textId="77777777" w:rsidR="00E817C5" w:rsidRDefault="00E817C5" w:rsidP="00926EB3"/>
    <w:p w14:paraId="501AB2FC" w14:textId="12A291E1" w:rsidR="00E817C5" w:rsidRPr="000B735F" w:rsidRDefault="00E817C5" w:rsidP="00E817C5">
      <w:pPr>
        <w:rPr>
          <w:rFonts w:ascii="Calibri" w:hAnsi="Calibri" w:cs="Calibri"/>
          <w:b/>
          <w:bCs/>
          <w:sz w:val="22"/>
          <w:szCs w:val="22"/>
          <w:u w:val="single"/>
        </w:rPr>
      </w:pPr>
      <w:r w:rsidRPr="000B735F">
        <w:rPr>
          <w:rFonts w:ascii="Calibri" w:hAnsi="Calibri" w:cs="Calibri"/>
          <w:b/>
          <w:bCs/>
          <w:sz w:val="22"/>
          <w:szCs w:val="22"/>
          <w:u w:val="single"/>
        </w:rPr>
        <w:t xml:space="preserve">Essay </w:t>
      </w:r>
    </w:p>
    <w:p w14:paraId="7783D3E1" w14:textId="07C65176" w:rsidR="00D76BAC" w:rsidRPr="00424245" w:rsidRDefault="006351F8" w:rsidP="00E05DCE">
      <w:pPr>
        <w:spacing w:line="480" w:lineRule="auto"/>
        <w:jc w:val="both"/>
        <w:rPr>
          <w:rFonts w:ascii="Calibri" w:hAnsi="Calibri" w:cs="Calibri"/>
          <w:sz w:val="22"/>
          <w:szCs w:val="22"/>
        </w:rPr>
      </w:pPr>
      <w:r w:rsidRPr="00424245">
        <w:rPr>
          <w:rFonts w:ascii="Calibri" w:hAnsi="Calibri" w:cs="Calibri"/>
          <w:sz w:val="22"/>
          <w:szCs w:val="22"/>
        </w:rPr>
        <w:t xml:space="preserve">Amira, an eight-year-old girl, is the subject of this case study. Her experiences demonstrate the significant effects that adverse childhood experiences (ACEs) may have on a child's emotional, social, and developmental wellness. Substantial safeguarding implications are raised by Amira's irregular attendance at school, growing social disengagement from classmates, and her admission that she is abandoned and does not receive basic care. Social services intervened and Amira moved in with her grandparents when school personnel visited her home and found dangerous living circumstances combined with her mother's alcohol abuse. The narrative will examine how Amira can be helped to adjust to her new home while still attending her present school of primary education.  It will </w:t>
      </w:r>
      <w:proofErr w:type="gramStart"/>
      <w:r w:rsidRPr="00424245">
        <w:rPr>
          <w:rFonts w:ascii="Calibri" w:hAnsi="Calibri" w:cs="Calibri"/>
          <w:sz w:val="22"/>
          <w:szCs w:val="22"/>
        </w:rPr>
        <w:t>take into account</w:t>
      </w:r>
      <w:proofErr w:type="gramEnd"/>
      <w:r w:rsidRPr="00424245">
        <w:rPr>
          <w:rFonts w:ascii="Calibri" w:hAnsi="Calibri" w:cs="Calibri"/>
          <w:sz w:val="22"/>
          <w:szCs w:val="22"/>
        </w:rPr>
        <w:t xml:space="preserve"> a variety of age-appropriate and trauma-informed therapies that may assist her rebuild trust, understand her experiences, and lower the likelihood of long-term harm related to ACEs. The case study will also consider the role of practitioners who might be the first to hear revelations </w:t>
      </w:r>
      <w:proofErr w:type="gramStart"/>
      <w:r w:rsidRPr="00424245">
        <w:rPr>
          <w:rFonts w:ascii="Calibri" w:hAnsi="Calibri" w:cs="Calibri"/>
          <w:sz w:val="22"/>
          <w:szCs w:val="22"/>
        </w:rPr>
        <w:t>similar to</w:t>
      </w:r>
      <w:proofErr w:type="gramEnd"/>
      <w:r w:rsidRPr="00424245">
        <w:rPr>
          <w:rFonts w:ascii="Calibri" w:hAnsi="Calibri" w:cs="Calibri"/>
          <w:sz w:val="22"/>
          <w:szCs w:val="22"/>
        </w:rPr>
        <w:t xml:space="preserve"> Amira's. It will look at how practitioners can safeguard their own resilience, emotional boundaries, and </w:t>
      </w:r>
      <w:r w:rsidRPr="00424245">
        <w:rPr>
          <w:rFonts w:ascii="Calibri" w:hAnsi="Calibri" w:cs="Calibri"/>
          <w:sz w:val="22"/>
          <w:szCs w:val="22"/>
        </w:rPr>
        <w:lastRenderedPageBreak/>
        <w:t>well-being while simultaneously offering ethical, empathetic support. Thus, self-care and burnout prevention techniques will play a major role in the conversation.</w:t>
      </w:r>
    </w:p>
    <w:p w14:paraId="3581BC46" w14:textId="77777777" w:rsidR="006351F8" w:rsidRPr="00424245" w:rsidRDefault="006351F8" w:rsidP="00E05DCE">
      <w:pPr>
        <w:pStyle w:val="p1"/>
        <w:spacing w:line="480" w:lineRule="auto"/>
        <w:jc w:val="both"/>
        <w:rPr>
          <w:rFonts w:ascii="Calibri" w:hAnsi="Calibri" w:cs="Calibri"/>
          <w:sz w:val="22"/>
          <w:szCs w:val="22"/>
        </w:rPr>
      </w:pPr>
    </w:p>
    <w:p w14:paraId="71C4A6B7" w14:textId="01C31ED0" w:rsidR="007F186F" w:rsidRPr="00424245" w:rsidRDefault="002A3B38" w:rsidP="00E05DCE">
      <w:pPr>
        <w:pStyle w:val="p1"/>
        <w:spacing w:line="480" w:lineRule="auto"/>
        <w:jc w:val="both"/>
        <w:rPr>
          <w:rFonts w:ascii="Calibri" w:hAnsi="Calibri" w:cs="Calibri"/>
          <w:sz w:val="22"/>
          <w:szCs w:val="22"/>
        </w:rPr>
      </w:pPr>
      <w:r w:rsidRPr="00424245">
        <w:rPr>
          <w:rFonts w:ascii="Calibri" w:hAnsi="Calibri" w:cs="Calibri"/>
          <w:sz w:val="22"/>
          <w:szCs w:val="22"/>
        </w:rPr>
        <w:t xml:space="preserve">Adverse Childhood Experiences are the most powerful risk factors for the emergence of mental health issues, substance abuse and health problems according to Navalta et al. (2018). They continue to discuss these detrimental health responses to ACEs, elucidating that they are </w:t>
      </w:r>
      <w:proofErr w:type="gramStart"/>
      <w:r w:rsidRPr="00424245">
        <w:rPr>
          <w:rFonts w:ascii="Calibri" w:hAnsi="Calibri" w:cs="Calibri"/>
          <w:sz w:val="22"/>
          <w:szCs w:val="22"/>
        </w:rPr>
        <w:t>similar to</w:t>
      </w:r>
      <w:proofErr w:type="gramEnd"/>
      <w:r w:rsidRPr="00424245">
        <w:rPr>
          <w:rFonts w:ascii="Calibri" w:hAnsi="Calibri" w:cs="Calibri"/>
          <w:sz w:val="22"/>
          <w:szCs w:val="22"/>
        </w:rPr>
        <w:t xml:space="preserve"> the developing brain's persistent experience with the stress response, which impairs many brain structures and functions. When taken as a whole, these aftereffects may appear in childhood, adolescence, or adulthood. Hesterman (2021) reinforces this juncture by amplifying </w:t>
      </w:r>
      <w:r w:rsidR="007F186F" w:rsidRPr="00424245">
        <w:rPr>
          <w:rFonts w:ascii="Calibri" w:hAnsi="Calibri" w:cs="Calibri"/>
          <w:sz w:val="22"/>
          <w:szCs w:val="22"/>
        </w:rPr>
        <w:t>the casualty adverse childhood experiences have by quoting “</w:t>
      </w:r>
      <w:r w:rsidR="007F186F" w:rsidRPr="00424245">
        <w:rPr>
          <w:rFonts w:ascii="Calibri" w:hAnsi="Calibri" w:cs="Calibri"/>
          <w:color w:val="141413"/>
          <w:sz w:val="22"/>
          <w:szCs w:val="22"/>
        </w:rPr>
        <w:t xml:space="preserve">Childhood trauma is the ghost of childhood that haunts victims for the rest of their lives”. This quote illustrates </w:t>
      </w:r>
      <w:r w:rsidRPr="00424245">
        <w:rPr>
          <w:rFonts w:ascii="Calibri" w:hAnsi="Calibri" w:cs="Calibri"/>
          <w:sz w:val="22"/>
          <w:szCs w:val="22"/>
        </w:rPr>
        <w:t xml:space="preserve">that </w:t>
      </w:r>
      <w:r w:rsidR="007F186F" w:rsidRPr="00424245">
        <w:rPr>
          <w:rFonts w:ascii="Calibri" w:hAnsi="Calibri" w:cs="Calibri"/>
          <w:sz w:val="22"/>
          <w:szCs w:val="22"/>
        </w:rPr>
        <w:t>it</w:t>
      </w:r>
      <w:r w:rsidRPr="00424245">
        <w:rPr>
          <w:rFonts w:ascii="Calibri" w:hAnsi="Calibri" w:cs="Calibri"/>
          <w:sz w:val="22"/>
          <w:szCs w:val="22"/>
        </w:rPr>
        <w:t xml:space="preserve"> is critical to recognise that adverse childhood experiences (ACEs) have both short-term and long-term negative effects that continue to have a substantial impact far into adulthood. These consequences affect behaviour, health, and brain development.</w:t>
      </w:r>
      <w:r w:rsidR="007F186F" w:rsidRPr="00424245">
        <w:rPr>
          <w:rFonts w:ascii="Calibri" w:hAnsi="Calibri" w:cs="Calibri"/>
          <w:sz w:val="22"/>
          <w:szCs w:val="22"/>
        </w:rPr>
        <w:t xml:space="preserve"> </w:t>
      </w:r>
    </w:p>
    <w:p w14:paraId="150E11E9" w14:textId="77777777" w:rsidR="002844E7" w:rsidRPr="00424245" w:rsidRDefault="002844E7" w:rsidP="00E05DCE">
      <w:pPr>
        <w:pStyle w:val="p1"/>
        <w:spacing w:line="480" w:lineRule="auto"/>
        <w:jc w:val="both"/>
        <w:rPr>
          <w:rFonts w:ascii="Calibri" w:hAnsi="Calibri" w:cs="Calibri"/>
          <w:color w:val="141413"/>
          <w:sz w:val="22"/>
          <w:szCs w:val="22"/>
        </w:rPr>
      </w:pPr>
    </w:p>
    <w:p w14:paraId="4C5DEACD" w14:textId="78275595" w:rsidR="00D76BAC" w:rsidRPr="00424245" w:rsidRDefault="000F3528" w:rsidP="00E05DCE">
      <w:pPr>
        <w:spacing w:line="480" w:lineRule="auto"/>
        <w:jc w:val="both"/>
        <w:rPr>
          <w:rFonts w:ascii="Calibri" w:hAnsi="Calibri" w:cs="Calibri"/>
          <w:sz w:val="22"/>
          <w:szCs w:val="22"/>
        </w:rPr>
      </w:pPr>
      <w:r w:rsidRPr="00424245">
        <w:rPr>
          <w:rFonts w:ascii="Calibri" w:hAnsi="Calibri" w:cs="Calibri"/>
          <w:sz w:val="22"/>
          <w:szCs w:val="22"/>
        </w:rPr>
        <w:t xml:space="preserve">Children who have undergone trauma have a significant decline in cognitive ability and functioning, which is more pronounced in those who have encountered repeated trauma and many ACEs. Neglect and other traumatic experiences impair IQ, academic performance, and the likelihood of developing more PTSD symptoms. Stress reactions brought on by ACEs also impair a person's brain, making it harder for them to remember and process information as fast as others who are not affected. Trauma alters a child's physiology as well as the composition of their developing brain. These alterations have a detrimental effect on a child's organisation, memory, and way of thinking </w:t>
      </w:r>
      <w:r w:rsidRPr="00424245">
        <w:rPr>
          <w:rFonts w:ascii="Calibri" w:hAnsi="Calibri" w:cs="Calibri"/>
          <w:color w:val="000000"/>
          <w:sz w:val="22"/>
          <w:szCs w:val="22"/>
        </w:rPr>
        <w:t>(Robinson, 2020)</w:t>
      </w:r>
      <w:r w:rsidRPr="00424245">
        <w:rPr>
          <w:rFonts w:ascii="Calibri" w:hAnsi="Calibri" w:cs="Calibri"/>
          <w:sz w:val="22"/>
          <w:szCs w:val="22"/>
        </w:rPr>
        <w:t xml:space="preserve">. </w:t>
      </w:r>
      <w:r w:rsidR="00BF6DD5" w:rsidRPr="00424245">
        <w:rPr>
          <w:rFonts w:ascii="Calibri" w:hAnsi="Calibri" w:cs="Calibri"/>
          <w:sz w:val="22"/>
          <w:szCs w:val="22"/>
        </w:rPr>
        <w:t xml:space="preserve">Individuals are particularly vulnerable to alterations during three natural stages of growth. Early childhood is the first crucial developmental stage, when children's brains are developing quickly and they are in a state of neuronal plasticity. A healthy growth may be impeded by any exposure to adversity, or Adverse Childhood Experiences throughout this time. Adolescents also go through </w:t>
      </w:r>
      <w:r w:rsidR="00BF6DD5" w:rsidRPr="00424245">
        <w:rPr>
          <w:rFonts w:ascii="Calibri" w:hAnsi="Calibri" w:cs="Calibri"/>
          <w:sz w:val="22"/>
          <w:szCs w:val="22"/>
        </w:rPr>
        <w:lastRenderedPageBreak/>
        <w:t xml:space="preserve">another crucial developmental stage during which the brain undergoes neuronal pruning and </w:t>
      </w:r>
      <w:r w:rsidR="00EA3687" w:rsidRPr="00424245">
        <w:rPr>
          <w:rFonts w:ascii="Calibri" w:hAnsi="Calibri" w:cs="Calibri"/>
          <w:sz w:val="22"/>
          <w:szCs w:val="22"/>
        </w:rPr>
        <w:t>teenagers</w:t>
      </w:r>
      <w:r w:rsidR="00BF6DD5" w:rsidRPr="00424245">
        <w:rPr>
          <w:rFonts w:ascii="Calibri" w:hAnsi="Calibri" w:cs="Calibri"/>
          <w:sz w:val="22"/>
          <w:szCs w:val="22"/>
        </w:rPr>
        <w:t xml:space="preserve"> look for a sense of identity. Lastly, the transition to adulthood is a critical time for exposure to possibilities for achievement, the pursuit of</w:t>
      </w:r>
      <w:r w:rsidR="00EA3687" w:rsidRPr="00424245">
        <w:rPr>
          <w:rFonts w:ascii="Calibri" w:hAnsi="Calibri" w:cs="Calibri"/>
          <w:sz w:val="22"/>
          <w:szCs w:val="22"/>
        </w:rPr>
        <w:t xml:space="preserve"> meaning, and the development of self-efficacy. These stages of growth are times of opportunity and vulnerability </w:t>
      </w:r>
      <w:r w:rsidR="00EA3687" w:rsidRPr="00424245">
        <w:rPr>
          <w:rFonts w:ascii="Calibri" w:hAnsi="Calibri" w:cs="Calibri"/>
          <w:color w:val="000000"/>
          <w:sz w:val="22"/>
          <w:szCs w:val="22"/>
        </w:rPr>
        <w:t>(Webster, 2022)</w:t>
      </w:r>
      <w:r w:rsidR="00EA3687" w:rsidRPr="00424245">
        <w:rPr>
          <w:rFonts w:ascii="Calibri" w:hAnsi="Calibri" w:cs="Calibri"/>
          <w:sz w:val="22"/>
          <w:szCs w:val="22"/>
        </w:rPr>
        <w:t xml:space="preserve">. </w:t>
      </w:r>
    </w:p>
    <w:p w14:paraId="2D5AC8DA" w14:textId="77777777" w:rsidR="002844E7" w:rsidRPr="00424245" w:rsidRDefault="002844E7" w:rsidP="00E05DCE">
      <w:pPr>
        <w:spacing w:line="480" w:lineRule="auto"/>
        <w:jc w:val="both"/>
        <w:rPr>
          <w:rFonts w:ascii="Calibri" w:hAnsi="Calibri" w:cs="Calibri"/>
          <w:sz w:val="22"/>
          <w:szCs w:val="22"/>
        </w:rPr>
      </w:pPr>
    </w:p>
    <w:p w14:paraId="68116D00" w14:textId="0271EC35" w:rsidR="00F111D7" w:rsidRPr="00424245" w:rsidRDefault="00AE7A4D" w:rsidP="00E05DCE">
      <w:pPr>
        <w:spacing w:line="480" w:lineRule="auto"/>
        <w:jc w:val="both"/>
        <w:rPr>
          <w:rFonts w:ascii="Calibri" w:hAnsi="Calibri" w:cs="Calibri"/>
          <w:sz w:val="22"/>
          <w:szCs w:val="22"/>
        </w:rPr>
      </w:pPr>
      <w:r w:rsidRPr="00424245">
        <w:rPr>
          <w:rFonts w:ascii="Calibri" w:hAnsi="Calibri" w:cs="Calibri"/>
          <w:sz w:val="22"/>
          <w:szCs w:val="22"/>
        </w:rPr>
        <w:t>The term "childhood trauma" describes upsetting or detrimental events that take place in the early stages of development, such as physical, emotional, or sexual abuse, or neglect. A child's perception of security and stability may be compromised by such events, which can lead to ongoing anxiety, low self-esteem, and emotional dysregulation. Long-term trauma exposure may also change the brain's stress response, making it harder to trust people and develop stable attachments in adulthood.   Untreated trauma might eventually impede emotional development and raise the likelihood of having avoidant or anxious attachment styles as an adult.</w:t>
      </w:r>
      <w:r w:rsidR="004532FC" w:rsidRPr="00424245">
        <w:rPr>
          <w:rFonts w:ascii="Calibri" w:hAnsi="Calibri" w:cs="Calibri"/>
          <w:sz w:val="22"/>
          <w:szCs w:val="22"/>
        </w:rPr>
        <w:t xml:space="preserve"> The emotional ties and interpersonal dynamics that people develop in intimate relationships—which frequently mirror their early experiences providing care—are referred to as adult attachment.  Adults who are securely attached typically have balanced relationships, openly </w:t>
      </w:r>
      <w:r w:rsidR="001754A6" w:rsidRPr="00424245">
        <w:rPr>
          <w:rFonts w:ascii="Calibri" w:hAnsi="Calibri" w:cs="Calibri"/>
          <w:sz w:val="22"/>
          <w:szCs w:val="22"/>
        </w:rPr>
        <w:t>communicated</w:t>
      </w:r>
      <w:r w:rsidR="004532FC" w:rsidRPr="00424245">
        <w:rPr>
          <w:rFonts w:ascii="Calibri" w:hAnsi="Calibri" w:cs="Calibri"/>
          <w:sz w:val="22"/>
          <w:szCs w:val="22"/>
        </w:rPr>
        <w:t xml:space="preserve"> their feelings, and </w:t>
      </w:r>
      <w:proofErr w:type="gramStart"/>
      <w:r w:rsidR="004532FC" w:rsidRPr="00424245">
        <w:rPr>
          <w:rFonts w:ascii="Calibri" w:hAnsi="Calibri" w:cs="Calibri"/>
          <w:sz w:val="22"/>
          <w:szCs w:val="22"/>
        </w:rPr>
        <w:t>have</w:t>
      </w:r>
      <w:proofErr w:type="gramEnd"/>
      <w:r w:rsidR="004532FC" w:rsidRPr="00424245">
        <w:rPr>
          <w:rFonts w:ascii="Calibri" w:hAnsi="Calibri" w:cs="Calibri"/>
          <w:sz w:val="22"/>
          <w:szCs w:val="22"/>
        </w:rPr>
        <w:t xml:space="preserve"> faith in others. On the other hand, people who have insecure attachment may experience emotional disengagement, dependency problems, or fear of abandonment.  Recognising how early adversity continues to affect interpersonal trust, emotional health, and relational functioning throughout life requires an understanding of adult attachment </w:t>
      </w:r>
      <w:r w:rsidR="004532FC" w:rsidRPr="00424245">
        <w:rPr>
          <w:rFonts w:ascii="Calibri" w:hAnsi="Calibri" w:cs="Calibri"/>
          <w:color w:val="000000"/>
          <w:sz w:val="22"/>
          <w:szCs w:val="22"/>
        </w:rPr>
        <w:t>(T.H and Narula, 2025)</w:t>
      </w:r>
      <w:r w:rsidR="004532FC" w:rsidRPr="00424245">
        <w:rPr>
          <w:rFonts w:ascii="Calibri" w:hAnsi="Calibri" w:cs="Calibri"/>
          <w:sz w:val="22"/>
          <w:szCs w:val="22"/>
        </w:rPr>
        <w:t>.</w:t>
      </w:r>
    </w:p>
    <w:p w14:paraId="4245D974" w14:textId="77777777" w:rsidR="00F111D7" w:rsidRPr="00424245" w:rsidRDefault="00F111D7" w:rsidP="00E05DCE">
      <w:pPr>
        <w:spacing w:line="480" w:lineRule="auto"/>
        <w:jc w:val="both"/>
        <w:rPr>
          <w:rFonts w:ascii="Calibri" w:hAnsi="Calibri" w:cs="Calibri"/>
          <w:sz w:val="22"/>
          <w:szCs w:val="22"/>
        </w:rPr>
      </w:pPr>
    </w:p>
    <w:p w14:paraId="0F8E2FC4" w14:textId="5C8BB4F6" w:rsidR="00D76BAC" w:rsidRPr="00424245" w:rsidRDefault="00B66518" w:rsidP="00E05DCE">
      <w:pPr>
        <w:spacing w:line="480" w:lineRule="auto"/>
        <w:jc w:val="both"/>
        <w:rPr>
          <w:rFonts w:ascii="Calibri" w:hAnsi="Calibri" w:cs="Calibri"/>
          <w:sz w:val="22"/>
          <w:szCs w:val="22"/>
        </w:rPr>
      </w:pPr>
      <w:r w:rsidRPr="00424245">
        <w:rPr>
          <w:rFonts w:ascii="Calibri" w:hAnsi="Calibri" w:cs="Calibri"/>
          <w:sz w:val="22"/>
          <w:szCs w:val="22"/>
        </w:rPr>
        <w:t>By interfering with brain growth, attachment, and regulation, trauma has a profound effect on children's social, emotional, and behavioural development. This can result in issues with trust, emotional control (emotional state fluctuations, extreme reactions), self-esteem (inadequacy, guilt), and behaviours like withdrawal, aggression, or acting out in school. These issues are frequently caused by being stuck in "survival mode" and misunderstanding social cues, which can lead to long-lasting problems in relationships and education</w:t>
      </w:r>
      <w:r w:rsidR="001754A6" w:rsidRPr="00424245">
        <w:rPr>
          <w:rFonts w:ascii="Calibri" w:hAnsi="Calibri" w:cs="Calibri"/>
          <w:sz w:val="22"/>
          <w:szCs w:val="22"/>
        </w:rPr>
        <w:t xml:space="preserve"> </w:t>
      </w:r>
      <w:r w:rsidR="001754A6" w:rsidRPr="00424245">
        <w:rPr>
          <w:rFonts w:ascii="Calibri" w:hAnsi="Calibri" w:cs="Calibri"/>
          <w:color w:val="000000"/>
          <w:sz w:val="22"/>
          <w:szCs w:val="22"/>
        </w:rPr>
        <w:t>(Tanner and Francis, 2025)</w:t>
      </w:r>
      <w:r w:rsidRPr="00424245">
        <w:rPr>
          <w:rFonts w:ascii="Calibri" w:hAnsi="Calibri" w:cs="Calibri"/>
          <w:sz w:val="22"/>
          <w:szCs w:val="22"/>
        </w:rPr>
        <w:t>.</w:t>
      </w:r>
    </w:p>
    <w:p w14:paraId="75859F0D" w14:textId="77777777" w:rsidR="001A2BF5" w:rsidRPr="00424245" w:rsidRDefault="001A2BF5" w:rsidP="00E05DCE">
      <w:pPr>
        <w:spacing w:line="480" w:lineRule="auto"/>
        <w:jc w:val="both"/>
        <w:rPr>
          <w:rFonts w:ascii="Calibri" w:hAnsi="Calibri" w:cs="Calibri"/>
          <w:sz w:val="22"/>
          <w:szCs w:val="22"/>
        </w:rPr>
      </w:pPr>
    </w:p>
    <w:p w14:paraId="50CDDD4F" w14:textId="1B93C67B" w:rsidR="001C586D" w:rsidRPr="00424245" w:rsidRDefault="001C586D" w:rsidP="00E05DCE">
      <w:pPr>
        <w:spacing w:line="480" w:lineRule="auto"/>
        <w:jc w:val="both"/>
        <w:rPr>
          <w:rFonts w:ascii="Calibri" w:hAnsi="Calibri" w:cs="Calibri"/>
          <w:sz w:val="22"/>
          <w:szCs w:val="22"/>
        </w:rPr>
      </w:pPr>
      <w:r w:rsidRPr="00424245">
        <w:rPr>
          <w:rFonts w:ascii="Calibri" w:hAnsi="Calibri" w:cs="Calibri"/>
          <w:sz w:val="22"/>
          <w:szCs w:val="22"/>
        </w:rPr>
        <w:t>It is impossible to overstate the significance of a child's intimate bond with a carer. Children acquire the ability to connect with their surroundings, control their emotions, and trust others through interactions with significant attachment figures. They also gain an understanding of their own worth as unique individuals and develop a feeling of whether the environment is safe or dangerous. Children discover that they cannot depend on others to support them when those interactions are erratic or unreliable. Most children who are mistreated or neglected struggle to</w:t>
      </w:r>
      <w:r w:rsidR="00C128A0">
        <w:rPr>
          <w:rFonts w:ascii="Calibri" w:hAnsi="Calibri" w:cs="Calibri"/>
          <w:sz w:val="22"/>
          <w:szCs w:val="22"/>
        </w:rPr>
        <w:t xml:space="preserve"> create</w:t>
      </w:r>
      <w:r w:rsidRPr="00424245">
        <w:rPr>
          <w:rFonts w:ascii="Calibri" w:hAnsi="Calibri" w:cs="Calibri"/>
          <w:sz w:val="22"/>
          <w:szCs w:val="22"/>
        </w:rPr>
        <w:t xml:space="preserve"> a</w:t>
      </w:r>
      <w:r w:rsidR="00C128A0">
        <w:rPr>
          <w:rFonts w:ascii="Calibri" w:hAnsi="Calibri" w:cs="Calibri"/>
          <w:sz w:val="22"/>
          <w:szCs w:val="22"/>
        </w:rPr>
        <w:t xml:space="preserve"> safe</w:t>
      </w:r>
      <w:r w:rsidRPr="00424245">
        <w:rPr>
          <w:rFonts w:ascii="Calibri" w:hAnsi="Calibri" w:cs="Calibri"/>
          <w:sz w:val="22"/>
          <w:szCs w:val="22"/>
        </w:rPr>
        <w:t xml:space="preserve">, healthy bond with </w:t>
      </w:r>
      <w:r w:rsidR="00C128A0">
        <w:rPr>
          <w:rFonts w:ascii="Calibri" w:hAnsi="Calibri" w:cs="Calibri"/>
          <w:sz w:val="22"/>
          <w:szCs w:val="22"/>
        </w:rPr>
        <w:t xml:space="preserve">their </w:t>
      </w:r>
      <w:r w:rsidR="00C128A0" w:rsidRPr="00424245">
        <w:rPr>
          <w:rFonts w:ascii="Calibri" w:hAnsi="Calibri" w:cs="Calibri"/>
          <w:sz w:val="22"/>
          <w:szCs w:val="22"/>
        </w:rPr>
        <w:t>careg</w:t>
      </w:r>
      <w:r w:rsidR="00C128A0">
        <w:rPr>
          <w:rFonts w:ascii="Calibri" w:hAnsi="Calibri" w:cs="Calibri"/>
          <w:sz w:val="22"/>
          <w:szCs w:val="22"/>
        </w:rPr>
        <w:t>ivers</w:t>
      </w:r>
      <w:r w:rsidRPr="00424245">
        <w:rPr>
          <w:rFonts w:ascii="Calibri" w:hAnsi="Calibri" w:cs="Calibri"/>
          <w:sz w:val="22"/>
          <w:szCs w:val="22"/>
        </w:rPr>
        <w:t xml:space="preserve">. It has been </w:t>
      </w:r>
      <w:r w:rsidR="00C128A0">
        <w:rPr>
          <w:rFonts w:ascii="Calibri" w:hAnsi="Calibri" w:cs="Calibri"/>
          <w:sz w:val="22"/>
          <w:szCs w:val="22"/>
        </w:rPr>
        <w:t>justified by saying</w:t>
      </w:r>
      <w:r w:rsidRPr="00424245">
        <w:rPr>
          <w:rFonts w:ascii="Calibri" w:hAnsi="Calibri" w:cs="Calibri"/>
          <w:sz w:val="22"/>
          <w:szCs w:val="22"/>
        </w:rPr>
        <w:t xml:space="preserve"> that children with </w:t>
      </w:r>
      <w:r w:rsidR="00C128A0">
        <w:rPr>
          <w:rFonts w:ascii="Calibri" w:hAnsi="Calibri" w:cs="Calibri"/>
          <w:sz w:val="22"/>
          <w:szCs w:val="22"/>
        </w:rPr>
        <w:t xml:space="preserve">abusive </w:t>
      </w:r>
      <w:r w:rsidRPr="00424245">
        <w:rPr>
          <w:rFonts w:ascii="Calibri" w:hAnsi="Calibri" w:cs="Calibri"/>
          <w:sz w:val="22"/>
          <w:szCs w:val="22"/>
        </w:rPr>
        <w:t xml:space="preserve">relationships </w:t>
      </w:r>
      <w:r w:rsidR="00C128A0">
        <w:rPr>
          <w:rFonts w:ascii="Calibri" w:hAnsi="Calibri" w:cs="Calibri"/>
          <w:sz w:val="22"/>
          <w:szCs w:val="22"/>
        </w:rPr>
        <w:t xml:space="preserve">with their caregivers </w:t>
      </w:r>
      <w:r w:rsidRPr="00424245">
        <w:rPr>
          <w:rFonts w:ascii="Calibri" w:hAnsi="Calibri" w:cs="Calibri"/>
          <w:sz w:val="22"/>
          <w:szCs w:val="22"/>
        </w:rPr>
        <w:t xml:space="preserve">are more </w:t>
      </w:r>
      <w:r w:rsidR="00C128A0">
        <w:rPr>
          <w:rFonts w:ascii="Calibri" w:hAnsi="Calibri" w:cs="Calibri"/>
          <w:sz w:val="22"/>
          <w:szCs w:val="22"/>
        </w:rPr>
        <w:t>vulnerable</w:t>
      </w:r>
      <w:r w:rsidRPr="00424245">
        <w:rPr>
          <w:rFonts w:ascii="Calibri" w:hAnsi="Calibri" w:cs="Calibri"/>
          <w:sz w:val="22"/>
          <w:szCs w:val="22"/>
        </w:rPr>
        <w:t xml:space="preserve"> to stress. They may re</w:t>
      </w:r>
      <w:r w:rsidR="00C128A0">
        <w:rPr>
          <w:rFonts w:ascii="Calibri" w:hAnsi="Calibri" w:cs="Calibri"/>
          <w:sz w:val="22"/>
          <w:szCs w:val="22"/>
        </w:rPr>
        <w:t>act with hostility</w:t>
      </w:r>
      <w:r w:rsidRPr="00424245">
        <w:rPr>
          <w:rFonts w:ascii="Calibri" w:hAnsi="Calibri" w:cs="Calibri"/>
          <w:sz w:val="22"/>
          <w:szCs w:val="22"/>
        </w:rPr>
        <w:t xml:space="preserve"> or </w:t>
      </w:r>
      <w:r w:rsidR="00C128A0" w:rsidRPr="00C128A0">
        <w:rPr>
          <w:rFonts w:ascii="Calibri" w:hAnsi="Calibri" w:cs="Calibri"/>
          <w:sz w:val="22"/>
          <w:szCs w:val="22"/>
        </w:rPr>
        <w:t>incongruously</w:t>
      </w:r>
      <w:r w:rsidR="00C128A0" w:rsidRPr="00C128A0">
        <w:rPr>
          <w:rFonts w:ascii="Calibri" w:hAnsi="Calibri" w:cs="Calibri"/>
          <w:sz w:val="22"/>
          <w:szCs w:val="22"/>
        </w:rPr>
        <w:t xml:space="preserve"> </w:t>
      </w:r>
      <w:r w:rsidRPr="00424245">
        <w:rPr>
          <w:rFonts w:ascii="Calibri" w:hAnsi="Calibri" w:cs="Calibri"/>
          <w:sz w:val="22"/>
          <w:szCs w:val="22"/>
        </w:rPr>
        <w:t xml:space="preserve">to circumstances </w:t>
      </w:r>
      <w:r w:rsidR="00C128A0">
        <w:rPr>
          <w:rFonts w:ascii="Calibri" w:hAnsi="Calibri" w:cs="Calibri"/>
          <w:sz w:val="22"/>
          <w:szCs w:val="22"/>
        </w:rPr>
        <w:t>in which they</w:t>
      </w:r>
      <w:r w:rsidRPr="00424245">
        <w:rPr>
          <w:rFonts w:ascii="Calibri" w:hAnsi="Calibri" w:cs="Calibri"/>
          <w:sz w:val="22"/>
          <w:szCs w:val="22"/>
        </w:rPr>
        <w:t xml:space="preserve"> struggle to regulate</w:t>
      </w:r>
      <w:r w:rsidR="00C128A0">
        <w:rPr>
          <w:rFonts w:ascii="Calibri" w:hAnsi="Calibri" w:cs="Calibri"/>
          <w:sz w:val="22"/>
          <w:szCs w:val="22"/>
        </w:rPr>
        <w:t xml:space="preserve"> their emotions</w:t>
      </w:r>
      <w:r w:rsidRPr="00424245">
        <w:rPr>
          <w:rFonts w:ascii="Calibri" w:hAnsi="Calibri" w:cs="Calibri"/>
          <w:sz w:val="22"/>
          <w:szCs w:val="22"/>
        </w:rPr>
        <w:t xml:space="preserve"> </w:t>
      </w:r>
      <w:r w:rsidR="00C128A0">
        <w:rPr>
          <w:rFonts w:ascii="Calibri" w:hAnsi="Calibri" w:cs="Calibri"/>
          <w:sz w:val="22"/>
          <w:szCs w:val="22"/>
        </w:rPr>
        <w:t>or vocalise</w:t>
      </w:r>
      <w:r w:rsidRPr="00424245">
        <w:rPr>
          <w:rFonts w:ascii="Calibri" w:hAnsi="Calibri" w:cs="Calibri"/>
          <w:sz w:val="22"/>
          <w:szCs w:val="22"/>
        </w:rPr>
        <w:t xml:space="preserve"> their feelings</w:t>
      </w:r>
      <w:r w:rsidR="00B733F8" w:rsidRPr="00424245">
        <w:rPr>
          <w:rFonts w:ascii="Calibri" w:hAnsi="Calibri" w:cs="Calibri"/>
          <w:sz w:val="22"/>
          <w:szCs w:val="22"/>
        </w:rPr>
        <w:t xml:space="preserve"> </w:t>
      </w:r>
      <w:r w:rsidR="00B733F8" w:rsidRPr="00424245">
        <w:rPr>
          <w:rFonts w:ascii="Calibri" w:hAnsi="Calibri" w:cs="Calibri"/>
          <w:color w:val="000000"/>
          <w:sz w:val="22"/>
          <w:szCs w:val="22"/>
        </w:rPr>
        <w:t>(Kim et al. 2021)</w:t>
      </w:r>
      <w:r w:rsidRPr="00424245">
        <w:rPr>
          <w:rFonts w:ascii="Calibri" w:hAnsi="Calibri" w:cs="Calibri"/>
          <w:sz w:val="22"/>
          <w:szCs w:val="22"/>
        </w:rPr>
        <w:t>.</w:t>
      </w:r>
    </w:p>
    <w:p w14:paraId="0567C9E0" w14:textId="77777777" w:rsidR="002844E7" w:rsidRPr="00424245" w:rsidRDefault="002844E7" w:rsidP="00E05DCE">
      <w:pPr>
        <w:spacing w:line="480" w:lineRule="auto"/>
        <w:jc w:val="both"/>
        <w:rPr>
          <w:rFonts w:ascii="Calibri" w:hAnsi="Calibri" w:cs="Calibri"/>
          <w:sz w:val="22"/>
          <w:szCs w:val="22"/>
        </w:rPr>
      </w:pPr>
    </w:p>
    <w:p w14:paraId="3401E0A2" w14:textId="6DC60BC4" w:rsidR="001C586D" w:rsidRPr="00424245" w:rsidRDefault="001C586D" w:rsidP="00E05DCE">
      <w:pPr>
        <w:spacing w:line="480" w:lineRule="auto"/>
        <w:jc w:val="both"/>
        <w:rPr>
          <w:rFonts w:ascii="Calibri" w:hAnsi="Calibri" w:cs="Calibri"/>
          <w:sz w:val="22"/>
          <w:szCs w:val="22"/>
        </w:rPr>
      </w:pPr>
      <w:r w:rsidRPr="00424245">
        <w:rPr>
          <w:rFonts w:ascii="Calibri" w:hAnsi="Calibri" w:cs="Calibri"/>
          <w:sz w:val="22"/>
          <w:szCs w:val="22"/>
        </w:rPr>
        <w:t>The autoimmune system and the body's systems for responding to stress might fail to develop adeqately in a young person who experiences frequent or severe stress or fear.These systems may then react as though the person is experiencing severe stress when the child or adult is exposed to even normal amounts of stress.The development of the brain and nervous system might be disrupted by environmental stress.Neglectful surroundings may prevent the brain from reaching its full potential due to a lack of menta stimulation.Headaches and stomachaches are examples of persistent or recurrent physical symptoms that children with complicated trauma histories may experience.It has been demonstrated that adults who experienced childhood trauma are more likely to have long-term health issues</w:t>
      </w:r>
      <w:r w:rsidR="00B733F8" w:rsidRPr="00424245">
        <w:rPr>
          <w:rFonts w:ascii="Calibri" w:hAnsi="Calibri" w:cs="Calibri"/>
          <w:sz w:val="22"/>
          <w:szCs w:val="22"/>
        </w:rPr>
        <w:t xml:space="preserve"> </w:t>
      </w:r>
      <w:r w:rsidR="00B733F8" w:rsidRPr="00424245">
        <w:rPr>
          <w:rFonts w:ascii="Calibri" w:hAnsi="Calibri" w:cs="Calibri"/>
          <w:color w:val="000000"/>
          <w:sz w:val="22"/>
          <w:szCs w:val="22"/>
        </w:rPr>
        <w:t>(Flaherty et al.)</w:t>
      </w:r>
      <w:r w:rsidRPr="00424245">
        <w:rPr>
          <w:rFonts w:ascii="Calibri" w:hAnsi="Calibri" w:cs="Calibri"/>
          <w:sz w:val="22"/>
          <w:szCs w:val="22"/>
        </w:rPr>
        <w:t>.</w:t>
      </w:r>
    </w:p>
    <w:p w14:paraId="39FF3AA5" w14:textId="77777777" w:rsidR="00335E7C" w:rsidRPr="00424245" w:rsidRDefault="00335E7C" w:rsidP="00E05DCE">
      <w:pPr>
        <w:spacing w:line="480" w:lineRule="auto"/>
        <w:jc w:val="both"/>
        <w:rPr>
          <w:rFonts w:ascii="Calibri" w:hAnsi="Calibri" w:cs="Calibri"/>
          <w:sz w:val="22"/>
          <w:szCs w:val="22"/>
        </w:rPr>
      </w:pPr>
    </w:p>
    <w:p w14:paraId="08896572" w14:textId="39858F21" w:rsidR="001C586D" w:rsidRPr="00424245" w:rsidRDefault="00335E7C" w:rsidP="00E05DCE">
      <w:pPr>
        <w:spacing w:line="480" w:lineRule="auto"/>
        <w:jc w:val="both"/>
        <w:rPr>
          <w:rFonts w:ascii="Calibri" w:hAnsi="Calibri" w:cs="Calibri"/>
          <w:sz w:val="22"/>
          <w:szCs w:val="22"/>
        </w:rPr>
      </w:pPr>
      <w:r w:rsidRPr="00424245">
        <w:rPr>
          <w:rFonts w:ascii="Calibri" w:hAnsi="Calibri" w:cs="Calibri"/>
          <w:sz w:val="22"/>
          <w:szCs w:val="22"/>
        </w:rPr>
        <w:t xml:space="preserve">Children who have gone through complicated trauma </w:t>
      </w:r>
      <w:r w:rsidR="0067335B">
        <w:rPr>
          <w:rFonts w:ascii="Calibri" w:hAnsi="Calibri" w:cs="Calibri"/>
          <w:sz w:val="22"/>
          <w:szCs w:val="22"/>
        </w:rPr>
        <w:t>often have to work harder</w:t>
      </w:r>
      <w:r w:rsidRPr="00424245">
        <w:rPr>
          <w:rFonts w:ascii="Calibri" w:hAnsi="Calibri" w:cs="Calibri"/>
          <w:sz w:val="22"/>
          <w:szCs w:val="22"/>
        </w:rPr>
        <w:t xml:space="preserve"> to</w:t>
      </w:r>
      <w:r w:rsidR="0067335B">
        <w:rPr>
          <w:rFonts w:ascii="Calibri" w:hAnsi="Calibri" w:cs="Calibri"/>
          <w:sz w:val="22"/>
          <w:szCs w:val="22"/>
        </w:rPr>
        <w:t xml:space="preserve"> identify</w:t>
      </w:r>
      <w:r w:rsidRPr="00424245">
        <w:rPr>
          <w:rFonts w:ascii="Calibri" w:hAnsi="Calibri" w:cs="Calibri"/>
          <w:sz w:val="22"/>
          <w:szCs w:val="22"/>
        </w:rPr>
        <w:t xml:space="preserve">, </w:t>
      </w:r>
      <w:r w:rsidR="0067335B">
        <w:rPr>
          <w:rFonts w:ascii="Calibri" w:hAnsi="Calibri" w:cs="Calibri"/>
          <w:sz w:val="22"/>
          <w:szCs w:val="22"/>
        </w:rPr>
        <w:t>vocalise</w:t>
      </w:r>
      <w:r w:rsidRPr="00424245">
        <w:rPr>
          <w:rFonts w:ascii="Calibri" w:hAnsi="Calibri" w:cs="Calibri"/>
          <w:sz w:val="22"/>
          <w:szCs w:val="22"/>
        </w:rPr>
        <w:t xml:space="preserve">, and </w:t>
      </w:r>
      <w:r w:rsidR="0067335B">
        <w:rPr>
          <w:rFonts w:ascii="Calibri" w:hAnsi="Calibri" w:cs="Calibri"/>
          <w:sz w:val="22"/>
          <w:szCs w:val="22"/>
        </w:rPr>
        <w:t xml:space="preserve">handle </w:t>
      </w:r>
      <w:r w:rsidRPr="00424245">
        <w:rPr>
          <w:rFonts w:ascii="Calibri" w:hAnsi="Calibri" w:cs="Calibri"/>
          <w:sz w:val="22"/>
          <w:szCs w:val="22"/>
        </w:rPr>
        <w:t>their emotions. They may also have limited vocabulary for experiencing states</w:t>
      </w:r>
      <w:r w:rsidR="0067335B">
        <w:rPr>
          <w:rFonts w:ascii="Calibri" w:hAnsi="Calibri" w:cs="Calibri"/>
          <w:sz w:val="22"/>
          <w:szCs w:val="22"/>
        </w:rPr>
        <w:t xml:space="preserve"> b</w:t>
      </w:r>
      <w:r w:rsidR="0067335B" w:rsidRPr="0067335B">
        <w:rPr>
          <w:rFonts w:ascii="Calibri" w:hAnsi="Calibri" w:cs="Calibri"/>
          <w:sz w:val="22"/>
          <w:szCs w:val="22"/>
        </w:rPr>
        <w:t>ecause they regularly suppress or express stress reactions, they may experience extreme depression, anxiety, or anger.</w:t>
      </w:r>
      <w:r w:rsidR="0067335B">
        <w:rPr>
          <w:rFonts w:ascii="Calibri" w:hAnsi="Calibri" w:cs="Calibri"/>
          <w:sz w:val="22"/>
          <w:szCs w:val="22"/>
        </w:rPr>
        <w:t xml:space="preserve"> </w:t>
      </w:r>
      <w:r w:rsidRPr="00424245">
        <w:rPr>
          <w:rFonts w:ascii="Calibri" w:hAnsi="Calibri" w:cs="Calibri"/>
          <w:sz w:val="22"/>
          <w:szCs w:val="22"/>
        </w:rPr>
        <w:t xml:space="preserve">Their emotional reactions could be erratic or violent. When reminded of a traumatic </w:t>
      </w:r>
      <w:r w:rsidRPr="00424245">
        <w:rPr>
          <w:rFonts w:ascii="Calibri" w:hAnsi="Calibri" w:cs="Calibri"/>
          <w:sz w:val="22"/>
          <w:szCs w:val="22"/>
        </w:rPr>
        <w:lastRenderedPageBreak/>
        <w:t xml:space="preserve">experience, a child may exhibit withdrawal, sorrow, rage, or shaking. </w:t>
      </w:r>
      <w:r w:rsidR="0067335B" w:rsidRPr="0067335B">
        <w:rPr>
          <w:rFonts w:ascii="Calibri" w:hAnsi="Calibri" w:cs="Calibri"/>
          <w:sz w:val="22"/>
          <w:szCs w:val="22"/>
        </w:rPr>
        <w:t>Children with a complex trauma history may be surrounded by reminders of several traumatic events. Such a child may react aggressively, regularly, and find it difficult to calm down when they are upset (Lyons and Suh, 2025).</w:t>
      </w:r>
    </w:p>
    <w:p w14:paraId="50E26CD8" w14:textId="77777777" w:rsidR="00563D56" w:rsidRPr="00424245" w:rsidRDefault="00563D56" w:rsidP="00E05DCE">
      <w:pPr>
        <w:spacing w:line="480" w:lineRule="auto"/>
        <w:rPr>
          <w:rFonts w:ascii="Calibri" w:hAnsi="Calibri" w:cs="Calibri"/>
          <w:sz w:val="22"/>
          <w:szCs w:val="22"/>
        </w:rPr>
      </w:pPr>
    </w:p>
    <w:p w14:paraId="2B659519" w14:textId="77777777" w:rsidR="0067335B" w:rsidRPr="0067335B" w:rsidRDefault="00563D56" w:rsidP="00E05DCE">
      <w:pPr>
        <w:spacing w:line="480" w:lineRule="auto"/>
        <w:jc w:val="both"/>
        <w:rPr>
          <w:rFonts w:ascii="Calibri" w:hAnsi="Calibri" w:cs="Calibri"/>
          <w:sz w:val="22"/>
          <w:szCs w:val="22"/>
        </w:rPr>
      </w:pPr>
      <w:r w:rsidRPr="00424245">
        <w:rPr>
          <w:rFonts w:ascii="Calibri" w:hAnsi="Calibri" w:cs="Calibri"/>
          <w:sz w:val="22"/>
          <w:szCs w:val="22"/>
        </w:rPr>
        <w:t xml:space="preserve">Children who have experienced significant trauma may exhibit erratic, defiant, volatile, and severe behaviours. In retaliation to perceived blame or attack, a kid who feels helpless or who was raised in fear of an abusive parental figure may react defensively and violently, or alternatively, they may occasionally be overly controlled, inflexible, and exceptionally obedient to adults. A child's behaviour will also be impacted if they disassociate frequently. </w:t>
      </w:r>
      <w:r w:rsidR="0067335B" w:rsidRPr="0067335B">
        <w:rPr>
          <w:rFonts w:ascii="Calibri" w:hAnsi="Calibri" w:cs="Calibri"/>
          <w:sz w:val="22"/>
          <w:szCs w:val="22"/>
        </w:rPr>
        <w:t>High-risk activities, such as self-harm, unsafe sexual conduct, and taking needless risks, are more common in children who have suffered severe trauma. Additionally, they might engage in illegal activities including drug or alcohol use, assaulting others, or stealing that raise their chances of running afoul of the juvenile court system (Anda, 1999).</w:t>
      </w:r>
    </w:p>
    <w:p w14:paraId="74895BD4" w14:textId="7315AB02" w:rsidR="00563D56" w:rsidRPr="00424245" w:rsidRDefault="00563D56" w:rsidP="00E05DCE">
      <w:pPr>
        <w:spacing w:line="480" w:lineRule="auto"/>
        <w:jc w:val="both"/>
        <w:rPr>
          <w:rFonts w:ascii="Calibri" w:hAnsi="Calibri" w:cs="Calibri"/>
          <w:sz w:val="22"/>
          <w:szCs w:val="22"/>
        </w:rPr>
      </w:pPr>
    </w:p>
    <w:p w14:paraId="4F282ADE" w14:textId="11A86F7A" w:rsidR="00994FF8" w:rsidRPr="00424245" w:rsidRDefault="00563D56" w:rsidP="00E05DCE">
      <w:pPr>
        <w:spacing w:line="480" w:lineRule="auto"/>
        <w:jc w:val="both"/>
        <w:rPr>
          <w:rFonts w:ascii="Calibri" w:hAnsi="Calibri" w:cs="Calibri"/>
          <w:sz w:val="22"/>
          <w:szCs w:val="22"/>
        </w:rPr>
      </w:pPr>
      <w:r w:rsidRPr="00424245">
        <w:rPr>
          <w:rFonts w:ascii="Calibri" w:hAnsi="Calibri" w:cs="Calibri"/>
          <w:sz w:val="22"/>
          <w:szCs w:val="22"/>
        </w:rPr>
        <w:t xml:space="preserve">A child must appreciate themselves </w:t>
      </w:r>
      <w:proofErr w:type="gramStart"/>
      <w:r w:rsidRPr="00424245">
        <w:rPr>
          <w:rFonts w:ascii="Calibri" w:hAnsi="Calibri" w:cs="Calibri"/>
          <w:sz w:val="22"/>
          <w:szCs w:val="22"/>
        </w:rPr>
        <w:t>in order to</w:t>
      </w:r>
      <w:proofErr w:type="gramEnd"/>
      <w:r w:rsidRPr="00424245">
        <w:rPr>
          <w:rFonts w:ascii="Calibri" w:hAnsi="Calibri" w:cs="Calibri"/>
          <w:sz w:val="22"/>
          <w:szCs w:val="22"/>
        </w:rPr>
        <w:t xml:space="preserve"> make </w:t>
      </w:r>
      <w:proofErr w:type="gramStart"/>
      <w:r w:rsidRPr="00424245">
        <w:rPr>
          <w:rFonts w:ascii="Calibri" w:hAnsi="Calibri" w:cs="Calibri"/>
          <w:sz w:val="22"/>
          <w:szCs w:val="22"/>
        </w:rPr>
        <w:t>plans for the future</w:t>
      </w:r>
      <w:proofErr w:type="gramEnd"/>
      <w:r w:rsidRPr="00424245">
        <w:rPr>
          <w:rFonts w:ascii="Calibri" w:hAnsi="Calibri" w:cs="Calibri"/>
          <w:sz w:val="22"/>
          <w:szCs w:val="22"/>
        </w:rPr>
        <w:t xml:space="preserve"> with a sense of optimism and purpose. It takes optimism, control, and the capacity to understand the significance and worth of one's own activities to </w:t>
      </w:r>
      <w:proofErr w:type="gramStart"/>
      <w:r w:rsidRPr="00424245">
        <w:rPr>
          <w:rFonts w:ascii="Calibri" w:hAnsi="Calibri" w:cs="Calibri"/>
          <w:sz w:val="22"/>
          <w:szCs w:val="22"/>
        </w:rPr>
        <w:t>plan for the future</w:t>
      </w:r>
      <w:proofErr w:type="gramEnd"/>
      <w:r w:rsidRPr="00424245">
        <w:rPr>
          <w:rFonts w:ascii="Calibri" w:hAnsi="Calibri" w:cs="Calibri"/>
          <w:sz w:val="22"/>
          <w:szCs w:val="22"/>
        </w:rPr>
        <w:t xml:space="preserve">. Children who witness violence in their homes and communities are taught early on that they cannot be </w:t>
      </w:r>
      <w:r w:rsidR="001A2BF5" w:rsidRPr="00424245">
        <w:rPr>
          <w:rFonts w:ascii="Calibri" w:hAnsi="Calibri" w:cs="Calibri"/>
          <w:sz w:val="22"/>
          <w:szCs w:val="22"/>
        </w:rPr>
        <w:t>trusted</w:t>
      </w:r>
      <w:r w:rsidRPr="00424245">
        <w:rPr>
          <w:rFonts w:ascii="Calibri" w:hAnsi="Calibri" w:cs="Calibri"/>
          <w:sz w:val="22"/>
          <w:szCs w:val="22"/>
        </w:rPr>
        <w:t xml:space="preserve"> that the world seems unsafe, and that they have no control over their situation. Their sense of competence is diminished by their beliefs about the world, other people, and themselves. Their pessimistic expectations obstruct constructive problem-solving and prevent them from taking advantage of chances to improve their own life. A child who has experienced profound trauma may see themselves as </w:t>
      </w:r>
      <w:r w:rsidR="008D51C4" w:rsidRPr="00424245">
        <w:rPr>
          <w:rFonts w:ascii="Calibri" w:hAnsi="Calibri" w:cs="Calibri"/>
          <w:sz w:val="22"/>
          <w:szCs w:val="22"/>
        </w:rPr>
        <w:t>helpless and</w:t>
      </w:r>
      <w:r w:rsidRPr="00424245">
        <w:rPr>
          <w:rFonts w:ascii="Calibri" w:hAnsi="Calibri" w:cs="Calibri"/>
          <w:sz w:val="22"/>
          <w:szCs w:val="22"/>
        </w:rPr>
        <w:t xml:space="preserve"> believe that planning and constructive action are pointless in this world. They struggle to be optimistic. The young person doesn't stop to consider, plan for, or even fantasise about the future since they have learnt to live in "survival mode." Childhood trauma has been connected to a higher risk of health issues later in life</w:t>
      </w:r>
      <w:r w:rsidR="001A2BF5" w:rsidRPr="00424245">
        <w:rPr>
          <w:rFonts w:ascii="Calibri" w:hAnsi="Calibri" w:cs="Calibri"/>
          <w:sz w:val="22"/>
          <w:szCs w:val="22"/>
        </w:rPr>
        <w:t xml:space="preserve"> </w:t>
      </w:r>
      <w:r w:rsidR="001A2BF5" w:rsidRPr="00424245">
        <w:rPr>
          <w:rFonts w:ascii="Calibri" w:hAnsi="Calibri" w:cs="Calibri"/>
          <w:color w:val="000000"/>
          <w:sz w:val="22"/>
          <w:szCs w:val="22"/>
        </w:rPr>
        <w:t>(Steptoe et al. 2019)</w:t>
      </w:r>
      <w:r w:rsidRPr="00424245">
        <w:rPr>
          <w:rFonts w:ascii="Calibri" w:hAnsi="Calibri" w:cs="Calibri"/>
          <w:sz w:val="22"/>
          <w:szCs w:val="22"/>
        </w:rPr>
        <w:t>. The long-term effects of childhood trauma on adults are investigated in the Adverse Childhood Experiences (ACE) Study.</w:t>
      </w:r>
      <w:r w:rsidR="008D51C4" w:rsidRPr="00424245">
        <w:rPr>
          <w:rFonts w:ascii="Calibri" w:hAnsi="Calibri" w:cs="Calibri"/>
          <w:sz w:val="22"/>
          <w:szCs w:val="22"/>
        </w:rPr>
        <w:t xml:space="preserve"> More than 17,000 people between the ages of 19 and 90 are </w:t>
      </w:r>
      <w:r w:rsidR="008D51C4" w:rsidRPr="00424245">
        <w:rPr>
          <w:rFonts w:ascii="Calibri" w:hAnsi="Calibri" w:cs="Calibri"/>
          <w:sz w:val="22"/>
          <w:szCs w:val="22"/>
        </w:rPr>
        <w:lastRenderedPageBreak/>
        <w:t>involved in the ACE Study. In addition to gathering information on the participants' early exposure to abuse, violence, and carer impairment, researchers also collected medical histories over time. The findings showed that 69% of individuals reported two or more instances of childhood trauma, and roughly 64% of participants had at least one exposure. The findings showed a link between early death, high-risk behaviours (including smoking and unprotected sex), chronic illnesses like cancer and heart disease, and exposure to childhood trauma</w:t>
      </w:r>
      <w:r w:rsidR="001A2BF5" w:rsidRPr="00424245">
        <w:rPr>
          <w:rFonts w:ascii="Calibri" w:hAnsi="Calibri" w:cs="Calibri"/>
          <w:sz w:val="22"/>
          <w:szCs w:val="22"/>
        </w:rPr>
        <w:t xml:space="preserve"> </w:t>
      </w:r>
      <w:r w:rsidR="001A2BF5" w:rsidRPr="00424245">
        <w:rPr>
          <w:rFonts w:ascii="Calibri" w:hAnsi="Calibri" w:cs="Calibri"/>
          <w:color w:val="000000"/>
          <w:sz w:val="22"/>
          <w:szCs w:val="22"/>
        </w:rPr>
        <w:t>(</w:t>
      </w:r>
      <w:proofErr w:type="spellStart"/>
      <w:r w:rsidR="001A2BF5" w:rsidRPr="00424245">
        <w:rPr>
          <w:rFonts w:ascii="Calibri" w:hAnsi="Calibri" w:cs="Calibri"/>
          <w:color w:val="000000"/>
          <w:sz w:val="22"/>
          <w:szCs w:val="22"/>
        </w:rPr>
        <w:t>Felitti</w:t>
      </w:r>
      <w:proofErr w:type="spellEnd"/>
      <w:r w:rsidR="001A2BF5" w:rsidRPr="00424245">
        <w:rPr>
          <w:rFonts w:ascii="Calibri" w:hAnsi="Calibri" w:cs="Calibri"/>
          <w:color w:val="000000"/>
          <w:sz w:val="22"/>
          <w:szCs w:val="22"/>
        </w:rPr>
        <w:t xml:space="preserve"> et al. 1998)</w:t>
      </w:r>
      <w:r w:rsidR="008D51C4" w:rsidRPr="00424245">
        <w:rPr>
          <w:rFonts w:ascii="Calibri" w:hAnsi="Calibri" w:cs="Calibri"/>
          <w:sz w:val="22"/>
          <w:szCs w:val="22"/>
        </w:rPr>
        <w:t>.</w:t>
      </w:r>
    </w:p>
    <w:p w14:paraId="408827CA" w14:textId="77777777" w:rsidR="009B0E19" w:rsidRPr="00424245" w:rsidRDefault="009B0E19" w:rsidP="00E05DCE">
      <w:pPr>
        <w:spacing w:line="480" w:lineRule="auto"/>
        <w:jc w:val="both"/>
        <w:rPr>
          <w:rFonts w:ascii="Calibri" w:hAnsi="Calibri" w:cs="Calibri"/>
          <w:sz w:val="22"/>
          <w:szCs w:val="22"/>
        </w:rPr>
      </w:pPr>
    </w:p>
    <w:p w14:paraId="2B0AE75C" w14:textId="26423631" w:rsidR="009B0E19" w:rsidRPr="00424245" w:rsidRDefault="009B0E19" w:rsidP="00E05DCE">
      <w:pPr>
        <w:spacing w:line="480" w:lineRule="auto"/>
        <w:jc w:val="both"/>
        <w:rPr>
          <w:rFonts w:ascii="Calibri" w:hAnsi="Calibri" w:cs="Calibri"/>
          <w:sz w:val="22"/>
          <w:szCs w:val="22"/>
        </w:rPr>
      </w:pPr>
      <w:r w:rsidRPr="00424245">
        <w:rPr>
          <w:rFonts w:ascii="Calibri" w:hAnsi="Calibri" w:cs="Calibri"/>
          <w:sz w:val="22"/>
          <w:szCs w:val="22"/>
        </w:rPr>
        <w:t xml:space="preserve">Adverse Childhood Experiences (ACEs) are acknowledged as significant risk variables for long-term medical conditions, substance abuse, and mental health issues. According to Navalta et al. (2018), repetitive stress exposure during childhood impairs cognitive functions, emotional control, and structural brain development by keeping the developing brain in a state of permanent alertness. The long-lasting character of these consequences is further supported by Hesterman's (2021) claim that "childhood trauma is the ghost of childhood that haunts victims for the rest of their lives." Children who experience long-term hardship frequently exhibit poorer academic achievement, diminished cognitive functioning, and increased susceptibility to PTSD symptoms. Memory, information processing, and mental organisation are all affected by trauma (Robinson, 2020). The brain is particularly vulnerable to external trauma at critical developmental stages, such as early childhood, adolescence, and the transition to adulthood, when these effects are most noticeable (Webster, 2022). Attachment and psychological development are also influenced by trauma. A child's feeling of security is compromised by early experiences of instability or neglect, which can lead to anxiety, emotional dysregulation, and insecure attachment styles that last into adulthood (T.H &amp; Narula, 2025). Living in "survival mode" might result in behavioural issues, mistrust, hostility, or disengagement. Chronic stress physically impairs the immunological and stress-response systems, raising the likelihood of chronic illness in later life. Many of the fundamental characteristics of ACEs are reflected in Amira's circumstances. Significant neglect is indicated by her erratic attendance at school, social disengagement from classmates, and admission of being abandoned without food. Her exposure to </w:t>
      </w:r>
      <w:r w:rsidRPr="00424245">
        <w:rPr>
          <w:rFonts w:ascii="Calibri" w:hAnsi="Calibri" w:cs="Calibri"/>
          <w:sz w:val="22"/>
          <w:szCs w:val="22"/>
        </w:rPr>
        <w:lastRenderedPageBreak/>
        <w:t>trauma is exacerbated by her mother's alcoholism and the dangerous home situation. Amira is particularly vulnerable to cognitive delays, emotional dysregulation, insecure bonding, and diminished self-worth due to these issues. Her social disengagement and withdrawal are common trauma reactions. Although being placed in her grandparents' care offers protection, early intervention, emotional support, and trauma-informed care will be necessary to lessen long-term effects and restore her feeling of resilience, stability, and trust.</w:t>
      </w:r>
    </w:p>
    <w:p w14:paraId="7A7D0370" w14:textId="77777777" w:rsidR="00994FF8" w:rsidRPr="00424245" w:rsidRDefault="00994FF8" w:rsidP="00E05DCE">
      <w:pPr>
        <w:spacing w:line="480" w:lineRule="auto"/>
        <w:jc w:val="both"/>
        <w:rPr>
          <w:rFonts w:ascii="Calibri" w:hAnsi="Calibri" w:cs="Calibri"/>
          <w:sz w:val="22"/>
          <w:szCs w:val="22"/>
        </w:rPr>
      </w:pPr>
    </w:p>
    <w:p w14:paraId="5E6AF901" w14:textId="101440A0" w:rsidR="00D76BAC" w:rsidRPr="00424245" w:rsidRDefault="00D76BAC" w:rsidP="00E05DCE">
      <w:pPr>
        <w:spacing w:line="480" w:lineRule="auto"/>
        <w:rPr>
          <w:rFonts w:ascii="Calibri" w:hAnsi="Calibri" w:cs="Calibri"/>
          <w:sz w:val="22"/>
          <w:szCs w:val="22"/>
        </w:rPr>
      </w:pPr>
    </w:p>
    <w:p w14:paraId="05AAA616" w14:textId="41429C35" w:rsidR="00462E29" w:rsidRPr="00424245" w:rsidRDefault="00462E29" w:rsidP="00E05DCE">
      <w:pPr>
        <w:spacing w:line="480" w:lineRule="auto"/>
        <w:jc w:val="both"/>
        <w:rPr>
          <w:rFonts w:ascii="Calibri" w:hAnsi="Calibri" w:cs="Calibri"/>
          <w:sz w:val="22"/>
          <w:szCs w:val="22"/>
        </w:rPr>
      </w:pPr>
      <w:r w:rsidRPr="00424245">
        <w:rPr>
          <w:rFonts w:ascii="Calibri" w:hAnsi="Calibri" w:cs="Calibri"/>
          <w:sz w:val="22"/>
          <w:szCs w:val="22"/>
        </w:rPr>
        <w:t xml:space="preserve">A framework called Trauma-Informed Care (TIC) is used by organisations and agencies to assist individuals who have gone through trauma. </w:t>
      </w:r>
      <w:proofErr w:type="gramStart"/>
      <w:r w:rsidRPr="00424245">
        <w:rPr>
          <w:rFonts w:ascii="Calibri" w:hAnsi="Calibri" w:cs="Calibri"/>
          <w:sz w:val="22"/>
          <w:szCs w:val="22"/>
        </w:rPr>
        <w:t>In order to</w:t>
      </w:r>
      <w:proofErr w:type="gramEnd"/>
      <w:r w:rsidRPr="00424245">
        <w:rPr>
          <w:rFonts w:ascii="Calibri" w:hAnsi="Calibri" w:cs="Calibri"/>
          <w:sz w:val="22"/>
          <w:szCs w:val="22"/>
        </w:rPr>
        <w:t xml:space="preserve"> prevent re-traumatization, it entails acknowledging the pervasive effects of trauma and comprehending possible recovery routes by incorporating trauma knowledge into procedures, processes, and policies. Security, trust, decision-making, cooperation, empowerment, and cultural sensitivity are important tenets. A systematic strategy that shifts from concentrating on immediate problems to addressing the underlying impacts of trauma, such as abuse or hardship, is known as trauma-informed care (TIC)</w:t>
      </w:r>
      <w:r w:rsidR="000162D9" w:rsidRPr="00424245">
        <w:rPr>
          <w:rFonts w:ascii="Calibri" w:hAnsi="Calibri" w:cs="Calibri"/>
          <w:sz w:val="22"/>
          <w:szCs w:val="22"/>
        </w:rPr>
        <w:t xml:space="preserve"> </w:t>
      </w:r>
      <w:r w:rsidR="000162D9" w:rsidRPr="00424245">
        <w:rPr>
          <w:rFonts w:ascii="Calibri" w:hAnsi="Calibri" w:cs="Calibri"/>
          <w:color w:val="000000"/>
          <w:sz w:val="22"/>
          <w:szCs w:val="22"/>
        </w:rPr>
        <w:t>(Reeves, 2015)</w:t>
      </w:r>
      <w:r w:rsidRPr="00424245">
        <w:rPr>
          <w:rFonts w:ascii="Calibri" w:hAnsi="Calibri" w:cs="Calibri"/>
          <w:sz w:val="22"/>
          <w:szCs w:val="22"/>
        </w:rPr>
        <w:t xml:space="preserve">. A method of working that emphasises what a person needs to feel safe and supported rather than what is wrong with them. </w:t>
      </w:r>
      <w:r w:rsidR="00147B24" w:rsidRPr="00424245">
        <w:rPr>
          <w:rFonts w:ascii="Calibri" w:hAnsi="Calibri" w:cs="Calibri"/>
          <w:sz w:val="22"/>
          <w:szCs w:val="22"/>
        </w:rPr>
        <w:t xml:space="preserve"> </w:t>
      </w:r>
      <w:r w:rsidRPr="00424245">
        <w:rPr>
          <w:rFonts w:ascii="Calibri" w:hAnsi="Calibri" w:cs="Calibri"/>
          <w:sz w:val="22"/>
          <w:szCs w:val="22"/>
        </w:rPr>
        <w:t>An organisational approach to incorporate trauma understanding into all facets of service delivery, including daily encounters and policy. Trauma Informed Care is significant because stops re-traumatization. It seeks to stop services from unintentionally bringing up recollections of painful past experiences. It takes care of unmet needs by enabling service providers to see past a person's actions and recognise the possible effects of past trauma. It enhances service effectiveness by addressing the underlying causes of some problems, it can improve people's results.  and it is possibly economical: It might result in fewer crises brought on by re-traumatization and less intense services, which could lower total expenditures</w:t>
      </w:r>
      <w:r w:rsidR="00147B24" w:rsidRPr="00424245">
        <w:rPr>
          <w:rFonts w:ascii="Calibri" w:hAnsi="Calibri" w:cs="Calibri"/>
          <w:sz w:val="22"/>
          <w:szCs w:val="22"/>
        </w:rPr>
        <w:t xml:space="preserve"> </w:t>
      </w:r>
      <w:r w:rsidR="00147B24" w:rsidRPr="00424245">
        <w:rPr>
          <w:rFonts w:ascii="Calibri" w:hAnsi="Calibri" w:cs="Calibri"/>
          <w:color w:val="000000"/>
          <w:sz w:val="22"/>
          <w:szCs w:val="22"/>
        </w:rPr>
        <w:t>(Lloyd, 2019)</w:t>
      </w:r>
      <w:r w:rsidRPr="00424245">
        <w:rPr>
          <w:rFonts w:ascii="Calibri" w:hAnsi="Calibri" w:cs="Calibri"/>
          <w:sz w:val="22"/>
          <w:szCs w:val="22"/>
        </w:rPr>
        <w:t>.</w:t>
      </w:r>
    </w:p>
    <w:p w14:paraId="1A471B47" w14:textId="77777777" w:rsidR="00462E29" w:rsidRPr="00424245" w:rsidRDefault="00462E29" w:rsidP="00E05DCE">
      <w:pPr>
        <w:spacing w:line="480" w:lineRule="auto"/>
        <w:jc w:val="both"/>
        <w:rPr>
          <w:rFonts w:ascii="Calibri" w:hAnsi="Calibri" w:cs="Calibri"/>
          <w:sz w:val="22"/>
          <w:szCs w:val="22"/>
        </w:rPr>
      </w:pPr>
    </w:p>
    <w:p w14:paraId="1F6AFB75" w14:textId="639874F5" w:rsidR="00F842E2" w:rsidRPr="00424245" w:rsidRDefault="00E728E4" w:rsidP="00E05DCE">
      <w:pPr>
        <w:spacing w:line="480" w:lineRule="auto"/>
        <w:jc w:val="both"/>
        <w:rPr>
          <w:rFonts w:ascii="Calibri" w:hAnsi="Calibri" w:cs="Calibri"/>
          <w:sz w:val="22"/>
          <w:szCs w:val="22"/>
        </w:rPr>
      </w:pPr>
      <w:r w:rsidRPr="00424245">
        <w:rPr>
          <w:rFonts w:ascii="Calibri" w:hAnsi="Calibri" w:cs="Calibri"/>
          <w:sz w:val="22"/>
          <w:szCs w:val="22"/>
        </w:rPr>
        <w:lastRenderedPageBreak/>
        <w:t xml:space="preserve">A child's instinctive language to play is used in play therapy </w:t>
      </w:r>
      <w:proofErr w:type="gramStart"/>
      <w:r w:rsidRPr="00424245">
        <w:rPr>
          <w:rFonts w:ascii="Calibri" w:hAnsi="Calibri" w:cs="Calibri"/>
          <w:sz w:val="22"/>
          <w:szCs w:val="22"/>
        </w:rPr>
        <w:t>in order to</w:t>
      </w:r>
      <w:proofErr w:type="gramEnd"/>
      <w:r w:rsidRPr="00424245">
        <w:rPr>
          <w:rFonts w:ascii="Calibri" w:hAnsi="Calibri" w:cs="Calibri"/>
          <w:sz w:val="22"/>
          <w:szCs w:val="22"/>
        </w:rPr>
        <w:t xml:space="preserve"> assist them express their emotions, navigate trauma, and learn coping mechanisms for emotional or behavioural issues like anxiety, abuse, or familial disputes. Therapists promote the method by using toys and creative materials to help children express themselves when words are difficult. It's a child-focused method where children set their own pace as they securely explore topics that alleviate stress, enhance relationships, and boost self-esteem. Play therapy operates utilising play as communication. Children use toys as their ability to communicate their personal worlds, </w:t>
      </w:r>
      <w:proofErr w:type="gramStart"/>
      <w:r w:rsidRPr="00424245">
        <w:rPr>
          <w:rFonts w:ascii="Calibri" w:hAnsi="Calibri" w:cs="Calibri"/>
          <w:sz w:val="22"/>
          <w:szCs w:val="22"/>
        </w:rPr>
        <w:t>opening up</w:t>
      </w:r>
      <w:proofErr w:type="gramEnd"/>
      <w:r w:rsidRPr="00424245">
        <w:rPr>
          <w:rFonts w:ascii="Calibri" w:hAnsi="Calibri" w:cs="Calibri"/>
          <w:sz w:val="22"/>
          <w:szCs w:val="22"/>
        </w:rPr>
        <w:t xml:space="preserve"> therapy to those who are unable to articulate their experiences. By fostering trust, a qualified play therapist enables the child to use play to examine problems such as fear, perplexity, or rage. Play therapy is non-directive. The therapist supports the children's growth in independence as they take the lead in the play and choose what subjects to engage with.</w:t>
      </w:r>
      <w:r w:rsidR="00C070AD" w:rsidRPr="00424245">
        <w:rPr>
          <w:rFonts w:ascii="Calibri" w:hAnsi="Calibri" w:cs="Calibri"/>
          <w:sz w:val="22"/>
          <w:szCs w:val="22"/>
        </w:rPr>
        <w:t xml:space="preserve"> Play therapy facilitates regulating emotions by helping children with letting go of negative, suppressed emotions such as anger, hostility and insecurity. It can aid with working through stress and trauma such as abuse or grief. </w:t>
      </w:r>
      <w:r w:rsidR="00A52502" w:rsidRPr="00424245">
        <w:rPr>
          <w:rFonts w:ascii="Calibri" w:hAnsi="Calibri" w:cs="Calibri"/>
          <w:sz w:val="22"/>
          <w:szCs w:val="22"/>
        </w:rPr>
        <w:t>Play therapy would involve acting out events using dolls, sand, art supplies, or other inventive items. By reflecting a child's play and adding real life scenarios a therapist can assist the child in making the connection between play and genuine emotions. Sand-based sensory play can promote emotional release and awareness</w:t>
      </w:r>
      <w:r w:rsidR="00340852" w:rsidRPr="00424245">
        <w:rPr>
          <w:rFonts w:ascii="Calibri" w:hAnsi="Calibri" w:cs="Calibri"/>
          <w:sz w:val="22"/>
          <w:szCs w:val="22"/>
        </w:rPr>
        <w:t xml:space="preserve"> </w:t>
      </w:r>
      <w:r w:rsidR="00340852" w:rsidRPr="00424245">
        <w:rPr>
          <w:rFonts w:ascii="Calibri" w:hAnsi="Calibri" w:cs="Calibri"/>
          <w:color w:val="000000"/>
          <w:sz w:val="22"/>
          <w:szCs w:val="22"/>
        </w:rPr>
        <w:t>(Hudspeth, 2016)</w:t>
      </w:r>
      <w:r w:rsidR="00A52502" w:rsidRPr="00424245">
        <w:rPr>
          <w:rFonts w:ascii="Calibri" w:hAnsi="Calibri" w:cs="Calibri"/>
          <w:sz w:val="22"/>
          <w:szCs w:val="22"/>
        </w:rPr>
        <w:t>.</w:t>
      </w:r>
    </w:p>
    <w:p w14:paraId="42FFB82D" w14:textId="77777777" w:rsidR="002844E7" w:rsidRPr="00424245" w:rsidRDefault="002844E7" w:rsidP="00E05DCE">
      <w:pPr>
        <w:spacing w:line="480" w:lineRule="auto"/>
        <w:jc w:val="both"/>
        <w:rPr>
          <w:rFonts w:ascii="Calibri" w:hAnsi="Calibri" w:cs="Calibri"/>
          <w:sz w:val="22"/>
          <w:szCs w:val="22"/>
        </w:rPr>
      </w:pPr>
    </w:p>
    <w:p w14:paraId="4CFC0071" w14:textId="761038FE" w:rsidR="00F842E2" w:rsidRPr="00F842E2" w:rsidRDefault="00A52502" w:rsidP="00E05DCE">
      <w:pPr>
        <w:spacing w:line="480" w:lineRule="auto"/>
        <w:jc w:val="both"/>
        <w:rPr>
          <w:rFonts w:ascii="Calibri" w:hAnsi="Calibri" w:cs="Calibri"/>
          <w:sz w:val="22"/>
          <w:szCs w:val="22"/>
        </w:rPr>
      </w:pPr>
      <w:r w:rsidRPr="00424245">
        <w:rPr>
          <w:rFonts w:ascii="Calibri" w:hAnsi="Calibri" w:cs="Calibri"/>
          <w:sz w:val="22"/>
          <w:szCs w:val="22"/>
        </w:rPr>
        <w:t xml:space="preserve">Implementing techniques like psychological education, meditation, affect regulation, and trauma narration, Trauma-Focused Cognitive Behavioural Therapy (TF-CBT) is an organised, scientifically supported therapy for children, adolescents, and families who have experienced trauma. It helps them overcome traumatic events, cultivate coping skills, and reinstate a sense of control and safety. It frequently involves the non-violent carer in parallel sessions. Through rendering traumatic memories less distressing and more manageable, it reduces PTSD symptoms and associated discomfort through three stages: stabilisation, trauma processing, and integration.  Young people and adolescents (ages 3 to 21) who are exhibiting symptoms of domestic violence, grief, or other trauma can benefit from trauma-focused cognitive behavioural therapy (TF-CBT). Families are important participants since they </w:t>
      </w:r>
      <w:r w:rsidRPr="00424245">
        <w:rPr>
          <w:rFonts w:ascii="Calibri" w:hAnsi="Calibri" w:cs="Calibri"/>
          <w:sz w:val="22"/>
          <w:szCs w:val="22"/>
        </w:rPr>
        <w:lastRenderedPageBreak/>
        <w:t>are the parents and carers. The primary advantages include lessens behavioural problems, sadness, and PTSD. It aids people in taking back control of painful memories, improves support and communication throughout the family</w:t>
      </w:r>
      <w:r w:rsidR="00340852" w:rsidRPr="00424245">
        <w:rPr>
          <w:rFonts w:ascii="Calibri" w:hAnsi="Calibri" w:cs="Calibri"/>
          <w:sz w:val="22"/>
          <w:szCs w:val="22"/>
        </w:rPr>
        <w:t xml:space="preserve"> </w:t>
      </w:r>
      <w:r w:rsidR="00340852" w:rsidRPr="00424245">
        <w:rPr>
          <w:rFonts w:ascii="Calibri" w:hAnsi="Calibri" w:cs="Calibri"/>
          <w:color w:val="000000"/>
          <w:sz w:val="22"/>
          <w:szCs w:val="22"/>
        </w:rPr>
        <w:t>(“Supplemental Material for Trauma-Focused Cognitive–</w:t>
      </w:r>
      <w:proofErr w:type="spellStart"/>
      <w:r w:rsidR="00340852" w:rsidRPr="00424245">
        <w:rPr>
          <w:rFonts w:ascii="Calibri" w:hAnsi="Calibri" w:cs="Calibri"/>
          <w:color w:val="000000"/>
          <w:sz w:val="22"/>
          <w:szCs w:val="22"/>
        </w:rPr>
        <w:t>Behavioral</w:t>
      </w:r>
      <w:proofErr w:type="spellEnd"/>
      <w:r w:rsidR="00340852" w:rsidRPr="00424245">
        <w:rPr>
          <w:rFonts w:ascii="Calibri" w:hAnsi="Calibri" w:cs="Calibri"/>
          <w:color w:val="000000"/>
          <w:sz w:val="22"/>
          <w:szCs w:val="22"/>
        </w:rPr>
        <w:t xml:space="preserve"> Therapy (TF-CBT) for Interpersonal Trauma in Transitional-Aged Youth” 2021)</w:t>
      </w:r>
      <w:r w:rsidRPr="00424245">
        <w:rPr>
          <w:rFonts w:ascii="Calibri" w:hAnsi="Calibri" w:cs="Calibri"/>
          <w:sz w:val="22"/>
          <w:szCs w:val="22"/>
        </w:rPr>
        <w:t>.</w:t>
      </w:r>
    </w:p>
    <w:p w14:paraId="05BDF75E" w14:textId="77777777" w:rsidR="00D76BAC" w:rsidRPr="00424245" w:rsidRDefault="00D76BAC" w:rsidP="00E05DCE">
      <w:pPr>
        <w:spacing w:line="480" w:lineRule="auto"/>
        <w:rPr>
          <w:rFonts w:ascii="Calibri" w:hAnsi="Calibri" w:cs="Calibri"/>
          <w:sz w:val="22"/>
          <w:szCs w:val="22"/>
        </w:rPr>
      </w:pPr>
    </w:p>
    <w:p w14:paraId="74BC4EC0" w14:textId="4209AD93" w:rsidR="002035A1" w:rsidRPr="00424245" w:rsidRDefault="002035A1" w:rsidP="00E05DCE">
      <w:pPr>
        <w:spacing w:line="480" w:lineRule="auto"/>
        <w:jc w:val="both"/>
        <w:rPr>
          <w:rFonts w:ascii="Calibri" w:hAnsi="Calibri" w:cs="Calibri"/>
          <w:sz w:val="22"/>
          <w:szCs w:val="22"/>
        </w:rPr>
      </w:pPr>
      <w:r w:rsidRPr="00424245">
        <w:rPr>
          <w:rFonts w:ascii="Calibri" w:hAnsi="Calibri" w:cs="Calibri"/>
          <w:sz w:val="22"/>
          <w:szCs w:val="22"/>
        </w:rPr>
        <w:t>All valuable sectors, including counselling, social work, mental health, educational institutions, healthcare, and other supportive services, require continuous emotional engagement, intellectual comprehension, and ethical decision-making, so self-care is crucial for practitioners. Regular exposure to the anguish, trauma, or complicated needs of others can eventually drain professionals' own mental and physical reserves. The risk of burnout rises dramatically in the absence of deliberate methods to replenish these resources. Burnout is a prolonged state of emotional weariness, depersonalisation, and diminished sense of accomplishment that goes beyond simple fatigue. Maintaining ethical and successful practice requires an understanding of the need of self-care and the dangers of burnout for both the practitioner and the client.</w:t>
      </w:r>
      <w:r w:rsidR="00941092" w:rsidRPr="00424245">
        <w:rPr>
          <w:rFonts w:ascii="Calibri" w:hAnsi="Calibri" w:cs="Calibri"/>
          <w:sz w:val="22"/>
          <w:szCs w:val="22"/>
        </w:rPr>
        <w:t xml:space="preserve"> By preserving their psychological health and mental resilience, self-care helps practitioners</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(Skovholt and Trotter-Mathison, 2016)</w:t>
      </w:r>
      <w:r w:rsidR="00941092" w:rsidRPr="00424245">
        <w:rPr>
          <w:rFonts w:ascii="Calibri" w:hAnsi="Calibri" w:cs="Calibri"/>
          <w:sz w:val="22"/>
          <w:szCs w:val="22"/>
        </w:rPr>
        <w:t xml:space="preserve">. Practitioners can stay focused and present by partaking in energy-replenishing activities including rest, healthy limits, supervision, introspection, time off, and supportive connections. Additionally, self-care improves emotional control, which is essential for reacting compassionately as opposed to reactively. Maintaining one's physical well-being also helps one focus, make decisions, and handle the mental strain of complicated situations. Practitioners are more equipped to contribute empathy, patience, and professional skill to their work when they put their own health first. Considering the responsibilities of their jobs might easily surpass their own psychological capacity, practitioners who don't take care of themselves are more susceptible to burnout. Many caring experts have an overwhelming feeling of obligation, which may cause them to overwork themselves, take on too many tasks, or disregard their own needs. Emotional exhaustion is a feeling of being depleted or overpowered by continual exposure to the needs or trauma of others can result from this over time. The practitioner may then become </w:t>
      </w:r>
      <w:r w:rsidR="00941092" w:rsidRPr="00424245">
        <w:rPr>
          <w:rFonts w:ascii="Calibri" w:hAnsi="Calibri" w:cs="Calibri"/>
          <w:sz w:val="22"/>
          <w:szCs w:val="22"/>
        </w:rPr>
        <w:lastRenderedPageBreak/>
        <w:t>disconnected or pessimistic as a defensive tactic, a process known as depersonalisation. Even though it makes sense, this emotional distance indicates that the practitioner's welfare has been jeopardised</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(Dattilio, 2015)</w:t>
      </w:r>
      <w:r w:rsidR="00941092" w:rsidRPr="00424245">
        <w:rPr>
          <w:rFonts w:ascii="Calibri" w:hAnsi="Calibri" w:cs="Calibri"/>
          <w:sz w:val="22"/>
          <w:szCs w:val="22"/>
        </w:rPr>
        <w:t>.</w:t>
      </w:r>
    </w:p>
    <w:p w14:paraId="0DBD62FB" w14:textId="77777777" w:rsidR="00941092" w:rsidRPr="00424245" w:rsidRDefault="00941092" w:rsidP="00E05DCE">
      <w:pPr>
        <w:spacing w:line="480" w:lineRule="auto"/>
        <w:jc w:val="both"/>
        <w:rPr>
          <w:rFonts w:ascii="Calibri" w:hAnsi="Calibri" w:cs="Calibri"/>
          <w:sz w:val="22"/>
          <w:szCs w:val="22"/>
        </w:rPr>
      </w:pPr>
    </w:p>
    <w:p w14:paraId="2F0853AB" w14:textId="395FA93B" w:rsidR="00941092" w:rsidRPr="00424245" w:rsidRDefault="00941092" w:rsidP="00E05DCE">
      <w:pPr>
        <w:spacing w:line="480" w:lineRule="auto"/>
        <w:jc w:val="both"/>
        <w:rPr>
          <w:rFonts w:ascii="Calibri" w:hAnsi="Calibri" w:cs="Calibri"/>
          <w:sz w:val="22"/>
          <w:szCs w:val="22"/>
        </w:rPr>
      </w:pPr>
      <w:r w:rsidRPr="00424245">
        <w:rPr>
          <w:rFonts w:ascii="Calibri" w:hAnsi="Calibri" w:cs="Calibri"/>
          <w:sz w:val="22"/>
          <w:szCs w:val="22"/>
        </w:rPr>
        <w:t>Burnout immediately compromises the standard and safety of care; burnout poses a risk to clients. Overworked practitioners may be less focused, respond more slowly, or make poorer decisions. This raises the possibility of mistakes, miscommunications, and missed cues—particularly in domains where safety awareness or emotional nuance are crucial. Clients may feel ignored or overlooked when a burned-out practitioner is unable to provide empathy, patience, or attentive listening. This may result in poor outcomes, undermine the therapeutic or professional connection, or maybe further traumatise vulnerable individuals. In extreme circumstances, burnout can lead to boundary problems, ethical transgressions, or disregard for established procedures, putting clients in danger</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(Karuna et al. 2016)</w:t>
      </w:r>
      <w:r w:rsidRPr="00424245">
        <w:rPr>
          <w:rFonts w:ascii="Calibri" w:hAnsi="Calibri" w:cs="Calibri"/>
          <w:sz w:val="22"/>
          <w:szCs w:val="22"/>
        </w:rPr>
        <w:t>. Additionally, burnout poses a risk to practitioners. Mental health issues including anxiety, sadness, feelings of compassion fatigue, or additional traumatic stress can result from prolonged strain and emotional depletion. Physically, burnout has been linked to poor sleep, persistent exhaustion, compromised immunity, and a higher chance of getting sick. Burnout in the workplace can result in reduced satisfaction with work, absences, conflict with coworkers, or even quitting. In addition to having an adverse effect on the practitioner's quality of life, these results may also be a factor in the scarcity of workers in already difficult sectors</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(Verhoef and Blomme, 2022)</w:t>
      </w:r>
      <w:r w:rsidRPr="00424245">
        <w:rPr>
          <w:rFonts w:ascii="Calibri" w:hAnsi="Calibri" w:cs="Calibri"/>
          <w:sz w:val="22"/>
          <w:szCs w:val="22"/>
        </w:rPr>
        <w:t>.</w:t>
      </w:r>
    </w:p>
    <w:p w14:paraId="0A11DD9A" w14:textId="77777777" w:rsidR="00941092" w:rsidRPr="00424245" w:rsidRDefault="00941092" w:rsidP="00E05DCE">
      <w:pPr>
        <w:spacing w:line="480" w:lineRule="auto"/>
        <w:jc w:val="both"/>
        <w:rPr>
          <w:rFonts w:ascii="Calibri" w:hAnsi="Calibri" w:cs="Calibri"/>
          <w:sz w:val="22"/>
          <w:szCs w:val="22"/>
        </w:rPr>
      </w:pPr>
    </w:p>
    <w:p w14:paraId="41C75623" w14:textId="5D7C78F2" w:rsidR="00941092" w:rsidRPr="00424245" w:rsidRDefault="00941092" w:rsidP="00E05DCE">
      <w:pPr>
        <w:spacing w:line="480" w:lineRule="auto"/>
        <w:jc w:val="both"/>
        <w:rPr>
          <w:rFonts w:ascii="Calibri" w:hAnsi="Calibri" w:cs="Calibri"/>
          <w:sz w:val="22"/>
          <w:szCs w:val="22"/>
        </w:rPr>
      </w:pPr>
      <w:r w:rsidRPr="00424245">
        <w:rPr>
          <w:rFonts w:ascii="Calibri" w:hAnsi="Calibri" w:cs="Calibri"/>
          <w:sz w:val="22"/>
          <w:szCs w:val="22"/>
        </w:rPr>
        <w:t>Essentially, self-care is an ethical and practical obligation rather than an indulgence.   It enables professionals to maintain their ability to provide secure, considerate, and efficient assistance. Neglecting self-care has repercussions for the practitioner as well as the clients who depend on their presence and stability. By putting wellbeing first—through restrictions, recuperation, guidance, meditation, and healthy lifestyle choices—practitioners guard against burnout and make sure they remain able to deliver excellent therapy in a viable, consistent manner.</w:t>
      </w:r>
      <w:r w:rsidR="00AE57C3" w:rsidRPr="00424245">
        <w:rPr>
          <w:rFonts w:ascii="Calibri" w:hAnsi="Calibri" w:cs="Calibri"/>
          <w:sz w:val="22"/>
          <w:szCs w:val="22"/>
        </w:rPr>
        <w:t xml:space="preserve"> While their work prioritises </w:t>
      </w:r>
      <w:r w:rsidR="00AE57C3" w:rsidRPr="00424245">
        <w:rPr>
          <w:rFonts w:ascii="Calibri" w:hAnsi="Calibri" w:cs="Calibri"/>
          <w:sz w:val="22"/>
          <w:szCs w:val="22"/>
        </w:rPr>
        <w:lastRenderedPageBreak/>
        <w:t>addressing the requirements of individuals, professionals in all helping occupations frequently struggle with a lack of self-care. Many people have strong beliefs about service, accountability, and compassion as they start their careers. These traits can lead to tendencies of overextension, even when they are strengths. Practitioners may think that caring for themselves is subordinate to their responsibilities, feel bad about taking a break for themselves, or fear about disappointing clients or coworkers.   Long-term stress and a continuous loss of mental and physical resources can result from this way of thinking</w:t>
      </w:r>
      <w:r w:rsidR="00AA0EC5" w:rsidRPr="00424245">
        <w:rPr>
          <w:rFonts w:ascii="Calibri" w:hAnsi="Calibri" w:cs="Calibri"/>
          <w:sz w:val="22"/>
          <w:szCs w:val="22"/>
        </w:rPr>
        <w:t xml:space="preserve"> </w:t>
      </w:r>
      <w:r w:rsidR="00AA0EC5" w:rsidRPr="00424245">
        <w:rPr>
          <w:rFonts w:ascii="Calibri" w:hAnsi="Calibri" w:cs="Calibri"/>
          <w:color w:val="000000"/>
          <w:sz w:val="22"/>
          <w:szCs w:val="22"/>
        </w:rPr>
        <w:t>(</w:t>
      </w:r>
      <w:proofErr w:type="spellStart"/>
      <w:r w:rsidR="00AA0EC5" w:rsidRPr="00424245">
        <w:rPr>
          <w:rFonts w:ascii="Calibri" w:hAnsi="Calibri" w:cs="Calibri"/>
          <w:color w:val="000000"/>
          <w:sz w:val="22"/>
          <w:szCs w:val="22"/>
        </w:rPr>
        <w:t>Posluns</w:t>
      </w:r>
      <w:proofErr w:type="spellEnd"/>
      <w:r w:rsidR="00AA0EC5" w:rsidRPr="00424245">
        <w:rPr>
          <w:rFonts w:ascii="Calibri" w:hAnsi="Calibri" w:cs="Calibri"/>
          <w:color w:val="000000"/>
          <w:sz w:val="22"/>
          <w:szCs w:val="22"/>
        </w:rPr>
        <w:t xml:space="preserve"> and Gall, 2019)</w:t>
      </w:r>
      <w:r w:rsidR="00AE57C3" w:rsidRPr="00424245">
        <w:rPr>
          <w:rFonts w:ascii="Calibri" w:hAnsi="Calibri" w:cs="Calibri"/>
          <w:sz w:val="22"/>
          <w:szCs w:val="22"/>
        </w:rPr>
        <w:t>.</w:t>
      </w:r>
    </w:p>
    <w:p w14:paraId="65363DDC" w14:textId="77777777" w:rsidR="00AE57C3" w:rsidRPr="00424245" w:rsidRDefault="00AE57C3" w:rsidP="00E05DCE">
      <w:pPr>
        <w:spacing w:line="480" w:lineRule="auto"/>
        <w:jc w:val="both"/>
        <w:rPr>
          <w:rFonts w:ascii="Calibri" w:hAnsi="Calibri" w:cs="Calibri"/>
          <w:sz w:val="22"/>
          <w:szCs w:val="22"/>
        </w:rPr>
      </w:pPr>
    </w:p>
    <w:p w14:paraId="4F0EEA04" w14:textId="68F3D0FE" w:rsidR="00AE57C3" w:rsidRPr="00424245" w:rsidRDefault="00AE57C3" w:rsidP="00E05DCE">
      <w:pPr>
        <w:spacing w:line="480" w:lineRule="auto"/>
        <w:jc w:val="both"/>
        <w:rPr>
          <w:rFonts w:ascii="Calibri" w:hAnsi="Calibri" w:cs="Calibri"/>
          <w:sz w:val="22"/>
          <w:szCs w:val="22"/>
        </w:rPr>
      </w:pPr>
      <w:r w:rsidRPr="00424245">
        <w:rPr>
          <w:rFonts w:ascii="Calibri" w:hAnsi="Calibri" w:cs="Calibri"/>
          <w:sz w:val="22"/>
          <w:szCs w:val="22"/>
        </w:rPr>
        <w:t>The underlying actuality of many work situations is another important issue. Prioritising personal wellbeing is challenging due to heavy caseloads, shortages of staff, organisational demands, and little opportunity for breaks or introspection. Self-care may seem like an unattainable indulgence rather than a need when workloads are continuously high. Practitioners may also misjudge the long-term impact of secondary stress in sectors where exposure to trauma or intense emotions is common. Emotional exhaustion steadily increases when there is no room for supervision, processing, or relaxation. Organisational mentality can also contribute to a lack of self-care. There may be an unwritten obligation in certain industries to constantly be available, remain late, or prioritise clients above all else. If they set limitations, new practitioners might take on these standards and worry about being perceived as weak or uncommitted</w:t>
      </w:r>
      <w:r w:rsidR="00424245" w:rsidRPr="00424245">
        <w:rPr>
          <w:rFonts w:ascii="Calibri" w:hAnsi="Calibri" w:cs="Calibri"/>
          <w:sz w:val="22"/>
          <w:szCs w:val="22"/>
        </w:rPr>
        <w:t xml:space="preserve"> </w:t>
      </w:r>
      <w:r w:rsidR="00424245" w:rsidRPr="00424245">
        <w:rPr>
          <w:rFonts w:ascii="Calibri" w:hAnsi="Calibri" w:cs="Calibri"/>
          <w:color w:val="000000"/>
          <w:sz w:val="22"/>
          <w:szCs w:val="22"/>
        </w:rPr>
        <w:t>(</w:t>
      </w:r>
      <w:proofErr w:type="spellStart"/>
      <w:r w:rsidR="00424245" w:rsidRPr="00424245">
        <w:rPr>
          <w:rFonts w:ascii="Calibri" w:hAnsi="Calibri" w:cs="Calibri"/>
          <w:color w:val="000000"/>
          <w:sz w:val="22"/>
          <w:szCs w:val="22"/>
        </w:rPr>
        <w:t>Gotink</w:t>
      </w:r>
      <w:proofErr w:type="spellEnd"/>
      <w:r w:rsidR="00424245" w:rsidRPr="00424245">
        <w:rPr>
          <w:rFonts w:ascii="Calibri" w:hAnsi="Calibri" w:cs="Calibri"/>
          <w:color w:val="000000"/>
          <w:sz w:val="22"/>
          <w:szCs w:val="22"/>
        </w:rPr>
        <w:t xml:space="preserve"> et al. 2015)</w:t>
      </w:r>
      <w:r w:rsidRPr="00424245">
        <w:rPr>
          <w:rFonts w:ascii="Calibri" w:hAnsi="Calibri" w:cs="Calibri"/>
          <w:sz w:val="22"/>
          <w:szCs w:val="22"/>
        </w:rPr>
        <w:t xml:space="preserve">. This eventually results in diminished resilience, burnout, and decreased efficacy. It demands combined systemic reform and individual approaches for dealing with self-care. Practitioners gain from consciously planning time for restorative activities and becoming conscious of their own indicators of stress on an individual basis.   This could entail establishing boundaries for effort, preserving a positive work-life balance, participating in frequent supervision, and looking for peer support. Additionally, practitioners can avoid overwhelm and maintain emotional control by using grounding techniques, mindfulness, and meditation. However, self-care requires more than just personal effort. Organisations need to cultivate an atmosphere that prioritises well-being. This entails encouraging reasonable caseloads, establishing </w:t>
      </w:r>
      <w:r w:rsidRPr="00424245">
        <w:rPr>
          <w:rFonts w:ascii="Calibri" w:hAnsi="Calibri" w:cs="Calibri"/>
          <w:sz w:val="22"/>
          <w:szCs w:val="22"/>
        </w:rPr>
        <w:lastRenderedPageBreak/>
        <w:t>mental health services, conducting frequent clinical supervision, and promoting candid discussions about burnout and psychological stress.   Leaders can provide an example of appropriate boundaries and stress that taking care of oneself enhances rather than diminishes professional ability. In the end, addressing self-care entails acknowledging that ethical, successful practice depends on practitioners' well-being. Practitioners are better able to give their all when they feel provided for and empowered, both for themselves and the clients they work with</w:t>
      </w:r>
      <w:r w:rsidR="00424245" w:rsidRPr="00424245">
        <w:rPr>
          <w:rFonts w:ascii="Calibri" w:hAnsi="Calibri" w:cs="Calibri"/>
          <w:sz w:val="22"/>
          <w:szCs w:val="22"/>
        </w:rPr>
        <w:t xml:space="preserve"> </w:t>
      </w:r>
      <w:r w:rsidR="00424245" w:rsidRPr="00424245">
        <w:rPr>
          <w:rFonts w:ascii="Calibri" w:hAnsi="Calibri" w:cs="Calibri"/>
          <w:color w:val="000000"/>
          <w:sz w:val="22"/>
          <w:szCs w:val="22"/>
        </w:rPr>
        <w:t>(</w:t>
      </w:r>
      <w:proofErr w:type="spellStart"/>
      <w:r w:rsidR="00424245" w:rsidRPr="00424245">
        <w:rPr>
          <w:rFonts w:ascii="Calibri" w:hAnsi="Calibri" w:cs="Calibri"/>
          <w:color w:val="000000"/>
          <w:sz w:val="22"/>
          <w:szCs w:val="22"/>
        </w:rPr>
        <w:t>Gotink</w:t>
      </w:r>
      <w:proofErr w:type="spellEnd"/>
      <w:r w:rsidR="00424245" w:rsidRPr="00424245">
        <w:rPr>
          <w:rFonts w:ascii="Calibri" w:hAnsi="Calibri" w:cs="Calibri"/>
          <w:color w:val="000000"/>
          <w:sz w:val="22"/>
          <w:szCs w:val="22"/>
        </w:rPr>
        <w:t xml:space="preserve"> et al. 2015)</w:t>
      </w:r>
      <w:r w:rsidRPr="00424245">
        <w:rPr>
          <w:rFonts w:ascii="Calibri" w:hAnsi="Calibri" w:cs="Calibri"/>
          <w:sz w:val="22"/>
          <w:szCs w:val="22"/>
        </w:rPr>
        <w:t>.</w:t>
      </w:r>
    </w:p>
    <w:p w14:paraId="7DDFA18C" w14:textId="77777777" w:rsidR="00290AD8" w:rsidRPr="00424245" w:rsidRDefault="00290AD8" w:rsidP="00E05DCE">
      <w:pPr>
        <w:spacing w:line="480" w:lineRule="auto"/>
        <w:rPr>
          <w:rFonts w:ascii="Calibri" w:hAnsi="Calibri" w:cs="Calibri"/>
          <w:sz w:val="22"/>
          <w:szCs w:val="22"/>
        </w:rPr>
      </w:pPr>
    </w:p>
    <w:p w14:paraId="0F7AAB38" w14:textId="6F5BFD64" w:rsidR="00290AD8" w:rsidRPr="00424245" w:rsidRDefault="00323471" w:rsidP="00E05DCE">
      <w:pPr>
        <w:spacing w:line="480" w:lineRule="auto"/>
        <w:jc w:val="both"/>
        <w:rPr>
          <w:rFonts w:ascii="Calibri" w:hAnsi="Calibri" w:cs="Calibri"/>
          <w:sz w:val="22"/>
          <w:szCs w:val="22"/>
        </w:rPr>
      </w:pPr>
      <w:r w:rsidRPr="00424245">
        <w:rPr>
          <w:rFonts w:ascii="Calibri" w:hAnsi="Calibri" w:cs="Calibri"/>
          <w:sz w:val="22"/>
          <w:szCs w:val="22"/>
        </w:rPr>
        <w:t>To conclude, Amira's circumstances highlight the intricate relationship between ACEs, disturbed attachment, and the requirement for ongoing, trauma-informed support in the educational setting. A steady, caring attitude is essential to her continued wellness since it gives her stability in her daily school routines and aids in her transition to her grandparents' care. By fostering trust and resilience, interventions including emotional monitoring, the provision of safe spaces, and customised pastoral assistance might reduce the long-term developmental problems linked to early adversity. The practitioner's responsibility to preserve Amira's account in a safe and moral manner is equally crucial. In addition to empathy, attentive listening, and well-defined safeguarding protocols, supporting an individual who discloses serious neglect necessitates continual introspection to avoid emotional overload. Practitioners can stay focused and productive in their work by upholding professional boundaries, requesting frequent supervision, and practicing restorative self-care. The conversation has emphasised the need of resilience techniques in preventing burnout and providing excellent therapy for children who are at risk, such as support from peers, reflective practice, and establishing equilibrium between home and work. In the end, protecting Amira's future rests not only on the right actions for her but also on the health of the specialists who are dedicated to helping her.</w:t>
      </w:r>
    </w:p>
    <w:p w14:paraId="625B6A9A" w14:textId="77777777" w:rsidR="00290AD8" w:rsidRDefault="00290AD8" w:rsidP="00E05DCE">
      <w:pPr>
        <w:spacing w:line="480" w:lineRule="auto"/>
      </w:pPr>
    </w:p>
    <w:p w14:paraId="1CE95B9A" w14:textId="77777777" w:rsidR="00290AD8" w:rsidRDefault="00290AD8" w:rsidP="00E05DCE">
      <w:pPr>
        <w:spacing w:line="480" w:lineRule="auto"/>
      </w:pPr>
    </w:p>
    <w:p w14:paraId="2B019163" w14:textId="77777777" w:rsidR="00290AD8" w:rsidRDefault="00290AD8"/>
    <w:p w14:paraId="730B2394" w14:textId="77777777" w:rsidR="00281831" w:rsidRDefault="00281831"/>
    <w:p w14:paraId="5842BB04" w14:textId="77777777" w:rsidR="00281831" w:rsidRDefault="00281831"/>
    <w:p w14:paraId="21A3957D" w14:textId="77777777" w:rsidR="00290AD8" w:rsidRDefault="00290AD8"/>
    <w:p w14:paraId="7E9FBCF7" w14:textId="732158C8" w:rsidR="00290AD8" w:rsidRPr="00281831" w:rsidRDefault="00290AD8">
      <w:pPr>
        <w:rPr>
          <w:rFonts w:ascii="Calibri" w:hAnsi="Calibri" w:cs="Calibri"/>
        </w:rPr>
      </w:pPr>
      <w:r w:rsidRPr="00281831">
        <w:rPr>
          <w:rFonts w:ascii="Calibri" w:hAnsi="Calibri" w:cs="Calibri"/>
        </w:rPr>
        <w:t xml:space="preserve">References: </w:t>
      </w:r>
    </w:p>
    <w:p w14:paraId="69F94523" w14:textId="77777777" w:rsidR="00424245" w:rsidRPr="00281831" w:rsidRDefault="00424245" w:rsidP="00424245">
      <w:pPr>
        <w:pStyle w:val="NormalWeb"/>
        <w:spacing w:before="0" w:beforeAutospacing="0" w:after="0" w:afterAutospacing="0" w:line="480" w:lineRule="atLeast"/>
        <w:ind w:left="720"/>
        <w:rPr>
          <w:rFonts w:ascii="Calibri" w:hAnsi="Calibri" w:cs="Calibri"/>
          <w:color w:val="000000"/>
        </w:rPr>
      </w:pPr>
    </w:p>
    <w:p w14:paraId="1ADE4D39" w14:textId="77777777" w:rsidR="00424245" w:rsidRPr="00424245" w:rsidRDefault="00424245" w:rsidP="00340852">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“Supplemental Material for Trauma-Focused Cognitive–</w:t>
      </w:r>
      <w:proofErr w:type="spellStart"/>
      <w:r w:rsidRPr="00424245">
        <w:rPr>
          <w:rFonts w:ascii="Calibri" w:hAnsi="Calibri" w:cs="Calibri"/>
          <w:color w:val="000000"/>
          <w:sz w:val="22"/>
          <w:szCs w:val="22"/>
        </w:rPr>
        <w:t>Behavioral</w:t>
      </w:r>
      <w:proofErr w:type="spellEnd"/>
      <w:r w:rsidRPr="00424245">
        <w:rPr>
          <w:rFonts w:ascii="Calibri" w:hAnsi="Calibri" w:cs="Calibri"/>
          <w:color w:val="000000"/>
          <w:sz w:val="22"/>
          <w:szCs w:val="22"/>
        </w:rPr>
        <w:t xml:space="preserve"> Therapy (TF-CBT) for Interpersonal Trauma in Transitional-Aged Youth.”</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Psychological Trauma: Theory, Research, Practice, and Policy</w:t>
      </w:r>
      <w:r w:rsidRPr="00424245">
        <w:rPr>
          <w:rFonts w:ascii="Calibri" w:hAnsi="Calibri" w:cs="Calibri"/>
          <w:color w:val="000000"/>
          <w:sz w:val="22"/>
          <w:szCs w:val="22"/>
        </w:rPr>
        <w:t>, 2021, https://doi.org/10.1037/tra0001016.supp.</w:t>
      </w:r>
    </w:p>
    <w:p w14:paraId="5D4540B2" w14:textId="77777777" w:rsidR="00424245" w:rsidRPr="00424245" w:rsidRDefault="00424245" w:rsidP="001754A6">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Anda, Robert F. “Adverse Childhood Experiences and Smoking during Adolescence and Adulthood.”</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JAMA</w:t>
      </w:r>
      <w:r w:rsidRPr="00424245">
        <w:rPr>
          <w:rFonts w:ascii="Calibri" w:hAnsi="Calibri" w:cs="Calibri"/>
          <w:color w:val="000000"/>
          <w:sz w:val="22"/>
          <w:szCs w:val="22"/>
        </w:rPr>
        <w:t>, vol. 282, no. 17, 3 Nov. 1999, p. 1652, https://doi.org/10.1001/jama.282.17.1652.</w:t>
      </w:r>
    </w:p>
    <w:p w14:paraId="44CFE752"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Dattilio, Frank M. “The Self-Care of Psychologists and Mental Health Professionals: A Review and Practitioner Guide.”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Australian Psychologist</w:t>
      </w:r>
      <w:r w:rsidRPr="00424245">
        <w:rPr>
          <w:rFonts w:ascii="Calibri" w:hAnsi="Calibri" w:cs="Calibri"/>
          <w:color w:val="000000"/>
          <w:sz w:val="22"/>
          <w:szCs w:val="22"/>
        </w:rPr>
        <w:t>, vol. 50, no. 6, 10 Nov. 2015, pp. 393–399, https://doi.org/10.1111/ap.12157.</w:t>
      </w:r>
    </w:p>
    <w:p w14:paraId="76EA1BE3" w14:textId="77777777" w:rsidR="00424245" w:rsidRPr="00424245" w:rsidRDefault="00424245" w:rsidP="001A2BF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Felitti, Vincent J., et al. “Relationship of Childhood Abuse and Household Dysfunction to Many of the Leading Causes of Death in Adults: The Adverse Childhood Experiences (ACE) Study.”</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American Journal of Preventive Medicine</w:t>
      </w:r>
      <w:r w:rsidRPr="00424245">
        <w:rPr>
          <w:rFonts w:ascii="Calibri" w:hAnsi="Calibri" w:cs="Calibri"/>
          <w:color w:val="000000"/>
          <w:sz w:val="22"/>
          <w:szCs w:val="22"/>
        </w:rPr>
        <w:t>, vol. 56, no. 6, 1998, pp. 774–786, https://doi.org/10.1016/j.amepre.2019.04.001.</w:t>
      </w:r>
    </w:p>
    <w:p w14:paraId="0E3CD146"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Flaherty, Emalee G., et al. “Adverse Childhood Experiences and Child Health in Early Adolescence.”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JAMA </w:t>
      </w:r>
      <w:proofErr w:type="spellStart"/>
      <w:r w:rsidRPr="00424245">
        <w:rPr>
          <w:rFonts w:ascii="Calibri" w:hAnsi="Calibri" w:cs="Calibri"/>
          <w:i/>
          <w:iCs/>
          <w:color w:val="000000"/>
          <w:sz w:val="22"/>
          <w:szCs w:val="22"/>
        </w:rPr>
        <w:t>Pediatrics</w:t>
      </w:r>
      <w:proofErr w:type="spellEnd"/>
      <w:r w:rsidRPr="00424245">
        <w:rPr>
          <w:rFonts w:ascii="Calibri" w:hAnsi="Calibri" w:cs="Calibri"/>
          <w:color w:val="000000"/>
          <w:sz w:val="22"/>
          <w:szCs w:val="22"/>
        </w:rPr>
        <w:t>, vol. 167, no. 7, 1 July 2013, p. 622, www.ncbi.nlm.nih.gov/pmc/articles/PMC3732117/, https://doi.org/10.1001/jamapediatrics.2013.22.</w:t>
      </w:r>
    </w:p>
    <w:p w14:paraId="4E351D01" w14:textId="77777777" w:rsidR="00424245" w:rsidRPr="00424245" w:rsidRDefault="00424245" w:rsidP="00424245">
      <w:pPr>
        <w:pStyle w:val="NormalWeb"/>
        <w:numPr>
          <w:ilvl w:val="0"/>
          <w:numId w:val="7"/>
        </w:numPr>
        <w:spacing w:before="0" w:beforeAutospacing="0" w:after="0" w:afterAutospacing="0" w:line="480" w:lineRule="atLeast"/>
        <w:rPr>
          <w:rFonts w:ascii="Calibri" w:hAnsi="Calibri" w:cs="Calibri"/>
          <w:color w:val="000000"/>
          <w:sz w:val="22"/>
          <w:szCs w:val="22"/>
        </w:rPr>
      </w:pPr>
      <w:proofErr w:type="spellStart"/>
      <w:r w:rsidRPr="00424245">
        <w:rPr>
          <w:rFonts w:ascii="Calibri" w:hAnsi="Calibri" w:cs="Calibri"/>
          <w:color w:val="000000"/>
          <w:sz w:val="22"/>
          <w:szCs w:val="22"/>
        </w:rPr>
        <w:t>Gotink</w:t>
      </w:r>
      <w:proofErr w:type="spellEnd"/>
      <w:r w:rsidRPr="00424245">
        <w:rPr>
          <w:rFonts w:ascii="Calibri" w:hAnsi="Calibri" w:cs="Calibri"/>
          <w:color w:val="000000"/>
          <w:sz w:val="22"/>
          <w:szCs w:val="22"/>
        </w:rPr>
        <w:t xml:space="preserve">, </w:t>
      </w:r>
      <w:proofErr w:type="spellStart"/>
      <w:r w:rsidRPr="00424245">
        <w:rPr>
          <w:rFonts w:ascii="Calibri" w:hAnsi="Calibri" w:cs="Calibri"/>
          <w:color w:val="000000"/>
          <w:sz w:val="22"/>
          <w:szCs w:val="22"/>
        </w:rPr>
        <w:t>Rinske</w:t>
      </w:r>
      <w:proofErr w:type="spellEnd"/>
      <w:r w:rsidRPr="00424245">
        <w:rPr>
          <w:rFonts w:ascii="Calibri" w:hAnsi="Calibri" w:cs="Calibri"/>
          <w:color w:val="000000"/>
          <w:sz w:val="22"/>
          <w:szCs w:val="22"/>
        </w:rPr>
        <w:t xml:space="preserve"> A., et al. “Standardised Mindfulness-Based Interventions in Healthcare: An Overview of Systematic Reviews and Meta-Analyses of RCTs.”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PLOS ONE</w:t>
      </w:r>
      <w:r w:rsidRPr="00424245">
        <w:rPr>
          <w:rFonts w:ascii="Calibri" w:hAnsi="Calibri" w:cs="Calibri"/>
          <w:color w:val="000000"/>
          <w:sz w:val="22"/>
          <w:szCs w:val="22"/>
        </w:rPr>
        <w:t>, vol. 10, no. 4, 16 Apr. 2015, p. e0124344, www.ncbi.nlm.nih.gov/pmc/articles/PMC4400080/, https://doi.org/10.1371/journal.pone.0124344. Accessed 28 Nov. 2019.</w:t>
      </w:r>
    </w:p>
    <w:p w14:paraId="66A6A081"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Hesterman, Meghan.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The Effects of Adverse Childhood Experiences on Long-Term Brain Development and Health</w:t>
      </w:r>
      <w:r w:rsidRPr="00424245">
        <w:rPr>
          <w:rFonts w:ascii="Calibri" w:hAnsi="Calibri" w:cs="Calibri"/>
          <w:color w:val="000000"/>
          <w:sz w:val="22"/>
          <w:szCs w:val="22"/>
        </w:rPr>
        <w:t>. Vol. 12, no. 1, 15 June 2021. Accessed 3 Dec. 2025.</w:t>
      </w:r>
    </w:p>
    <w:p w14:paraId="21685958"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Karuna, Christo, et al. “Prevalence of Burnout among General Practitioners: A Systematic Review and Meta-Analysis.”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British Journal of General Practice</w:t>
      </w:r>
      <w:r w:rsidRPr="00424245">
        <w:rPr>
          <w:rFonts w:ascii="Calibri" w:hAnsi="Calibri" w:cs="Calibri"/>
          <w:color w:val="000000"/>
          <w:sz w:val="22"/>
          <w:szCs w:val="22"/>
        </w:rPr>
        <w:t>, vol. 72, no. 718, 23 Dec. 2021, p. BJGP.2021.0441, https://doi.org/10.3399/bjgp.2021.0441.</w:t>
      </w:r>
    </w:p>
    <w:p w14:paraId="3B384EB3"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lastRenderedPageBreak/>
        <w:t>Kim, Youngmi, et al. “Patterns of Adverse Childhood Experiences and Depressive Symptoms: Self-Esteem as a Mediating Mechanism.”</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Social Psychiatry and Psychiatric Epidemiology</w:t>
      </w:r>
      <w:r w:rsidRPr="00424245">
        <w:rPr>
          <w:rFonts w:ascii="Calibri" w:hAnsi="Calibri" w:cs="Calibri"/>
          <w:color w:val="000000"/>
          <w:sz w:val="22"/>
          <w:szCs w:val="22"/>
        </w:rPr>
        <w:t>, vol. 57, no. 2, 30 June 2021, link.springer.com/article/10.1007/S00127-021-02129-2, https://doi.org/10.1007/s00127-021-02129-2.</w:t>
      </w:r>
    </w:p>
    <w:p w14:paraId="7A2FF8AC" w14:textId="77777777" w:rsidR="00424245" w:rsidRPr="00424245" w:rsidRDefault="00424245" w:rsidP="00D22DAA">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 xml:space="preserve">Leza, Leire, et al. “Adverse Childhood Experiences (ACEs) and </w:t>
      </w:r>
      <w:proofErr w:type="gramStart"/>
      <w:r w:rsidRPr="00424245">
        <w:rPr>
          <w:rFonts w:ascii="Calibri" w:hAnsi="Calibri" w:cs="Calibri"/>
          <w:color w:val="000000"/>
          <w:sz w:val="22"/>
          <w:szCs w:val="22"/>
        </w:rPr>
        <w:t>Substance Use Disorder</w:t>
      </w:r>
      <w:proofErr w:type="gramEnd"/>
      <w:r w:rsidRPr="00424245">
        <w:rPr>
          <w:rFonts w:ascii="Calibri" w:hAnsi="Calibri" w:cs="Calibri"/>
          <w:color w:val="000000"/>
          <w:sz w:val="22"/>
          <w:szCs w:val="22"/>
        </w:rPr>
        <w:t xml:space="preserve"> (SUD): A Scoping Review.”</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Drug and Alcohol Dependence</w:t>
      </w:r>
      <w:r w:rsidRPr="00424245">
        <w:rPr>
          <w:rFonts w:ascii="Calibri" w:hAnsi="Calibri" w:cs="Calibri"/>
          <w:color w:val="000000"/>
          <w:sz w:val="22"/>
          <w:szCs w:val="22"/>
        </w:rPr>
        <w:t>, vol. 221, no. 1, Jan. 2021, p. 108563, www.sciencedirect.com/science/article/pii/S0376871621000582?via%3Dihub, https://doi.org/10.1016/j.drugalcdep.2021.108563.</w:t>
      </w:r>
    </w:p>
    <w:p w14:paraId="1D63E1E9" w14:textId="77777777" w:rsidR="00424245" w:rsidRPr="00424245" w:rsidRDefault="00424245" w:rsidP="00147B24">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Lloyd, Marguerite Cooper. “At the Heart of Trauma-Informed 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of Whole Person Care</w:t>
      </w:r>
      <w:r w:rsidRPr="00424245">
        <w:rPr>
          <w:rFonts w:ascii="Calibri" w:hAnsi="Calibri" w:cs="Calibri"/>
          <w:color w:val="000000"/>
          <w:sz w:val="22"/>
          <w:szCs w:val="22"/>
        </w:rPr>
        <w:t>, vol. 6, no. 1, 10 Jan. 2019, p. 22, https://doi.org/10.26443/ijwpc.v6i1.193.</w:t>
      </w:r>
    </w:p>
    <w:p w14:paraId="1BDE720D" w14:textId="77777777" w:rsidR="00424245" w:rsidRPr="00424245" w:rsidRDefault="00424245" w:rsidP="00B733F8">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Lyons, Kiara, and Bin Suh. “Impact of Adverse Childhood Experiences (ACEs) and Positive Childhood Experiences (PCEs) on Mental Health among Children Aged 6–17 (2021−2022).”</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Journal of Affective Disorders</w:t>
      </w:r>
      <w:r w:rsidRPr="00424245">
        <w:rPr>
          <w:rFonts w:ascii="Calibri" w:hAnsi="Calibri" w:cs="Calibri"/>
          <w:color w:val="000000"/>
          <w:sz w:val="22"/>
          <w:szCs w:val="22"/>
        </w:rPr>
        <w:t>, vol. 391, Dec. 2025, p. 120070, https://doi.org/10.1016/j.jad.2025.120070. Accessed 26 Aug. 2025.</w:t>
      </w:r>
    </w:p>
    <w:p w14:paraId="3FCA1E5C"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 xml:space="preserve">Navalta, Carryl P., et al. “Adverse Childhood Experiences, Brain Development, and Mental Health: A Call for </w:t>
      </w:r>
      <w:proofErr w:type="spellStart"/>
      <w:r w:rsidRPr="00424245">
        <w:rPr>
          <w:rFonts w:ascii="Calibri" w:hAnsi="Calibri" w:cs="Calibri"/>
          <w:color w:val="000000"/>
          <w:sz w:val="22"/>
          <w:szCs w:val="22"/>
        </w:rPr>
        <w:t>Neurocounseling</w:t>
      </w:r>
      <w:proofErr w:type="spellEnd"/>
      <w:r w:rsidRPr="00424245">
        <w:rPr>
          <w:rFonts w:ascii="Calibri" w:hAnsi="Calibri" w:cs="Calibri"/>
          <w:color w:val="000000"/>
          <w:sz w:val="22"/>
          <w:szCs w:val="22"/>
        </w:rPr>
        <w:t>.”</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Journal of Mental Health </w:t>
      </w:r>
      <w:proofErr w:type="spellStart"/>
      <w:r w:rsidRPr="00424245">
        <w:rPr>
          <w:rFonts w:ascii="Calibri" w:hAnsi="Calibri" w:cs="Calibri"/>
          <w:i/>
          <w:iCs/>
          <w:color w:val="000000"/>
          <w:sz w:val="22"/>
          <w:szCs w:val="22"/>
        </w:rPr>
        <w:t>Counseling</w:t>
      </w:r>
      <w:proofErr w:type="spellEnd"/>
      <w:r w:rsidRPr="00424245">
        <w:rPr>
          <w:rFonts w:ascii="Calibri" w:hAnsi="Calibri" w:cs="Calibri"/>
          <w:color w:val="000000"/>
          <w:sz w:val="22"/>
          <w:szCs w:val="22"/>
        </w:rPr>
        <w:t>, vol. 40, no. 3, July 2018, pp. 266–278, https://doi.org/10.17744/mehc.40.3.07.</w:t>
      </w:r>
    </w:p>
    <w:p w14:paraId="47FB8DC2" w14:textId="77777777" w:rsidR="00424245" w:rsidRPr="00424245" w:rsidRDefault="00424245" w:rsidP="00195DF0">
      <w:pPr>
        <w:pStyle w:val="NormalWeb"/>
        <w:numPr>
          <w:ilvl w:val="0"/>
          <w:numId w:val="7"/>
        </w:numPr>
        <w:spacing w:before="0" w:beforeAutospacing="0" w:after="0" w:afterAutospacing="0" w:line="480" w:lineRule="atLeast"/>
        <w:rPr>
          <w:rFonts w:ascii="Calibri" w:hAnsi="Calibri" w:cs="Calibri"/>
          <w:color w:val="000000"/>
          <w:sz w:val="22"/>
          <w:szCs w:val="22"/>
        </w:rPr>
      </w:pPr>
      <w:proofErr w:type="spellStart"/>
      <w:r w:rsidRPr="00424245">
        <w:rPr>
          <w:rFonts w:ascii="Calibri" w:hAnsi="Calibri" w:cs="Calibri"/>
          <w:color w:val="000000"/>
          <w:sz w:val="22"/>
          <w:szCs w:val="22"/>
        </w:rPr>
        <w:t>Posluns</w:t>
      </w:r>
      <w:proofErr w:type="spellEnd"/>
      <w:r w:rsidRPr="00424245">
        <w:rPr>
          <w:rFonts w:ascii="Calibri" w:hAnsi="Calibri" w:cs="Calibri"/>
          <w:color w:val="000000"/>
          <w:sz w:val="22"/>
          <w:szCs w:val="22"/>
        </w:rPr>
        <w:t>, Kirsten, and Terry Lynn Gall. “Dear Mental Health Practitioners, Take Care of Yourselves: A Literature Review on Self-Care.”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for the Advancement of Counselling</w:t>
      </w:r>
      <w:r w:rsidRPr="00424245">
        <w:rPr>
          <w:rFonts w:ascii="Calibri" w:hAnsi="Calibri" w:cs="Calibri"/>
          <w:color w:val="000000"/>
          <w:sz w:val="22"/>
          <w:szCs w:val="22"/>
        </w:rPr>
        <w:t>, vol. 42, no. 1, 2019, pp. 1–20, pmc.ncbi.nlm.nih.gov/articles/PMC7223989/, https://doi.org/10.1007/s10447-019-09382-w.</w:t>
      </w:r>
    </w:p>
    <w:p w14:paraId="187A1941" w14:textId="77777777" w:rsidR="00424245" w:rsidRPr="00424245" w:rsidRDefault="00424245" w:rsidP="000162D9">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Reeves, Elizabeth. “A Synthesis of the Literature on Trauma-Informed Care.”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Issues in Mental Health Nursing</w:t>
      </w:r>
      <w:r w:rsidRPr="00424245">
        <w:rPr>
          <w:rFonts w:ascii="Calibri" w:hAnsi="Calibri" w:cs="Calibri"/>
          <w:color w:val="000000"/>
          <w:sz w:val="22"/>
          <w:szCs w:val="22"/>
        </w:rPr>
        <w:t>, vol. 36, no. 9, 2 Sept. 2015, pp. 698–709, https://doi.org/10.3109/01612840.2015.1025319.</w:t>
      </w:r>
    </w:p>
    <w:p w14:paraId="1F279AEC"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Robinson, Tobiah.</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The Impact of Trauma and Adverse Childhood Experiences on Adolescent Academic Achievement</w:t>
      </w:r>
      <w:r w:rsidRPr="00424245">
        <w:rPr>
          <w:rFonts w:ascii="Calibri" w:hAnsi="Calibri" w:cs="Calibri"/>
          <w:color w:val="000000"/>
          <w:sz w:val="22"/>
          <w:szCs w:val="22"/>
        </w:rPr>
        <w:t>. 1 Jan. 2020. Accessed 3 Dec. 2025.</w:t>
      </w:r>
    </w:p>
    <w:p w14:paraId="4D6F0E13"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lastRenderedPageBreak/>
        <w:t>Skovholt, Thomas M, and Michelle Trotter-Mathison.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The Resilient </w:t>
      </w:r>
      <w:proofErr w:type="gramStart"/>
      <w:r w:rsidRPr="00424245">
        <w:rPr>
          <w:rFonts w:ascii="Calibri" w:hAnsi="Calibri" w:cs="Calibri"/>
          <w:i/>
          <w:iCs/>
          <w:color w:val="000000"/>
          <w:sz w:val="22"/>
          <w:szCs w:val="22"/>
        </w:rPr>
        <w:t>Practitioner :</w:t>
      </w:r>
      <w:proofErr w:type="gramEnd"/>
      <w:r w:rsidRPr="00424245">
        <w:rPr>
          <w:rFonts w:ascii="Calibri" w:hAnsi="Calibri" w:cs="Calibri"/>
          <w:i/>
          <w:iCs/>
          <w:color w:val="000000"/>
          <w:sz w:val="22"/>
          <w:szCs w:val="22"/>
        </w:rPr>
        <w:t xml:space="preserve"> Burnout Prevention and Self-Care Strategies for </w:t>
      </w:r>
      <w:proofErr w:type="spellStart"/>
      <w:r w:rsidRPr="00424245">
        <w:rPr>
          <w:rFonts w:ascii="Calibri" w:hAnsi="Calibri" w:cs="Calibri"/>
          <w:i/>
          <w:iCs/>
          <w:color w:val="000000"/>
          <w:sz w:val="22"/>
          <w:szCs w:val="22"/>
        </w:rPr>
        <w:t>Counselors</w:t>
      </w:r>
      <w:proofErr w:type="spellEnd"/>
      <w:r w:rsidRPr="00424245">
        <w:rPr>
          <w:rFonts w:ascii="Calibri" w:hAnsi="Calibri" w:cs="Calibri"/>
          <w:i/>
          <w:iCs/>
          <w:color w:val="000000"/>
          <w:sz w:val="22"/>
          <w:szCs w:val="22"/>
        </w:rPr>
        <w:t>, Therapists, Teachers, and Health Professionals</w:t>
      </w:r>
      <w:r w:rsidRPr="00424245">
        <w:rPr>
          <w:rFonts w:ascii="Calibri" w:hAnsi="Calibri" w:cs="Calibri"/>
          <w:color w:val="000000"/>
          <w:sz w:val="22"/>
          <w:szCs w:val="22"/>
        </w:rPr>
        <w:t>. New York, Routledge, 2016.</w:t>
      </w:r>
    </w:p>
    <w:p w14:paraId="387BCD8A"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T.H, Sonika, and Dr. Aashna Narula. “Early Trauma: Understanding Attachments in Relationships.”</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International Journal of Interdisciplinary Approaches in Psychology</w:t>
      </w:r>
      <w:r w:rsidRPr="00424245">
        <w:rPr>
          <w:rFonts w:ascii="Calibri" w:hAnsi="Calibri" w:cs="Calibri"/>
          <w:color w:val="000000"/>
          <w:sz w:val="22"/>
          <w:szCs w:val="22"/>
        </w:rPr>
        <w:t>, vol. 3, no. 11, 17 Nov. 2025, https://doi.org/10.61113/ijiap.v3i11.1195. Accessed 23 Nov. 2025.</w:t>
      </w:r>
    </w:p>
    <w:p w14:paraId="0088EA6C" w14:textId="77777777" w:rsidR="00424245" w:rsidRPr="00424245" w:rsidRDefault="00424245" w:rsidP="001754A6">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Tanner, Mackenzie A., and Sarah E. Francis. “Protective Factors for Adverse Childhood Experiences: The Role of Emotion Regulation and Attachment.”</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Journal of Child and Family Studies</w:t>
      </w:r>
      <w:r w:rsidRPr="00424245">
        <w:rPr>
          <w:rFonts w:ascii="Calibri" w:hAnsi="Calibri" w:cs="Calibri"/>
          <w:color w:val="000000"/>
          <w:sz w:val="22"/>
          <w:szCs w:val="22"/>
        </w:rPr>
        <w:t>, vol. 34, 3 Jan. 2025, https://doi.org/10.1007/s10826-024-02989-7.</w:t>
      </w:r>
    </w:p>
    <w:p w14:paraId="1F95E90F" w14:textId="77777777" w:rsidR="00424245" w:rsidRPr="00424245" w:rsidRDefault="00424245" w:rsidP="00AA0EC5">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Verhoef, Nicolaas Cornelis, and Robert Jan Blomme. “Burnout among General Practitioners, a Systematic Quantitative Review of the Literature on Determinants of Burnout and Their Ecological Value.”</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Frontiers in Psychology</w:t>
      </w:r>
      <w:r w:rsidRPr="00424245">
        <w:rPr>
          <w:rFonts w:ascii="Calibri" w:hAnsi="Calibri" w:cs="Calibri"/>
          <w:color w:val="000000"/>
          <w:sz w:val="22"/>
          <w:szCs w:val="22"/>
        </w:rPr>
        <w:t>, vol. 13, 15 Dec. 2022, https://doi.org/10.3389/fpsyg.2022.1064889.</w:t>
      </w:r>
    </w:p>
    <w:p w14:paraId="551AA44A" w14:textId="77777777" w:rsidR="00424245" w:rsidRPr="00424245" w:rsidRDefault="00424245" w:rsidP="00281831">
      <w:pPr>
        <w:pStyle w:val="NormalWeb"/>
        <w:numPr>
          <w:ilvl w:val="0"/>
          <w:numId w:val="7"/>
        </w:numPr>
        <w:spacing w:before="0" w:beforeAutospacing="0" w:after="0" w:afterAutospacing="0" w:line="480" w:lineRule="atLeast"/>
        <w:rPr>
          <w:rFonts w:ascii="Calibri" w:hAnsi="Calibri" w:cs="Calibri"/>
          <w:color w:val="000000"/>
          <w:sz w:val="22"/>
          <w:szCs w:val="22"/>
        </w:rPr>
      </w:pPr>
      <w:r w:rsidRPr="00424245">
        <w:rPr>
          <w:rFonts w:ascii="Calibri" w:hAnsi="Calibri" w:cs="Calibri"/>
          <w:color w:val="000000"/>
          <w:sz w:val="22"/>
          <w:szCs w:val="22"/>
        </w:rPr>
        <w:t>Webster, Erica. “The Impact of Adverse Childhood Experiences on Health and Development in Young Children.”</w:t>
      </w:r>
      <w:r w:rsidRPr="00424245">
        <w:rPr>
          <w:rStyle w:val="apple-converted-space"/>
          <w:rFonts w:ascii="Calibri" w:eastAsiaTheme="majorEastAsia" w:hAnsi="Calibri" w:cs="Calibri"/>
          <w:color w:val="000000"/>
          <w:sz w:val="22"/>
          <w:szCs w:val="22"/>
        </w:rPr>
        <w:t> </w:t>
      </w:r>
      <w:r w:rsidRPr="00424245">
        <w:rPr>
          <w:rFonts w:ascii="Calibri" w:hAnsi="Calibri" w:cs="Calibri"/>
          <w:i/>
          <w:iCs/>
          <w:color w:val="000000"/>
          <w:sz w:val="22"/>
          <w:szCs w:val="22"/>
        </w:rPr>
        <w:t xml:space="preserve">Global </w:t>
      </w:r>
      <w:proofErr w:type="spellStart"/>
      <w:r w:rsidRPr="00424245">
        <w:rPr>
          <w:rFonts w:ascii="Calibri" w:hAnsi="Calibri" w:cs="Calibri"/>
          <w:i/>
          <w:iCs/>
          <w:color w:val="000000"/>
          <w:sz w:val="22"/>
          <w:szCs w:val="22"/>
        </w:rPr>
        <w:t>Pediatric</w:t>
      </w:r>
      <w:proofErr w:type="spellEnd"/>
      <w:r w:rsidRPr="00424245">
        <w:rPr>
          <w:rFonts w:ascii="Calibri" w:hAnsi="Calibri" w:cs="Calibri"/>
          <w:i/>
          <w:iCs/>
          <w:color w:val="000000"/>
          <w:sz w:val="22"/>
          <w:szCs w:val="22"/>
        </w:rPr>
        <w:t xml:space="preserve"> Health</w:t>
      </w:r>
      <w:r w:rsidRPr="00424245">
        <w:rPr>
          <w:rFonts w:ascii="Calibri" w:hAnsi="Calibri" w:cs="Calibri"/>
          <w:color w:val="000000"/>
          <w:sz w:val="22"/>
          <w:szCs w:val="22"/>
        </w:rPr>
        <w:t xml:space="preserve">, vol. 9, no. 9, 26 Feb. 2022, pmc.ncbi.nlm.nih.gov/articles/PMC8882933/, </w:t>
      </w:r>
      <w:hyperlink r:id="rId7" w:history="1">
        <w:r w:rsidRPr="00424245">
          <w:rPr>
            <w:rStyle w:val="Hyperlink"/>
            <w:rFonts w:ascii="Calibri" w:hAnsi="Calibri" w:cs="Calibri"/>
            <w:sz w:val="22"/>
            <w:szCs w:val="22"/>
          </w:rPr>
          <w:t>https://doi.org/10.1177/2333794X221078708</w:t>
        </w:r>
      </w:hyperlink>
      <w:r w:rsidRPr="00424245">
        <w:rPr>
          <w:rFonts w:ascii="Calibri" w:hAnsi="Calibri" w:cs="Calibri"/>
          <w:color w:val="000000"/>
          <w:sz w:val="22"/>
          <w:szCs w:val="22"/>
        </w:rPr>
        <w:t>.</w:t>
      </w:r>
    </w:p>
    <w:p w14:paraId="38E7A206" w14:textId="77777777" w:rsidR="000F3528" w:rsidRDefault="000F3528" w:rsidP="00EA3687">
      <w:pPr>
        <w:pStyle w:val="NormalWeb"/>
        <w:spacing w:before="0" w:beforeAutospacing="0" w:after="0" w:afterAutospacing="0" w:line="480" w:lineRule="atLeast"/>
        <w:ind w:left="720" w:hanging="720"/>
        <w:rPr>
          <w:color w:val="000000"/>
        </w:rPr>
      </w:pPr>
    </w:p>
    <w:p w14:paraId="3C78271A" w14:textId="77777777" w:rsidR="00EA3687" w:rsidRDefault="00EA3687" w:rsidP="00BF6DD5">
      <w:pPr>
        <w:pStyle w:val="NormalWeb"/>
        <w:spacing w:before="0" w:beforeAutospacing="0" w:after="0" w:afterAutospacing="0" w:line="480" w:lineRule="atLeast"/>
        <w:ind w:left="720" w:hanging="720"/>
        <w:rPr>
          <w:color w:val="000000"/>
        </w:rPr>
      </w:pPr>
    </w:p>
    <w:p w14:paraId="05C2D978" w14:textId="77777777" w:rsidR="00290AD8" w:rsidRDefault="00290AD8"/>
    <w:sectPr w:rsidR="00290AD8">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F3530" w14:textId="77777777" w:rsidR="00FF2213" w:rsidRDefault="00FF2213" w:rsidP="00AB6FBE">
      <w:r>
        <w:separator/>
      </w:r>
    </w:p>
  </w:endnote>
  <w:endnote w:type="continuationSeparator" w:id="0">
    <w:p w14:paraId="38B56A8E" w14:textId="77777777" w:rsidR="00FF2213" w:rsidRDefault="00FF2213" w:rsidP="00AB6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6590510"/>
      <w:docPartObj>
        <w:docPartGallery w:val="Page Numbers (Bottom of Page)"/>
        <w:docPartUnique/>
      </w:docPartObj>
    </w:sdtPr>
    <w:sdtContent>
      <w:p w14:paraId="012FB4F0" w14:textId="29178E09" w:rsidR="00AB6FBE" w:rsidRDefault="00AB6FBE" w:rsidP="002313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20627BF" w14:textId="77777777" w:rsidR="00AB6FBE" w:rsidRDefault="00AB6FBE" w:rsidP="00AB6F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61464"/>
      <w:docPartObj>
        <w:docPartGallery w:val="Page Numbers (Bottom of Page)"/>
        <w:docPartUnique/>
      </w:docPartObj>
    </w:sdtPr>
    <w:sdtContent>
      <w:p w14:paraId="73DB6C57" w14:textId="09D92787" w:rsidR="00AB6FBE" w:rsidRDefault="00AB6FBE" w:rsidP="002313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3D0AFD" w14:textId="77777777" w:rsidR="00AB6FBE" w:rsidRDefault="00AB6FBE" w:rsidP="00AB6F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61BFF" w14:textId="77777777" w:rsidR="00FF2213" w:rsidRDefault="00FF2213" w:rsidP="00AB6FBE">
      <w:r>
        <w:separator/>
      </w:r>
    </w:p>
  </w:footnote>
  <w:footnote w:type="continuationSeparator" w:id="0">
    <w:p w14:paraId="2FA8C0CD" w14:textId="77777777" w:rsidR="00FF2213" w:rsidRDefault="00FF2213" w:rsidP="00AB6F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EF3CC" w14:textId="370CDA6A" w:rsidR="00AB6FBE" w:rsidRDefault="00AB6FBE" w:rsidP="00AB6FBE">
    <w:pPr>
      <w:pStyle w:val="Header"/>
    </w:pPr>
    <w:r>
      <w:t>Student Number: 2420554</w:t>
    </w:r>
  </w:p>
  <w:p w14:paraId="15631199" w14:textId="1441B015" w:rsidR="00AB6FBE" w:rsidRDefault="00AB6F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D729A"/>
    <w:multiLevelType w:val="hybridMultilevel"/>
    <w:tmpl w:val="A476E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A46D6"/>
    <w:multiLevelType w:val="hybridMultilevel"/>
    <w:tmpl w:val="A9E43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12264A"/>
    <w:multiLevelType w:val="hybridMultilevel"/>
    <w:tmpl w:val="58D6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FC0F05"/>
    <w:multiLevelType w:val="hybridMultilevel"/>
    <w:tmpl w:val="E46EED58"/>
    <w:lvl w:ilvl="0" w:tplc="CDEEC756">
      <w:start w:val="1"/>
      <w:numFmt w:val="bullet"/>
      <w:lvlText w:val="•"/>
      <w:lvlJc w:val="left"/>
      <w:pPr>
        <w:tabs>
          <w:tab w:val="num" w:pos="720"/>
        </w:tabs>
        <w:ind w:left="720" w:hanging="360"/>
      </w:pPr>
      <w:rPr>
        <w:rFonts w:ascii="Arial" w:hAnsi="Arial" w:hint="default"/>
      </w:rPr>
    </w:lvl>
    <w:lvl w:ilvl="1" w:tplc="E6862384" w:tentative="1">
      <w:start w:val="1"/>
      <w:numFmt w:val="bullet"/>
      <w:lvlText w:val="•"/>
      <w:lvlJc w:val="left"/>
      <w:pPr>
        <w:tabs>
          <w:tab w:val="num" w:pos="1440"/>
        </w:tabs>
        <w:ind w:left="1440" w:hanging="360"/>
      </w:pPr>
      <w:rPr>
        <w:rFonts w:ascii="Arial" w:hAnsi="Arial" w:hint="default"/>
      </w:rPr>
    </w:lvl>
    <w:lvl w:ilvl="2" w:tplc="DEFC29A2" w:tentative="1">
      <w:start w:val="1"/>
      <w:numFmt w:val="bullet"/>
      <w:lvlText w:val="•"/>
      <w:lvlJc w:val="left"/>
      <w:pPr>
        <w:tabs>
          <w:tab w:val="num" w:pos="2160"/>
        </w:tabs>
        <w:ind w:left="2160" w:hanging="360"/>
      </w:pPr>
      <w:rPr>
        <w:rFonts w:ascii="Arial" w:hAnsi="Arial" w:hint="default"/>
      </w:rPr>
    </w:lvl>
    <w:lvl w:ilvl="3" w:tplc="8F5C4D98" w:tentative="1">
      <w:start w:val="1"/>
      <w:numFmt w:val="bullet"/>
      <w:lvlText w:val="•"/>
      <w:lvlJc w:val="left"/>
      <w:pPr>
        <w:tabs>
          <w:tab w:val="num" w:pos="2880"/>
        </w:tabs>
        <w:ind w:left="2880" w:hanging="360"/>
      </w:pPr>
      <w:rPr>
        <w:rFonts w:ascii="Arial" w:hAnsi="Arial" w:hint="default"/>
      </w:rPr>
    </w:lvl>
    <w:lvl w:ilvl="4" w:tplc="0F966FB2" w:tentative="1">
      <w:start w:val="1"/>
      <w:numFmt w:val="bullet"/>
      <w:lvlText w:val="•"/>
      <w:lvlJc w:val="left"/>
      <w:pPr>
        <w:tabs>
          <w:tab w:val="num" w:pos="3600"/>
        </w:tabs>
        <w:ind w:left="3600" w:hanging="360"/>
      </w:pPr>
      <w:rPr>
        <w:rFonts w:ascii="Arial" w:hAnsi="Arial" w:hint="default"/>
      </w:rPr>
    </w:lvl>
    <w:lvl w:ilvl="5" w:tplc="84F04A70" w:tentative="1">
      <w:start w:val="1"/>
      <w:numFmt w:val="bullet"/>
      <w:lvlText w:val="•"/>
      <w:lvlJc w:val="left"/>
      <w:pPr>
        <w:tabs>
          <w:tab w:val="num" w:pos="4320"/>
        </w:tabs>
        <w:ind w:left="4320" w:hanging="360"/>
      </w:pPr>
      <w:rPr>
        <w:rFonts w:ascii="Arial" w:hAnsi="Arial" w:hint="default"/>
      </w:rPr>
    </w:lvl>
    <w:lvl w:ilvl="6" w:tplc="3CE48134" w:tentative="1">
      <w:start w:val="1"/>
      <w:numFmt w:val="bullet"/>
      <w:lvlText w:val="•"/>
      <w:lvlJc w:val="left"/>
      <w:pPr>
        <w:tabs>
          <w:tab w:val="num" w:pos="5040"/>
        </w:tabs>
        <w:ind w:left="5040" w:hanging="360"/>
      </w:pPr>
      <w:rPr>
        <w:rFonts w:ascii="Arial" w:hAnsi="Arial" w:hint="default"/>
      </w:rPr>
    </w:lvl>
    <w:lvl w:ilvl="7" w:tplc="4DDC6CD2" w:tentative="1">
      <w:start w:val="1"/>
      <w:numFmt w:val="bullet"/>
      <w:lvlText w:val="•"/>
      <w:lvlJc w:val="left"/>
      <w:pPr>
        <w:tabs>
          <w:tab w:val="num" w:pos="5760"/>
        </w:tabs>
        <w:ind w:left="5760" w:hanging="360"/>
      </w:pPr>
      <w:rPr>
        <w:rFonts w:ascii="Arial" w:hAnsi="Arial" w:hint="default"/>
      </w:rPr>
    </w:lvl>
    <w:lvl w:ilvl="8" w:tplc="252215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8A1714"/>
    <w:multiLevelType w:val="hybridMultilevel"/>
    <w:tmpl w:val="314C8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45CF1"/>
    <w:multiLevelType w:val="hybridMultilevel"/>
    <w:tmpl w:val="B6128880"/>
    <w:lvl w:ilvl="0" w:tplc="02106C3E">
      <w:start w:val="1"/>
      <w:numFmt w:val="bullet"/>
      <w:lvlText w:val="•"/>
      <w:lvlJc w:val="left"/>
      <w:pPr>
        <w:tabs>
          <w:tab w:val="num" w:pos="720"/>
        </w:tabs>
        <w:ind w:left="720" w:hanging="360"/>
      </w:pPr>
      <w:rPr>
        <w:rFonts w:ascii="Arial" w:hAnsi="Arial" w:hint="default"/>
      </w:rPr>
    </w:lvl>
    <w:lvl w:ilvl="1" w:tplc="EC88DAF2" w:tentative="1">
      <w:start w:val="1"/>
      <w:numFmt w:val="bullet"/>
      <w:lvlText w:val="•"/>
      <w:lvlJc w:val="left"/>
      <w:pPr>
        <w:tabs>
          <w:tab w:val="num" w:pos="1440"/>
        </w:tabs>
        <w:ind w:left="1440" w:hanging="360"/>
      </w:pPr>
      <w:rPr>
        <w:rFonts w:ascii="Arial" w:hAnsi="Arial" w:hint="default"/>
      </w:rPr>
    </w:lvl>
    <w:lvl w:ilvl="2" w:tplc="FD240552" w:tentative="1">
      <w:start w:val="1"/>
      <w:numFmt w:val="bullet"/>
      <w:lvlText w:val="•"/>
      <w:lvlJc w:val="left"/>
      <w:pPr>
        <w:tabs>
          <w:tab w:val="num" w:pos="2160"/>
        </w:tabs>
        <w:ind w:left="2160" w:hanging="360"/>
      </w:pPr>
      <w:rPr>
        <w:rFonts w:ascii="Arial" w:hAnsi="Arial" w:hint="default"/>
      </w:rPr>
    </w:lvl>
    <w:lvl w:ilvl="3" w:tplc="61F8FF1A" w:tentative="1">
      <w:start w:val="1"/>
      <w:numFmt w:val="bullet"/>
      <w:lvlText w:val="•"/>
      <w:lvlJc w:val="left"/>
      <w:pPr>
        <w:tabs>
          <w:tab w:val="num" w:pos="2880"/>
        </w:tabs>
        <w:ind w:left="2880" w:hanging="360"/>
      </w:pPr>
      <w:rPr>
        <w:rFonts w:ascii="Arial" w:hAnsi="Arial" w:hint="default"/>
      </w:rPr>
    </w:lvl>
    <w:lvl w:ilvl="4" w:tplc="3BF215C8" w:tentative="1">
      <w:start w:val="1"/>
      <w:numFmt w:val="bullet"/>
      <w:lvlText w:val="•"/>
      <w:lvlJc w:val="left"/>
      <w:pPr>
        <w:tabs>
          <w:tab w:val="num" w:pos="3600"/>
        </w:tabs>
        <w:ind w:left="3600" w:hanging="360"/>
      </w:pPr>
      <w:rPr>
        <w:rFonts w:ascii="Arial" w:hAnsi="Arial" w:hint="default"/>
      </w:rPr>
    </w:lvl>
    <w:lvl w:ilvl="5" w:tplc="E53CABF8" w:tentative="1">
      <w:start w:val="1"/>
      <w:numFmt w:val="bullet"/>
      <w:lvlText w:val="•"/>
      <w:lvlJc w:val="left"/>
      <w:pPr>
        <w:tabs>
          <w:tab w:val="num" w:pos="4320"/>
        </w:tabs>
        <w:ind w:left="4320" w:hanging="360"/>
      </w:pPr>
      <w:rPr>
        <w:rFonts w:ascii="Arial" w:hAnsi="Arial" w:hint="default"/>
      </w:rPr>
    </w:lvl>
    <w:lvl w:ilvl="6" w:tplc="FC120848" w:tentative="1">
      <w:start w:val="1"/>
      <w:numFmt w:val="bullet"/>
      <w:lvlText w:val="•"/>
      <w:lvlJc w:val="left"/>
      <w:pPr>
        <w:tabs>
          <w:tab w:val="num" w:pos="5040"/>
        </w:tabs>
        <w:ind w:left="5040" w:hanging="360"/>
      </w:pPr>
      <w:rPr>
        <w:rFonts w:ascii="Arial" w:hAnsi="Arial" w:hint="default"/>
      </w:rPr>
    </w:lvl>
    <w:lvl w:ilvl="7" w:tplc="33A0EB9C" w:tentative="1">
      <w:start w:val="1"/>
      <w:numFmt w:val="bullet"/>
      <w:lvlText w:val="•"/>
      <w:lvlJc w:val="left"/>
      <w:pPr>
        <w:tabs>
          <w:tab w:val="num" w:pos="5760"/>
        </w:tabs>
        <w:ind w:left="5760" w:hanging="360"/>
      </w:pPr>
      <w:rPr>
        <w:rFonts w:ascii="Arial" w:hAnsi="Arial" w:hint="default"/>
      </w:rPr>
    </w:lvl>
    <w:lvl w:ilvl="8" w:tplc="696E042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EC41EE"/>
    <w:multiLevelType w:val="hybridMultilevel"/>
    <w:tmpl w:val="1888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265734">
    <w:abstractNumId w:val="0"/>
  </w:num>
  <w:num w:numId="2" w16cid:durableId="2080899458">
    <w:abstractNumId w:val="6"/>
  </w:num>
  <w:num w:numId="3" w16cid:durableId="1735196934">
    <w:abstractNumId w:val="4"/>
  </w:num>
  <w:num w:numId="4" w16cid:durableId="2134010055">
    <w:abstractNumId w:val="1"/>
  </w:num>
  <w:num w:numId="5" w16cid:durableId="1930117959">
    <w:abstractNumId w:val="5"/>
  </w:num>
  <w:num w:numId="6" w16cid:durableId="1693457376">
    <w:abstractNumId w:val="3"/>
  </w:num>
  <w:num w:numId="7" w16cid:durableId="1471482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7C5"/>
    <w:rsid w:val="000162D9"/>
    <w:rsid w:val="0006796B"/>
    <w:rsid w:val="000B735F"/>
    <w:rsid w:val="000D2489"/>
    <w:rsid w:val="000F3528"/>
    <w:rsid w:val="00147B24"/>
    <w:rsid w:val="00160091"/>
    <w:rsid w:val="001754A6"/>
    <w:rsid w:val="00195DF0"/>
    <w:rsid w:val="001A2BF5"/>
    <w:rsid w:val="001C586D"/>
    <w:rsid w:val="001E3676"/>
    <w:rsid w:val="002035A1"/>
    <w:rsid w:val="00281831"/>
    <w:rsid w:val="002844E7"/>
    <w:rsid w:val="00290AD8"/>
    <w:rsid w:val="002A3B38"/>
    <w:rsid w:val="00323471"/>
    <w:rsid w:val="00335E7C"/>
    <w:rsid w:val="00340852"/>
    <w:rsid w:val="00424245"/>
    <w:rsid w:val="004532FC"/>
    <w:rsid w:val="00462E29"/>
    <w:rsid w:val="00533415"/>
    <w:rsid w:val="00544067"/>
    <w:rsid w:val="00563D56"/>
    <w:rsid w:val="00565633"/>
    <w:rsid w:val="006351F8"/>
    <w:rsid w:val="0067335B"/>
    <w:rsid w:val="00677529"/>
    <w:rsid w:val="00683C23"/>
    <w:rsid w:val="006B72DB"/>
    <w:rsid w:val="007F186F"/>
    <w:rsid w:val="008601E8"/>
    <w:rsid w:val="00886419"/>
    <w:rsid w:val="008D51C4"/>
    <w:rsid w:val="00926EB3"/>
    <w:rsid w:val="00941092"/>
    <w:rsid w:val="00975EB5"/>
    <w:rsid w:val="00994FF8"/>
    <w:rsid w:val="009B0E19"/>
    <w:rsid w:val="009F48A0"/>
    <w:rsid w:val="00A52502"/>
    <w:rsid w:val="00A954B6"/>
    <w:rsid w:val="00AA0EC5"/>
    <w:rsid w:val="00AB6FBE"/>
    <w:rsid w:val="00AE57C3"/>
    <w:rsid w:val="00AE7A4D"/>
    <w:rsid w:val="00B14898"/>
    <w:rsid w:val="00B66518"/>
    <w:rsid w:val="00B733F8"/>
    <w:rsid w:val="00BC5E5F"/>
    <w:rsid w:val="00BF6C61"/>
    <w:rsid w:val="00BF6DD5"/>
    <w:rsid w:val="00C070AD"/>
    <w:rsid w:val="00C07BF0"/>
    <w:rsid w:val="00C128A0"/>
    <w:rsid w:val="00D22DAA"/>
    <w:rsid w:val="00D76BAC"/>
    <w:rsid w:val="00D90142"/>
    <w:rsid w:val="00E05DCE"/>
    <w:rsid w:val="00E728E4"/>
    <w:rsid w:val="00E817C5"/>
    <w:rsid w:val="00EA3687"/>
    <w:rsid w:val="00EC0EFF"/>
    <w:rsid w:val="00F111D7"/>
    <w:rsid w:val="00F366B0"/>
    <w:rsid w:val="00F842E2"/>
    <w:rsid w:val="00FF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0D643"/>
  <w15:chartTrackingRefBased/>
  <w15:docId w15:val="{EDFB1607-A15F-4D42-A61E-092E8BD1E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7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7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7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7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7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7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7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7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7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7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7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7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7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7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7C5"/>
    <w:rPr>
      <w:rFonts w:eastAsiaTheme="majorEastAsia" w:cstheme="majorBidi"/>
      <w:color w:val="272727" w:themeColor="text1" w:themeTint="D8"/>
    </w:rPr>
  </w:style>
  <w:style w:type="paragraph" w:styleId="Title">
    <w:name w:val="Title"/>
    <w:basedOn w:val="Normal"/>
    <w:next w:val="Normal"/>
    <w:link w:val="TitleChar"/>
    <w:uiPriority w:val="10"/>
    <w:qFormat/>
    <w:rsid w:val="00E817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7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7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7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7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17C5"/>
    <w:rPr>
      <w:i/>
      <w:iCs/>
      <w:color w:val="404040" w:themeColor="text1" w:themeTint="BF"/>
    </w:rPr>
  </w:style>
  <w:style w:type="paragraph" w:styleId="ListParagraph">
    <w:name w:val="List Paragraph"/>
    <w:basedOn w:val="Normal"/>
    <w:uiPriority w:val="34"/>
    <w:qFormat/>
    <w:rsid w:val="00E817C5"/>
    <w:pPr>
      <w:ind w:left="720"/>
      <w:contextualSpacing/>
    </w:pPr>
  </w:style>
  <w:style w:type="character" w:styleId="IntenseEmphasis">
    <w:name w:val="Intense Emphasis"/>
    <w:basedOn w:val="DefaultParagraphFont"/>
    <w:uiPriority w:val="21"/>
    <w:qFormat/>
    <w:rsid w:val="00E817C5"/>
    <w:rPr>
      <w:i/>
      <w:iCs/>
      <w:color w:val="0F4761" w:themeColor="accent1" w:themeShade="BF"/>
    </w:rPr>
  </w:style>
  <w:style w:type="paragraph" w:styleId="IntenseQuote">
    <w:name w:val="Intense Quote"/>
    <w:basedOn w:val="Normal"/>
    <w:next w:val="Normal"/>
    <w:link w:val="IntenseQuoteChar"/>
    <w:uiPriority w:val="30"/>
    <w:qFormat/>
    <w:rsid w:val="00E81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7C5"/>
    <w:rPr>
      <w:i/>
      <w:iCs/>
      <w:color w:val="0F4761" w:themeColor="accent1" w:themeShade="BF"/>
    </w:rPr>
  </w:style>
  <w:style w:type="character" w:styleId="IntenseReference">
    <w:name w:val="Intense Reference"/>
    <w:basedOn w:val="DefaultParagraphFont"/>
    <w:uiPriority w:val="32"/>
    <w:qFormat/>
    <w:rsid w:val="00E817C5"/>
    <w:rPr>
      <w:b/>
      <w:bCs/>
      <w:smallCaps/>
      <w:color w:val="0F4761" w:themeColor="accent1" w:themeShade="BF"/>
      <w:spacing w:val="5"/>
    </w:rPr>
  </w:style>
  <w:style w:type="paragraph" w:customStyle="1" w:styleId="p1">
    <w:name w:val="p1"/>
    <w:basedOn w:val="Normal"/>
    <w:rsid w:val="00E817C5"/>
    <w:rPr>
      <w:rFonts w:ascii="Arial" w:eastAsia="Times New Roman" w:hAnsi="Arial" w:cs="Arial"/>
      <w:color w:val="000000"/>
      <w:kern w:val="0"/>
      <w:sz w:val="18"/>
      <w:szCs w:val="18"/>
      <w:lang w:eastAsia="en-GB"/>
      <w14:ligatures w14:val="none"/>
    </w:rPr>
  </w:style>
  <w:style w:type="paragraph" w:styleId="Header">
    <w:name w:val="header"/>
    <w:basedOn w:val="Normal"/>
    <w:link w:val="HeaderChar"/>
    <w:uiPriority w:val="99"/>
    <w:unhideWhenUsed/>
    <w:rsid w:val="00AB6FBE"/>
    <w:pPr>
      <w:tabs>
        <w:tab w:val="center" w:pos="4513"/>
        <w:tab w:val="right" w:pos="9026"/>
      </w:tabs>
    </w:pPr>
  </w:style>
  <w:style w:type="character" w:customStyle="1" w:styleId="HeaderChar">
    <w:name w:val="Header Char"/>
    <w:basedOn w:val="DefaultParagraphFont"/>
    <w:link w:val="Header"/>
    <w:uiPriority w:val="99"/>
    <w:rsid w:val="00AB6FBE"/>
  </w:style>
  <w:style w:type="paragraph" w:styleId="Footer">
    <w:name w:val="footer"/>
    <w:basedOn w:val="Normal"/>
    <w:link w:val="FooterChar"/>
    <w:uiPriority w:val="99"/>
    <w:unhideWhenUsed/>
    <w:rsid w:val="00AB6FBE"/>
    <w:pPr>
      <w:tabs>
        <w:tab w:val="center" w:pos="4513"/>
        <w:tab w:val="right" w:pos="9026"/>
      </w:tabs>
    </w:pPr>
  </w:style>
  <w:style w:type="character" w:customStyle="1" w:styleId="FooterChar">
    <w:name w:val="Footer Char"/>
    <w:basedOn w:val="DefaultParagraphFont"/>
    <w:link w:val="Footer"/>
    <w:uiPriority w:val="99"/>
    <w:rsid w:val="00AB6FBE"/>
  </w:style>
  <w:style w:type="character" w:styleId="PageNumber">
    <w:name w:val="page number"/>
    <w:basedOn w:val="DefaultParagraphFont"/>
    <w:uiPriority w:val="99"/>
    <w:semiHidden/>
    <w:unhideWhenUsed/>
    <w:rsid w:val="00AB6FBE"/>
  </w:style>
  <w:style w:type="paragraph" w:styleId="NormalWeb">
    <w:name w:val="Normal (Web)"/>
    <w:basedOn w:val="Normal"/>
    <w:uiPriority w:val="99"/>
    <w:semiHidden/>
    <w:unhideWhenUsed/>
    <w:rsid w:val="008864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86419"/>
  </w:style>
  <w:style w:type="character" w:styleId="Hyperlink">
    <w:name w:val="Hyperlink"/>
    <w:basedOn w:val="DefaultParagraphFont"/>
    <w:uiPriority w:val="99"/>
    <w:unhideWhenUsed/>
    <w:rsid w:val="00EA3687"/>
    <w:rPr>
      <w:color w:val="467886" w:themeColor="hyperlink"/>
      <w:u w:val="single"/>
    </w:rPr>
  </w:style>
  <w:style w:type="character" w:styleId="UnresolvedMention">
    <w:name w:val="Unresolved Mention"/>
    <w:basedOn w:val="DefaultParagraphFont"/>
    <w:uiPriority w:val="99"/>
    <w:semiHidden/>
    <w:unhideWhenUsed/>
    <w:rsid w:val="00EA3687"/>
    <w:rPr>
      <w:color w:val="605E5C"/>
      <w:shd w:val="clear" w:color="auto" w:fill="E1DFDD"/>
    </w:rPr>
  </w:style>
  <w:style w:type="character" w:styleId="Strong">
    <w:name w:val="Strong"/>
    <w:basedOn w:val="DefaultParagraphFont"/>
    <w:uiPriority w:val="22"/>
    <w:qFormat/>
    <w:rsid w:val="002035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77/2333794X22107870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16</Pages>
  <Words>5055</Words>
  <Characters>28815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Sutton</dc:creator>
  <cp:keywords/>
  <dc:description/>
  <cp:lastModifiedBy>Anwen Sutton</cp:lastModifiedBy>
  <cp:revision>50</cp:revision>
  <dcterms:created xsi:type="dcterms:W3CDTF">2025-12-08T20:25:00Z</dcterms:created>
  <dcterms:modified xsi:type="dcterms:W3CDTF">2025-12-09T19:16:00Z</dcterms:modified>
</cp:coreProperties>
</file>