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2C13" w:rsidRDefault="00727582">
      <w:pPr>
        <w:jc w:val="center"/>
        <w:rPr>
          <w:rFonts w:cstheme="minorHAnsi"/>
          <w:b/>
          <w:sz w:val="32"/>
          <w:szCs w:val="32"/>
        </w:rPr>
      </w:pPr>
      <w:r>
        <w:rPr>
          <w:rFonts w:cstheme="minorHAnsi"/>
          <w:b/>
          <w:sz w:val="32"/>
          <w:szCs w:val="32"/>
        </w:rPr>
        <w:t>How reliable is Tacitus work based on his methods, motives and views.</w:t>
      </w:r>
    </w:p>
    <w:p w:rsidR="00E02C13" w:rsidRDefault="00727582">
      <w:pPr>
        <w:jc w:val="center"/>
        <w:rPr>
          <w:rFonts w:cstheme="minorHAnsi"/>
        </w:rPr>
      </w:pPr>
      <w:r>
        <w:rPr>
          <w:rFonts w:cstheme="minorHAnsi"/>
        </w:rPr>
        <w:t>Essay by Marcin Gawlik</w:t>
      </w:r>
    </w:p>
    <w:p w:rsidR="00E02C13" w:rsidRDefault="00E02C13">
      <w:pPr>
        <w:rPr>
          <w:rFonts w:cstheme="minorHAnsi"/>
        </w:rPr>
      </w:pPr>
    </w:p>
    <w:p w:rsidR="00E02C13" w:rsidRDefault="00E02C13">
      <w:pPr>
        <w:rPr>
          <w:rFonts w:cstheme="minorHAnsi"/>
        </w:rPr>
      </w:pPr>
    </w:p>
    <w:p w:rsidR="00E02C13" w:rsidRDefault="00727582">
      <w:pPr>
        <w:rPr>
          <w:rFonts w:cstheme="minorHAnsi"/>
        </w:rPr>
      </w:pPr>
      <w:r>
        <w:rPr>
          <w:rFonts w:cstheme="minorHAnsi"/>
        </w:rPr>
        <w:tab/>
        <w:t>Tacitus is often called the greatest or one of the greatest Roman historians. This work will examine his work’s methodology, how his experience in life was expressed in his views and his aims. Tacitus was praised for his professional approach to history, he claimed to be objective and this is best expressed in his own words "</w:t>
      </w:r>
      <w:r>
        <w:rPr>
          <w:rFonts w:cstheme="minorHAnsi"/>
          <w:color w:val="000000"/>
        </w:rPr>
        <w:t>relate a few facts... without either bitterness or partiality, from any motives to which I am far removed."</w:t>
      </w:r>
      <w:r>
        <w:rPr>
          <w:rStyle w:val="FootnoteReference"/>
          <w:rFonts w:cstheme="minorHAnsi"/>
          <w:color w:val="000000"/>
        </w:rPr>
        <w:footnoteReference w:id="2"/>
      </w:r>
      <w:r>
        <w:rPr>
          <w:rFonts w:cstheme="minorHAnsi"/>
        </w:rPr>
        <w:t xml:space="preserve">  This essay will evaluate this claim.</w:t>
      </w:r>
    </w:p>
    <w:p w:rsidR="00E02C13" w:rsidRDefault="00E02C13">
      <w:pPr>
        <w:rPr>
          <w:rFonts w:cstheme="minorHAnsi"/>
        </w:rPr>
      </w:pPr>
    </w:p>
    <w:p w:rsidR="00E02C13" w:rsidRDefault="00727582">
      <w:pPr>
        <w:rPr>
          <w:rFonts w:cstheme="minorHAnsi"/>
        </w:rPr>
      </w:pPr>
      <w:r>
        <w:rPr>
          <w:rFonts w:cstheme="minorHAnsi"/>
        </w:rPr>
        <w:tab/>
        <w:t xml:space="preserve">  At the beginning it is worthwhile to mention a few facts from the life of Tacitus. He was born around the year 55 AD, probably in Gallia Narbonensis.</w:t>
      </w:r>
      <w:r>
        <w:rPr>
          <w:rStyle w:val="FootnoteReference"/>
          <w:rFonts w:cstheme="minorHAnsi"/>
        </w:rPr>
        <w:footnoteReference w:id="3"/>
      </w:r>
      <w:r>
        <w:rPr>
          <w:rFonts w:cstheme="minorHAnsi"/>
        </w:rPr>
        <w:t xml:space="preserve"> He bel</w:t>
      </w:r>
      <w:r w:rsidR="00E840AC">
        <w:rPr>
          <w:rFonts w:cstheme="minorHAnsi"/>
        </w:rPr>
        <w:t>onged to the equites</w:t>
      </w:r>
      <w:r>
        <w:rPr>
          <w:rFonts w:cstheme="minorHAnsi"/>
        </w:rPr>
        <w:t xml:space="preserve"> class. His father or perhaps paternal uncle was Co</w:t>
      </w:r>
      <w:r w:rsidR="00E840AC">
        <w:rPr>
          <w:rFonts w:cstheme="minorHAnsi"/>
        </w:rPr>
        <w:t>rnelius Titus who was an equite</w:t>
      </w:r>
      <w:r>
        <w:rPr>
          <w:rFonts w:cstheme="minorHAnsi"/>
        </w:rPr>
        <w:t xml:space="preserve"> and procurator in Belgic Gaul.</w:t>
      </w:r>
      <w:r>
        <w:rPr>
          <w:rStyle w:val="FootnoteReference"/>
          <w:rFonts w:cstheme="minorHAnsi"/>
        </w:rPr>
        <w:footnoteReference w:id="4"/>
      </w:r>
      <w:r>
        <w:rPr>
          <w:rFonts w:cstheme="minorHAnsi"/>
        </w:rPr>
        <w:t xml:space="preserve"> In the year 75 he arrived in Rome and began to study oratory under famous teachers such as Marcus Aper and </w:t>
      </w:r>
      <w:hyperlink r:id="rId8" w:tgtFrame="_blank" w:history="1">
        <w:r>
          <w:rPr>
            <w:rStyle w:val="Hyperlink"/>
            <w:rFonts w:cstheme="minorHAnsi"/>
            <w:color w:val="auto"/>
            <w:u w:val="none"/>
          </w:rPr>
          <w:t>Julius</w:t>
        </w:r>
      </w:hyperlink>
      <w:r w:rsidR="008A4461">
        <w:rPr>
          <w:rStyle w:val="Hyperlink"/>
          <w:rFonts w:cstheme="minorHAnsi"/>
          <w:color w:val="auto"/>
          <w:u w:val="none"/>
        </w:rPr>
        <w:t xml:space="preserve"> </w:t>
      </w:r>
      <w:r>
        <w:rPr>
          <w:rFonts w:cstheme="minorHAnsi"/>
        </w:rPr>
        <w:t>Secundus.</w:t>
      </w:r>
      <w:r>
        <w:rPr>
          <w:rStyle w:val="FootnoteReference"/>
          <w:rFonts w:cstheme="minorHAnsi"/>
        </w:rPr>
        <w:footnoteReference w:id="5"/>
      </w:r>
      <w:r>
        <w:rPr>
          <w:rFonts w:cstheme="minorHAnsi"/>
        </w:rPr>
        <w:t xml:space="preserve"> He does not mention the most famous rhetoric of Quintillianus, however it is possible that he was attending his classes the same as Pliny the younger. In this period of study Titus was likely familiarised with the main philosophical systems, especially with stoicism which perhaps was passed to him by Rufus and Epictet. In 78 AD he married the daughter of the consul and influential politician Julius Agricola which likely helped him reach the senator office, but there is no information regarding what rank he achieved as he himself left very general information about his titles.</w:t>
      </w:r>
      <w:r>
        <w:rPr>
          <w:rStyle w:val="FootnoteReference"/>
          <w:rFonts w:cstheme="minorHAnsi"/>
        </w:rPr>
        <w:footnoteReference w:id="6"/>
      </w:r>
      <w:r>
        <w:rPr>
          <w:rFonts w:cstheme="minorHAnsi"/>
        </w:rPr>
        <w:t xml:space="preserve"> In 81-82 AD he held the questor office, in 88 AD he was promoted to the rank of praetor and member of prestigious collegium </w:t>
      </w:r>
      <w:r>
        <w:rPr>
          <w:rFonts w:cstheme="minorHAnsi"/>
          <w:i/>
        </w:rPr>
        <w:t>quimdecimvir sacris faciundis</w:t>
      </w:r>
      <w:r>
        <w:rPr>
          <w:rFonts w:cstheme="minorHAnsi"/>
        </w:rPr>
        <w:t>.</w:t>
      </w:r>
      <w:r>
        <w:rPr>
          <w:rStyle w:val="FootnoteReference"/>
          <w:rFonts w:cstheme="minorHAnsi"/>
        </w:rPr>
        <w:footnoteReference w:id="7"/>
      </w:r>
      <w:r>
        <w:rPr>
          <w:rFonts w:cstheme="minorHAnsi"/>
        </w:rPr>
        <w:t xml:space="preserve"> Between 90-93 AD he served somewhere in the province but there is nothing to confirm any assumptions of what he could be doing. He came back to Rome in 93 AD and participated in senate sessions. Titus was a witness to the bloody tyrannical reign of Emperor Domitian. As a senator he voted with the will of </w:t>
      </w:r>
      <w:r>
        <w:rPr>
          <w:rFonts w:cstheme="minorHAnsi"/>
          <w:i/>
        </w:rPr>
        <w:t>priceps</w:t>
      </w:r>
      <w:r>
        <w:rPr>
          <w:rFonts w:cstheme="minorHAnsi"/>
        </w:rPr>
        <w:t xml:space="preserve">,  however in such a hopeless situation he did not have the will neither the strength for open opposition against authority as </w:t>
      </w:r>
      <w:r w:rsidR="008A4461">
        <w:rPr>
          <w:rFonts w:cstheme="minorHAnsi"/>
        </w:rPr>
        <w:t>repressions were</w:t>
      </w:r>
      <w:r>
        <w:rPr>
          <w:rFonts w:cstheme="minorHAnsi"/>
        </w:rPr>
        <w:t xml:space="preserve"> applied also to the whole family.</w:t>
      </w:r>
      <w:r>
        <w:rPr>
          <w:rStyle w:val="FootnoteReference"/>
          <w:rFonts w:cstheme="minorHAnsi"/>
        </w:rPr>
        <w:footnoteReference w:id="8"/>
      </w:r>
      <w:r>
        <w:rPr>
          <w:rFonts w:cstheme="minorHAnsi"/>
        </w:rPr>
        <w:t xml:space="preserve"> In his work Titus expresses bitterness and laments on that period.</w:t>
      </w:r>
      <w:r>
        <w:rPr>
          <w:rStyle w:val="FootnoteReference"/>
          <w:rFonts w:cstheme="minorHAnsi"/>
        </w:rPr>
        <w:footnoteReference w:id="9"/>
      </w:r>
      <w:r>
        <w:rPr>
          <w:rFonts w:cstheme="minorHAnsi"/>
        </w:rPr>
        <w:t xml:space="preserve"> In 97 AD Tacitus gained the title of consul and his political carrier apparently ended in 112-113 as a governor in Asia Minor.</w:t>
      </w:r>
      <w:r>
        <w:rPr>
          <w:rStyle w:val="FootnoteReference"/>
          <w:rFonts w:cstheme="minorHAnsi"/>
        </w:rPr>
        <w:footnoteReference w:id="10"/>
      </w:r>
      <w:r>
        <w:rPr>
          <w:rFonts w:cstheme="minorHAnsi"/>
        </w:rPr>
        <w:t xml:space="preserve"> Tacitus started writing qu</w:t>
      </w:r>
      <w:r w:rsidR="00BC2290">
        <w:rPr>
          <w:rFonts w:cstheme="minorHAnsi"/>
        </w:rPr>
        <w:t>ite late in his forties. He</w:t>
      </w:r>
      <w:r>
        <w:rPr>
          <w:rFonts w:cstheme="minorHAnsi"/>
        </w:rPr>
        <w:t xml:space="preserve"> spend most of his life in the capital city and therefore looked at the world </w:t>
      </w:r>
      <w:r>
        <w:rPr>
          <w:rFonts w:cstheme="minorHAnsi"/>
        </w:rPr>
        <w:lastRenderedPageBreak/>
        <w:t>from a Roman-centric viewpoint. His original literary style he thanks to the oratory study and practice in speech, his deep knowledge of the mechanism of politics he may thank to active participation in politics, something which Livy definitely lacked if we would compare this two.</w:t>
      </w:r>
      <w:r>
        <w:rPr>
          <w:rStyle w:val="FootnoteReference"/>
          <w:rFonts w:cstheme="minorHAnsi"/>
        </w:rPr>
        <w:footnoteReference w:id="11"/>
      </w:r>
    </w:p>
    <w:p w:rsidR="00E02C13" w:rsidRDefault="00E02C13">
      <w:pPr>
        <w:rPr>
          <w:rFonts w:cstheme="minorHAnsi"/>
        </w:rPr>
      </w:pPr>
    </w:p>
    <w:p w:rsidR="00E02C13" w:rsidRDefault="00727582">
      <w:pPr>
        <w:rPr>
          <w:rFonts w:cstheme="minorHAnsi"/>
          <w:color w:val="000000"/>
        </w:rPr>
      </w:pPr>
      <w:r>
        <w:rPr>
          <w:rFonts w:cstheme="minorHAnsi"/>
        </w:rPr>
        <w:tab/>
        <w:t xml:space="preserve">It is important to analyse the historical methodology that Tacitus followed. In both </w:t>
      </w:r>
      <w:r>
        <w:rPr>
          <w:rFonts w:cstheme="minorHAnsi"/>
          <w:i/>
        </w:rPr>
        <w:t>Historie</w:t>
      </w:r>
      <w:r>
        <w:rPr>
          <w:rFonts w:cstheme="minorHAnsi"/>
        </w:rPr>
        <w:t xml:space="preserve"> and </w:t>
      </w:r>
      <w:r>
        <w:rPr>
          <w:rFonts w:cstheme="minorHAnsi"/>
          <w:i/>
        </w:rPr>
        <w:t>Annals</w:t>
      </w:r>
      <w:r w:rsidR="008A4461">
        <w:rPr>
          <w:rFonts w:cstheme="minorHAnsi"/>
          <w:i/>
        </w:rPr>
        <w:t xml:space="preserve"> </w:t>
      </w:r>
      <w:r w:rsidRPr="008A4461">
        <w:rPr>
          <w:rFonts w:cstheme="minorHAnsi"/>
        </w:rPr>
        <w:t>the</w:t>
      </w:r>
      <w:r>
        <w:rPr>
          <w:rFonts w:cstheme="minorHAnsi"/>
        </w:rPr>
        <w:t xml:space="preserve"> author expressed many thoughts about his methods of work and qualifications as a historian. He did that by not only expressed it in the introduction of his works but also in the narration. The introduction to </w:t>
      </w:r>
      <w:r>
        <w:rPr>
          <w:rFonts w:cstheme="minorHAnsi"/>
          <w:i/>
        </w:rPr>
        <w:t xml:space="preserve">Historie </w:t>
      </w:r>
      <w:r>
        <w:rPr>
          <w:rFonts w:cstheme="minorHAnsi"/>
        </w:rPr>
        <w:t xml:space="preserve">is especially full of methodological concerns. From a historian Tacitus demanded two basic virtues: knowledge of the public </w:t>
      </w:r>
      <w:r w:rsidR="008A4461">
        <w:rPr>
          <w:rFonts w:cstheme="minorHAnsi"/>
        </w:rPr>
        <w:t>life and</w:t>
      </w:r>
      <w:r>
        <w:rPr>
          <w:rFonts w:cstheme="minorHAnsi"/>
        </w:rPr>
        <w:t xml:space="preserve"> total objectivity in presenting events and people, which he express in the introduction to the </w:t>
      </w:r>
      <w:r>
        <w:rPr>
          <w:rFonts w:cstheme="minorHAnsi"/>
          <w:i/>
        </w:rPr>
        <w:t>Annals</w:t>
      </w:r>
      <w:r>
        <w:rPr>
          <w:rFonts w:cstheme="minorHAnsi"/>
        </w:rPr>
        <w:t xml:space="preserve"> by saying </w:t>
      </w:r>
      <w:r>
        <w:rPr>
          <w:rFonts w:cstheme="minorHAnsi"/>
          <w:color w:val="000000"/>
        </w:rPr>
        <w:t>"...without either bitterness or partiality, from any motives to which I am far removed."</w:t>
      </w:r>
      <w:r>
        <w:rPr>
          <w:rStyle w:val="FootnoteReference"/>
          <w:rFonts w:cstheme="minorHAnsi"/>
          <w:color w:val="000000"/>
        </w:rPr>
        <w:footnoteReference w:id="12"/>
      </w:r>
      <w:r>
        <w:rPr>
          <w:rFonts w:cstheme="minorHAnsi"/>
          <w:color w:val="000000"/>
        </w:rPr>
        <w:t xml:space="preserve"> and introduction to </w:t>
      </w:r>
      <w:r w:rsidRPr="00BC2290">
        <w:rPr>
          <w:rFonts w:cstheme="minorHAnsi"/>
          <w:i/>
          <w:color w:val="000000"/>
        </w:rPr>
        <w:t xml:space="preserve">Histories </w:t>
      </w:r>
      <w:r>
        <w:rPr>
          <w:rFonts w:cstheme="minorHAnsi"/>
          <w:color w:val="000000"/>
        </w:rPr>
        <w:t>"...but those who profess inviolable truthfulness must speak of all without partiality and without hatred."</w:t>
      </w:r>
      <w:r>
        <w:rPr>
          <w:rStyle w:val="FootnoteReference"/>
          <w:rFonts w:cstheme="minorHAnsi"/>
          <w:color w:val="000000"/>
        </w:rPr>
        <w:footnoteReference w:id="13"/>
      </w:r>
      <w:r>
        <w:rPr>
          <w:rFonts w:cstheme="minorHAnsi"/>
          <w:color w:val="000000"/>
        </w:rPr>
        <w:t xml:space="preserve"> Tacitus thought that without these virtues there would be no historical truth, moreover, he assumed that hatred and anger are worse than bias, anger easily manipulates the reader and fills him with disdain, meanwhile hatred and accusative speeches are fervently accepted because they are disguised as independent thoughts,</w:t>
      </w:r>
      <w:r>
        <w:rPr>
          <w:rStyle w:val="FootnoteReference"/>
          <w:rFonts w:cstheme="minorHAnsi"/>
          <w:color w:val="000000"/>
        </w:rPr>
        <w:footnoteReference w:id="14"/>
      </w:r>
      <w:r>
        <w:rPr>
          <w:rFonts w:cstheme="minorHAnsi"/>
          <w:color w:val="000000"/>
        </w:rPr>
        <w:t xml:space="preserve"> historian should have literary talent equal to the standards of the previous great writers</w:t>
      </w:r>
      <w:r>
        <w:rPr>
          <w:rStyle w:val="FootnoteReference"/>
          <w:rFonts w:cstheme="minorHAnsi"/>
          <w:color w:val="000000"/>
        </w:rPr>
        <w:footnoteReference w:id="15"/>
      </w:r>
      <w:r>
        <w:rPr>
          <w:rStyle w:val="FootnoteReference"/>
          <w:rFonts w:cstheme="minorHAnsi"/>
          <w:color w:val="000000"/>
        </w:rPr>
        <w:footnoteReference w:id="16"/>
      </w:r>
      <w:r>
        <w:rPr>
          <w:rFonts w:cstheme="minorHAnsi"/>
          <w:color w:val="000000"/>
        </w:rPr>
        <w:t xml:space="preserve"> and it is very important to present the events with its connections and causes:</w:t>
      </w:r>
    </w:p>
    <w:p w:rsidR="00E02C13" w:rsidRDefault="00727582">
      <w:pPr>
        <w:rPr>
          <w:rFonts w:cstheme="minorHAnsi"/>
          <w:color w:val="000000"/>
        </w:rPr>
      </w:pPr>
      <w:r>
        <w:rPr>
          <w:rFonts w:cstheme="minorHAnsi"/>
          <w:color w:val="000000"/>
        </w:rPr>
        <w:tab/>
        <w:t xml:space="preserve">I think it proper, however, before I commence my purposed work, to pass under review </w:t>
      </w:r>
      <w:r>
        <w:rPr>
          <w:rFonts w:cstheme="minorHAnsi"/>
          <w:color w:val="000000"/>
        </w:rPr>
        <w:tab/>
        <w:t xml:space="preserve">the </w:t>
      </w:r>
      <w:r>
        <w:rPr>
          <w:rFonts w:cstheme="minorHAnsi"/>
          <w:color w:val="000000"/>
        </w:rPr>
        <w:tab/>
        <w:t xml:space="preserve">condition of the capital, the temper of the armies, the attitude of the provinces, and the </w:t>
      </w:r>
      <w:r>
        <w:rPr>
          <w:rFonts w:cstheme="minorHAnsi"/>
          <w:color w:val="000000"/>
        </w:rPr>
        <w:tab/>
        <w:t xml:space="preserve">elements of weakness and strength which existed throughout the whole empire, that so we </w:t>
      </w:r>
      <w:r>
        <w:rPr>
          <w:rFonts w:cstheme="minorHAnsi"/>
          <w:color w:val="000000"/>
        </w:rPr>
        <w:tab/>
        <w:t xml:space="preserve">may become acquainted, not only with the vicissitudes and the issues of events, which are </w:t>
      </w:r>
      <w:r>
        <w:rPr>
          <w:rFonts w:cstheme="minorHAnsi"/>
          <w:color w:val="000000"/>
        </w:rPr>
        <w:tab/>
        <w:t>often matters of chance, but also with their relations and their causes.</w:t>
      </w:r>
      <w:r>
        <w:rPr>
          <w:rStyle w:val="FootnoteReference"/>
          <w:rFonts w:cstheme="minorHAnsi"/>
          <w:color w:val="000000"/>
        </w:rPr>
        <w:footnoteReference w:id="17"/>
      </w:r>
    </w:p>
    <w:p w:rsidR="00E02C13" w:rsidRDefault="00727582">
      <w:pPr>
        <w:rPr>
          <w:rFonts w:cstheme="minorHAnsi"/>
          <w:color w:val="000000"/>
        </w:rPr>
      </w:pPr>
      <w:r>
        <w:rPr>
          <w:rFonts w:cstheme="minorHAnsi"/>
          <w:color w:val="000000"/>
        </w:rPr>
        <w:t>In Tacitus’s opinion it is the historians duty to pass moral teachings to new generations through history.</w:t>
      </w:r>
      <w:r>
        <w:rPr>
          <w:rStyle w:val="FootnoteReference"/>
          <w:rFonts w:cstheme="minorHAnsi"/>
          <w:color w:val="000000"/>
        </w:rPr>
        <w:footnoteReference w:id="18"/>
      </w:r>
      <w:r>
        <w:rPr>
          <w:rFonts w:cstheme="minorHAnsi"/>
          <w:color w:val="000000"/>
        </w:rPr>
        <w:t xml:space="preserve"> As the main purpose of writing </w:t>
      </w:r>
      <w:r>
        <w:rPr>
          <w:rFonts w:cstheme="minorHAnsi"/>
          <w:i/>
          <w:color w:val="000000"/>
        </w:rPr>
        <w:t>Annals the</w:t>
      </w:r>
      <w:r>
        <w:rPr>
          <w:rFonts w:cstheme="minorHAnsi"/>
          <w:color w:val="000000"/>
        </w:rPr>
        <w:t xml:space="preserve"> author contemplates that the historian should not ignore writing about </w:t>
      </w:r>
      <w:r w:rsidR="008A4461">
        <w:rPr>
          <w:rFonts w:cstheme="minorHAnsi"/>
          <w:color w:val="000000"/>
        </w:rPr>
        <w:t>virtues and</w:t>
      </w:r>
      <w:r>
        <w:rPr>
          <w:rFonts w:cstheme="minorHAnsi"/>
          <w:color w:val="000000"/>
        </w:rPr>
        <w:t xml:space="preserve"> for writing untruthful information he should be punished by infamy.</w:t>
      </w:r>
      <w:r>
        <w:rPr>
          <w:rStyle w:val="FootnoteReference"/>
          <w:rFonts w:cstheme="minorHAnsi"/>
          <w:color w:val="000000"/>
        </w:rPr>
        <w:footnoteReference w:id="19"/>
      </w:r>
      <w:r>
        <w:rPr>
          <w:rFonts w:cstheme="minorHAnsi"/>
          <w:color w:val="000000"/>
        </w:rPr>
        <w:t xml:space="preserve"> The gathering and presenting of </w:t>
      </w:r>
      <w:r w:rsidR="008A4461">
        <w:rPr>
          <w:rFonts w:cstheme="minorHAnsi"/>
          <w:color w:val="000000"/>
        </w:rPr>
        <w:t>information and</w:t>
      </w:r>
      <w:r>
        <w:rPr>
          <w:rFonts w:cstheme="minorHAnsi"/>
          <w:color w:val="000000"/>
        </w:rPr>
        <w:t xml:space="preserve"> most of all its deep interpretation have the purpose of differing good from evil and avail from detriment because not many people are capable of doing so.</w:t>
      </w:r>
      <w:r>
        <w:rPr>
          <w:rStyle w:val="FootnoteReference"/>
          <w:rFonts w:cstheme="minorHAnsi"/>
          <w:color w:val="000000"/>
        </w:rPr>
        <w:footnoteReference w:id="20"/>
      </w:r>
      <w:r>
        <w:rPr>
          <w:rFonts w:cstheme="minorHAnsi"/>
          <w:color w:val="000000"/>
        </w:rPr>
        <w:t xml:space="preserve"> The citizen of Rome should first of all develop and work on the virtue of moderation, the virtue which for example the author describes on Lepidus.</w:t>
      </w:r>
      <w:r>
        <w:rPr>
          <w:rStyle w:val="FootnoteReference"/>
          <w:rFonts w:cstheme="minorHAnsi"/>
          <w:color w:val="000000"/>
        </w:rPr>
        <w:footnoteReference w:id="21"/>
      </w:r>
      <w:r>
        <w:rPr>
          <w:rFonts w:cstheme="minorHAnsi"/>
          <w:color w:val="000000"/>
        </w:rPr>
        <w:t xml:space="preserve"> Tacitus never misses an occasion for moral teaching, he thinks -in according to tradition- that misbehaviour is the reason of all human misery. In mentioned directives we can see the influence of historiography, the concept of </w:t>
      </w:r>
      <w:r>
        <w:rPr>
          <w:rFonts w:cstheme="minorHAnsi"/>
          <w:color w:val="000000"/>
        </w:rPr>
        <w:lastRenderedPageBreak/>
        <w:t>Cicero</w:t>
      </w:r>
      <w:r>
        <w:rPr>
          <w:rStyle w:val="FootnoteReference"/>
          <w:rFonts w:cstheme="minorHAnsi"/>
          <w:color w:val="000000"/>
        </w:rPr>
        <w:footnoteReference w:id="22"/>
      </w:r>
      <w:r>
        <w:rPr>
          <w:rFonts w:cstheme="minorHAnsi"/>
          <w:color w:val="000000"/>
        </w:rPr>
        <w:t>, and perhaps even more of Sallustius Crispus from whom Tacitus embraced method of interpretation.</w:t>
      </w:r>
      <w:r>
        <w:rPr>
          <w:rStyle w:val="FootnoteReference"/>
          <w:rFonts w:cstheme="minorHAnsi"/>
          <w:color w:val="000000"/>
        </w:rPr>
        <w:footnoteReference w:id="23"/>
      </w:r>
      <w:r>
        <w:rPr>
          <w:rFonts w:cstheme="minorHAnsi"/>
          <w:color w:val="000000"/>
        </w:rPr>
        <w:t xml:space="preserve"> In the choice of historical material Tacitus prudently focused on the most important events, which he placed without needless details. It was</w:t>
      </w:r>
      <w:r w:rsidR="008A4461">
        <w:rPr>
          <w:rFonts w:cstheme="minorHAnsi"/>
          <w:color w:val="000000"/>
        </w:rPr>
        <w:t xml:space="preserve"> </w:t>
      </w:r>
      <w:r>
        <w:rPr>
          <w:rFonts w:cstheme="minorHAnsi"/>
          <w:color w:val="000000"/>
        </w:rPr>
        <w:t>with depreciation he mentioned those historians which wrote a lot about the foundation or timber of the amphitheatre in the Field of Mars in Rome, information which according to Tacitus deserved to be put in city's daily register as the Annals should contain information about the great deeds of Roman society according to its dignity.</w:t>
      </w:r>
      <w:r>
        <w:rPr>
          <w:rStyle w:val="FootnoteReference"/>
          <w:rFonts w:cstheme="minorHAnsi"/>
          <w:color w:val="000000"/>
        </w:rPr>
        <w:footnoteReference w:id="24"/>
      </w:r>
      <w:r>
        <w:rPr>
          <w:rFonts w:cstheme="minorHAnsi"/>
          <w:color w:val="000000"/>
        </w:rPr>
        <w:t>For example if Tacitus described geography or warfare operations he mostly limited himself to general information, which is why much of this kind of information he wrote in an inaccurate and unclear way. He did not put much importance on numbers and in most cases was satisfied with approximate numbers, as for example could be his given date of the foundation of Rome.</w:t>
      </w:r>
      <w:r>
        <w:rPr>
          <w:rStyle w:val="FootnoteReference"/>
          <w:rFonts w:cstheme="minorHAnsi"/>
          <w:color w:val="000000"/>
        </w:rPr>
        <w:footnoteReference w:id="25"/>
      </w:r>
    </w:p>
    <w:p w:rsidR="00E02C13" w:rsidRDefault="00727582">
      <w:pPr>
        <w:rPr>
          <w:rFonts w:cstheme="minorHAnsi"/>
          <w:color w:val="000000"/>
        </w:rPr>
      </w:pPr>
      <w:r>
        <w:rPr>
          <w:rFonts w:cstheme="minorHAnsi"/>
          <w:color w:val="000000"/>
        </w:rPr>
        <w:t>Nonetheless Tacitus thinks that the historiography of his times has its own character and cannot be compared to the Annals written in the Republic period when great events where happening. Historians of the emperors era do not have the freedom to express their thoughts, they pass needless facts unimportant for understanding history, as Tacitus said:</w:t>
      </w:r>
    </w:p>
    <w:p w:rsidR="00E02C13" w:rsidRDefault="00727582">
      <w:pPr>
        <w:rPr>
          <w:rFonts w:cstheme="minorHAnsi"/>
          <w:color w:val="000000"/>
        </w:rPr>
      </w:pPr>
      <w:r>
        <w:rPr>
          <w:rFonts w:cstheme="minorHAnsi"/>
          <w:color w:val="000000"/>
        </w:rPr>
        <w:tab/>
        <w:t xml:space="preserve"> My labours are circumscribed and inglorious; peace wholly unbroken or but slightly </w:t>
      </w:r>
      <w:r>
        <w:rPr>
          <w:rFonts w:cstheme="minorHAnsi"/>
          <w:color w:val="000000"/>
        </w:rPr>
        <w:tab/>
      </w:r>
      <w:r>
        <w:rPr>
          <w:rFonts w:cstheme="minorHAnsi"/>
          <w:color w:val="000000"/>
        </w:rPr>
        <w:tab/>
        <w:t xml:space="preserve">disturbed, dismal misery in the capital, an emperor careless about the enlargement of the </w:t>
      </w:r>
      <w:r>
        <w:rPr>
          <w:rFonts w:cstheme="minorHAnsi"/>
          <w:color w:val="000000"/>
        </w:rPr>
        <w:tab/>
        <w:t xml:space="preserve">empire, such is my theme. Still it will not be useless to study those at first sight trifling </w:t>
      </w:r>
      <w:r>
        <w:rPr>
          <w:rFonts w:cstheme="minorHAnsi"/>
          <w:color w:val="000000"/>
        </w:rPr>
        <w:tab/>
        <w:t>events out of which the movements of vast changes often take their rise.</w:t>
      </w:r>
      <w:r>
        <w:rPr>
          <w:rStyle w:val="FootnoteReference"/>
          <w:rFonts w:cstheme="minorHAnsi"/>
          <w:color w:val="000000"/>
        </w:rPr>
        <w:footnoteReference w:id="26"/>
      </w:r>
    </w:p>
    <w:p w:rsidR="00E02C13" w:rsidRDefault="00727582">
      <w:pPr>
        <w:rPr>
          <w:rFonts w:cstheme="minorHAnsi"/>
          <w:color w:val="000000"/>
        </w:rPr>
      </w:pPr>
      <w:r>
        <w:rPr>
          <w:rFonts w:cstheme="minorHAnsi"/>
        </w:rPr>
        <w:t>The limits of historiography therefore depend on the political system. Tacitus is conscientious of that and expresses that in the sentence "</w:t>
      </w:r>
      <w:r>
        <w:rPr>
          <w:rFonts w:cstheme="minorHAnsi"/>
          <w:color w:val="000000"/>
        </w:rPr>
        <w:t>My labours are circumscribed and inglorious".</w:t>
      </w:r>
      <w:r>
        <w:rPr>
          <w:rStyle w:val="FootnoteReference"/>
          <w:rFonts w:cstheme="minorHAnsi"/>
          <w:color w:val="000000"/>
        </w:rPr>
        <w:footnoteReference w:id="27"/>
      </w:r>
      <w:r>
        <w:rPr>
          <w:rFonts w:cstheme="minorHAnsi"/>
          <w:color w:val="000000"/>
        </w:rPr>
        <w:t xml:space="preserve"> According to this statement we can see that Tacitus tries to be objective in his relations, but he is not. There are many tendencies he is influence by such as political, philosophical, social, psychological and rhetorical tendencies. All of them have influence on the prism through which Tacitus views reality, more</w:t>
      </w:r>
      <w:r w:rsidR="008A4461">
        <w:rPr>
          <w:rFonts w:cstheme="minorHAnsi"/>
          <w:color w:val="000000"/>
        </w:rPr>
        <w:t xml:space="preserve"> </w:t>
      </w:r>
      <w:r>
        <w:rPr>
          <w:rFonts w:cstheme="minorHAnsi"/>
          <w:color w:val="000000"/>
        </w:rPr>
        <w:t>over</w:t>
      </w:r>
      <w:r w:rsidR="008A4461">
        <w:rPr>
          <w:rFonts w:cstheme="minorHAnsi"/>
          <w:color w:val="000000"/>
        </w:rPr>
        <w:t xml:space="preserve"> </w:t>
      </w:r>
      <w:r>
        <w:rPr>
          <w:rFonts w:cstheme="minorHAnsi"/>
          <w:color w:val="000000"/>
        </w:rPr>
        <w:t xml:space="preserve">Tacitus often puts his thoughts in the mouth of other people. Tacitus deceived himself </w:t>
      </w:r>
      <w:r w:rsidR="008A4461">
        <w:rPr>
          <w:rFonts w:cstheme="minorHAnsi"/>
          <w:color w:val="000000"/>
        </w:rPr>
        <w:t>of his</w:t>
      </w:r>
      <w:r>
        <w:rPr>
          <w:rFonts w:cstheme="minorHAnsi"/>
          <w:color w:val="000000"/>
        </w:rPr>
        <w:t xml:space="preserve"> lack of biasness when he writes unfavourably about Tiberius, it is clear that on this view were imposed unpleasant experiences he and his family were exposed to during the reign of the Domitian.</w:t>
      </w:r>
    </w:p>
    <w:p w:rsidR="00E02C13" w:rsidRDefault="00727582">
      <w:pPr>
        <w:rPr>
          <w:rFonts w:cstheme="minorHAnsi"/>
          <w:color w:val="000000"/>
        </w:rPr>
      </w:pPr>
      <w:r>
        <w:rPr>
          <w:rFonts w:cstheme="minorHAnsi"/>
          <w:color w:val="000000"/>
        </w:rPr>
        <w:t xml:space="preserve">The sources Tacitus used in his two greatest works </w:t>
      </w:r>
      <w:r>
        <w:rPr>
          <w:rFonts w:cstheme="minorHAnsi"/>
          <w:i/>
          <w:color w:val="000000"/>
        </w:rPr>
        <w:t>Histories</w:t>
      </w:r>
      <w:r>
        <w:rPr>
          <w:rFonts w:cstheme="minorHAnsi"/>
          <w:color w:val="000000"/>
        </w:rPr>
        <w:t xml:space="preserve"> and </w:t>
      </w:r>
      <w:r>
        <w:rPr>
          <w:rFonts w:cstheme="minorHAnsi"/>
          <w:i/>
          <w:color w:val="000000"/>
        </w:rPr>
        <w:t>Annals</w:t>
      </w:r>
      <w:r w:rsidR="008A4461">
        <w:rPr>
          <w:rFonts w:cstheme="minorHAnsi"/>
          <w:i/>
          <w:color w:val="000000"/>
        </w:rPr>
        <w:t xml:space="preserve"> </w:t>
      </w:r>
      <w:r>
        <w:rPr>
          <w:rFonts w:cstheme="minorHAnsi"/>
          <w:iCs/>
          <w:color w:val="000000"/>
        </w:rPr>
        <w:t>must also be analysed. The a</w:t>
      </w:r>
      <w:r>
        <w:rPr>
          <w:rFonts w:cstheme="minorHAnsi"/>
          <w:color w:val="000000"/>
        </w:rPr>
        <w:t>uthor mostly does not mention precisely his sources and therefore the question of its origins is hard to answer. The historian rarely mentions the names of the authors he used sources from and often uses general forms as: some writers, great writers, contemporary writers, rumours says. He looks critically on the sources however and then makes decisions on which to choose based on the amount of records, authority of the figure and the rule of probability.</w:t>
      </w:r>
      <w:r>
        <w:rPr>
          <w:rStyle w:val="FootnoteReference"/>
          <w:rFonts w:cstheme="minorHAnsi"/>
          <w:color w:val="000000"/>
        </w:rPr>
        <w:footnoteReference w:id="28"/>
      </w:r>
      <w:r>
        <w:rPr>
          <w:rStyle w:val="FootnoteReference"/>
          <w:rFonts w:cstheme="minorHAnsi"/>
          <w:color w:val="000000"/>
        </w:rPr>
        <w:footnoteReference w:id="29"/>
      </w:r>
      <w:r>
        <w:rPr>
          <w:rFonts w:cstheme="minorHAnsi"/>
          <w:color w:val="000000"/>
        </w:rPr>
        <w:t xml:space="preserve"> In Tacitus’s sources we can distinguish oral records of witnesses, writing documents and the experience and observations of the author himself. The oral accounts Tacitus mostly took from elders, some of them who remembered the reign of Tiberiu</w:t>
      </w:r>
      <w:r w:rsidR="0034270C">
        <w:rPr>
          <w:rFonts w:cstheme="minorHAnsi"/>
          <w:color w:val="000000"/>
        </w:rPr>
        <w:t>s, he</w:t>
      </w:r>
      <w:r>
        <w:rPr>
          <w:rFonts w:cstheme="minorHAnsi"/>
          <w:color w:val="000000"/>
        </w:rPr>
        <w:t xml:space="preserve"> mentions he met in the time of his youth "I remember to have heard old </w:t>
      </w:r>
      <w:r>
        <w:rPr>
          <w:rFonts w:cstheme="minorHAnsi"/>
          <w:color w:val="000000"/>
        </w:rPr>
        <w:lastRenderedPageBreak/>
        <w:t>men say that a document was often seen in Piso's hands... Neither of these statements would I positively affirm; still it would not have been right for me to conceal what was related by those who lived up to the time of my youth."</w:t>
      </w:r>
      <w:r>
        <w:rPr>
          <w:rStyle w:val="FootnoteReference"/>
          <w:rFonts w:cstheme="minorHAnsi"/>
          <w:color w:val="000000"/>
        </w:rPr>
        <w:footnoteReference w:id="30"/>
      </w:r>
      <w:r>
        <w:rPr>
          <w:rFonts w:cstheme="minorHAnsi"/>
          <w:color w:val="000000"/>
        </w:rPr>
        <w:t xml:space="preserve"> Titus also writes "But this is no story to excite wonder; I do but relate what I have heard and what our fathers have recorded."</w:t>
      </w:r>
      <w:r>
        <w:rPr>
          <w:rStyle w:val="FootnoteReference"/>
          <w:rFonts w:cstheme="minorHAnsi"/>
          <w:color w:val="000000"/>
        </w:rPr>
        <w:footnoteReference w:id="31"/>
      </w:r>
      <w:r>
        <w:rPr>
          <w:rFonts w:cstheme="minorHAnsi"/>
          <w:color w:val="000000"/>
        </w:rPr>
        <w:t xml:space="preserve">The author noted down events passed to him in the form of rumour but he realized that they have a different scale of truthfulness and </w:t>
      </w:r>
      <w:r w:rsidR="008A4461">
        <w:rPr>
          <w:rFonts w:cstheme="minorHAnsi"/>
          <w:color w:val="000000"/>
        </w:rPr>
        <w:t>might be</w:t>
      </w:r>
      <w:r>
        <w:rPr>
          <w:rFonts w:cstheme="minorHAnsi"/>
          <w:color w:val="000000"/>
        </w:rPr>
        <w:t xml:space="preserve"> simply not true at all.</w:t>
      </w:r>
      <w:r>
        <w:rPr>
          <w:rStyle w:val="FootnoteReference"/>
          <w:rFonts w:cstheme="minorHAnsi"/>
          <w:color w:val="000000"/>
        </w:rPr>
        <w:footnoteReference w:id="32"/>
      </w:r>
      <w:r>
        <w:rPr>
          <w:rFonts w:cstheme="minorHAnsi"/>
          <w:color w:val="000000"/>
        </w:rPr>
        <w:t xml:space="preserve"> In one place Titus refers to the two written accounts of Cluvius and Fabius Rusticus, some unknown writers and popular belief.</w:t>
      </w:r>
      <w:r>
        <w:rPr>
          <w:rStyle w:val="FootnoteReference"/>
          <w:rFonts w:cstheme="minorHAnsi"/>
          <w:color w:val="000000"/>
        </w:rPr>
        <w:footnoteReference w:id="33"/>
      </w:r>
    </w:p>
    <w:p w:rsidR="00E02C13" w:rsidRDefault="00727582">
      <w:pPr>
        <w:rPr>
          <w:rFonts w:cstheme="minorHAnsi"/>
          <w:color w:val="000000"/>
        </w:rPr>
      </w:pPr>
      <w:r>
        <w:rPr>
          <w:rFonts w:cstheme="minorHAnsi"/>
          <w:color w:val="000000"/>
        </w:rPr>
        <w:t xml:space="preserve">Tacitus collected historical material  from official documents, which were "half confidential" documents from works of the senate </w:t>
      </w:r>
      <w:r>
        <w:rPr>
          <w:rFonts w:cstheme="minorHAnsi"/>
          <w:i/>
          <w:color w:val="000000"/>
        </w:rPr>
        <w:t>Acta senatus,</w:t>
      </w:r>
      <w:r>
        <w:rPr>
          <w:rStyle w:val="FootnoteReference"/>
          <w:rFonts w:cstheme="minorHAnsi"/>
          <w:i/>
          <w:color w:val="000000"/>
        </w:rPr>
        <w:footnoteReference w:id="34"/>
      </w:r>
      <w:r>
        <w:rPr>
          <w:rFonts w:cstheme="minorHAnsi"/>
          <w:color w:val="000000"/>
        </w:rPr>
        <w:t xml:space="preserve">from the daily register </w:t>
      </w:r>
      <w:r>
        <w:rPr>
          <w:rFonts w:cstheme="minorHAnsi"/>
          <w:i/>
          <w:color w:val="000000"/>
        </w:rPr>
        <w:t>Acta diurna populi Romani</w:t>
      </w:r>
      <w:r>
        <w:rPr>
          <w:rFonts w:cstheme="minorHAnsi"/>
          <w:color w:val="000000"/>
        </w:rPr>
        <w:t>,</w:t>
      </w:r>
      <w:r>
        <w:rPr>
          <w:rStyle w:val="FootnoteReference"/>
          <w:rFonts w:cstheme="minorHAnsi"/>
          <w:color w:val="000000"/>
        </w:rPr>
        <w:footnoteReference w:id="35"/>
      </w:r>
      <w:r>
        <w:rPr>
          <w:rFonts w:cstheme="minorHAnsi"/>
          <w:color w:val="000000"/>
        </w:rPr>
        <w:t xml:space="preserve"> and reports from the senate and assemblies </w:t>
      </w:r>
      <w:r>
        <w:rPr>
          <w:rFonts w:cstheme="minorHAnsi"/>
          <w:i/>
          <w:color w:val="000000"/>
        </w:rPr>
        <w:t>Acta senatus et populi.</w:t>
      </w:r>
      <w:r>
        <w:rPr>
          <w:rFonts w:cstheme="minorHAnsi"/>
          <w:color w:val="000000"/>
        </w:rPr>
        <w:t xml:space="preserve"> Tacitus as an active senator undoubtedly had access to all sorts of files in the senate archives,</w:t>
      </w:r>
      <w:r>
        <w:rPr>
          <w:rStyle w:val="FootnoteReference"/>
          <w:rFonts w:cstheme="minorHAnsi"/>
          <w:color w:val="000000"/>
        </w:rPr>
        <w:footnoteReference w:id="36"/>
      </w:r>
      <w:r>
        <w:rPr>
          <w:rFonts w:cstheme="minorHAnsi"/>
          <w:color w:val="000000"/>
        </w:rPr>
        <w:t xml:space="preserve"> but some scholars suggest that Tacitus perhaps had limited access to these sources.</w:t>
      </w:r>
      <w:r>
        <w:rPr>
          <w:rStyle w:val="FootnoteReference"/>
          <w:rFonts w:cstheme="minorHAnsi"/>
          <w:color w:val="000000"/>
        </w:rPr>
        <w:footnoteReference w:id="37"/>
      </w:r>
      <w:r>
        <w:rPr>
          <w:rStyle w:val="FootnoteReference"/>
          <w:rFonts w:cstheme="minorHAnsi"/>
          <w:color w:val="000000"/>
        </w:rPr>
        <w:footnoteReference w:id="38"/>
      </w:r>
      <w:r>
        <w:rPr>
          <w:rFonts w:cstheme="minorHAnsi"/>
          <w:color w:val="000000"/>
        </w:rPr>
        <w:t xml:space="preserve">The daily register contained laws, </w:t>
      </w:r>
      <w:r w:rsidR="008A4461">
        <w:rPr>
          <w:rFonts w:cstheme="minorHAnsi"/>
          <w:color w:val="000000"/>
        </w:rPr>
        <w:t>decrees</w:t>
      </w:r>
      <w:r>
        <w:rPr>
          <w:rFonts w:cstheme="minorHAnsi"/>
          <w:color w:val="000000"/>
        </w:rPr>
        <w:t>, emperor speeches, announcements of weddings, births and funerals on the royal court and senate and it was delivered even to furthest provinces and soldiers stationing on the borders which read it closely.</w:t>
      </w:r>
      <w:r>
        <w:rPr>
          <w:rStyle w:val="FootnoteReference"/>
          <w:rFonts w:cstheme="minorHAnsi"/>
          <w:color w:val="000000"/>
        </w:rPr>
        <w:footnoteReference w:id="39"/>
      </w:r>
      <w:r>
        <w:rPr>
          <w:rFonts w:cstheme="minorHAnsi"/>
          <w:i/>
          <w:color w:val="000000"/>
        </w:rPr>
        <w:t xml:space="preserve">Acta Senetus et populi </w:t>
      </w:r>
      <w:r>
        <w:rPr>
          <w:rFonts w:cstheme="minorHAnsi"/>
          <w:color w:val="000000"/>
        </w:rPr>
        <w:t>had a wider range than the Daily Register, its creation is assign to Julius Caesar which used it to manipulate public opinion. Pliny the Younger passed information on how carefully Tacitus worked on archives.</w:t>
      </w:r>
      <w:r>
        <w:rPr>
          <w:rStyle w:val="FootnoteReference"/>
          <w:rFonts w:cstheme="minorHAnsi"/>
          <w:color w:val="000000"/>
        </w:rPr>
        <w:footnoteReference w:id="40"/>
      </w:r>
      <w:r>
        <w:rPr>
          <w:rFonts w:cstheme="minorHAnsi"/>
          <w:color w:val="000000"/>
        </w:rPr>
        <w:t xml:space="preserve"> Besides that Tacitus used emperors speeches and letters, for example he mentions consular elections in the reign of Tiberius, writing of emperor’s speeches who recommend candidates.</w:t>
      </w:r>
      <w:r>
        <w:rPr>
          <w:rStyle w:val="FootnoteReference"/>
          <w:rFonts w:cstheme="minorHAnsi"/>
          <w:color w:val="000000"/>
        </w:rPr>
        <w:footnoteReference w:id="41"/>
      </w:r>
      <w:r>
        <w:rPr>
          <w:rFonts w:cstheme="minorHAnsi"/>
          <w:color w:val="000000"/>
        </w:rPr>
        <w:t xml:space="preserve">The author cited Claudius’ speech in senate when there was a discussion </w:t>
      </w:r>
      <w:r w:rsidR="008A4461">
        <w:rPr>
          <w:rFonts w:cstheme="minorHAnsi"/>
          <w:color w:val="000000"/>
        </w:rPr>
        <w:t>regarding</w:t>
      </w:r>
      <w:r>
        <w:rPr>
          <w:rFonts w:cstheme="minorHAnsi"/>
          <w:color w:val="000000"/>
        </w:rPr>
        <w:t xml:space="preserve"> </w:t>
      </w:r>
      <w:r w:rsidR="008A4461">
        <w:rPr>
          <w:rFonts w:cstheme="minorHAnsi"/>
          <w:color w:val="000000"/>
        </w:rPr>
        <w:t>whether</w:t>
      </w:r>
      <w:r>
        <w:rPr>
          <w:rFonts w:cstheme="minorHAnsi"/>
          <w:color w:val="000000"/>
        </w:rPr>
        <w:t xml:space="preserve"> the senate should accept senators from outside of Italia.</w:t>
      </w:r>
      <w:r>
        <w:rPr>
          <w:rStyle w:val="FootnoteReference"/>
          <w:rFonts w:cstheme="minorHAnsi"/>
          <w:color w:val="000000"/>
        </w:rPr>
        <w:footnoteReference w:id="42"/>
      </w:r>
      <w:r>
        <w:rPr>
          <w:rFonts w:cstheme="minorHAnsi"/>
          <w:color w:val="000000"/>
        </w:rPr>
        <w:t>Evidence of using emperors letters could be the note of letters exchange between Tiberius and Maroboduus,</w:t>
      </w:r>
      <w:r>
        <w:rPr>
          <w:rStyle w:val="FootnoteReference"/>
          <w:rFonts w:cstheme="minorHAnsi"/>
          <w:color w:val="000000"/>
        </w:rPr>
        <w:footnoteReference w:id="43"/>
      </w:r>
      <w:r>
        <w:rPr>
          <w:rFonts w:cstheme="minorHAnsi"/>
          <w:color w:val="000000"/>
        </w:rPr>
        <w:t xml:space="preserve"> or Tiberius and the senate.</w:t>
      </w:r>
      <w:r>
        <w:rPr>
          <w:rStyle w:val="FootnoteReference"/>
          <w:rFonts w:cstheme="minorHAnsi"/>
          <w:color w:val="000000"/>
        </w:rPr>
        <w:footnoteReference w:id="44"/>
      </w:r>
    </w:p>
    <w:p w:rsidR="00E02C13" w:rsidRDefault="00727582">
      <w:pPr>
        <w:rPr>
          <w:rFonts w:cstheme="minorHAnsi"/>
          <w:color w:val="000000"/>
        </w:rPr>
      </w:pPr>
      <w:r>
        <w:rPr>
          <w:rFonts w:cstheme="minorHAnsi"/>
          <w:color w:val="000000"/>
        </w:rPr>
        <w:t xml:space="preserve">Tacitus also had all sorts of memoirs </w:t>
      </w:r>
      <w:r>
        <w:rPr>
          <w:rFonts w:cstheme="minorHAnsi"/>
          <w:i/>
          <w:color w:val="000000"/>
        </w:rPr>
        <w:t>commentarii</w:t>
      </w:r>
      <w:r>
        <w:rPr>
          <w:rFonts w:cstheme="minorHAnsi"/>
          <w:color w:val="000000"/>
        </w:rPr>
        <w:t xml:space="preserve"> to his disposition, but he </w:t>
      </w:r>
      <w:r w:rsidR="008A4461">
        <w:rPr>
          <w:rFonts w:cstheme="minorHAnsi"/>
          <w:color w:val="000000"/>
        </w:rPr>
        <w:t>referred</w:t>
      </w:r>
      <w:r>
        <w:rPr>
          <w:rFonts w:cstheme="minorHAnsi"/>
          <w:color w:val="000000"/>
        </w:rPr>
        <w:t xml:space="preserve"> only to the memoirs of Agrippina,</w:t>
      </w:r>
      <w:r>
        <w:rPr>
          <w:rStyle w:val="FootnoteReference"/>
          <w:rFonts w:cstheme="minorHAnsi"/>
          <w:color w:val="000000"/>
        </w:rPr>
        <w:footnoteReference w:id="45"/>
      </w:r>
      <w:r>
        <w:rPr>
          <w:rFonts w:cstheme="minorHAnsi"/>
          <w:color w:val="000000"/>
        </w:rPr>
        <w:t xml:space="preserve"> as well as Gnaeus Corbulo, one of the Nero's generals.</w:t>
      </w:r>
      <w:r>
        <w:rPr>
          <w:rStyle w:val="FootnoteReference"/>
          <w:rFonts w:cstheme="minorHAnsi"/>
          <w:color w:val="000000"/>
        </w:rPr>
        <w:footnoteReference w:id="46"/>
      </w:r>
      <w:r>
        <w:rPr>
          <w:rFonts w:cstheme="minorHAnsi"/>
          <w:color w:val="000000"/>
        </w:rPr>
        <w:t xml:space="preserve"> The emperor’s memoirs were probably unavailable to Tacitus as they contained state secrets and information from them he could access only indirectly.</w:t>
      </w:r>
      <w:r>
        <w:rPr>
          <w:rStyle w:val="FootnoteReference"/>
          <w:rFonts w:cstheme="minorHAnsi"/>
          <w:color w:val="000000"/>
        </w:rPr>
        <w:footnoteReference w:id="47"/>
      </w:r>
    </w:p>
    <w:p w:rsidR="00E02C13" w:rsidRDefault="00727582">
      <w:pPr>
        <w:rPr>
          <w:rFonts w:cstheme="minorHAnsi"/>
          <w:color w:val="000000"/>
        </w:rPr>
      </w:pPr>
      <w:r>
        <w:rPr>
          <w:rFonts w:cstheme="minorHAnsi"/>
          <w:color w:val="000000"/>
        </w:rPr>
        <w:lastRenderedPageBreak/>
        <w:t>Tacitus relied on many previous Roman sources and not just one as was suggested by Nissan.</w:t>
      </w:r>
      <w:r>
        <w:rPr>
          <w:rStyle w:val="FootnoteReference"/>
          <w:rFonts w:cstheme="minorHAnsi"/>
          <w:color w:val="000000"/>
        </w:rPr>
        <w:footnoteReference w:id="48"/>
      </w:r>
      <w:r>
        <w:rPr>
          <w:rStyle w:val="FootnoteReference"/>
          <w:rFonts w:cstheme="minorHAnsi"/>
          <w:color w:val="000000"/>
        </w:rPr>
        <w:footnoteReference w:id="49"/>
      </w:r>
      <w:r>
        <w:rPr>
          <w:rFonts w:cstheme="minorHAnsi"/>
          <w:color w:val="000000"/>
        </w:rPr>
        <w:t xml:space="preserve"> In one fragment of the Annals Tacitus discusses the opinions of three writers Cluvius Rufus, Pliny the Elder and Fabius Rusticus and then makes a statement about his method of evaluating sources in comparison to those mentioned by saying "Proposing as I do to follow the consentient testimony of historians, I shall give the differences in their narratives under the writers' names."</w:t>
      </w:r>
      <w:r>
        <w:rPr>
          <w:rStyle w:val="FootnoteReference"/>
          <w:rFonts w:cstheme="minorHAnsi"/>
          <w:color w:val="000000"/>
        </w:rPr>
        <w:footnoteReference w:id="50"/>
      </w:r>
      <w:r>
        <w:rPr>
          <w:rFonts w:cstheme="minorHAnsi"/>
          <w:color w:val="000000"/>
        </w:rPr>
        <w:t xml:space="preserve"> We see that the historian mentions names in citations which are in contradiction to tradition. The works of his predecessors which mentioned emperors of the Julio-Claudian and Flavian dynasties Tacitus evaluates negatively in both</w:t>
      </w:r>
      <w:r w:rsidR="008A4461">
        <w:rPr>
          <w:rFonts w:cstheme="minorHAnsi"/>
          <w:color w:val="000000"/>
        </w:rPr>
        <w:t xml:space="preserve"> </w:t>
      </w:r>
      <w:r>
        <w:rPr>
          <w:rFonts w:cstheme="minorHAnsi"/>
          <w:i/>
          <w:color w:val="000000"/>
        </w:rPr>
        <w:t>Annals</w:t>
      </w:r>
      <w:r>
        <w:rPr>
          <w:rStyle w:val="FootnoteReference"/>
          <w:rFonts w:cstheme="minorHAnsi"/>
          <w:i/>
          <w:color w:val="000000"/>
        </w:rPr>
        <w:footnoteReference w:id="51"/>
      </w:r>
      <w:r>
        <w:rPr>
          <w:rFonts w:cstheme="minorHAnsi"/>
          <w:color w:val="000000"/>
        </w:rPr>
        <w:t xml:space="preserve"> and </w:t>
      </w:r>
      <w:r>
        <w:rPr>
          <w:rFonts w:cstheme="minorHAnsi"/>
          <w:i/>
          <w:color w:val="000000"/>
        </w:rPr>
        <w:t>Histories.</w:t>
      </w:r>
      <w:r>
        <w:rPr>
          <w:rStyle w:val="FootnoteReference"/>
          <w:rFonts w:cstheme="minorHAnsi"/>
          <w:i/>
          <w:color w:val="000000"/>
        </w:rPr>
        <w:footnoteReference w:id="52"/>
      </w:r>
      <w:r>
        <w:rPr>
          <w:rFonts w:cstheme="minorHAnsi"/>
          <w:color w:val="000000"/>
        </w:rPr>
        <w:t xml:space="preserve">He most of all accuses them of biasness which comes from adulatory and servility in one group and hatred in the second. Only Livius and Fabius Rusticus find appreciation by Tacitus. The Author passes over the glorifying account of Tiberius by Velleius Peterculus and Jewish historians Philo from Alexandria and Josephus Flavius whose accounts are unfavourable towards Romans. Often Tacitus refers to the work of Bassus and Nonianus, the first who wrote </w:t>
      </w:r>
      <w:r>
        <w:rPr>
          <w:rFonts w:cstheme="minorHAnsi"/>
          <w:i/>
          <w:color w:val="000000"/>
        </w:rPr>
        <w:t>Bellum Germanicum is</w:t>
      </w:r>
      <w:r>
        <w:rPr>
          <w:rFonts w:cstheme="minorHAnsi"/>
          <w:color w:val="000000"/>
        </w:rPr>
        <w:t>favourable to Tiberius. To describe the reign of Nero Tacitus used at least two writers Cluvius and Rusticus, the first mentioned twice,</w:t>
      </w:r>
      <w:r>
        <w:rPr>
          <w:rStyle w:val="FootnoteReference"/>
          <w:rFonts w:cstheme="minorHAnsi"/>
          <w:color w:val="000000"/>
        </w:rPr>
        <w:footnoteReference w:id="53"/>
      </w:r>
      <w:r>
        <w:rPr>
          <w:rFonts w:cstheme="minorHAnsi"/>
          <w:color w:val="000000"/>
        </w:rPr>
        <w:t xml:space="preserve"> and the second writer a few times.</w:t>
      </w:r>
      <w:r>
        <w:rPr>
          <w:rStyle w:val="FootnoteReference"/>
          <w:rFonts w:cstheme="minorHAnsi"/>
          <w:color w:val="000000"/>
        </w:rPr>
        <w:footnoteReference w:id="54"/>
      </w:r>
      <w:r>
        <w:rPr>
          <w:rStyle w:val="FootnoteReference"/>
          <w:rFonts w:cstheme="minorHAnsi"/>
          <w:color w:val="000000"/>
        </w:rPr>
        <w:footnoteReference w:id="55"/>
      </w:r>
      <w:r>
        <w:rPr>
          <w:rFonts w:cstheme="minorHAnsi"/>
          <w:color w:val="000000"/>
        </w:rPr>
        <w:t xml:space="preserve"> In Histories Tacitus refers to two names of Wipsatanus Messalla and Pliny the Elder.</w:t>
      </w:r>
      <w:r>
        <w:rPr>
          <w:rStyle w:val="FootnoteReference"/>
          <w:rFonts w:cstheme="minorHAnsi"/>
          <w:color w:val="000000"/>
        </w:rPr>
        <w:footnoteReference w:id="56"/>
      </w:r>
      <w:r>
        <w:rPr>
          <w:rFonts w:cstheme="minorHAnsi"/>
          <w:color w:val="000000"/>
        </w:rPr>
        <w:t xml:space="preserve"> Messalla gave his account of his own experiences of the civil war.</w:t>
      </w:r>
      <w:r>
        <w:rPr>
          <w:rStyle w:val="FootnoteReference"/>
          <w:rFonts w:cstheme="minorHAnsi"/>
          <w:color w:val="000000"/>
        </w:rPr>
        <w:footnoteReference w:id="57"/>
      </w:r>
      <w:r>
        <w:rPr>
          <w:rFonts w:cstheme="minorHAnsi"/>
          <w:color w:val="000000"/>
        </w:rPr>
        <w:t xml:space="preserve"> Pliny’s work probably was used as the primary source to write the first book.</w:t>
      </w:r>
      <w:r>
        <w:rPr>
          <w:rStyle w:val="FootnoteReference"/>
          <w:rFonts w:cstheme="minorHAnsi"/>
          <w:color w:val="000000"/>
        </w:rPr>
        <w:footnoteReference w:id="58"/>
      </w:r>
      <w:r>
        <w:rPr>
          <w:rFonts w:cstheme="minorHAnsi"/>
          <w:color w:val="000000"/>
        </w:rPr>
        <w:t xml:space="preserve"> Tacitus also used some specialist papers concerning Cyprus,</w:t>
      </w:r>
      <w:r>
        <w:rPr>
          <w:rStyle w:val="FootnoteReference"/>
          <w:rFonts w:cstheme="minorHAnsi"/>
          <w:color w:val="000000"/>
        </w:rPr>
        <w:footnoteReference w:id="59"/>
      </w:r>
      <w:r>
        <w:rPr>
          <w:rFonts w:cstheme="minorHAnsi"/>
          <w:color w:val="000000"/>
        </w:rPr>
        <w:t xml:space="preserve"> Egypt,</w:t>
      </w:r>
      <w:r>
        <w:rPr>
          <w:rStyle w:val="FootnoteReference"/>
          <w:rFonts w:cstheme="minorHAnsi"/>
          <w:color w:val="000000"/>
        </w:rPr>
        <w:footnoteReference w:id="60"/>
      </w:r>
      <w:r>
        <w:rPr>
          <w:rFonts w:cstheme="minorHAnsi"/>
          <w:color w:val="000000"/>
        </w:rPr>
        <w:t xml:space="preserve"> and Judea.</w:t>
      </w:r>
      <w:r>
        <w:rPr>
          <w:rStyle w:val="FootnoteReference"/>
          <w:rFonts w:cstheme="minorHAnsi"/>
          <w:color w:val="000000"/>
        </w:rPr>
        <w:footnoteReference w:id="61"/>
      </w:r>
      <w:r>
        <w:rPr>
          <w:rFonts w:cstheme="minorHAnsi"/>
          <w:color w:val="000000"/>
        </w:rPr>
        <w:t xml:space="preserve"> The similarity of Tacitus and Plutarchus’s biographies of Galba and Otho can be explained by using the same source.</w:t>
      </w:r>
      <w:r>
        <w:rPr>
          <w:rStyle w:val="FootnoteReference"/>
          <w:rFonts w:cstheme="minorHAnsi"/>
          <w:color w:val="000000"/>
        </w:rPr>
        <w:footnoteReference w:id="62"/>
      </w:r>
      <w:r>
        <w:rPr>
          <w:rFonts w:cstheme="minorHAnsi"/>
          <w:color w:val="000000"/>
        </w:rPr>
        <w:t xml:space="preserve"> Many times Tacitus referred to anonymous sources often contradicting each other.</w:t>
      </w:r>
      <w:r>
        <w:rPr>
          <w:rStyle w:val="FootnoteReference"/>
          <w:rFonts w:cstheme="minorHAnsi"/>
          <w:color w:val="000000"/>
        </w:rPr>
        <w:footnoteReference w:id="63"/>
      </w:r>
      <w:r>
        <w:rPr>
          <w:rFonts w:cstheme="minorHAnsi"/>
          <w:color w:val="000000"/>
        </w:rPr>
        <w:t xml:space="preserve"> Thanks to applied methods of criticism and wide knowledge gained as an active politician in long period of time he gives a more reliable picture of the past than Suetonius, Plutarchus or Dio and many others.</w:t>
      </w:r>
      <w:r>
        <w:rPr>
          <w:rStyle w:val="FootnoteReference"/>
          <w:rFonts w:cstheme="minorHAnsi"/>
          <w:color w:val="000000"/>
        </w:rPr>
        <w:footnoteReference w:id="64"/>
      </w:r>
      <w:r>
        <w:rPr>
          <w:rStyle w:val="FootnoteReference"/>
          <w:rFonts w:cstheme="minorHAnsi"/>
          <w:color w:val="000000"/>
        </w:rPr>
        <w:footnoteReference w:id="65"/>
      </w:r>
    </w:p>
    <w:p w:rsidR="00E02C13" w:rsidRDefault="00E02C13">
      <w:pPr>
        <w:rPr>
          <w:rFonts w:cstheme="minorHAnsi"/>
          <w:color w:val="000000"/>
        </w:rPr>
      </w:pPr>
    </w:p>
    <w:p w:rsidR="00E02C13" w:rsidRDefault="00727582">
      <w:pPr>
        <w:rPr>
          <w:rFonts w:cstheme="minorHAnsi"/>
          <w:color w:val="000000"/>
        </w:rPr>
      </w:pPr>
      <w:r>
        <w:rPr>
          <w:rFonts w:cstheme="minorHAnsi"/>
          <w:color w:val="000000"/>
        </w:rPr>
        <w:tab/>
        <w:t>In Tacitus’s thoughts the human takes an important role, as man is the maker of history and from its moral stance depends the fate of the world.</w:t>
      </w:r>
      <w:r>
        <w:rPr>
          <w:rStyle w:val="FootnoteReference"/>
          <w:rFonts w:cstheme="minorHAnsi"/>
          <w:color w:val="000000"/>
        </w:rPr>
        <w:footnoteReference w:id="66"/>
      </w:r>
      <w:r>
        <w:rPr>
          <w:rFonts w:cstheme="minorHAnsi"/>
          <w:color w:val="000000"/>
        </w:rPr>
        <w:t xml:space="preserve"> Tacitus is much more anthropocentric than Livius which puts supernatural cases as more </w:t>
      </w:r>
      <w:r w:rsidR="008A4461">
        <w:rPr>
          <w:rFonts w:cstheme="minorHAnsi"/>
          <w:color w:val="000000"/>
        </w:rPr>
        <w:t>important, in</w:t>
      </w:r>
      <w:r>
        <w:rPr>
          <w:rFonts w:cstheme="minorHAnsi"/>
          <w:color w:val="000000"/>
        </w:rPr>
        <w:t xml:space="preserve"> Tacitus’s work</w:t>
      </w:r>
      <w:r w:rsidR="008A4461">
        <w:rPr>
          <w:rFonts w:cstheme="minorHAnsi"/>
          <w:color w:val="000000"/>
        </w:rPr>
        <w:t xml:space="preserve"> </w:t>
      </w:r>
      <w:r>
        <w:rPr>
          <w:rFonts w:cstheme="minorHAnsi"/>
          <w:color w:val="000000"/>
        </w:rPr>
        <w:t>significant</w:t>
      </w:r>
      <w:r w:rsidR="008A4461">
        <w:rPr>
          <w:rFonts w:cstheme="minorHAnsi"/>
          <w:color w:val="000000"/>
        </w:rPr>
        <w:t xml:space="preserve"> </w:t>
      </w:r>
      <w:r>
        <w:rPr>
          <w:rFonts w:cstheme="minorHAnsi"/>
          <w:color w:val="000000"/>
        </w:rPr>
        <w:t xml:space="preserve">noticeable  pessimism in relation to mankind and its history can be seen and this view gets stronger with </w:t>
      </w:r>
      <w:r w:rsidR="008A4461">
        <w:rPr>
          <w:rFonts w:cstheme="minorHAnsi"/>
          <w:color w:val="000000"/>
        </w:rPr>
        <w:t xml:space="preserve">deeper </w:t>
      </w:r>
      <w:r w:rsidR="008A4461">
        <w:rPr>
          <w:rFonts w:cstheme="minorHAnsi"/>
          <w:color w:val="000000"/>
        </w:rPr>
        <w:lastRenderedPageBreak/>
        <w:t>analysis</w:t>
      </w:r>
      <w:r>
        <w:rPr>
          <w:rFonts w:cstheme="minorHAnsi"/>
          <w:color w:val="000000"/>
        </w:rPr>
        <w:t xml:space="preserve"> of the events.</w:t>
      </w:r>
      <w:r>
        <w:rPr>
          <w:rStyle w:val="FootnoteReference"/>
          <w:rFonts w:cstheme="minorHAnsi"/>
          <w:color w:val="000000"/>
        </w:rPr>
        <w:footnoteReference w:id="67"/>
      </w:r>
      <w:r>
        <w:rPr>
          <w:rFonts w:cstheme="minorHAnsi"/>
          <w:color w:val="000000"/>
        </w:rPr>
        <w:t xml:space="preserve"> It is noticeable from the beginning of his works, as the author writes in </w:t>
      </w:r>
      <w:r>
        <w:rPr>
          <w:rFonts w:cstheme="minorHAnsi"/>
          <w:i/>
          <w:color w:val="000000"/>
        </w:rPr>
        <w:t>Histories</w:t>
      </w:r>
      <w:r>
        <w:rPr>
          <w:rFonts w:cstheme="minorHAnsi"/>
          <w:color w:val="000000"/>
        </w:rPr>
        <w:t>:</w:t>
      </w:r>
    </w:p>
    <w:p w:rsidR="00E02C13" w:rsidRDefault="00727582" w:rsidP="008A4461">
      <w:pPr>
        <w:ind w:leftChars="100" w:left="220"/>
        <w:rPr>
          <w:rFonts w:cstheme="minorHAnsi"/>
          <w:color w:val="000000"/>
        </w:rPr>
      </w:pPr>
      <w:r>
        <w:rPr>
          <w:rFonts w:cstheme="minorHAnsi"/>
          <w:color w:val="000000"/>
        </w:rPr>
        <w:tab/>
        <w:t xml:space="preserve"> I am entering on the history of a period rich in disasters, frightened in its wars, torn by civil </w:t>
      </w:r>
      <w:r>
        <w:rPr>
          <w:rFonts w:cstheme="minorHAnsi"/>
          <w:color w:val="000000"/>
        </w:rPr>
        <w:tab/>
        <w:t xml:space="preserve">strife, and even in peace full of horrors... </w:t>
      </w:r>
      <w:r>
        <w:rPr>
          <w:rStyle w:val="place"/>
          <w:rFonts w:cstheme="minorHAnsi"/>
          <w:color w:val="000000"/>
        </w:rPr>
        <w:t>Rome</w:t>
      </w:r>
      <w:r>
        <w:rPr>
          <w:rFonts w:cstheme="minorHAnsi"/>
          <w:color w:val="000000"/>
        </w:rPr>
        <w:t xml:space="preserve"> was wasted by conflagrations, its oldest </w:t>
      </w:r>
      <w:r>
        <w:rPr>
          <w:rFonts w:cstheme="minorHAnsi"/>
          <w:color w:val="000000"/>
        </w:rPr>
        <w:tab/>
        <w:t xml:space="preserve">temples consumed, and the Capitol itself fired by the hands of citizens. Sacred rites were </w:t>
      </w:r>
      <w:r>
        <w:rPr>
          <w:rFonts w:cstheme="minorHAnsi"/>
          <w:color w:val="000000"/>
        </w:rPr>
        <w:tab/>
        <w:t xml:space="preserve">profaned; there was profligacy in the highest ranks; the sea was crowded with exiles, and its </w:t>
      </w:r>
      <w:r>
        <w:rPr>
          <w:rFonts w:cstheme="minorHAnsi"/>
          <w:color w:val="000000"/>
        </w:rPr>
        <w:tab/>
        <w:t xml:space="preserve">rocks polluted with bloody deeds... Slaves were bribed to turn against their masters, and </w:t>
      </w:r>
      <w:r>
        <w:rPr>
          <w:rFonts w:cstheme="minorHAnsi"/>
          <w:color w:val="000000"/>
        </w:rPr>
        <w:tab/>
        <w:t xml:space="preserve">freedmen to betray their patrons; and those who had not an enemy were destroyed by </w:t>
      </w:r>
      <w:r>
        <w:rPr>
          <w:rFonts w:cstheme="minorHAnsi"/>
          <w:color w:val="000000"/>
        </w:rPr>
        <w:tab/>
        <w:t>friends.</w:t>
      </w:r>
      <w:r>
        <w:rPr>
          <w:rStyle w:val="FootnoteReference"/>
          <w:rFonts w:cstheme="minorHAnsi"/>
          <w:color w:val="000000"/>
        </w:rPr>
        <w:footnoteReference w:id="68"/>
      </w:r>
    </w:p>
    <w:p w:rsidR="00E02C13" w:rsidRDefault="00727582">
      <w:pPr>
        <w:rPr>
          <w:rFonts w:cstheme="minorHAnsi"/>
          <w:color w:val="000000"/>
        </w:rPr>
      </w:pPr>
      <w:r>
        <w:rPr>
          <w:rFonts w:cstheme="minorHAnsi"/>
          <w:color w:val="000000"/>
        </w:rPr>
        <w:t>Limited examples of virtues in Tacitus’s works appearing between the vast majority of villainy, cruelty and treachery are chosen to deepen that pessimism even more. It seems the author perceives human nature in majority as evil, it is full of misalignments as for example the unduly ambition which despises of slow hard work to achieve fame but endorses quick pursuance of success even for the price of self destruction,</w:t>
      </w:r>
      <w:r>
        <w:rPr>
          <w:rStyle w:val="FootnoteReference"/>
          <w:rFonts w:cstheme="minorHAnsi"/>
          <w:color w:val="000000"/>
        </w:rPr>
        <w:footnoteReference w:id="69"/>
      </w:r>
      <w:r>
        <w:rPr>
          <w:rFonts w:cstheme="minorHAnsi"/>
          <w:color w:val="000000"/>
        </w:rPr>
        <w:t xml:space="preserve"> hatred which can be an effect of excess of wealth,</w:t>
      </w:r>
      <w:r>
        <w:rPr>
          <w:rStyle w:val="FootnoteReference"/>
          <w:rFonts w:cstheme="minorHAnsi"/>
          <w:color w:val="000000"/>
        </w:rPr>
        <w:footnoteReference w:id="70"/>
      </w:r>
      <w:r>
        <w:rPr>
          <w:rFonts w:cstheme="minorHAnsi"/>
          <w:color w:val="000000"/>
        </w:rPr>
        <w:t xml:space="preserve"> an unreasonable faith in supernatural things,</w:t>
      </w:r>
      <w:r>
        <w:rPr>
          <w:rStyle w:val="FootnoteReference"/>
          <w:rFonts w:cstheme="minorHAnsi"/>
          <w:color w:val="000000"/>
        </w:rPr>
        <w:footnoteReference w:id="71"/>
      </w:r>
      <w:r>
        <w:rPr>
          <w:rFonts w:cstheme="minorHAnsi"/>
          <w:color w:val="000000"/>
        </w:rPr>
        <w:t xml:space="preserve"> the desire of gold and treasures which are the main cause of wars,</w:t>
      </w:r>
      <w:r>
        <w:rPr>
          <w:rStyle w:val="FootnoteReference"/>
          <w:rFonts w:cstheme="minorHAnsi"/>
          <w:color w:val="000000"/>
        </w:rPr>
        <w:footnoteReference w:id="72"/>
      </w:r>
      <w:r>
        <w:rPr>
          <w:rFonts w:cstheme="minorHAnsi"/>
          <w:color w:val="000000"/>
        </w:rPr>
        <w:t xml:space="preserve"> and cruelty and indifference.</w:t>
      </w:r>
      <w:r>
        <w:rPr>
          <w:rStyle w:val="FootnoteReference"/>
          <w:rFonts w:cstheme="minorHAnsi"/>
          <w:color w:val="000000"/>
        </w:rPr>
        <w:footnoteReference w:id="73"/>
      </w:r>
    </w:p>
    <w:p w:rsidR="00E02C13" w:rsidRDefault="00727582">
      <w:pPr>
        <w:rPr>
          <w:rFonts w:cstheme="minorHAnsi"/>
          <w:color w:val="000000"/>
        </w:rPr>
      </w:pPr>
      <w:r>
        <w:rPr>
          <w:rFonts w:cstheme="minorHAnsi"/>
          <w:color w:val="000000"/>
        </w:rPr>
        <w:t xml:space="preserve">No doubt Tacitus was familiar with Greek political systems such as monarchy, democracy, aristocracy and mixed consolidate all of the other three forms in </w:t>
      </w:r>
      <w:r w:rsidR="008A4461">
        <w:rPr>
          <w:rFonts w:cstheme="minorHAnsi"/>
          <w:color w:val="000000"/>
        </w:rPr>
        <w:t>one. The</w:t>
      </w:r>
      <w:r>
        <w:rPr>
          <w:rFonts w:cstheme="minorHAnsi"/>
          <w:color w:val="000000"/>
        </w:rPr>
        <w:t xml:space="preserve"> mixed system however -in his opinion- is hard to implement and in case of establishment is not lasting,</w:t>
      </w:r>
      <w:r>
        <w:rPr>
          <w:rStyle w:val="FootnoteReference"/>
          <w:rFonts w:cstheme="minorHAnsi"/>
          <w:color w:val="000000"/>
        </w:rPr>
        <w:footnoteReference w:id="74"/>
      </w:r>
      <w:r>
        <w:rPr>
          <w:rFonts w:cstheme="minorHAnsi"/>
          <w:color w:val="000000"/>
        </w:rPr>
        <w:t>for the sake of peace therefore it is the best to embrace the monarchy system.</w:t>
      </w:r>
      <w:r>
        <w:rPr>
          <w:rStyle w:val="FootnoteReference"/>
          <w:rFonts w:cstheme="minorHAnsi"/>
          <w:color w:val="000000"/>
        </w:rPr>
        <w:footnoteReference w:id="75"/>
      </w:r>
      <w:r>
        <w:rPr>
          <w:rFonts w:cstheme="minorHAnsi"/>
          <w:color w:val="000000"/>
        </w:rPr>
        <w:t>The ideal of this system was presented in the speech of the emperor Galba, where most of all the authorities should be moderate and reject extremes such as total freedom and total slavery.</w:t>
      </w:r>
      <w:r>
        <w:rPr>
          <w:rStyle w:val="FootnoteReference"/>
          <w:rFonts w:cstheme="minorHAnsi"/>
          <w:color w:val="000000"/>
        </w:rPr>
        <w:footnoteReference w:id="76"/>
      </w:r>
      <w:r>
        <w:rPr>
          <w:rFonts w:cstheme="minorHAnsi"/>
          <w:color w:val="000000"/>
        </w:rPr>
        <w:t xml:space="preserve"> Tacit who lived through the tyrannical reign of emperor Domitian, developed his literary activity in the reign of Trajan, an emperor which came from adoption and therefore Tacitus considered adoption as the best form of continuation of authority.</w:t>
      </w:r>
      <w:r>
        <w:rPr>
          <w:rStyle w:val="FootnoteReference"/>
          <w:rFonts w:cstheme="minorHAnsi"/>
          <w:color w:val="000000"/>
        </w:rPr>
        <w:footnoteReference w:id="77"/>
      </w:r>
      <w:r>
        <w:rPr>
          <w:rFonts w:cstheme="minorHAnsi"/>
          <w:color w:val="000000"/>
        </w:rPr>
        <w:t xml:space="preserve"> In regard to bad emperors Tacitus advises to accommodate with their existence </w:t>
      </w:r>
      <w:r w:rsidR="008A4461">
        <w:rPr>
          <w:rFonts w:cstheme="minorHAnsi"/>
          <w:color w:val="000000"/>
        </w:rPr>
        <w:t>despite whether</w:t>
      </w:r>
      <w:r>
        <w:rPr>
          <w:rFonts w:cstheme="minorHAnsi"/>
          <w:color w:val="000000"/>
        </w:rPr>
        <w:t xml:space="preserve"> they come from adoption or inheritance and the writer advises politicians to embrace the moderate stance similar to his father in law Agricola and reject intransigent oppositionists in their views, who by stubbornness similar to</w:t>
      </w:r>
      <w:r w:rsidR="008A4461">
        <w:rPr>
          <w:rFonts w:cstheme="minorHAnsi"/>
          <w:color w:val="000000"/>
        </w:rPr>
        <w:t xml:space="preserve"> </w:t>
      </w:r>
      <w:r>
        <w:rPr>
          <w:rFonts w:cstheme="minorHAnsi"/>
          <w:color w:val="000000"/>
        </w:rPr>
        <w:t>Helvidius Priskus would lead not only to self destruction but also to ever growing terror:</w:t>
      </w:r>
    </w:p>
    <w:p w:rsidR="00E02C13" w:rsidRDefault="00727582">
      <w:pPr>
        <w:rPr>
          <w:rFonts w:cstheme="minorHAnsi"/>
          <w:color w:val="000000"/>
        </w:rPr>
      </w:pPr>
      <w:r>
        <w:rPr>
          <w:rFonts w:cstheme="minorHAnsi"/>
          <w:color w:val="000000"/>
        </w:rPr>
        <w:tab/>
        <w:t xml:space="preserve">...Who neither by a perverse obstinacy nor an idle parade of freedom challenged fame or </w:t>
      </w:r>
      <w:r>
        <w:rPr>
          <w:rFonts w:cstheme="minorHAnsi"/>
          <w:color w:val="000000"/>
        </w:rPr>
        <w:tab/>
        <w:t xml:space="preserve">provoked his fate. Let it be known to those whose habit it is to admire the disregard of </w:t>
      </w:r>
      <w:r>
        <w:rPr>
          <w:rFonts w:cstheme="minorHAnsi"/>
          <w:color w:val="000000"/>
        </w:rPr>
        <w:tab/>
        <w:t xml:space="preserve">authority, that there may be great men even under bad emperors, and that obedience and </w:t>
      </w:r>
      <w:r>
        <w:rPr>
          <w:rFonts w:cstheme="minorHAnsi"/>
          <w:color w:val="000000"/>
        </w:rPr>
        <w:lastRenderedPageBreak/>
        <w:tab/>
        <w:t xml:space="preserve">submission, when joined to activity and vigour, may attain a glory which most men reach </w:t>
      </w:r>
      <w:r>
        <w:rPr>
          <w:rFonts w:cstheme="minorHAnsi"/>
          <w:color w:val="000000"/>
        </w:rPr>
        <w:tab/>
        <w:t>only by a perilous career, utterly useless to the state, and closed by an ostentatious death.</w:t>
      </w:r>
      <w:r>
        <w:rPr>
          <w:rStyle w:val="FootnoteReference"/>
          <w:rFonts w:cstheme="minorHAnsi"/>
          <w:color w:val="000000"/>
        </w:rPr>
        <w:footnoteReference w:id="78"/>
      </w:r>
    </w:p>
    <w:p w:rsidR="00E02C13" w:rsidRDefault="00727582">
      <w:pPr>
        <w:rPr>
          <w:rFonts w:cstheme="minorHAnsi"/>
          <w:color w:val="000000"/>
        </w:rPr>
      </w:pPr>
      <w:r>
        <w:rPr>
          <w:rFonts w:cstheme="minorHAnsi"/>
          <w:color w:val="000000"/>
        </w:rPr>
        <w:t>Tacitus tells us by that under tyrannical rule  the virtues cultivated by Agricola were more important than the flaunting of personal independence which often carried proud senators to death. In order to be useful for the country Tacitus connects moderate submission with energetic action and this form of philosophy he preaches in all his works.</w:t>
      </w:r>
      <w:r>
        <w:rPr>
          <w:rStyle w:val="FootnoteReference"/>
          <w:rFonts w:cstheme="minorHAnsi"/>
          <w:color w:val="000000"/>
        </w:rPr>
        <w:footnoteReference w:id="79"/>
      </w:r>
      <w:r>
        <w:rPr>
          <w:rFonts w:cstheme="minorHAnsi"/>
          <w:color w:val="000000"/>
        </w:rPr>
        <w:t xml:space="preserve"> It seems that Tacitus embraces the concept of Seneca "The wise one will never make angry those in power, in contrary he will avoid it similar to boat pilot who avoid a storm in sea journey"</w:t>
      </w:r>
      <w:r>
        <w:rPr>
          <w:rStyle w:val="FootnoteReference"/>
          <w:rFonts w:cstheme="minorHAnsi"/>
          <w:color w:val="000000"/>
        </w:rPr>
        <w:footnoteReference w:id="80"/>
      </w:r>
    </w:p>
    <w:p w:rsidR="00E02C13" w:rsidRDefault="00727582">
      <w:pPr>
        <w:rPr>
          <w:rFonts w:cstheme="minorHAnsi"/>
          <w:color w:val="000000"/>
        </w:rPr>
      </w:pPr>
      <w:r>
        <w:rPr>
          <w:rFonts w:cstheme="minorHAnsi"/>
          <w:color w:val="000000"/>
        </w:rPr>
        <w:t>From the other side Tacitus was full of admiration towards those who chose death in defence of their dignity, for example we could discuss here Lucius Vetus and his family,</w:t>
      </w:r>
      <w:r>
        <w:rPr>
          <w:rStyle w:val="FootnoteReference"/>
          <w:rFonts w:cstheme="minorHAnsi"/>
          <w:color w:val="000000"/>
        </w:rPr>
        <w:footnoteReference w:id="81"/>
      </w:r>
      <w:r>
        <w:rPr>
          <w:rFonts w:cstheme="minorHAnsi"/>
          <w:color w:val="000000"/>
        </w:rPr>
        <w:t xml:space="preserve"> and Seneca.</w:t>
      </w:r>
      <w:r>
        <w:rPr>
          <w:rStyle w:val="FootnoteReference"/>
          <w:rFonts w:cstheme="minorHAnsi"/>
          <w:color w:val="000000"/>
        </w:rPr>
        <w:footnoteReference w:id="82"/>
      </w:r>
    </w:p>
    <w:p w:rsidR="00E02C13" w:rsidRDefault="00727582">
      <w:pPr>
        <w:pStyle w:val="NormalWeb"/>
        <w:rPr>
          <w:rFonts w:asciiTheme="minorHAnsi" w:hAnsiTheme="minorHAnsi" w:cstheme="minorHAnsi"/>
          <w:sz w:val="22"/>
          <w:szCs w:val="22"/>
        </w:rPr>
      </w:pPr>
      <w:r>
        <w:rPr>
          <w:rFonts w:asciiTheme="minorHAnsi" w:hAnsiTheme="minorHAnsi" w:cstheme="minorHAnsi"/>
          <w:color w:val="000000"/>
          <w:sz w:val="22"/>
          <w:szCs w:val="22"/>
        </w:rPr>
        <w:t>To rule the state the law is necessary, but immensity of bills reveals warmongering and corruption,</w:t>
      </w:r>
      <w:r>
        <w:rPr>
          <w:rStyle w:val="FootnoteReference"/>
          <w:rFonts w:asciiTheme="minorHAnsi" w:hAnsiTheme="minorHAnsi" w:cstheme="minorHAnsi"/>
          <w:color w:val="000000"/>
          <w:sz w:val="22"/>
          <w:szCs w:val="22"/>
        </w:rPr>
        <w:footnoteReference w:id="83"/>
      </w:r>
      <w:r>
        <w:rPr>
          <w:rFonts w:asciiTheme="minorHAnsi" w:hAnsiTheme="minorHAnsi" w:cstheme="minorHAnsi"/>
          <w:color w:val="000000"/>
          <w:sz w:val="22"/>
          <w:szCs w:val="22"/>
        </w:rPr>
        <w:t xml:space="preserve"> leading to denaturalization which shows itself as herds of betrayers.</w:t>
      </w:r>
      <w:r>
        <w:rPr>
          <w:rStyle w:val="FootnoteReference"/>
          <w:rFonts w:asciiTheme="minorHAnsi" w:hAnsiTheme="minorHAnsi" w:cstheme="minorHAnsi"/>
          <w:color w:val="000000"/>
          <w:sz w:val="22"/>
          <w:szCs w:val="22"/>
        </w:rPr>
        <w:footnoteReference w:id="84"/>
      </w:r>
      <w:r>
        <w:rPr>
          <w:rFonts w:asciiTheme="minorHAnsi" w:hAnsiTheme="minorHAnsi" w:cstheme="minorHAnsi"/>
          <w:color w:val="000000"/>
          <w:sz w:val="22"/>
          <w:szCs w:val="22"/>
        </w:rPr>
        <w:t xml:space="preserve"> It is necessary to respect the law, but also old customs and Tacitus writes about this subject </w:t>
      </w:r>
      <w:r>
        <w:rPr>
          <w:rFonts w:asciiTheme="minorHAnsi" w:hAnsiTheme="minorHAnsi" w:cstheme="minorHAnsi"/>
          <w:sz w:val="22"/>
          <w:szCs w:val="22"/>
        </w:rPr>
        <w:t xml:space="preserve">for example in the speech of Tiberius about the function of authority in the province, </w:t>
      </w:r>
      <w:r>
        <w:rPr>
          <w:rStyle w:val="FootnoteReference"/>
          <w:rFonts w:asciiTheme="minorHAnsi" w:hAnsiTheme="minorHAnsi" w:cstheme="minorHAnsi"/>
          <w:sz w:val="22"/>
          <w:szCs w:val="22"/>
        </w:rPr>
        <w:footnoteReference w:id="85"/>
      </w:r>
      <w:r>
        <w:rPr>
          <w:rFonts w:asciiTheme="minorHAnsi" w:hAnsiTheme="minorHAnsi" w:cstheme="minorHAnsi"/>
          <w:sz w:val="22"/>
          <w:szCs w:val="22"/>
        </w:rPr>
        <w:t xml:space="preserve"> or in the statement of the same emperor to the senate talking about the lap of luxury.</w:t>
      </w:r>
      <w:r>
        <w:rPr>
          <w:rStyle w:val="FootnoteReference"/>
          <w:rFonts w:asciiTheme="minorHAnsi" w:hAnsiTheme="minorHAnsi" w:cstheme="minorHAnsi"/>
          <w:sz w:val="22"/>
          <w:szCs w:val="22"/>
        </w:rPr>
        <w:footnoteReference w:id="86"/>
      </w:r>
      <w:r>
        <w:rPr>
          <w:rFonts w:asciiTheme="minorHAnsi" w:hAnsiTheme="minorHAnsi" w:cstheme="minorHAnsi"/>
          <w:sz w:val="22"/>
          <w:szCs w:val="22"/>
        </w:rPr>
        <w:t xml:space="preserve"> Tacitus many times fights against the bills which strangle free speech and thoughts and in that respect Tacitus writes that when the senate ordered to burn the books of Cremutius Cordus because he glorified Cassius and Brutus "And so one is all the more inclined to laugh at the stupidity of men who suppose that the despotism of the present can actually efface the remembrances of the next generation. On the contrary, the persecution of genius fosters its influence; foreign tyrants, and all who have imitated their oppression, have merely procured infamy for themselves and glory for their victims."</w:t>
      </w:r>
      <w:r>
        <w:rPr>
          <w:rStyle w:val="FootnoteReference"/>
          <w:rFonts w:asciiTheme="minorHAnsi" w:hAnsiTheme="minorHAnsi" w:cstheme="minorHAnsi"/>
          <w:sz w:val="22"/>
          <w:szCs w:val="22"/>
        </w:rPr>
        <w:footnoteReference w:id="87"/>
      </w:r>
    </w:p>
    <w:p w:rsidR="00E02C13" w:rsidRDefault="00E02C13">
      <w:pPr>
        <w:pStyle w:val="NormalWeb"/>
        <w:rPr>
          <w:rFonts w:asciiTheme="minorHAnsi" w:hAnsiTheme="minorHAnsi" w:cstheme="minorHAnsi"/>
          <w:sz w:val="22"/>
          <w:szCs w:val="22"/>
        </w:rPr>
      </w:pP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sz w:val="22"/>
          <w:szCs w:val="22"/>
        </w:rPr>
        <w:tab/>
        <w:t>Tacitus’s view on supernatural phenomena was adequate to his social status as senator. However it is hard to draw a united opinion on his views as they were evolving which can be spotted in his writings. He believed in the gods in a traditional way; the gods interfere in earthly life by imposing certain supernatural omens, dreams and prophecies, announce forthcoming unpleasant or joyful events.</w:t>
      </w:r>
      <w:r>
        <w:rPr>
          <w:rStyle w:val="FootnoteReference"/>
          <w:rFonts w:asciiTheme="minorHAnsi" w:hAnsiTheme="minorHAnsi" w:cstheme="minorHAnsi"/>
          <w:sz w:val="22"/>
          <w:szCs w:val="22"/>
        </w:rPr>
        <w:footnoteReference w:id="88"/>
      </w:r>
      <w:r>
        <w:rPr>
          <w:rFonts w:asciiTheme="minorHAnsi" w:hAnsiTheme="minorHAnsi" w:cstheme="minorHAnsi"/>
          <w:sz w:val="22"/>
          <w:szCs w:val="22"/>
        </w:rPr>
        <w:t xml:space="preserve"> He underlines the help send by the gods to Romans for example in the reign time of emperor Claudius when citizens suffered from famine,</w:t>
      </w:r>
      <w:r>
        <w:rPr>
          <w:rStyle w:val="FootnoteReference"/>
          <w:rFonts w:asciiTheme="minorHAnsi" w:hAnsiTheme="minorHAnsi" w:cstheme="minorHAnsi"/>
          <w:sz w:val="22"/>
          <w:szCs w:val="22"/>
        </w:rPr>
        <w:footnoteReference w:id="89"/>
      </w:r>
      <w:r>
        <w:rPr>
          <w:rFonts w:asciiTheme="minorHAnsi" w:hAnsiTheme="minorHAnsi" w:cstheme="minorHAnsi"/>
          <w:sz w:val="22"/>
          <w:szCs w:val="22"/>
        </w:rPr>
        <w:t>likewise in the war with the Germanic people.</w:t>
      </w:r>
      <w:r>
        <w:rPr>
          <w:rStyle w:val="FootnoteReference"/>
          <w:rFonts w:asciiTheme="minorHAnsi" w:hAnsiTheme="minorHAnsi" w:cstheme="minorHAnsi"/>
          <w:sz w:val="22"/>
          <w:szCs w:val="22"/>
        </w:rPr>
        <w:footnoteReference w:id="90"/>
      </w:r>
      <w:r>
        <w:rPr>
          <w:rFonts w:asciiTheme="minorHAnsi" w:hAnsiTheme="minorHAnsi" w:cstheme="minorHAnsi"/>
          <w:sz w:val="22"/>
          <w:szCs w:val="22"/>
        </w:rPr>
        <w:t xml:space="preserve"> Tacitus does realize however that not all the signs have divine origins and many of them are the creation of the uneducated society.</w:t>
      </w:r>
      <w:r>
        <w:rPr>
          <w:rStyle w:val="FootnoteReference"/>
          <w:rFonts w:asciiTheme="minorHAnsi" w:hAnsiTheme="minorHAnsi" w:cstheme="minorHAnsi"/>
          <w:sz w:val="22"/>
          <w:szCs w:val="22"/>
        </w:rPr>
        <w:footnoteReference w:id="91"/>
      </w:r>
      <w:r>
        <w:rPr>
          <w:rFonts w:asciiTheme="minorHAnsi" w:hAnsiTheme="minorHAnsi" w:cstheme="minorHAnsi"/>
          <w:sz w:val="22"/>
          <w:szCs w:val="22"/>
        </w:rPr>
        <w:t xml:space="preserve"> In his writing there is some dose of scepticism, he doubts in the goodness of the gods towards people, the gods sent in their wrath the intrigues of Sejanus, the terror of Nero and whole </w:t>
      </w:r>
      <w:r w:rsidR="008A4461">
        <w:rPr>
          <w:rFonts w:asciiTheme="minorHAnsi" w:hAnsiTheme="minorHAnsi" w:cstheme="minorHAnsi"/>
          <w:sz w:val="22"/>
          <w:szCs w:val="22"/>
        </w:rPr>
        <w:t>catastrophe</w:t>
      </w:r>
      <w:r>
        <w:rPr>
          <w:rFonts w:asciiTheme="minorHAnsi" w:hAnsiTheme="minorHAnsi" w:cstheme="minorHAnsi"/>
          <w:sz w:val="22"/>
          <w:szCs w:val="22"/>
        </w:rPr>
        <w:t xml:space="preserve"> of the civil war in 68-69 AD including the burning </w:t>
      </w:r>
      <w:r>
        <w:rPr>
          <w:rFonts w:asciiTheme="minorHAnsi" w:hAnsiTheme="minorHAnsi" w:cstheme="minorHAnsi"/>
          <w:sz w:val="22"/>
          <w:szCs w:val="22"/>
        </w:rPr>
        <w:lastRenderedPageBreak/>
        <w:t>of the capital.</w:t>
      </w:r>
      <w:r>
        <w:rPr>
          <w:rStyle w:val="FootnoteReference"/>
          <w:rFonts w:asciiTheme="minorHAnsi" w:hAnsiTheme="minorHAnsi" w:cstheme="minorHAnsi"/>
          <w:sz w:val="22"/>
          <w:szCs w:val="22"/>
        </w:rPr>
        <w:footnoteReference w:id="92"/>
      </w:r>
      <w:r>
        <w:rPr>
          <w:rStyle w:val="FootnoteReference"/>
          <w:rFonts w:asciiTheme="minorHAnsi" w:hAnsiTheme="minorHAnsi" w:cstheme="minorHAnsi"/>
          <w:sz w:val="22"/>
          <w:szCs w:val="22"/>
        </w:rPr>
        <w:footnoteReference w:id="93"/>
      </w:r>
      <w:r>
        <w:rPr>
          <w:rFonts w:asciiTheme="minorHAnsi" w:hAnsiTheme="minorHAnsi" w:cstheme="minorHAnsi"/>
          <w:sz w:val="22"/>
          <w:szCs w:val="22"/>
        </w:rPr>
        <w:t xml:space="preserve"> Tacitus desperately expresses his thought in the sentence "</w:t>
      </w:r>
      <w:r>
        <w:rPr>
          <w:rFonts w:asciiTheme="minorHAnsi" w:hAnsiTheme="minorHAnsi" w:cstheme="minorHAnsi"/>
          <w:color w:val="000000"/>
          <w:sz w:val="22"/>
          <w:szCs w:val="22"/>
        </w:rPr>
        <w:t>Never surely did more terrible calamities of the Roman People, or evidence more conclusive, prove that the Gods take no thought for our happiness, but only for our punishment."</w:t>
      </w:r>
      <w:r>
        <w:rPr>
          <w:rStyle w:val="FootnoteReference"/>
          <w:rFonts w:asciiTheme="minorHAnsi" w:hAnsiTheme="minorHAnsi" w:cstheme="minorHAnsi"/>
          <w:color w:val="000000"/>
          <w:sz w:val="22"/>
          <w:szCs w:val="22"/>
        </w:rPr>
        <w:footnoteReference w:id="94"/>
      </w: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In the matter of immortality of the soul and its existence in the after-world Tacitus expresses a total agnostic </w:t>
      </w:r>
      <w:r w:rsidR="00466B0E">
        <w:rPr>
          <w:rFonts w:asciiTheme="minorHAnsi" w:hAnsiTheme="minorHAnsi" w:cstheme="minorHAnsi"/>
          <w:color w:val="000000"/>
          <w:sz w:val="22"/>
          <w:szCs w:val="22"/>
        </w:rPr>
        <w:t>view, "If</w:t>
      </w:r>
      <w:r>
        <w:rPr>
          <w:rFonts w:asciiTheme="minorHAnsi" w:hAnsiTheme="minorHAnsi" w:cstheme="minorHAnsi"/>
          <w:color w:val="000000"/>
          <w:sz w:val="22"/>
          <w:szCs w:val="22"/>
        </w:rPr>
        <w:t xml:space="preserve"> there is any dwelling-place for the spirits of the just; if, as the wise believe, noble souls do not perish with the body, rest thou in peace."</w:t>
      </w:r>
      <w:r>
        <w:rPr>
          <w:rStyle w:val="FootnoteReference"/>
          <w:rFonts w:asciiTheme="minorHAnsi" w:hAnsiTheme="minorHAnsi" w:cstheme="minorHAnsi"/>
          <w:color w:val="000000"/>
          <w:sz w:val="22"/>
          <w:szCs w:val="22"/>
        </w:rPr>
        <w:footnoteReference w:id="95"/>
      </w:r>
      <w:r>
        <w:rPr>
          <w:rFonts w:asciiTheme="minorHAnsi" w:hAnsiTheme="minorHAnsi" w:cstheme="minorHAnsi"/>
          <w:color w:val="000000"/>
          <w:sz w:val="22"/>
          <w:szCs w:val="22"/>
        </w:rPr>
        <w:t xml:space="preserve"> He is suspicious towards other supernatural factors which in the works of many other writers are the forming cause of the history such as </w:t>
      </w:r>
      <w:r>
        <w:rPr>
          <w:rFonts w:asciiTheme="minorHAnsi" w:hAnsiTheme="minorHAnsi" w:cstheme="minorHAnsi"/>
          <w:i/>
          <w:color w:val="000000"/>
          <w:sz w:val="22"/>
          <w:szCs w:val="22"/>
        </w:rPr>
        <w:t>fatum-</w:t>
      </w:r>
      <w:r>
        <w:rPr>
          <w:rFonts w:asciiTheme="minorHAnsi" w:hAnsiTheme="minorHAnsi" w:cstheme="minorHAnsi"/>
          <w:color w:val="000000"/>
          <w:sz w:val="22"/>
          <w:szCs w:val="22"/>
        </w:rPr>
        <w:t xml:space="preserve">destiny, </w:t>
      </w:r>
      <w:r>
        <w:rPr>
          <w:rFonts w:asciiTheme="minorHAnsi" w:hAnsiTheme="minorHAnsi" w:cstheme="minorHAnsi"/>
          <w:i/>
          <w:color w:val="000000"/>
          <w:sz w:val="22"/>
          <w:szCs w:val="22"/>
        </w:rPr>
        <w:t>necesitas immutabilis</w:t>
      </w:r>
      <w:r>
        <w:rPr>
          <w:rFonts w:asciiTheme="minorHAnsi" w:hAnsiTheme="minorHAnsi" w:cstheme="minorHAnsi"/>
          <w:color w:val="000000"/>
          <w:sz w:val="22"/>
          <w:szCs w:val="22"/>
        </w:rPr>
        <w:t xml:space="preserve">-unchangeable necessity, </w:t>
      </w:r>
      <w:r>
        <w:rPr>
          <w:rFonts w:asciiTheme="minorHAnsi" w:hAnsiTheme="minorHAnsi" w:cstheme="minorHAnsi"/>
          <w:i/>
          <w:color w:val="000000"/>
          <w:sz w:val="22"/>
          <w:szCs w:val="22"/>
        </w:rPr>
        <w:t>fors</w:t>
      </w:r>
      <w:r>
        <w:rPr>
          <w:rFonts w:asciiTheme="minorHAnsi" w:hAnsiTheme="minorHAnsi" w:cstheme="minorHAnsi"/>
          <w:color w:val="000000"/>
          <w:sz w:val="22"/>
          <w:szCs w:val="22"/>
        </w:rPr>
        <w:t xml:space="preserve">-coincidence, </w:t>
      </w:r>
      <w:r>
        <w:rPr>
          <w:rFonts w:asciiTheme="minorHAnsi" w:hAnsiTheme="minorHAnsi" w:cstheme="minorHAnsi"/>
          <w:i/>
          <w:color w:val="000000"/>
          <w:sz w:val="22"/>
          <w:szCs w:val="22"/>
        </w:rPr>
        <w:t>fortuna</w:t>
      </w:r>
      <w:r>
        <w:rPr>
          <w:rFonts w:asciiTheme="minorHAnsi" w:hAnsiTheme="minorHAnsi" w:cstheme="minorHAnsi"/>
          <w:color w:val="000000"/>
          <w:sz w:val="22"/>
          <w:szCs w:val="22"/>
        </w:rPr>
        <w:t>-luck.</w:t>
      </w:r>
      <w:r>
        <w:rPr>
          <w:rStyle w:val="FootnoteReference"/>
          <w:rFonts w:asciiTheme="minorHAnsi" w:hAnsiTheme="minorHAnsi" w:cstheme="minorHAnsi"/>
          <w:color w:val="000000"/>
          <w:sz w:val="22"/>
          <w:szCs w:val="22"/>
        </w:rPr>
        <w:footnoteReference w:id="96"/>
      </w:r>
      <w:r>
        <w:rPr>
          <w:rFonts w:asciiTheme="minorHAnsi" w:hAnsiTheme="minorHAnsi" w:cstheme="minorHAnsi"/>
          <w:color w:val="000000"/>
          <w:sz w:val="22"/>
          <w:szCs w:val="22"/>
        </w:rPr>
        <w:t xml:space="preserve"> Nonetheless Tacitus honestly admits that he does not know if the human events are the result of destiny or coincidence.</w:t>
      </w:r>
      <w:r>
        <w:rPr>
          <w:rStyle w:val="FootnoteReference"/>
          <w:rFonts w:asciiTheme="minorHAnsi" w:hAnsiTheme="minorHAnsi" w:cstheme="minorHAnsi"/>
          <w:color w:val="000000"/>
          <w:sz w:val="22"/>
          <w:szCs w:val="22"/>
        </w:rPr>
        <w:footnoteReference w:id="97"/>
      </w:r>
      <w:r>
        <w:rPr>
          <w:rFonts w:asciiTheme="minorHAnsi" w:hAnsiTheme="minorHAnsi" w:cstheme="minorHAnsi"/>
          <w:color w:val="000000"/>
          <w:sz w:val="22"/>
          <w:szCs w:val="22"/>
        </w:rPr>
        <w:t xml:space="preserve"> He contemplates the subject by mentioning the views of philosophy and beliefs of common </w:t>
      </w:r>
      <w:r w:rsidR="00466B0E">
        <w:rPr>
          <w:rFonts w:asciiTheme="minorHAnsi" w:hAnsiTheme="minorHAnsi" w:cstheme="minorHAnsi"/>
          <w:color w:val="000000"/>
          <w:sz w:val="22"/>
          <w:szCs w:val="22"/>
        </w:rPr>
        <w:t>people</w:t>
      </w:r>
      <w:r>
        <w:rPr>
          <w:rFonts w:asciiTheme="minorHAnsi" w:hAnsiTheme="minorHAnsi" w:cstheme="minorHAnsi"/>
          <w:color w:val="000000"/>
          <w:sz w:val="22"/>
          <w:szCs w:val="22"/>
        </w:rPr>
        <w:t xml:space="preserve"> Tacitus himself bend towards the opinion that the luck of the man is a matter of coincidence and as an example Tacitus discusses the story of Claudius, where during the riots the emperor was found behind curtains by one of soldiers and was proclaimed an emperor.</w:t>
      </w:r>
      <w:r>
        <w:rPr>
          <w:rStyle w:val="FootnoteReference"/>
          <w:rFonts w:asciiTheme="minorHAnsi" w:hAnsiTheme="minorHAnsi" w:cstheme="minorHAnsi"/>
          <w:color w:val="000000"/>
          <w:sz w:val="22"/>
          <w:szCs w:val="22"/>
        </w:rPr>
        <w:footnoteReference w:id="98"/>
      </w:r>
      <w:r>
        <w:rPr>
          <w:rFonts w:asciiTheme="minorHAnsi" w:hAnsiTheme="minorHAnsi" w:cstheme="minorHAnsi"/>
          <w:color w:val="000000"/>
          <w:sz w:val="22"/>
          <w:szCs w:val="22"/>
        </w:rPr>
        <w:t xml:space="preserve"> In the history of the Emperor Galba he recognized lightening, storms and heavenly signs as coincidental, therefore Galba similar to the heroes of tragedies was pushed to his inevitable destiny.</w:t>
      </w:r>
      <w:r>
        <w:rPr>
          <w:rStyle w:val="FootnoteReference"/>
          <w:rFonts w:asciiTheme="minorHAnsi" w:hAnsiTheme="minorHAnsi" w:cstheme="minorHAnsi"/>
          <w:color w:val="000000"/>
          <w:sz w:val="22"/>
          <w:szCs w:val="22"/>
        </w:rPr>
        <w:footnoteReference w:id="99"/>
      </w:r>
      <w:r>
        <w:rPr>
          <w:rFonts w:asciiTheme="minorHAnsi" w:hAnsiTheme="minorHAnsi" w:cstheme="minorHAnsi"/>
          <w:color w:val="000000"/>
          <w:sz w:val="22"/>
          <w:szCs w:val="22"/>
        </w:rPr>
        <w:t xml:space="preserve"> Tacitus recognised the great role of the fortune of the Roman nation, which began the Flavian dynasty, sent help to the country when threatened by Dacians,</w:t>
      </w:r>
      <w:r>
        <w:rPr>
          <w:rStyle w:val="FootnoteReference"/>
          <w:rFonts w:asciiTheme="minorHAnsi" w:hAnsiTheme="minorHAnsi" w:cstheme="minorHAnsi"/>
          <w:color w:val="000000"/>
          <w:sz w:val="22"/>
          <w:szCs w:val="22"/>
        </w:rPr>
        <w:footnoteReference w:id="100"/>
      </w:r>
      <w:r>
        <w:rPr>
          <w:rFonts w:asciiTheme="minorHAnsi" w:hAnsiTheme="minorHAnsi" w:cstheme="minorHAnsi"/>
          <w:color w:val="000000"/>
          <w:sz w:val="22"/>
          <w:szCs w:val="22"/>
        </w:rPr>
        <w:t>and influenced individuals such as Nero.</w:t>
      </w:r>
      <w:r>
        <w:rPr>
          <w:rStyle w:val="FootnoteReference"/>
          <w:rFonts w:asciiTheme="minorHAnsi" w:hAnsiTheme="minorHAnsi" w:cstheme="minorHAnsi"/>
          <w:color w:val="000000"/>
          <w:sz w:val="22"/>
          <w:szCs w:val="22"/>
        </w:rPr>
        <w:footnoteReference w:id="101"/>
      </w:r>
      <w:r>
        <w:rPr>
          <w:rFonts w:asciiTheme="minorHAnsi" w:hAnsiTheme="minorHAnsi" w:cstheme="minorHAnsi"/>
          <w:color w:val="000000"/>
          <w:sz w:val="22"/>
          <w:szCs w:val="22"/>
        </w:rPr>
        <w:t xml:space="preserve"> In the relations of Tacitus </w:t>
      </w:r>
      <w:r>
        <w:rPr>
          <w:rFonts w:asciiTheme="minorHAnsi" w:hAnsiTheme="minorHAnsi" w:cstheme="minorHAnsi"/>
          <w:i/>
          <w:color w:val="000000"/>
          <w:sz w:val="22"/>
          <w:szCs w:val="22"/>
        </w:rPr>
        <w:t xml:space="preserve">fatum </w:t>
      </w:r>
      <w:r>
        <w:rPr>
          <w:rFonts w:asciiTheme="minorHAnsi" w:hAnsiTheme="minorHAnsi" w:cstheme="minorHAnsi"/>
          <w:color w:val="000000"/>
          <w:sz w:val="22"/>
          <w:szCs w:val="22"/>
        </w:rPr>
        <w:t>shows up less than in the works of Salluistius or Livius and the author is more sceptical of it "As for the hidden decrees of fate, the omens and the oracles that marked out Vespasian and his sons for imperial power, we believed in them only after his success."</w:t>
      </w:r>
      <w:r>
        <w:rPr>
          <w:rStyle w:val="FootnoteReference"/>
          <w:rFonts w:asciiTheme="minorHAnsi" w:hAnsiTheme="minorHAnsi" w:cstheme="minorHAnsi"/>
          <w:color w:val="000000"/>
          <w:sz w:val="22"/>
          <w:szCs w:val="22"/>
        </w:rPr>
        <w:footnoteReference w:id="102"/>
      </w:r>
      <w:r>
        <w:rPr>
          <w:rFonts w:asciiTheme="minorHAnsi" w:hAnsiTheme="minorHAnsi" w:cstheme="minorHAnsi"/>
          <w:color w:val="000000"/>
          <w:sz w:val="22"/>
          <w:szCs w:val="22"/>
        </w:rPr>
        <w:t xml:space="preserve"> Tacitus is very ambiguous in that matter and this begs a question: what does this force means to Tacitus? What are for him in essence the supernatural factors influencing history? Why despite his pragmatism does he give those forces such importance? Is that a routine deep rooted in Roman historiography or his real world view? Tacitus’s opinion on astrology is not clear neither. In his works he often describes the influence of extraterrestrial bodies on events. From one point of view he rejects the art of astrology as superstition,</w:t>
      </w:r>
      <w:r>
        <w:rPr>
          <w:rStyle w:val="FootnoteReference"/>
          <w:rFonts w:asciiTheme="minorHAnsi" w:hAnsiTheme="minorHAnsi" w:cstheme="minorHAnsi"/>
          <w:color w:val="000000"/>
          <w:sz w:val="22"/>
          <w:szCs w:val="22"/>
        </w:rPr>
        <w:footnoteReference w:id="103"/>
      </w:r>
      <w:r>
        <w:rPr>
          <w:rFonts w:asciiTheme="minorHAnsi" w:hAnsiTheme="minorHAnsi" w:cstheme="minorHAnsi"/>
          <w:color w:val="000000"/>
          <w:sz w:val="22"/>
          <w:szCs w:val="22"/>
        </w:rPr>
        <w:t xml:space="preserve"> from the other he takes it seriously and defends its credibility against fraudsters, bringing examples of the fulfilment of the prophecies.</w:t>
      </w:r>
      <w:r>
        <w:rPr>
          <w:rStyle w:val="FootnoteReference"/>
          <w:rFonts w:asciiTheme="minorHAnsi" w:hAnsiTheme="minorHAnsi" w:cstheme="minorHAnsi"/>
          <w:color w:val="000000"/>
          <w:sz w:val="22"/>
          <w:szCs w:val="22"/>
        </w:rPr>
        <w:footnoteReference w:id="104"/>
      </w:r>
      <w:r>
        <w:rPr>
          <w:rFonts w:asciiTheme="minorHAnsi" w:hAnsiTheme="minorHAnsi" w:cstheme="minorHAnsi"/>
          <w:color w:val="000000"/>
          <w:sz w:val="22"/>
          <w:szCs w:val="22"/>
        </w:rPr>
        <w:t xml:space="preserve"> Tacitus tries to convince the reader that masters of this art knew that Tiberius will not come back to Rome because he left the city under a certain constellation.</w:t>
      </w:r>
      <w:r>
        <w:rPr>
          <w:rStyle w:val="FootnoteReference"/>
          <w:rFonts w:asciiTheme="minorHAnsi" w:hAnsiTheme="minorHAnsi" w:cstheme="minorHAnsi"/>
          <w:color w:val="000000"/>
          <w:sz w:val="22"/>
          <w:szCs w:val="22"/>
        </w:rPr>
        <w:footnoteReference w:id="105"/>
      </w:r>
      <w:r>
        <w:rPr>
          <w:rFonts w:asciiTheme="minorHAnsi" w:hAnsiTheme="minorHAnsi" w:cstheme="minorHAnsi"/>
          <w:color w:val="000000"/>
          <w:sz w:val="22"/>
          <w:szCs w:val="22"/>
        </w:rPr>
        <w:t>Another example is the story of Agrippina, she ignored the prophecy which ended in her death.</w:t>
      </w:r>
      <w:r>
        <w:rPr>
          <w:rStyle w:val="FootnoteReference"/>
          <w:rFonts w:asciiTheme="minorHAnsi" w:hAnsiTheme="minorHAnsi" w:cstheme="minorHAnsi"/>
          <w:color w:val="000000"/>
          <w:sz w:val="22"/>
          <w:szCs w:val="22"/>
        </w:rPr>
        <w:footnoteReference w:id="106"/>
      </w:r>
      <w:r>
        <w:rPr>
          <w:rFonts w:asciiTheme="minorHAnsi" w:hAnsiTheme="minorHAnsi" w:cstheme="minorHAnsi"/>
          <w:color w:val="000000"/>
          <w:sz w:val="22"/>
          <w:szCs w:val="22"/>
        </w:rPr>
        <w:t xml:space="preserve"> It looks like Tacitus recognised two astrologies, one is real the other is practiced by scammers. Extraterrestrial determinism is not total, the man has certain freedom to choose between good and evil and on this basis Tacitus conducts psychoanalysis in his works and gives moral evaluation of the people participating in the events.</w:t>
      </w:r>
      <w:r>
        <w:rPr>
          <w:rStyle w:val="FootnoteReference"/>
          <w:rFonts w:asciiTheme="minorHAnsi" w:hAnsiTheme="minorHAnsi" w:cstheme="minorHAnsi"/>
          <w:color w:val="000000"/>
          <w:sz w:val="22"/>
          <w:szCs w:val="22"/>
        </w:rPr>
        <w:footnoteReference w:id="107"/>
      </w: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All of these world views could fit in to stoic philosophy, which Tacitus follows in a moderate matter, he admire stoic dignity and freedom, but he also criticises it for lack of realism.</w:t>
      </w:r>
      <w:r>
        <w:rPr>
          <w:rStyle w:val="FootnoteReference"/>
          <w:rFonts w:asciiTheme="minorHAnsi" w:hAnsiTheme="minorHAnsi" w:cstheme="minorHAnsi"/>
          <w:color w:val="000000"/>
          <w:sz w:val="22"/>
          <w:szCs w:val="22"/>
        </w:rPr>
        <w:footnoteReference w:id="108"/>
      </w:r>
      <w:r>
        <w:rPr>
          <w:rFonts w:asciiTheme="minorHAnsi" w:hAnsiTheme="minorHAnsi" w:cstheme="minorHAnsi"/>
          <w:color w:val="000000"/>
          <w:sz w:val="22"/>
          <w:szCs w:val="22"/>
        </w:rPr>
        <w:t xml:space="preserve"> He condemns stoic masters for weakness in rejecting fame using the example of Helvidius Priscus,</w:t>
      </w:r>
      <w:r>
        <w:rPr>
          <w:rStyle w:val="FootnoteReference"/>
          <w:rFonts w:asciiTheme="minorHAnsi" w:hAnsiTheme="minorHAnsi" w:cstheme="minorHAnsi"/>
          <w:color w:val="000000"/>
          <w:sz w:val="22"/>
          <w:szCs w:val="22"/>
        </w:rPr>
        <w:footnoteReference w:id="109"/>
      </w:r>
      <w:r>
        <w:rPr>
          <w:rFonts w:asciiTheme="minorHAnsi" w:hAnsiTheme="minorHAnsi" w:cstheme="minorHAnsi"/>
          <w:color w:val="000000"/>
          <w:sz w:val="22"/>
          <w:szCs w:val="22"/>
        </w:rPr>
        <w:t xml:space="preserve"> Musonius Rufus as impudent with his stoic moralization,</w:t>
      </w:r>
      <w:r>
        <w:rPr>
          <w:rStyle w:val="FootnoteReference"/>
          <w:rFonts w:asciiTheme="minorHAnsi" w:hAnsiTheme="minorHAnsi" w:cstheme="minorHAnsi"/>
          <w:color w:val="000000"/>
          <w:sz w:val="22"/>
          <w:szCs w:val="22"/>
        </w:rPr>
        <w:footnoteReference w:id="110"/>
      </w:r>
      <w:r>
        <w:rPr>
          <w:rFonts w:asciiTheme="minorHAnsi" w:hAnsiTheme="minorHAnsi" w:cstheme="minorHAnsi"/>
          <w:color w:val="000000"/>
          <w:sz w:val="22"/>
          <w:szCs w:val="22"/>
        </w:rPr>
        <w:t xml:space="preserve"> and Publius Egnatius as corrupted and treacherous to his friend.</w:t>
      </w:r>
      <w:r>
        <w:rPr>
          <w:rStyle w:val="FootnoteReference"/>
          <w:rFonts w:asciiTheme="minorHAnsi" w:hAnsiTheme="minorHAnsi" w:cstheme="minorHAnsi"/>
          <w:color w:val="000000"/>
          <w:sz w:val="22"/>
          <w:szCs w:val="22"/>
        </w:rPr>
        <w:footnoteReference w:id="111"/>
      </w:r>
      <w:r>
        <w:rPr>
          <w:rFonts w:asciiTheme="minorHAnsi" w:hAnsiTheme="minorHAnsi" w:cstheme="minorHAnsi"/>
          <w:color w:val="000000"/>
          <w:sz w:val="22"/>
          <w:szCs w:val="22"/>
        </w:rPr>
        <w:t xml:space="preserve"> Between Tacitus and his admired Seneca there is difference in their view of determinism, Tacitus always gives some space for freedom of choice and therefore he is more leaning towards the new school of thought rejecting dogmatism, similar to Cicero or Carneades.</w:t>
      </w:r>
      <w:r>
        <w:rPr>
          <w:rStyle w:val="FootnoteReference"/>
          <w:rFonts w:asciiTheme="minorHAnsi" w:hAnsiTheme="minorHAnsi" w:cstheme="minorHAnsi"/>
          <w:color w:val="000000"/>
          <w:sz w:val="22"/>
          <w:szCs w:val="22"/>
        </w:rPr>
        <w:footnoteReference w:id="112"/>
      </w: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ab/>
        <w:t>It is also important to look at what Tacitus writes about his fellow citizens to determine how reliable is he considering his cultural observations. In the time of Tacitus’s life emperors had almost absolute power, however the senator class did play a certain political role. Good emperors respected the voice of senators, the bad ones persecuted it. The significance of this class lessened in time, the most brave and important, says Tacitus, died fighting or due to banishment and others who survived fell into servility and were corrupted by wealth and offices.</w:t>
      </w:r>
      <w:r>
        <w:rPr>
          <w:rStyle w:val="FootnoteReference"/>
          <w:rFonts w:asciiTheme="minorHAnsi" w:hAnsiTheme="minorHAnsi" w:cstheme="minorHAnsi"/>
          <w:color w:val="000000"/>
          <w:sz w:val="22"/>
          <w:szCs w:val="22"/>
        </w:rPr>
        <w:footnoteReference w:id="113"/>
      </w:r>
      <w:r>
        <w:rPr>
          <w:rFonts w:asciiTheme="minorHAnsi" w:hAnsiTheme="minorHAnsi" w:cstheme="minorHAnsi"/>
          <w:color w:val="000000"/>
          <w:sz w:val="22"/>
          <w:szCs w:val="22"/>
        </w:rPr>
        <w:t xml:space="preserve"> About this class Tacitus says these bitter words "...Not only the foremost citizens who were forced to save their grandeur by servility, but every ex-consul, most of the ex-prætors and a host of inferior senators would rise in eager rivalry to propose shameful and preposterous motions."</w:t>
      </w:r>
      <w:r>
        <w:rPr>
          <w:rStyle w:val="FootnoteReference"/>
          <w:rFonts w:asciiTheme="minorHAnsi" w:hAnsiTheme="minorHAnsi" w:cstheme="minorHAnsi"/>
          <w:color w:val="000000"/>
          <w:sz w:val="22"/>
          <w:szCs w:val="22"/>
        </w:rPr>
        <w:footnoteReference w:id="114"/>
      </w:r>
      <w:r>
        <w:rPr>
          <w:rFonts w:asciiTheme="minorHAnsi" w:hAnsiTheme="minorHAnsi" w:cstheme="minorHAnsi"/>
          <w:color w:val="000000"/>
          <w:sz w:val="22"/>
          <w:szCs w:val="22"/>
        </w:rPr>
        <w:t xml:space="preserve"> Tacitus however fairly mentions honourable senators such as Piso, Gnaeus or Lucius.</w:t>
      </w:r>
      <w:r>
        <w:rPr>
          <w:rStyle w:val="FootnoteReference"/>
          <w:rFonts w:asciiTheme="minorHAnsi" w:hAnsiTheme="minorHAnsi" w:cstheme="minorHAnsi"/>
          <w:color w:val="000000"/>
          <w:sz w:val="22"/>
          <w:szCs w:val="22"/>
        </w:rPr>
        <w:footnoteReference w:id="115"/>
      </w:r>
      <w:r>
        <w:rPr>
          <w:rFonts w:asciiTheme="minorHAnsi" w:hAnsiTheme="minorHAnsi" w:cstheme="minorHAnsi"/>
          <w:color w:val="000000"/>
          <w:sz w:val="22"/>
          <w:szCs w:val="22"/>
        </w:rPr>
        <w:t xml:space="preserve"> He also wrote some positive opinions on senators coming from provinces.</w:t>
      </w:r>
      <w:r>
        <w:rPr>
          <w:rStyle w:val="FootnoteReference"/>
          <w:rFonts w:asciiTheme="minorHAnsi" w:hAnsiTheme="minorHAnsi" w:cstheme="minorHAnsi"/>
          <w:color w:val="000000"/>
          <w:sz w:val="22"/>
          <w:szCs w:val="22"/>
        </w:rPr>
        <w:footnoteReference w:id="116"/>
      </w: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Tacitus view on common folks was negative similar to the views of Seneca, Livius or Horace.</w:t>
      </w:r>
      <w:r>
        <w:rPr>
          <w:rStyle w:val="FootnoteReference"/>
          <w:rFonts w:asciiTheme="minorHAnsi" w:hAnsiTheme="minorHAnsi" w:cstheme="minorHAnsi"/>
          <w:color w:val="000000"/>
          <w:sz w:val="22"/>
          <w:szCs w:val="22"/>
        </w:rPr>
        <w:footnoteReference w:id="117"/>
      </w:r>
      <w:r>
        <w:rPr>
          <w:rFonts w:asciiTheme="minorHAnsi" w:hAnsiTheme="minorHAnsi" w:cstheme="minorHAnsi"/>
          <w:color w:val="000000"/>
          <w:sz w:val="22"/>
          <w:szCs w:val="22"/>
        </w:rPr>
        <w:t xml:space="preserve"> In his eyes they were a stupid and lazy mass caring only for bread and entertainment, cowardly, cruel and ungrateful.</w:t>
      </w:r>
      <w:r>
        <w:rPr>
          <w:rStyle w:val="FootnoteReference"/>
          <w:rFonts w:asciiTheme="minorHAnsi" w:hAnsiTheme="minorHAnsi" w:cstheme="minorHAnsi"/>
          <w:color w:val="000000"/>
          <w:sz w:val="22"/>
          <w:szCs w:val="22"/>
        </w:rPr>
        <w:footnoteReference w:id="118"/>
      </w:r>
      <w:r>
        <w:rPr>
          <w:rFonts w:asciiTheme="minorHAnsi" w:hAnsiTheme="minorHAnsi" w:cstheme="minorHAnsi"/>
          <w:color w:val="000000"/>
          <w:sz w:val="22"/>
          <w:szCs w:val="22"/>
        </w:rPr>
        <w:t xml:space="preserve"> Nonetheless Titus records the posture of commoners worthy of a freeman, for example this godless mob had the courage to take action against authorities persecuting the individual such as what happened with Germanicus,</w:t>
      </w:r>
      <w:r>
        <w:rPr>
          <w:rStyle w:val="FootnoteReference"/>
          <w:rFonts w:asciiTheme="minorHAnsi" w:hAnsiTheme="minorHAnsi" w:cstheme="minorHAnsi"/>
          <w:color w:val="000000"/>
          <w:sz w:val="22"/>
          <w:szCs w:val="22"/>
        </w:rPr>
        <w:footnoteReference w:id="119"/>
      </w:r>
      <w:r>
        <w:rPr>
          <w:rFonts w:asciiTheme="minorHAnsi" w:hAnsiTheme="minorHAnsi" w:cstheme="minorHAnsi"/>
          <w:color w:val="000000"/>
          <w:sz w:val="22"/>
          <w:szCs w:val="22"/>
        </w:rPr>
        <w:t xml:space="preserve"> or Octavia.</w:t>
      </w:r>
      <w:r>
        <w:rPr>
          <w:rStyle w:val="FootnoteReference"/>
          <w:rFonts w:asciiTheme="minorHAnsi" w:hAnsiTheme="minorHAnsi" w:cstheme="minorHAnsi"/>
          <w:color w:val="000000"/>
          <w:sz w:val="22"/>
          <w:szCs w:val="22"/>
        </w:rPr>
        <w:footnoteReference w:id="120"/>
      </w: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Tacitus describes slaves and emancipated slaves even worse. He thinks that they are unable to change their slave mentality, they are always eager to treachery, they represent substantial part of society and mostly occupy public service jobs. In his opinion a lot of equites and senators come from that class. With disregard Tacitus mentions freedman and slaves who do not do anything wrong but they are judged just for belonging to a certain class.</w:t>
      </w:r>
      <w:r>
        <w:rPr>
          <w:rStyle w:val="FootnoteReference"/>
          <w:rFonts w:asciiTheme="minorHAnsi" w:hAnsiTheme="minorHAnsi" w:cstheme="minorHAnsi"/>
          <w:color w:val="000000"/>
          <w:sz w:val="22"/>
          <w:szCs w:val="22"/>
        </w:rPr>
        <w:footnoteReference w:id="121"/>
      </w:r>
      <w:r>
        <w:rPr>
          <w:rStyle w:val="FootnoteReference"/>
          <w:rFonts w:asciiTheme="minorHAnsi" w:hAnsiTheme="minorHAnsi" w:cstheme="minorHAnsi"/>
          <w:color w:val="000000"/>
          <w:sz w:val="22"/>
          <w:szCs w:val="22"/>
        </w:rPr>
        <w:footnoteReference w:id="122"/>
      </w:r>
      <w:r>
        <w:rPr>
          <w:rFonts w:asciiTheme="minorHAnsi" w:hAnsiTheme="minorHAnsi" w:cstheme="minorHAnsi"/>
          <w:color w:val="000000"/>
          <w:sz w:val="22"/>
          <w:szCs w:val="22"/>
        </w:rPr>
        <w:t xml:space="preserve"> Noticeable is the description of the freedman who was sent by the emperor to Britannia with a special mission. This man was respected by Romans however the natives were surprised and mocked the Romans "But to the enemy he was a laughing-stock, for they still retained some of the fire of liberty, knowing nothing yet of the power of freedmen, and so they marvelled to see a general and an army who had finished such a war cringing to slaves."</w:t>
      </w:r>
      <w:r>
        <w:rPr>
          <w:rStyle w:val="FootnoteReference"/>
          <w:rFonts w:asciiTheme="minorHAnsi" w:hAnsiTheme="minorHAnsi" w:cstheme="minorHAnsi"/>
          <w:color w:val="000000"/>
          <w:sz w:val="22"/>
          <w:szCs w:val="22"/>
        </w:rPr>
        <w:footnoteReference w:id="123"/>
      </w:r>
      <w:r>
        <w:rPr>
          <w:rFonts w:asciiTheme="minorHAnsi" w:hAnsiTheme="minorHAnsi" w:cstheme="minorHAnsi"/>
          <w:color w:val="000000"/>
          <w:sz w:val="22"/>
          <w:szCs w:val="22"/>
        </w:rPr>
        <w:t xml:space="preserve"> Of course he follows the methodological standards he draws on throughout his work </w:t>
      </w:r>
      <w:r>
        <w:rPr>
          <w:rFonts w:asciiTheme="minorHAnsi" w:hAnsiTheme="minorHAnsi" w:cstheme="minorHAnsi"/>
          <w:color w:val="000000"/>
          <w:sz w:val="22"/>
          <w:szCs w:val="22"/>
        </w:rPr>
        <w:lastRenderedPageBreak/>
        <w:t>and therefore brings some examples of the noble behaviour of these people.</w:t>
      </w:r>
      <w:r>
        <w:rPr>
          <w:rStyle w:val="FootnoteReference"/>
          <w:rFonts w:asciiTheme="minorHAnsi" w:hAnsiTheme="minorHAnsi" w:cstheme="minorHAnsi"/>
          <w:color w:val="000000"/>
          <w:sz w:val="22"/>
          <w:szCs w:val="22"/>
        </w:rPr>
        <w:footnoteReference w:id="124"/>
      </w:r>
      <w:r>
        <w:rPr>
          <w:rStyle w:val="FootnoteReference"/>
          <w:rFonts w:asciiTheme="minorHAnsi" w:hAnsiTheme="minorHAnsi" w:cstheme="minorHAnsi"/>
          <w:color w:val="000000"/>
          <w:sz w:val="22"/>
          <w:szCs w:val="22"/>
        </w:rPr>
        <w:footnoteReference w:id="125"/>
      </w:r>
      <w:r>
        <w:rPr>
          <w:rFonts w:asciiTheme="minorHAnsi" w:hAnsiTheme="minorHAnsi" w:cstheme="minorHAnsi"/>
          <w:color w:val="000000"/>
          <w:sz w:val="22"/>
          <w:szCs w:val="22"/>
        </w:rPr>
        <w:t>Whether these honest statements of objectivity or self delusion of it however is questionable.</w:t>
      </w:r>
    </w:p>
    <w:p w:rsidR="00E02C13" w:rsidRDefault="00E02C13">
      <w:pPr>
        <w:pStyle w:val="NormalWeb"/>
        <w:rPr>
          <w:rFonts w:asciiTheme="minorHAnsi" w:hAnsiTheme="minorHAnsi" w:cstheme="minorHAnsi"/>
          <w:color w:val="000000"/>
          <w:sz w:val="22"/>
          <w:szCs w:val="22"/>
        </w:rPr>
      </w:pPr>
    </w:p>
    <w:p w:rsidR="00E02C13" w:rsidRDefault="00727582">
      <w:pPr>
        <w:pStyle w:val="NormalWeb"/>
        <w:rPr>
          <w:rFonts w:asciiTheme="minorHAnsi" w:hAnsiTheme="minorHAnsi" w:cstheme="minorHAnsi"/>
          <w:color w:val="000000"/>
          <w:sz w:val="22"/>
          <w:szCs w:val="22"/>
        </w:rPr>
      </w:pPr>
      <w:r>
        <w:rPr>
          <w:rFonts w:asciiTheme="minorHAnsi" w:hAnsiTheme="minorHAnsi" w:cstheme="minorHAnsi"/>
          <w:sz w:val="22"/>
          <w:szCs w:val="22"/>
        </w:rPr>
        <w:tab/>
        <w:t xml:space="preserve">The hypothesis of Tacitus using only one source was </w:t>
      </w:r>
      <w:r w:rsidR="008A4461">
        <w:rPr>
          <w:rFonts w:asciiTheme="minorHAnsi" w:hAnsiTheme="minorHAnsi" w:cstheme="minorHAnsi"/>
          <w:sz w:val="22"/>
          <w:szCs w:val="22"/>
        </w:rPr>
        <w:t>overthrown. It</w:t>
      </w:r>
      <w:r>
        <w:rPr>
          <w:rFonts w:asciiTheme="minorHAnsi" w:hAnsiTheme="minorHAnsi" w:cstheme="minorHAnsi"/>
          <w:sz w:val="22"/>
          <w:szCs w:val="22"/>
        </w:rPr>
        <w:t xml:space="preserve"> is known for sure that he used a few he mentions, but we do not know how many he eventually used. It must be taken under consideration at the beginning that some of them could be his invention and the material we cannot analyse will always be speculative. I understand the </w:t>
      </w:r>
      <w:r w:rsidR="008A4461">
        <w:rPr>
          <w:rFonts w:asciiTheme="minorHAnsi" w:hAnsiTheme="minorHAnsi" w:cstheme="minorHAnsi"/>
          <w:sz w:val="22"/>
          <w:szCs w:val="22"/>
        </w:rPr>
        <w:t>importance of</w:t>
      </w:r>
      <w:r>
        <w:rPr>
          <w:rFonts w:asciiTheme="minorHAnsi" w:hAnsiTheme="minorHAnsi" w:cstheme="minorHAnsi"/>
          <w:sz w:val="22"/>
          <w:szCs w:val="22"/>
        </w:rPr>
        <w:t xml:space="preserve"> being careful with anachronistic comparison of methods now and then, but Tacitus positively surprises us with his claims of objectivity which as was presented he tries to fulfil. His works do however have some contradictions and ambiguities and as was presented, perhaps there were certain conditions which had influence. Tacitus is not free of prejudice, as we can see his social class influenced his judgment and descriptions of society. He is pessimistic towards all classes but he perceive elites more individually, and the lower classes as a mass or crowd. This evaluation may seem to be anachronistic but it does not change the fact that the author was limited in his views of the </w:t>
      </w:r>
      <w:r w:rsidR="008A4461">
        <w:rPr>
          <w:rFonts w:asciiTheme="minorHAnsi" w:hAnsiTheme="minorHAnsi" w:cstheme="minorHAnsi"/>
          <w:sz w:val="22"/>
          <w:szCs w:val="22"/>
        </w:rPr>
        <w:t>world. He</w:t>
      </w:r>
      <w:r>
        <w:rPr>
          <w:rFonts w:asciiTheme="minorHAnsi" w:hAnsiTheme="minorHAnsi" w:cstheme="minorHAnsi"/>
          <w:sz w:val="22"/>
          <w:szCs w:val="22"/>
        </w:rPr>
        <w:t xml:space="preserve"> did not breech the barrier of prejudice, he was not able to think totally out of the box therefore in this example he is not objective even if he tried to be by giving certain examples of noble actions </w:t>
      </w:r>
      <w:r w:rsidR="008A4461">
        <w:rPr>
          <w:rFonts w:asciiTheme="minorHAnsi" w:hAnsiTheme="minorHAnsi" w:cstheme="minorHAnsi"/>
          <w:sz w:val="22"/>
          <w:szCs w:val="22"/>
        </w:rPr>
        <w:t>of commoners</w:t>
      </w:r>
      <w:r>
        <w:rPr>
          <w:rFonts w:asciiTheme="minorHAnsi" w:hAnsiTheme="minorHAnsi" w:cstheme="minorHAnsi"/>
          <w:sz w:val="22"/>
          <w:szCs w:val="22"/>
        </w:rPr>
        <w:t>. This work has not examined the legacy of Tacitus, as I am sure it would also influence the judgement of the author. In general, his works are reliable but that is all, there is nothing revolutionary about them.</w:t>
      </w:r>
    </w:p>
    <w:p w:rsidR="00E02C13" w:rsidRDefault="00E02C13">
      <w:pPr>
        <w:rPr>
          <w:rFonts w:cstheme="minorHAnsi"/>
        </w:rPr>
      </w:pPr>
    </w:p>
    <w:p w:rsidR="00E02C13" w:rsidRDefault="00E02C13">
      <w:pPr>
        <w:rPr>
          <w:rFonts w:cstheme="minorHAnsi"/>
        </w:rPr>
      </w:pPr>
    </w:p>
    <w:p w:rsidR="00E02C13" w:rsidRDefault="00E02C13">
      <w:pPr>
        <w:rPr>
          <w:rFonts w:cstheme="minorHAnsi"/>
        </w:rPr>
      </w:pPr>
    </w:p>
    <w:p w:rsidR="00E02C13" w:rsidRDefault="00E02C13">
      <w:pPr>
        <w:rPr>
          <w:rFonts w:cstheme="minorHAnsi"/>
        </w:rPr>
      </w:pPr>
    </w:p>
    <w:p w:rsidR="00E02C13" w:rsidRDefault="00E02C13">
      <w:pPr>
        <w:rPr>
          <w:rFonts w:cstheme="minorHAnsi"/>
        </w:rPr>
      </w:pPr>
    </w:p>
    <w:p w:rsidR="00E02C13" w:rsidRDefault="00E02C13">
      <w:pPr>
        <w:rPr>
          <w:rFonts w:cstheme="minorHAnsi"/>
        </w:rPr>
      </w:pPr>
    </w:p>
    <w:p w:rsidR="00E02C13" w:rsidRDefault="00E02C13">
      <w:pPr>
        <w:rPr>
          <w:rFonts w:cstheme="minorHAnsi"/>
        </w:rPr>
      </w:pPr>
    </w:p>
    <w:p w:rsidR="001D716D" w:rsidRDefault="001D716D">
      <w:pPr>
        <w:rPr>
          <w:rFonts w:cstheme="minorHAnsi"/>
          <w:b/>
        </w:rPr>
      </w:pPr>
    </w:p>
    <w:p w:rsidR="001D716D" w:rsidRDefault="001D716D">
      <w:pPr>
        <w:rPr>
          <w:rFonts w:cstheme="minorHAnsi"/>
          <w:b/>
        </w:rPr>
      </w:pPr>
    </w:p>
    <w:p w:rsidR="001D716D" w:rsidRDefault="001D716D">
      <w:pPr>
        <w:rPr>
          <w:rFonts w:cstheme="minorHAnsi"/>
          <w:b/>
        </w:rPr>
      </w:pPr>
    </w:p>
    <w:p w:rsidR="001D716D" w:rsidRDefault="001D716D">
      <w:pPr>
        <w:rPr>
          <w:rFonts w:cstheme="minorHAnsi"/>
          <w:b/>
        </w:rPr>
      </w:pPr>
    </w:p>
    <w:p w:rsidR="001D716D" w:rsidRDefault="001D716D">
      <w:pPr>
        <w:rPr>
          <w:rFonts w:cstheme="minorHAnsi"/>
          <w:b/>
        </w:rPr>
      </w:pPr>
    </w:p>
    <w:p w:rsidR="001D716D" w:rsidRDefault="001D716D">
      <w:pPr>
        <w:rPr>
          <w:rFonts w:cstheme="minorHAnsi"/>
          <w:b/>
        </w:rPr>
      </w:pPr>
    </w:p>
    <w:p w:rsidR="001D716D" w:rsidRDefault="001D716D">
      <w:pPr>
        <w:rPr>
          <w:rFonts w:cstheme="minorHAnsi"/>
          <w:b/>
        </w:rPr>
      </w:pPr>
    </w:p>
    <w:p w:rsidR="00E02C13" w:rsidRDefault="00727582">
      <w:pPr>
        <w:rPr>
          <w:rFonts w:cstheme="minorHAnsi"/>
          <w:b/>
        </w:rPr>
      </w:pPr>
      <w:r>
        <w:rPr>
          <w:rFonts w:cstheme="minorHAnsi"/>
          <w:b/>
        </w:rPr>
        <w:lastRenderedPageBreak/>
        <w:t>Bibliography</w:t>
      </w:r>
    </w:p>
    <w:p w:rsidR="00E02C13" w:rsidRDefault="00E02C13">
      <w:pPr>
        <w:rPr>
          <w:rFonts w:cstheme="minorHAnsi"/>
        </w:rPr>
      </w:pPr>
    </w:p>
    <w:p w:rsidR="00E02C13" w:rsidRDefault="00727582">
      <w:pPr>
        <w:rPr>
          <w:rFonts w:cstheme="minorHAnsi"/>
        </w:rPr>
      </w:pPr>
      <w:r>
        <w:rPr>
          <w:rFonts w:cstheme="minorHAnsi"/>
        </w:rPr>
        <w:t>Primary sources:</w:t>
      </w:r>
    </w:p>
    <w:p w:rsidR="00E02C13" w:rsidRDefault="00727582">
      <w:pPr>
        <w:rPr>
          <w:rFonts w:cstheme="minorHAnsi"/>
        </w:rPr>
      </w:pPr>
      <w:r>
        <w:rPr>
          <w:rFonts w:cstheme="minorHAnsi"/>
        </w:rPr>
        <w:t xml:space="preserve">Cicero. </w:t>
      </w:r>
      <w:r>
        <w:rPr>
          <w:rFonts w:cstheme="minorHAnsi"/>
          <w:i/>
        </w:rPr>
        <w:t>For Plancius</w:t>
      </w:r>
      <w:r>
        <w:rPr>
          <w:rFonts w:cstheme="minorHAnsi"/>
        </w:rPr>
        <w:t>. &lt;http://perseus.uchicago.edu/perseus-cgi/citequery3.pl?dbname=LatinAugust2012&amp;getid=1&amp;query=Cic.%20Planc.%207&gt; [accessed 12 May 2019]</w:t>
      </w:r>
    </w:p>
    <w:p w:rsidR="00E02C13" w:rsidRDefault="00727582">
      <w:pPr>
        <w:rPr>
          <w:rFonts w:cstheme="minorHAnsi"/>
        </w:rPr>
      </w:pPr>
      <w:r>
        <w:rPr>
          <w:rFonts w:cstheme="minorHAnsi"/>
        </w:rPr>
        <w:t xml:space="preserve">Pliny the Elder, </w:t>
      </w:r>
      <w:r>
        <w:rPr>
          <w:rFonts w:cstheme="minorHAnsi"/>
          <w:i/>
        </w:rPr>
        <w:t>The Natural History</w:t>
      </w:r>
      <w:r>
        <w:rPr>
          <w:rFonts w:cstheme="minorHAnsi"/>
        </w:rPr>
        <w:t>. John Bostock, M.D., F.R.S. H.T. Riley, Esq., B.A. London. Taylor and Francis, Red Lion Court, Fleet Street. 1855.</w:t>
      </w:r>
      <w:r w:rsidR="001D716D">
        <w:rPr>
          <w:rFonts w:cstheme="minorHAnsi"/>
        </w:rPr>
        <w:t xml:space="preserve"> </w:t>
      </w:r>
      <w:r>
        <w:rPr>
          <w:rFonts w:cstheme="minorHAnsi"/>
        </w:rPr>
        <w:t>&lt;http://www.perseus.tufts.edu/hopper/text?doc=Perseus:text:1999.02.0137:book=7:chapter=pos=282&amp;highlight=tacitus&gt; [accessed 10 May 2019]</w:t>
      </w:r>
    </w:p>
    <w:p w:rsidR="00E02C13" w:rsidRDefault="00727582">
      <w:pPr>
        <w:pStyle w:val="FootnoteText"/>
        <w:rPr>
          <w:rFonts w:cstheme="minorHAnsi"/>
          <w:sz w:val="22"/>
          <w:szCs w:val="22"/>
        </w:rPr>
      </w:pPr>
      <w:r>
        <w:rPr>
          <w:rFonts w:cstheme="minorHAnsi"/>
          <w:sz w:val="22"/>
          <w:szCs w:val="22"/>
        </w:rPr>
        <w:t xml:space="preserve">Sallustius Crispus. </w:t>
      </w:r>
      <w:r>
        <w:rPr>
          <w:rFonts w:cstheme="minorHAnsi"/>
          <w:i/>
          <w:sz w:val="22"/>
          <w:szCs w:val="22"/>
        </w:rPr>
        <w:t>Conspiracy of Catiline</w:t>
      </w:r>
      <w:r>
        <w:rPr>
          <w:rFonts w:cstheme="minorHAnsi"/>
          <w:sz w:val="22"/>
          <w:szCs w:val="22"/>
        </w:rPr>
        <w:t>. (trans.) John Selby Watson, M.A. New York and London. Harper &amp; Brothers. 1899. &lt;http://www.perseus.tufts.edu/hopper/text?doc=Perseus:text:1999.02.0124&gt; [accessed May 12 2019]</w:t>
      </w:r>
    </w:p>
    <w:p w:rsidR="00E02C13" w:rsidRDefault="00727582">
      <w:pPr>
        <w:rPr>
          <w:rFonts w:cstheme="minorHAnsi"/>
          <w:iCs/>
          <w:shd w:val="clear" w:color="auto" w:fill="FFFFFF"/>
        </w:rPr>
      </w:pPr>
      <w:r>
        <w:rPr>
          <w:rFonts w:cstheme="minorHAnsi"/>
        </w:rPr>
        <w:t xml:space="preserve">Seneca. </w:t>
      </w:r>
      <w:hyperlink r:id="rId9" w:history="1">
        <w:r>
          <w:rPr>
            <w:rStyle w:val="Hyperlink"/>
            <w:rFonts w:cstheme="minorHAnsi"/>
            <w:i/>
            <w:iCs/>
            <w:color w:val="auto"/>
            <w:u w:val="none"/>
            <w:shd w:val="clear" w:color="auto" w:fill="FFFFFF"/>
          </w:rPr>
          <w:t>Epistulae morales ad Lucilium</w:t>
        </w:r>
      </w:hyperlink>
      <w:r>
        <w:rPr>
          <w:rFonts w:cstheme="minorHAnsi"/>
          <w:iCs/>
          <w:shd w:val="clear" w:color="auto" w:fill="FFFFFF"/>
        </w:rPr>
        <w:t>. (trans.) Wiktor Kornatowski. Warsaw: PWN. 2010</w:t>
      </w:r>
    </w:p>
    <w:p w:rsidR="00E02C13" w:rsidRDefault="00727582">
      <w:pPr>
        <w:rPr>
          <w:rFonts w:cstheme="minorHAnsi"/>
        </w:rPr>
      </w:pPr>
      <w:r>
        <w:rPr>
          <w:rFonts w:cstheme="minorHAnsi"/>
        </w:rPr>
        <w:t xml:space="preserve">Tacitus. </w:t>
      </w:r>
      <w:r>
        <w:rPr>
          <w:rFonts w:cstheme="minorHAnsi"/>
          <w:i/>
        </w:rPr>
        <w:t>Histories</w:t>
      </w:r>
      <w:r>
        <w:rPr>
          <w:rFonts w:cstheme="minorHAnsi"/>
        </w:rPr>
        <w:t xml:space="preserve">. </w:t>
      </w:r>
      <w:r>
        <w:rPr>
          <w:rFonts w:cstheme="minorHAnsi"/>
          <w:i/>
          <w:color w:val="000000"/>
        </w:rPr>
        <w:t>Complete Works of Tacitus</w:t>
      </w:r>
      <w:r>
        <w:rPr>
          <w:rFonts w:cstheme="minorHAnsi"/>
          <w:color w:val="000000"/>
        </w:rPr>
        <w:t>. (trans.) Alfred John Church. William Jackson Brodribb. Sara Bryant. edited for Perseus. New York. : Random House, Inc. Random House, Inc. 1873. reprinted 1942. &lt;</w:t>
      </w:r>
      <w:r>
        <w:rPr>
          <w:rFonts w:cstheme="minorHAnsi"/>
        </w:rPr>
        <w:t>http://www.perseus.tufts.edu/hopper/text?doc=Perseus:text:1999.02.0080&gt; [accessed 02 May 2019]</w:t>
      </w:r>
    </w:p>
    <w:p w:rsidR="00E02C13" w:rsidRDefault="00727582">
      <w:pPr>
        <w:rPr>
          <w:rFonts w:cstheme="minorHAnsi"/>
        </w:rPr>
      </w:pPr>
      <w:r>
        <w:rPr>
          <w:rFonts w:cstheme="minorHAnsi"/>
        </w:rPr>
        <w:t>Secondary Sources:</w:t>
      </w:r>
    </w:p>
    <w:p w:rsidR="00E02C13" w:rsidRDefault="00727582">
      <w:pPr>
        <w:rPr>
          <w:rFonts w:cstheme="minorHAnsi"/>
        </w:rPr>
      </w:pPr>
      <w:r>
        <w:rPr>
          <w:rFonts w:cstheme="minorHAnsi"/>
        </w:rPr>
        <w:t xml:space="preserve">Birley. A.R. The Life and Death of Cornelius Tacitus’, </w:t>
      </w:r>
      <w:r>
        <w:rPr>
          <w:rFonts w:cstheme="minorHAnsi"/>
          <w:i/>
        </w:rPr>
        <w:t>Historia</w:t>
      </w:r>
      <w:r>
        <w:rPr>
          <w:rFonts w:cstheme="minorHAnsi"/>
        </w:rPr>
        <w:t xml:space="preserve"> vol. 49, No. 2 (2nd Qtr., 2000),</w:t>
      </w:r>
    </w:p>
    <w:p w:rsidR="00E02C13" w:rsidRDefault="00727582">
      <w:pPr>
        <w:rPr>
          <w:rFonts w:cstheme="minorHAnsi"/>
        </w:rPr>
      </w:pPr>
      <w:r>
        <w:rPr>
          <w:rFonts w:cstheme="minorHAnsi"/>
        </w:rPr>
        <w:t xml:space="preserve">Lewandowski, I. (2007) </w:t>
      </w:r>
      <w:r>
        <w:rPr>
          <w:rFonts w:cstheme="minorHAnsi"/>
          <w:i/>
        </w:rPr>
        <w:t>Roman Historiography</w:t>
      </w:r>
      <w:r>
        <w:rPr>
          <w:rFonts w:cstheme="minorHAnsi"/>
        </w:rPr>
        <w:t>. Poznan: Poznanskie Press</w:t>
      </w:r>
    </w:p>
    <w:p w:rsidR="00E02C13" w:rsidRDefault="00727582">
      <w:pPr>
        <w:rPr>
          <w:rFonts w:cstheme="minorHAnsi"/>
        </w:rPr>
      </w:pPr>
      <w:r>
        <w:rPr>
          <w:rFonts w:cstheme="minorHAnsi"/>
        </w:rPr>
        <w:t xml:space="preserve">Los. S. (1968). </w:t>
      </w:r>
      <w:r>
        <w:rPr>
          <w:rFonts w:cstheme="minorHAnsi"/>
          <w:i/>
        </w:rPr>
        <w:t>The World of Ancient Historians</w:t>
      </w:r>
      <w:r>
        <w:rPr>
          <w:rFonts w:cstheme="minorHAnsi"/>
        </w:rPr>
        <w:t>, Krakow: Znak.</w:t>
      </w:r>
    </w:p>
    <w:p w:rsidR="00E02C13" w:rsidRDefault="00727582">
      <w:pPr>
        <w:rPr>
          <w:rFonts w:cstheme="minorHAnsi"/>
        </w:rPr>
      </w:pPr>
      <w:r>
        <w:rPr>
          <w:rFonts w:cstheme="minorHAnsi"/>
        </w:rPr>
        <w:t xml:space="preserve">Morgan M.G. Vespasian and the Omens in Tacitus "Histories" 2.78’. </w:t>
      </w:r>
      <w:r>
        <w:rPr>
          <w:rFonts w:cstheme="minorHAnsi"/>
          <w:i/>
        </w:rPr>
        <w:t>Phoenix</w:t>
      </w:r>
      <w:r>
        <w:rPr>
          <w:rFonts w:cstheme="minorHAnsi"/>
        </w:rPr>
        <w:t>, Vol. 50, No. 1 (Spring, 1996)</w:t>
      </w:r>
    </w:p>
    <w:p w:rsidR="00E02C13" w:rsidRDefault="00727582">
      <w:pPr>
        <w:rPr>
          <w:rFonts w:cstheme="minorHAnsi"/>
        </w:rPr>
      </w:pPr>
      <w:r>
        <w:rPr>
          <w:rFonts w:cstheme="minorHAnsi"/>
        </w:rPr>
        <w:t xml:space="preserve">O'Gorman. E. (2000) </w:t>
      </w:r>
      <w:r w:rsidRPr="004E094C">
        <w:rPr>
          <w:rFonts w:cstheme="minorHAnsi"/>
          <w:i/>
        </w:rPr>
        <w:t>Irony and Misleading in the Annals of Tacitus</w:t>
      </w:r>
      <w:r>
        <w:rPr>
          <w:rFonts w:cstheme="minorHAnsi"/>
        </w:rPr>
        <w:t>. Cambridge University Press</w:t>
      </w:r>
    </w:p>
    <w:p w:rsidR="00E02C13" w:rsidRDefault="00727582">
      <w:pPr>
        <w:pStyle w:val="Heading1"/>
        <w:shd w:val="clear" w:color="auto" w:fill="FFFFFF"/>
        <w:spacing w:before="0" w:beforeAutospacing="0"/>
        <w:rPr>
          <w:rFonts w:asciiTheme="minorHAnsi" w:hAnsiTheme="minorHAnsi" w:cstheme="minorHAnsi"/>
          <w:b w:val="0"/>
          <w:sz w:val="22"/>
          <w:szCs w:val="22"/>
        </w:rPr>
      </w:pPr>
      <w:r>
        <w:rPr>
          <w:rFonts w:asciiTheme="minorHAnsi" w:hAnsiTheme="minorHAnsi" w:cstheme="minorHAnsi"/>
          <w:b w:val="0"/>
          <w:sz w:val="22"/>
          <w:szCs w:val="22"/>
        </w:rPr>
        <w:t xml:space="preserve">Strunk T.E. (2017) </w:t>
      </w:r>
      <w:r>
        <w:rPr>
          <w:rFonts w:asciiTheme="minorHAnsi" w:hAnsiTheme="minorHAnsi" w:cstheme="minorHAnsi"/>
          <w:b w:val="0"/>
          <w:i/>
          <w:sz w:val="22"/>
          <w:szCs w:val="22"/>
        </w:rPr>
        <w:t>History after Liberty: Tacitus on Tyrants, Sycophants, and Republicans.</w:t>
      </w:r>
      <w:r>
        <w:rPr>
          <w:rFonts w:asciiTheme="minorHAnsi" w:hAnsiTheme="minorHAnsi" w:cstheme="minorHAnsi"/>
          <w:b w:val="0"/>
          <w:sz w:val="22"/>
          <w:szCs w:val="22"/>
        </w:rPr>
        <w:t xml:space="preserve"> University of Michigan Press.</w:t>
      </w:r>
    </w:p>
    <w:p w:rsidR="00E02C13" w:rsidRDefault="00727582">
      <w:pPr>
        <w:rPr>
          <w:rFonts w:cstheme="minorHAnsi"/>
        </w:rPr>
      </w:pPr>
      <w:r>
        <w:rPr>
          <w:rFonts w:cstheme="minorHAnsi"/>
        </w:rPr>
        <w:t xml:space="preserve">Syme. R. (1958). </w:t>
      </w:r>
      <w:r>
        <w:rPr>
          <w:rFonts w:cstheme="minorHAnsi"/>
          <w:i/>
        </w:rPr>
        <w:t>Tacitus.</w:t>
      </w:r>
      <w:r>
        <w:rPr>
          <w:rFonts w:cstheme="minorHAnsi"/>
        </w:rPr>
        <w:t xml:space="preserve"> Oxford: Clarendon.</w:t>
      </w:r>
    </w:p>
    <w:p w:rsidR="00E02C13" w:rsidRDefault="00727582">
      <w:pPr>
        <w:shd w:val="clear" w:color="auto" w:fill="FFFFFF"/>
        <w:rPr>
          <w:rFonts w:eastAsia="Times New Roman" w:cstheme="minorHAnsi"/>
          <w:i/>
          <w:iCs/>
          <w:lang w:eastAsia="en-GB"/>
        </w:rPr>
      </w:pPr>
      <w:r>
        <w:rPr>
          <w:rFonts w:cstheme="minorHAnsi"/>
          <w:shd w:val="clear" w:color="auto" w:fill="FFFFFF"/>
        </w:rPr>
        <w:t xml:space="preserve">Syme. R. </w:t>
      </w:r>
      <w:r>
        <w:rPr>
          <w:rFonts w:cstheme="minorHAnsi"/>
        </w:rPr>
        <w:t xml:space="preserve">Tacitus: Some Sources of His Information. </w:t>
      </w:r>
      <w:r>
        <w:rPr>
          <w:rFonts w:eastAsia="Times New Roman" w:cstheme="minorHAnsi"/>
          <w:i/>
          <w:iCs/>
          <w:lang w:eastAsia="en-GB"/>
        </w:rPr>
        <w:t>The Journal of Roman Studies</w:t>
      </w:r>
    </w:p>
    <w:p w:rsidR="00E02C13" w:rsidRDefault="00727582">
      <w:pPr>
        <w:shd w:val="clear" w:color="auto" w:fill="FFFFFF"/>
        <w:rPr>
          <w:rFonts w:eastAsia="Times New Roman" w:cstheme="minorHAnsi"/>
          <w:lang w:eastAsia="en-GB"/>
        </w:rPr>
      </w:pPr>
      <w:r>
        <w:rPr>
          <w:rFonts w:eastAsia="Times New Roman" w:cstheme="minorHAnsi"/>
          <w:lang w:eastAsia="en-GB"/>
        </w:rPr>
        <w:t>Vol. 72 (1982)</w:t>
      </w:r>
    </w:p>
    <w:p w:rsidR="00E02C13" w:rsidRDefault="00E02C13">
      <w:pPr>
        <w:shd w:val="clear" w:color="auto" w:fill="FFFFFF"/>
        <w:rPr>
          <w:rFonts w:eastAsia="Times New Roman" w:cstheme="minorHAnsi"/>
          <w:lang w:eastAsia="en-GB"/>
        </w:rPr>
      </w:pPr>
    </w:p>
    <w:p w:rsidR="00E02C13" w:rsidRDefault="00E02C13">
      <w:pPr>
        <w:shd w:val="clear" w:color="auto" w:fill="FFFFFF"/>
        <w:rPr>
          <w:rFonts w:eastAsia="Times New Roman" w:cstheme="minorHAnsi"/>
          <w:color w:val="333333"/>
          <w:lang w:eastAsia="en-GB"/>
        </w:rPr>
      </w:pPr>
    </w:p>
    <w:p w:rsidR="00E02C13" w:rsidRDefault="00E02C13">
      <w:pPr>
        <w:shd w:val="clear" w:color="auto" w:fill="FFFFFF"/>
        <w:spacing w:after="0" w:line="240" w:lineRule="auto"/>
        <w:rPr>
          <w:rFonts w:eastAsia="Times New Roman" w:cstheme="minorHAnsi"/>
          <w:lang w:eastAsia="en-GB"/>
        </w:rPr>
      </w:pPr>
    </w:p>
    <w:p w:rsidR="00E02C13" w:rsidRDefault="00E02C13">
      <w:pPr>
        <w:pStyle w:val="Heading1"/>
        <w:shd w:val="clear" w:color="auto" w:fill="FFFFFF"/>
        <w:spacing w:before="0" w:beforeAutospacing="0" w:after="120" w:afterAutospacing="0"/>
        <w:rPr>
          <w:rFonts w:asciiTheme="minorHAnsi" w:hAnsiTheme="minorHAnsi" w:cstheme="minorHAnsi"/>
          <w:color w:val="333333"/>
          <w:sz w:val="22"/>
          <w:szCs w:val="22"/>
        </w:rPr>
      </w:pPr>
    </w:p>
    <w:p w:rsidR="00E02C13" w:rsidRDefault="00E02C13">
      <w:pPr>
        <w:rPr>
          <w:rFonts w:cstheme="minorHAnsi"/>
        </w:rPr>
      </w:pPr>
    </w:p>
    <w:sectPr w:rsidR="00E02C13" w:rsidSect="00E02C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3195" w:rsidRDefault="008E3195" w:rsidP="00E02C13">
      <w:pPr>
        <w:spacing w:after="0" w:line="240" w:lineRule="auto"/>
      </w:pPr>
      <w:r>
        <w:separator/>
      </w:r>
    </w:p>
  </w:endnote>
  <w:endnote w:type="continuationSeparator" w:id="1">
    <w:p w:rsidR="008E3195" w:rsidRDefault="008E3195" w:rsidP="00E02C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3195" w:rsidRDefault="008E3195" w:rsidP="00E02C13">
      <w:pPr>
        <w:spacing w:after="0" w:line="240" w:lineRule="auto"/>
      </w:pPr>
      <w:r>
        <w:separator/>
      </w:r>
    </w:p>
  </w:footnote>
  <w:footnote w:type="continuationSeparator" w:id="1">
    <w:p w:rsidR="008E3195" w:rsidRDefault="008E3195" w:rsidP="00E02C13">
      <w:pPr>
        <w:spacing w:after="0" w:line="240" w:lineRule="auto"/>
      </w:pPr>
      <w:r>
        <w:continuationSeparator/>
      </w:r>
    </w:p>
  </w:footnote>
  <w:footnote w:id="2">
    <w:p w:rsidR="00E02C13" w:rsidRDefault="00727582">
      <w:pPr>
        <w:rPr>
          <w:rFonts w:cstheme="minorHAnsi"/>
          <w:sz w:val="20"/>
          <w:szCs w:val="20"/>
        </w:rPr>
      </w:pPr>
      <w:r>
        <w:rPr>
          <w:rStyle w:val="FootnoteReference"/>
          <w:rFonts w:cstheme="minorHAnsi"/>
          <w:sz w:val="20"/>
          <w:szCs w:val="20"/>
        </w:rPr>
        <w:footnoteRef/>
      </w:r>
      <w:r>
        <w:rPr>
          <w:rFonts w:cstheme="minorHAnsi"/>
          <w:sz w:val="20"/>
          <w:szCs w:val="20"/>
        </w:rPr>
        <w:t xml:space="preserve"> Tac. </w:t>
      </w:r>
      <w:r>
        <w:rPr>
          <w:rFonts w:cstheme="minorHAnsi"/>
          <w:i/>
          <w:sz w:val="20"/>
          <w:szCs w:val="20"/>
        </w:rPr>
        <w:t>Ann.</w:t>
      </w:r>
      <w:r>
        <w:rPr>
          <w:rFonts w:cstheme="minorHAnsi"/>
          <w:sz w:val="20"/>
          <w:szCs w:val="20"/>
        </w:rPr>
        <w:t xml:space="preserve"> 1.1. </w:t>
      </w:r>
    </w:p>
  </w:footnote>
  <w:footnote w:id="3">
    <w:p w:rsidR="00E02C13" w:rsidRDefault="00727582">
      <w:pPr>
        <w:pStyle w:val="FootnoteText"/>
        <w:rPr>
          <w:rFonts w:cstheme="minorHAnsi"/>
        </w:rPr>
      </w:pPr>
      <w:r>
        <w:rPr>
          <w:rStyle w:val="FootnoteReference"/>
          <w:rFonts w:cstheme="minorHAnsi"/>
        </w:rPr>
        <w:footnoteRef/>
      </w:r>
      <w:r>
        <w:rPr>
          <w:rFonts w:cstheme="minorHAnsi"/>
        </w:rPr>
        <w:t xml:space="preserve"> R. Syme. (1958) Tacitus. Oxford: Clarendon. </w:t>
      </w:r>
      <w:r>
        <w:rPr>
          <w:rFonts w:cstheme="minorHAnsi"/>
          <w:shd w:val="clear" w:color="auto" w:fill="FFFFFF"/>
        </w:rPr>
        <w:t>p. 619</w:t>
      </w:r>
    </w:p>
  </w:footnote>
  <w:footnote w:id="4">
    <w:p w:rsidR="00E02C13" w:rsidRDefault="00727582">
      <w:pPr>
        <w:pStyle w:val="FootnoteText"/>
        <w:rPr>
          <w:rFonts w:cstheme="minorHAnsi"/>
        </w:rPr>
      </w:pPr>
      <w:r>
        <w:rPr>
          <w:rStyle w:val="FootnoteReference"/>
          <w:rFonts w:cstheme="minorHAnsi"/>
        </w:rPr>
        <w:footnoteRef/>
      </w:r>
      <w:r>
        <w:rPr>
          <w:rFonts w:cstheme="minorHAnsi"/>
        </w:rPr>
        <w:t xml:space="preserve"> Plin. </w:t>
      </w:r>
      <w:r>
        <w:rPr>
          <w:rFonts w:cstheme="minorHAnsi"/>
          <w:i/>
        </w:rPr>
        <w:t>Nat.</w:t>
      </w:r>
      <w:r>
        <w:rPr>
          <w:rFonts w:cstheme="minorHAnsi"/>
        </w:rPr>
        <w:t xml:space="preserve"> 7. pos=282. </w:t>
      </w:r>
    </w:p>
  </w:footnote>
  <w:footnote w:id="5">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Dial</w:t>
      </w:r>
      <w:r>
        <w:rPr>
          <w:rFonts w:cstheme="minorHAnsi"/>
        </w:rPr>
        <w:t>. 2.</w:t>
      </w:r>
    </w:p>
  </w:footnote>
  <w:footnote w:id="6">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Hist</w:t>
      </w:r>
      <w:r>
        <w:rPr>
          <w:rFonts w:cstheme="minorHAnsi"/>
        </w:rPr>
        <w:t xml:space="preserve">. 1.1.3 </w:t>
      </w:r>
    </w:p>
  </w:footnote>
  <w:footnote w:id="7">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Ann.</w:t>
      </w:r>
      <w:r>
        <w:rPr>
          <w:rFonts w:cstheme="minorHAnsi"/>
        </w:rPr>
        <w:t xml:space="preserve"> 11.11.2</w:t>
      </w:r>
    </w:p>
  </w:footnote>
  <w:footnote w:id="8">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pp. 287-248</w:t>
      </w:r>
    </w:p>
  </w:footnote>
  <w:footnote w:id="9">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Ag.</w:t>
      </w:r>
      <w:r>
        <w:rPr>
          <w:rFonts w:cstheme="minorHAnsi"/>
        </w:rPr>
        <w:t xml:space="preserve"> 45</w:t>
      </w:r>
    </w:p>
  </w:footnote>
  <w:footnote w:id="10">
    <w:p w:rsidR="00E02C13" w:rsidRDefault="00727582">
      <w:pPr>
        <w:pStyle w:val="FootnoteText"/>
        <w:rPr>
          <w:rFonts w:cstheme="minorHAnsi"/>
        </w:rPr>
      </w:pPr>
      <w:r>
        <w:rPr>
          <w:rStyle w:val="FootnoteReference"/>
          <w:rFonts w:cstheme="minorHAnsi"/>
        </w:rPr>
        <w:footnoteRef/>
      </w:r>
      <w:r>
        <w:rPr>
          <w:rFonts w:cstheme="minorHAnsi"/>
        </w:rPr>
        <w:t xml:space="preserve"> R. Syme. (1958) Tacitus. Oxford: Clarendon.</w:t>
      </w:r>
    </w:p>
  </w:footnote>
  <w:footnote w:id="11">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pp. 287-248</w:t>
      </w:r>
    </w:p>
  </w:footnote>
  <w:footnote w:id="12">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Ann</w:t>
      </w:r>
      <w:r>
        <w:rPr>
          <w:rFonts w:cstheme="minorHAnsi"/>
        </w:rPr>
        <w:t>. 1.1.3</w:t>
      </w:r>
    </w:p>
  </w:footnote>
  <w:footnote w:id="13">
    <w:p w:rsidR="00E02C13" w:rsidRDefault="00727582">
      <w:pPr>
        <w:pStyle w:val="FootnoteText"/>
        <w:rPr>
          <w:rFonts w:cstheme="minorHAnsi"/>
        </w:rPr>
      </w:pPr>
      <w:r>
        <w:rPr>
          <w:rStyle w:val="FootnoteReference"/>
          <w:rFonts w:cstheme="minorHAnsi"/>
        </w:rPr>
        <w:footnoteRef/>
      </w:r>
      <w:r>
        <w:rPr>
          <w:rFonts w:cstheme="minorHAnsi"/>
        </w:rPr>
        <w:t xml:space="preserve"> Tac. </w:t>
      </w:r>
      <w:r>
        <w:rPr>
          <w:rFonts w:cstheme="minorHAnsi"/>
          <w:i/>
        </w:rPr>
        <w:t>Hist</w:t>
      </w:r>
      <w:r>
        <w:rPr>
          <w:rFonts w:cstheme="minorHAnsi"/>
        </w:rPr>
        <w:t>. 1.1.3</w:t>
      </w:r>
    </w:p>
  </w:footnote>
  <w:footnote w:id="14">
    <w:p w:rsidR="00E02C13" w:rsidRDefault="00727582">
      <w:pPr>
        <w:pStyle w:val="FootnoteText"/>
        <w:rPr>
          <w:rFonts w:cstheme="minorHAnsi"/>
        </w:rPr>
      </w:pPr>
      <w:r>
        <w:rPr>
          <w:rStyle w:val="FootnoteReference"/>
          <w:rFonts w:cstheme="minorHAnsi"/>
        </w:rPr>
        <w:footnoteRef/>
      </w:r>
      <w:r>
        <w:rPr>
          <w:rFonts w:cstheme="minorHAnsi"/>
        </w:rPr>
        <w:t xml:space="preserve"> Tac. His. 1.1.2</w:t>
      </w:r>
    </w:p>
  </w:footnote>
  <w:footnote w:id="15">
    <w:p w:rsidR="00E02C13" w:rsidRDefault="00727582">
      <w:pPr>
        <w:pStyle w:val="FootnoteText"/>
        <w:rPr>
          <w:rFonts w:cstheme="minorHAnsi"/>
        </w:rPr>
      </w:pPr>
      <w:r>
        <w:rPr>
          <w:rStyle w:val="FootnoteReference"/>
          <w:rFonts w:cstheme="minorHAnsi"/>
        </w:rPr>
        <w:footnoteRef/>
      </w:r>
      <w:r>
        <w:rPr>
          <w:rFonts w:cstheme="minorHAnsi"/>
        </w:rPr>
        <w:t xml:space="preserve"> Tac. Hist. 1.1.1</w:t>
      </w:r>
    </w:p>
  </w:footnote>
  <w:footnote w:id="16">
    <w:p w:rsidR="00E02C13" w:rsidRDefault="00727582">
      <w:pPr>
        <w:pStyle w:val="FootnoteText"/>
        <w:rPr>
          <w:rFonts w:cstheme="minorHAnsi"/>
        </w:rPr>
      </w:pPr>
      <w:r>
        <w:rPr>
          <w:rStyle w:val="FootnoteReference"/>
          <w:rFonts w:cstheme="minorHAnsi"/>
        </w:rPr>
        <w:footnoteRef/>
      </w:r>
      <w:r>
        <w:rPr>
          <w:rFonts w:cstheme="minorHAnsi"/>
        </w:rPr>
        <w:t xml:space="preserve"> Tac. Ann. 1.2.2, and 4.33. 3</w:t>
      </w:r>
    </w:p>
  </w:footnote>
  <w:footnote w:id="17">
    <w:p w:rsidR="00E02C13" w:rsidRDefault="00727582">
      <w:pPr>
        <w:pStyle w:val="FootnoteText"/>
        <w:rPr>
          <w:rFonts w:cstheme="minorHAnsi"/>
        </w:rPr>
      </w:pPr>
      <w:r>
        <w:rPr>
          <w:rStyle w:val="FootnoteReference"/>
          <w:rFonts w:cstheme="minorHAnsi"/>
        </w:rPr>
        <w:footnoteRef/>
      </w:r>
      <w:r>
        <w:rPr>
          <w:rFonts w:cstheme="minorHAnsi"/>
        </w:rPr>
        <w:t xml:space="preserve"> Tac. Hist. 1.4.1</w:t>
      </w:r>
    </w:p>
  </w:footnote>
  <w:footnote w:id="18">
    <w:p w:rsidR="00E02C13" w:rsidRDefault="00727582">
      <w:pPr>
        <w:pStyle w:val="FootnoteText"/>
        <w:rPr>
          <w:rFonts w:cstheme="minorHAnsi"/>
        </w:rPr>
      </w:pPr>
      <w:r>
        <w:rPr>
          <w:rStyle w:val="FootnoteReference"/>
          <w:rFonts w:cstheme="minorHAnsi"/>
        </w:rPr>
        <w:footnoteRef/>
      </w:r>
      <w:r>
        <w:rPr>
          <w:rFonts w:cstheme="minorHAnsi"/>
        </w:rPr>
        <w:t xml:space="preserve"> Tac. Ann. 3.65.1 and 4.33.1 and 6.7.5</w:t>
      </w:r>
    </w:p>
  </w:footnote>
  <w:footnote w:id="19">
    <w:p w:rsidR="00E02C13" w:rsidRDefault="00727582">
      <w:pPr>
        <w:pStyle w:val="FootnoteText"/>
        <w:rPr>
          <w:rFonts w:cstheme="minorHAnsi"/>
        </w:rPr>
      </w:pPr>
      <w:r>
        <w:rPr>
          <w:rStyle w:val="FootnoteReference"/>
          <w:rFonts w:cstheme="minorHAnsi"/>
        </w:rPr>
        <w:footnoteRef/>
      </w:r>
      <w:r>
        <w:rPr>
          <w:rFonts w:cstheme="minorHAnsi"/>
        </w:rPr>
        <w:t xml:space="preserve"> Tac. Hist. 3.61.1</w:t>
      </w:r>
    </w:p>
  </w:footnote>
  <w:footnote w:id="20">
    <w:p w:rsidR="00E02C13" w:rsidRDefault="00727582">
      <w:pPr>
        <w:pStyle w:val="FootnoteText"/>
        <w:rPr>
          <w:rFonts w:cstheme="minorHAnsi"/>
        </w:rPr>
      </w:pPr>
      <w:r>
        <w:rPr>
          <w:rStyle w:val="FootnoteReference"/>
          <w:rFonts w:cstheme="minorHAnsi"/>
        </w:rPr>
        <w:footnoteRef/>
      </w:r>
      <w:r>
        <w:rPr>
          <w:rFonts w:cstheme="minorHAnsi"/>
        </w:rPr>
        <w:t xml:space="preserve"> Tac. Hist. 4.33.2</w:t>
      </w:r>
    </w:p>
  </w:footnote>
  <w:footnote w:id="21">
    <w:p w:rsidR="00E02C13" w:rsidRDefault="00727582">
      <w:pPr>
        <w:pStyle w:val="FootnoteText"/>
        <w:rPr>
          <w:rFonts w:cstheme="minorHAnsi"/>
        </w:rPr>
      </w:pPr>
      <w:r>
        <w:rPr>
          <w:rStyle w:val="FootnoteReference"/>
          <w:rFonts w:cstheme="minorHAnsi"/>
        </w:rPr>
        <w:footnoteRef/>
      </w:r>
      <w:r>
        <w:rPr>
          <w:rFonts w:cstheme="minorHAnsi"/>
        </w:rPr>
        <w:t xml:space="preserve"> Tac. Ann. 4.20</w:t>
      </w:r>
    </w:p>
  </w:footnote>
  <w:footnote w:id="22">
    <w:p w:rsidR="00E02C13" w:rsidRDefault="00727582">
      <w:pPr>
        <w:pStyle w:val="FootnoteText"/>
        <w:rPr>
          <w:rFonts w:cstheme="minorHAnsi"/>
        </w:rPr>
      </w:pPr>
      <w:r>
        <w:rPr>
          <w:rStyle w:val="FootnoteReference"/>
          <w:rFonts w:cstheme="minorHAnsi"/>
        </w:rPr>
        <w:footnoteRef/>
      </w:r>
      <w:r>
        <w:rPr>
          <w:rFonts w:cstheme="minorHAnsi"/>
        </w:rPr>
        <w:t xml:space="preserve"> Cic. Planc. 7.</w:t>
      </w:r>
    </w:p>
  </w:footnote>
  <w:footnote w:id="23">
    <w:p w:rsidR="00E02C13" w:rsidRDefault="00727582">
      <w:pPr>
        <w:pStyle w:val="FootnoteText"/>
        <w:rPr>
          <w:rFonts w:cstheme="minorHAnsi"/>
        </w:rPr>
      </w:pPr>
      <w:r>
        <w:rPr>
          <w:rStyle w:val="FootnoteReference"/>
          <w:rFonts w:cstheme="minorHAnsi"/>
        </w:rPr>
        <w:footnoteRef/>
      </w:r>
      <w:r>
        <w:rPr>
          <w:rFonts w:cstheme="minorHAnsi"/>
        </w:rPr>
        <w:t xml:space="preserve"> Sal. Cat. 4. </w:t>
      </w:r>
    </w:p>
  </w:footnote>
  <w:footnote w:id="24">
    <w:p w:rsidR="00E02C13" w:rsidRDefault="00727582">
      <w:pPr>
        <w:pStyle w:val="FootnoteText"/>
        <w:rPr>
          <w:rFonts w:cstheme="minorHAnsi"/>
        </w:rPr>
      </w:pPr>
      <w:r>
        <w:rPr>
          <w:rStyle w:val="FootnoteReference"/>
          <w:rFonts w:cstheme="minorHAnsi"/>
        </w:rPr>
        <w:footnoteRef/>
      </w:r>
      <w:r>
        <w:rPr>
          <w:rFonts w:cstheme="minorHAnsi"/>
        </w:rPr>
        <w:t xml:space="preserve"> Tac. Ann. 13.31.</w:t>
      </w:r>
    </w:p>
  </w:footnote>
  <w:footnote w:id="25">
    <w:p w:rsidR="00E02C13" w:rsidRDefault="00727582">
      <w:pPr>
        <w:pStyle w:val="FootnoteText"/>
        <w:rPr>
          <w:rFonts w:cstheme="minorHAnsi"/>
        </w:rPr>
      </w:pPr>
      <w:r>
        <w:rPr>
          <w:rStyle w:val="FootnoteReference"/>
          <w:rFonts w:cstheme="minorHAnsi"/>
        </w:rPr>
        <w:footnoteRef/>
      </w:r>
      <w:r>
        <w:rPr>
          <w:rFonts w:cstheme="minorHAnsi"/>
        </w:rPr>
        <w:t xml:space="preserve"> Tac. Hist. 1.1.1</w:t>
      </w:r>
    </w:p>
  </w:footnote>
  <w:footnote w:id="26">
    <w:p w:rsidR="00E02C13" w:rsidRDefault="00727582">
      <w:pPr>
        <w:pStyle w:val="FootnoteText"/>
        <w:rPr>
          <w:rFonts w:cstheme="minorHAnsi"/>
        </w:rPr>
      </w:pPr>
      <w:r>
        <w:rPr>
          <w:rStyle w:val="FootnoteReference"/>
          <w:rFonts w:cstheme="minorHAnsi"/>
        </w:rPr>
        <w:footnoteRef/>
      </w:r>
      <w:r>
        <w:rPr>
          <w:rFonts w:cstheme="minorHAnsi"/>
        </w:rPr>
        <w:t xml:space="preserve"> Tac. Ann. 4.32.5</w:t>
      </w:r>
    </w:p>
  </w:footnote>
  <w:footnote w:id="27">
    <w:p w:rsidR="00E02C13" w:rsidRDefault="00727582">
      <w:pPr>
        <w:pStyle w:val="FootnoteText"/>
        <w:rPr>
          <w:rFonts w:cstheme="minorHAnsi"/>
        </w:rPr>
      </w:pPr>
      <w:r>
        <w:rPr>
          <w:rStyle w:val="FootnoteReference"/>
          <w:rFonts w:cstheme="minorHAnsi"/>
        </w:rPr>
        <w:footnoteRef/>
      </w:r>
      <w:r>
        <w:rPr>
          <w:rFonts w:cstheme="minorHAnsi"/>
        </w:rPr>
        <w:t xml:space="preserve"> Tac. Ann. 4.32.2</w:t>
      </w:r>
    </w:p>
  </w:footnote>
  <w:footnote w:id="28">
    <w:p w:rsidR="00E02C13" w:rsidRDefault="00727582">
      <w:pPr>
        <w:pStyle w:val="FootnoteText"/>
        <w:rPr>
          <w:rFonts w:cstheme="minorHAnsi"/>
        </w:rPr>
      </w:pPr>
      <w:r>
        <w:rPr>
          <w:rStyle w:val="FootnoteReference"/>
          <w:rFonts w:cstheme="minorHAnsi"/>
        </w:rPr>
        <w:footnoteRef/>
      </w:r>
      <w:r>
        <w:rPr>
          <w:rFonts w:cstheme="minorHAnsi"/>
        </w:rPr>
        <w:t xml:space="preserve"> Tac. Hist. 3.65.2 and 3.71.4 and 4.84.4</w:t>
      </w:r>
    </w:p>
  </w:footnote>
  <w:footnote w:id="29">
    <w:p w:rsidR="00E02C13" w:rsidRDefault="00727582">
      <w:pPr>
        <w:pStyle w:val="FootnoteText"/>
        <w:rPr>
          <w:rFonts w:cstheme="minorHAnsi"/>
        </w:rPr>
      </w:pPr>
      <w:r>
        <w:rPr>
          <w:rStyle w:val="FootnoteReference"/>
          <w:rFonts w:cstheme="minorHAnsi"/>
        </w:rPr>
        <w:footnoteRef/>
      </w:r>
      <w:r>
        <w:rPr>
          <w:rFonts w:cstheme="minorHAnsi"/>
        </w:rPr>
        <w:t xml:space="preserve"> Tac. Ann. 14.2.2</w:t>
      </w:r>
    </w:p>
  </w:footnote>
  <w:footnote w:id="30">
    <w:p w:rsidR="00E02C13" w:rsidRDefault="00727582">
      <w:pPr>
        <w:pStyle w:val="FootnoteText"/>
        <w:rPr>
          <w:rFonts w:cstheme="minorHAnsi"/>
        </w:rPr>
      </w:pPr>
      <w:r>
        <w:rPr>
          <w:rStyle w:val="FootnoteReference"/>
          <w:rFonts w:cstheme="minorHAnsi"/>
        </w:rPr>
        <w:footnoteRef/>
      </w:r>
      <w:r>
        <w:rPr>
          <w:rFonts w:cstheme="minorHAnsi"/>
        </w:rPr>
        <w:t xml:space="preserve"> Tac. Ann. 3.16. 1</w:t>
      </w:r>
    </w:p>
  </w:footnote>
  <w:footnote w:id="31">
    <w:p w:rsidR="00E02C13" w:rsidRDefault="00727582">
      <w:pPr>
        <w:pStyle w:val="FootnoteText"/>
        <w:rPr>
          <w:rFonts w:cstheme="minorHAnsi"/>
        </w:rPr>
      </w:pPr>
      <w:r>
        <w:rPr>
          <w:rStyle w:val="FootnoteReference"/>
          <w:rFonts w:cstheme="minorHAnsi"/>
        </w:rPr>
        <w:footnoteRef/>
      </w:r>
      <w:r>
        <w:rPr>
          <w:rFonts w:cstheme="minorHAnsi"/>
        </w:rPr>
        <w:t xml:space="preserve"> Tac. Ann. 11.27.2</w:t>
      </w:r>
    </w:p>
  </w:footnote>
  <w:footnote w:id="32">
    <w:p w:rsidR="00E02C13" w:rsidRDefault="00727582">
      <w:pPr>
        <w:pStyle w:val="FootnoteText"/>
        <w:rPr>
          <w:rFonts w:cstheme="minorHAnsi"/>
        </w:rPr>
      </w:pPr>
      <w:r>
        <w:rPr>
          <w:rStyle w:val="FootnoteReference"/>
          <w:rFonts w:cstheme="minorHAnsi"/>
        </w:rPr>
        <w:footnoteRef/>
      </w:r>
      <w:r>
        <w:rPr>
          <w:rFonts w:cstheme="minorHAnsi"/>
        </w:rPr>
        <w:t xml:space="preserve"> Tac. Hist. 2.8.1 and 2.78.2</w:t>
      </w:r>
    </w:p>
  </w:footnote>
  <w:footnote w:id="33">
    <w:p w:rsidR="00E02C13" w:rsidRDefault="00727582">
      <w:pPr>
        <w:pStyle w:val="FootnoteText"/>
        <w:rPr>
          <w:rFonts w:cstheme="minorHAnsi"/>
        </w:rPr>
      </w:pPr>
      <w:r>
        <w:rPr>
          <w:rStyle w:val="FootnoteReference"/>
          <w:rFonts w:cstheme="minorHAnsi"/>
        </w:rPr>
        <w:footnoteRef/>
      </w:r>
      <w:r>
        <w:rPr>
          <w:rFonts w:cstheme="minorHAnsi"/>
        </w:rPr>
        <w:t xml:space="preserve"> Tac. Ann. 14.2.3</w:t>
      </w:r>
    </w:p>
  </w:footnote>
  <w:footnote w:id="34">
    <w:p w:rsidR="00E02C13" w:rsidRDefault="00727582">
      <w:pPr>
        <w:pStyle w:val="FootnoteText"/>
        <w:rPr>
          <w:rFonts w:cstheme="minorHAnsi"/>
        </w:rPr>
      </w:pPr>
      <w:r>
        <w:rPr>
          <w:rStyle w:val="FootnoteReference"/>
          <w:rFonts w:cstheme="minorHAnsi"/>
        </w:rPr>
        <w:footnoteRef/>
      </w:r>
      <w:r>
        <w:rPr>
          <w:rFonts w:cstheme="minorHAnsi"/>
        </w:rPr>
        <w:t xml:space="preserve"> Tac. Ann. 15.74.3</w:t>
      </w:r>
    </w:p>
  </w:footnote>
  <w:footnote w:id="35">
    <w:p w:rsidR="00E02C13" w:rsidRDefault="00727582">
      <w:pPr>
        <w:pStyle w:val="FootnoteText"/>
        <w:rPr>
          <w:rFonts w:cstheme="minorHAnsi"/>
        </w:rPr>
      </w:pPr>
      <w:r>
        <w:rPr>
          <w:rStyle w:val="FootnoteReference"/>
          <w:rFonts w:cstheme="minorHAnsi"/>
        </w:rPr>
        <w:footnoteRef/>
      </w:r>
      <w:r>
        <w:rPr>
          <w:rFonts w:cstheme="minorHAnsi"/>
        </w:rPr>
        <w:t xml:space="preserve"> Tac. Ann. 3.3.2 and 13.31.1 and 16.22.3</w:t>
      </w:r>
    </w:p>
  </w:footnote>
  <w:footnote w:id="36">
    <w:p w:rsidR="00E02C13" w:rsidRDefault="00727582">
      <w:pPr>
        <w:pStyle w:val="FootnoteText"/>
        <w:rPr>
          <w:rFonts w:cstheme="minorHAnsi"/>
        </w:rPr>
      </w:pPr>
      <w:r>
        <w:rPr>
          <w:rStyle w:val="FootnoteReference"/>
          <w:rFonts w:cstheme="minorHAnsi"/>
        </w:rPr>
        <w:footnoteRef/>
      </w:r>
      <w:r>
        <w:rPr>
          <w:rFonts w:cstheme="minorHAnsi"/>
        </w:rPr>
        <w:t xml:space="preserve"> Syme. R. (1958) </w:t>
      </w:r>
      <w:r>
        <w:rPr>
          <w:rFonts w:cstheme="minorHAnsi"/>
          <w:i/>
        </w:rPr>
        <w:t>Tacitus</w:t>
      </w:r>
      <w:r>
        <w:rPr>
          <w:rFonts w:cstheme="minorHAnsi"/>
        </w:rPr>
        <w:t>. vol. II. Oxford: Clarendon Press. pp.700-705, 727, 758-759,</w:t>
      </w:r>
    </w:p>
  </w:footnote>
  <w:footnote w:id="37">
    <w:p w:rsidR="00E02C13" w:rsidRDefault="00727582">
      <w:pPr>
        <w:pStyle w:val="FootnoteText"/>
        <w:rPr>
          <w:rFonts w:cstheme="minorHAnsi"/>
        </w:rPr>
      </w:pPr>
      <w:r>
        <w:rPr>
          <w:rStyle w:val="FootnoteReference"/>
          <w:rFonts w:cstheme="minorHAnsi"/>
        </w:rPr>
        <w:footnoteRef/>
      </w:r>
      <w:r>
        <w:rPr>
          <w:rFonts w:cstheme="minorHAnsi"/>
        </w:rPr>
        <w:t xml:space="preserve"> Ibid. p.705, 758</w:t>
      </w:r>
    </w:p>
  </w:footnote>
  <w:footnote w:id="38">
    <w:p w:rsidR="00E02C13" w:rsidRDefault="00727582">
      <w:pPr>
        <w:pStyle w:val="FootnoteText"/>
        <w:rPr>
          <w:rFonts w:cstheme="minorHAnsi"/>
        </w:rPr>
      </w:pPr>
      <w:r>
        <w:rPr>
          <w:rStyle w:val="FootnoteReference"/>
          <w:rFonts w:cstheme="minorHAnsi"/>
        </w:rPr>
        <w:footnoteRef/>
      </w:r>
      <w:r>
        <w:rPr>
          <w:rFonts w:cstheme="minorHAnsi"/>
        </w:rPr>
        <w:t xml:space="preserve"> Los. S. </w:t>
      </w:r>
      <w:r>
        <w:rPr>
          <w:rFonts w:cstheme="minorHAnsi"/>
          <w:i/>
        </w:rPr>
        <w:t>The World of Ancient Historians</w:t>
      </w:r>
      <w:r>
        <w:rPr>
          <w:rFonts w:cstheme="minorHAnsi"/>
        </w:rPr>
        <w:t>, Krakow: Znak. pp. 287-248</w:t>
      </w:r>
    </w:p>
  </w:footnote>
  <w:footnote w:id="39">
    <w:p w:rsidR="00E02C13" w:rsidRDefault="00727582">
      <w:pPr>
        <w:pStyle w:val="FootnoteText"/>
        <w:rPr>
          <w:rFonts w:cstheme="minorHAnsi"/>
        </w:rPr>
      </w:pPr>
      <w:r>
        <w:rPr>
          <w:rStyle w:val="FootnoteReference"/>
          <w:rFonts w:cstheme="minorHAnsi"/>
        </w:rPr>
        <w:footnoteRef/>
      </w:r>
      <w:r>
        <w:rPr>
          <w:rFonts w:cstheme="minorHAnsi"/>
        </w:rPr>
        <w:t xml:space="preserve"> Tac. Ann. 16.22.3</w:t>
      </w:r>
    </w:p>
  </w:footnote>
  <w:footnote w:id="40">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pp. 287-248</w:t>
      </w:r>
    </w:p>
  </w:footnote>
  <w:footnote w:id="41">
    <w:p w:rsidR="00E02C13" w:rsidRDefault="00727582">
      <w:pPr>
        <w:pStyle w:val="FootnoteText"/>
        <w:rPr>
          <w:rFonts w:cstheme="minorHAnsi"/>
        </w:rPr>
      </w:pPr>
      <w:r>
        <w:rPr>
          <w:rStyle w:val="FootnoteReference"/>
          <w:rFonts w:cstheme="minorHAnsi"/>
        </w:rPr>
        <w:footnoteRef/>
      </w:r>
      <w:r>
        <w:rPr>
          <w:rFonts w:cstheme="minorHAnsi"/>
        </w:rPr>
        <w:t xml:space="preserve"> Tac. Ann. 1.81 and 2.63.3</w:t>
      </w:r>
    </w:p>
  </w:footnote>
  <w:footnote w:id="42">
    <w:p w:rsidR="00E02C13" w:rsidRDefault="00727582">
      <w:pPr>
        <w:pStyle w:val="FootnoteText"/>
        <w:rPr>
          <w:rFonts w:cstheme="minorHAnsi"/>
        </w:rPr>
      </w:pPr>
      <w:r>
        <w:rPr>
          <w:rStyle w:val="FootnoteReference"/>
          <w:rFonts w:cstheme="minorHAnsi"/>
        </w:rPr>
        <w:footnoteRef/>
      </w:r>
      <w:r>
        <w:rPr>
          <w:rFonts w:cstheme="minorHAnsi"/>
        </w:rPr>
        <w:t xml:space="preserve"> Tac. Ann. 11.24</w:t>
      </w:r>
    </w:p>
  </w:footnote>
  <w:footnote w:id="43">
    <w:p w:rsidR="00E02C13" w:rsidRDefault="00727582">
      <w:pPr>
        <w:pStyle w:val="FootnoteText"/>
        <w:rPr>
          <w:rFonts w:cstheme="minorHAnsi"/>
        </w:rPr>
      </w:pPr>
      <w:r>
        <w:rPr>
          <w:rStyle w:val="FootnoteReference"/>
          <w:rFonts w:cstheme="minorHAnsi"/>
        </w:rPr>
        <w:footnoteRef/>
      </w:r>
      <w:r>
        <w:rPr>
          <w:rFonts w:cstheme="minorHAnsi"/>
        </w:rPr>
        <w:t xml:space="preserve"> Tac. Ann. 2.63.3</w:t>
      </w:r>
    </w:p>
  </w:footnote>
  <w:footnote w:id="44">
    <w:p w:rsidR="00E02C13" w:rsidRDefault="00727582">
      <w:pPr>
        <w:pStyle w:val="FootnoteText"/>
        <w:rPr>
          <w:rFonts w:cstheme="minorHAnsi"/>
        </w:rPr>
      </w:pPr>
      <w:r>
        <w:rPr>
          <w:rStyle w:val="FootnoteReference"/>
          <w:rFonts w:cstheme="minorHAnsi"/>
        </w:rPr>
        <w:footnoteRef/>
      </w:r>
      <w:r>
        <w:rPr>
          <w:rFonts w:cstheme="minorHAnsi"/>
        </w:rPr>
        <w:t xml:space="preserve"> Tac. Ann. 6.6.1</w:t>
      </w:r>
    </w:p>
  </w:footnote>
  <w:footnote w:id="45">
    <w:p w:rsidR="00E02C13" w:rsidRDefault="00727582">
      <w:pPr>
        <w:pStyle w:val="FootnoteText"/>
        <w:rPr>
          <w:rFonts w:cstheme="minorHAnsi"/>
        </w:rPr>
      </w:pPr>
      <w:r>
        <w:rPr>
          <w:rStyle w:val="FootnoteReference"/>
          <w:rFonts w:cstheme="minorHAnsi"/>
        </w:rPr>
        <w:footnoteRef/>
      </w:r>
      <w:r>
        <w:rPr>
          <w:rFonts w:cstheme="minorHAnsi"/>
        </w:rPr>
        <w:t xml:space="preserve"> Tac. Ann. 4.53.2 </w:t>
      </w:r>
    </w:p>
  </w:footnote>
  <w:footnote w:id="46">
    <w:p w:rsidR="00E02C13" w:rsidRDefault="00727582">
      <w:pPr>
        <w:pStyle w:val="FootnoteText"/>
        <w:rPr>
          <w:rFonts w:cstheme="minorHAnsi"/>
        </w:rPr>
      </w:pPr>
      <w:r>
        <w:rPr>
          <w:rStyle w:val="FootnoteReference"/>
          <w:rFonts w:cstheme="minorHAnsi"/>
        </w:rPr>
        <w:footnoteRef/>
      </w:r>
      <w:r>
        <w:rPr>
          <w:rFonts w:cstheme="minorHAnsi"/>
        </w:rPr>
        <w:t xml:space="preserve"> Tac. Ann. 15.16.1</w:t>
      </w:r>
    </w:p>
  </w:footnote>
  <w:footnote w:id="47">
    <w:p w:rsidR="00E02C13" w:rsidRDefault="00727582">
      <w:pPr>
        <w:pStyle w:val="FootnoteText"/>
        <w:rPr>
          <w:rFonts w:cstheme="minorHAnsi"/>
        </w:rPr>
      </w:pPr>
      <w:r>
        <w:rPr>
          <w:rStyle w:val="FootnoteReference"/>
          <w:rFonts w:cstheme="minorHAnsi"/>
        </w:rPr>
        <w:footnoteRef/>
      </w:r>
      <w:r>
        <w:rPr>
          <w:rFonts w:cstheme="minorHAnsi"/>
        </w:rPr>
        <w:t xml:space="preserve"> Tac. Hist. 4.40</w:t>
      </w:r>
    </w:p>
  </w:footnote>
  <w:footnote w:id="48">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w:t>
      </w:r>
    </w:p>
  </w:footnote>
  <w:footnote w:id="49">
    <w:p w:rsidR="00E02C13" w:rsidRDefault="00727582">
      <w:pPr>
        <w:pStyle w:val="FootnoteText"/>
        <w:rPr>
          <w:rFonts w:cstheme="minorHAnsi"/>
        </w:rPr>
      </w:pPr>
      <w:r>
        <w:rPr>
          <w:rStyle w:val="FootnoteReference"/>
          <w:rFonts w:cstheme="minorHAnsi"/>
        </w:rPr>
        <w:footnoteRef/>
      </w:r>
      <w:r>
        <w:rPr>
          <w:rFonts w:cstheme="minorHAnsi"/>
        </w:rPr>
        <w:t xml:space="preserve"> Syme. R. (1958) </w:t>
      </w:r>
      <w:r>
        <w:rPr>
          <w:rFonts w:cstheme="minorHAnsi"/>
          <w:i/>
        </w:rPr>
        <w:t>Tacitus</w:t>
      </w:r>
      <w:r>
        <w:rPr>
          <w:rFonts w:cstheme="minorHAnsi"/>
        </w:rPr>
        <w:t>. vol. II. Oxford: Clarendon Press. 1958.</w:t>
      </w:r>
    </w:p>
  </w:footnote>
  <w:footnote w:id="50">
    <w:p w:rsidR="00E02C13" w:rsidRDefault="00727582">
      <w:pPr>
        <w:pStyle w:val="FootnoteText"/>
        <w:rPr>
          <w:rFonts w:cstheme="minorHAnsi"/>
        </w:rPr>
      </w:pPr>
      <w:r>
        <w:rPr>
          <w:rStyle w:val="FootnoteReference"/>
          <w:rFonts w:cstheme="minorHAnsi"/>
        </w:rPr>
        <w:footnoteRef/>
      </w:r>
      <w:r>
        <w:rPr>
          <w:rFonts w:cstheme="minorHAnsi"/>
        </w:rPr>
        <w:t xml:space="preserve"> Tac. Ann. 13.20.3</w:t>
      </w:r>
    </w:p>
  </w:footnote>
  <w:footnote w:id="51">
    <w:p w:rsidR="00E02C13" w:rsidRDefault="00727582">
      <w:pPr>
        <w:pStyle w:val="FootnoteText"/>
        <w:rPr>
          <w:rFonts w:cstheme="minorHAnsi"/>
        </w:rPr>
      </w:pPr>
      <w:r>
        <w:rPr>
          <w:rStyle w:val="FootnoteReference"/>
          <w:rFonts w:cstheme="minorHAnsi"/>
        </w:rPr>
        <w:footnoteRef/>
      </w:r>
      <w:r>
        <w:rPr>
          <w:rFonts w:cstheme="minorHAnsi"/>
        </w:rPr>
        <w:t xml:space="preserve"> Tac. Ann 1.1.3</w:t>
      </w:r>
    </w:p>
  </w:footnote>
  <w:footnote w:id="52">
    <w:p w:rsidR="00E02C13" w:rsidRDefault="00727582">
      <w:pPr>
        <w:pStyle w:val="FootnoteText"/>
        <w:rPr>
          <w:rFonts w:cstheme="minorHAnsi"/>
        </w:rPr>
      </w:pPr>
      <w:r>
        <w:rPr>
          <w:rStyle w:val="FootnoteReference"/>
          <w:rFonts w:cstheme="minorHAnsi"/>
        </w:rPr>
        <w:footnoteRef/>
      </w:r>
      <w:r>
        <w:rPr>
          <w:rFonts w:cstheme="minorHAnsi"/>
        </w:rPr>
        <w:t xml:space="preserve"> Tac. Hist. 1.1.2</w:t>
      </w:r>
    </w:p>
  </w:footnote>
  <w:footnote w:id="53">
    <w:p w:rsidR="00E02C13" w:rsidRDefault="00727582">
      <w:pPr>
        <w:pStyle w:val="FootnoteText"/>
        <w:rPr>
          <w:rFonts w:cstheme="minorHAnsi"/>
        </w:rPr>
      </w:pPr>
      <w:r>
        <w:rPr>
          <w:rStyle w:val="FootnoteReference"/>
          <w:rFonts w:cstheme="minorHAnsi"/>
        </w:rPr>
        <w:footnoteRef/>
      </w:r>
      <w:r>
        <w:rPr>
          <w:rFonts w:cstheme="minorHAnsi"/>
        </w:rPr>
        <w:t xml:space="preserve"> Tac. Ann. 13.20.2 and 14.2.1</w:t>
      </w:r>
    </w:p>
  </w:footnote>
  <w:footnote w:id="54">
    <w:p w:rsidR="00E02C13" w:rsidRDefault="00727582">
      <w:pPr>
        <w:pStyle w:val="FootnoteText"/>
        <w:rPr>
          <w:rFonts w:cstheme="minorHAnsi"/>
        </w:rPr>
      </w:pPr>
      <w:r>
        <w:rPr>
          <w:rStyle w:val="FootnoteReference"/>
          <w:rFonts w:cstheme="minorHAnsi"/>
        </w:rPr>
        <w:footnoteRef/>
      </w:r>
      <w:r>
        <w:rPr>
          <w:rFonts w:cstheme="minorHAnsi"/>
        </w:rPr>
        <w:t xml:space="preserve"> Tac. Ann. 13.20.2 and 14.2.2 and 15.61.3</w:t>
      </w:r>
    </w:p>
  </w:footnote>
  <w:footnote w:id="55">
    <w:p w:rsidR="00E02C13" w:rsidRDefault="00727582">
      <w:pPr>
        <w:pStyle w:val="FootnoteText"/>
        <w:rPr>
          <w:rFonts w:cstheme="minorHAnsi"/>
        </w:rPr>
      </w:pPr>
      <w:r>
        <w:rPr>
          <w:rStyle w:val="FootnoteReference"/>
          <w:rFonts w:cstheme="minorHAnsi"/>
        </w:rPr>
        <w:footnoteRef/>
      </w:r>
      <w:r>
        <w:rPr>
          <w:rFonts w:cstheme="minorHAnsi"/>
        </w:rPr>
        <w:t xml:space="preserve"> Tac. Agr. 10.3</w:t>
      </w:r>
    </w:p>
  </w:footnote>
  <w:footnote w:id="56">
    <w:p w:rsidR="00E02C13" w:rsidRDefault="00727582">
      <w:pPr>
        <w:pStyle w:val="FootnoteText"/>
        <w:rPr>
          <w:rFonts w:cstheme="minorHAnsi"/>
        </w:rPr>
      </w:pPr>
      <w:r>
        <w:rPr>
          <w:rStyle w:val="FootnoteReference"/>
          <w:rFonts w:cstheme="minorHAnsi"/>
        </w:rPr>
        <w:footnoteRef/>
      </w:r>
      <w:r>
        <w:rPr>
          <w:rFonts w:cstheme="minorHAnsi"/>
        </w:rPr>
        <w:t xml:space="preserve"> Tac. Hist. 3.28</w:t>
      </w:r>
    </w:p>
  </w:footnote>
  <w:footnote w:id="57">
    <w:p w:rsidR="00E02C13" w:rsidRDefault="00727582">
      <w:pPr>
        <w:pStyle w:val="FootnoteText"/>
        <w:rPr>
          <w:rFonts w:cstheme="minorHAnsi"/>
        </w:rPr>
      </w:pPr>
      <w:r>
        <w:rPr>
          <w:rStyle w:val="FootnoteReference"/>
          <w:rFonts w:cstheme="minorHAnsi"/>
        </w:rPr>
        <w:footnoteRef/>
      </w:r>
      <w:r>
        <w:rPr>
          <w:rFonts w:cstheme="minorHAnsi"/>
        </w:rPr>
        <w:t xml:space="preserve"> Tac. Hist. 3.25.2</w:t>
      </w:r>
    </w:p>
  </w:footnote>
  <w:footnote w:id="58">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pp. 287-348</w:t>
      </w:r>
    </w:p>
  </w:footnote>
  <w:footnote w:id="59">
    <w:p w:rsidR="00E02C13" w:rsidRDefault="00727582">
      <w:pPr>
        <w:pStyle w:val="FootnoteText"/>
        <w:rPr>
          <w:rFonts w:cstheme="minorHAnsi"/>
        </w:rPr>
      </w:pPr>
      <w:r>
        <w:rPr>
          <w:rStyle w:val="FootnoteReference"/>
          <w:rFonts w:cstheme="minorHAnsi"/>
        </w:rPr>
        <w:footnoteRef/>
      </w:r>
      <w:r>
        <w:rPr>
          <w:rFonts w:cstheme="minorHAnsi"/>
        </w:rPr>
        <w:t xml:space="preserve"> Tac. Hist. 2.3</w:t>
      </w:r>
    </w:p>
  </w:footnote>
  <w:footnote w:id="60">
    <w:p w:rsidR="00E02C13" w:rsidRDefault="00727582">
      <w:pPr>
        <w:pStyle w:val="FootnoteText"/>
        <w:rPr>
          <w:rFonts w:cstheme="minorHAnsi"/>
        </w:rPr>
      </w:pPr>
      <w:r>
        <w:rPr>
          <w:rStyle w:val="FootnoteReference"/>
          <w:rFonts w:cstheme="minorHAnsi"/>
        </w:rPr>
        <w:footnoteRef/>
      </w:r>
      <w:r>
        <w:rPr>
          <w:rFonts w:cstheme="minorHAnsi"/>
        </w:rPr>
        <w:t xml:space="preserve"> Tac. Hist. 4.81-84</w:t>
      </w:r>
    </w:p>
  </w:footnote>
  <w:footnote w:id="61">
    <w:p w:rsidR="00E02C13" w:rsidRDefault="00727582">
      <w:pPr>
        <w:pStyle w:val="FootnoteText"/>
        <w:rPr>
          <w:rFonts w:cstheme="minorHAnsi"/>
        </w:rPr>
      </w:pPr>
      <w:r>
        <w:rPr>
          <w:rStyle w:val="FootnoteReference"/>
          <w:rFonts w:cstheme="minorHAnsi"/>
        </w:rPr>
        <w:footnoteRef/>
      </w:r>
      <w:r>
        <w:rPr>
          <w:rFonts w:cstheme="minorHAnsi"/>
        </w:rPr>
        <w:t xml:space="preserve"> Tac. Hist. 2.9</w:t>
      </w:r>
    </w:p>
  </w:footnote>
  <w:footnote w:id="62">
    <w:p w:rsidR="00E02C13" w:rsidRDefault="00727582">
      <w:pPr>
        <w:pStyle w:val="FootnoteText"/>
        <w:rPr>
          <w:rFonts w:cstheme="minorHAnsi"/>
        </w:rPr>
      </w:pPr>
      <w:r>
        <w:rPr>
          <w:rStyle w:val="FootnoteReference"/>
          <w:rFonts w:cstheme="minorHAnsi"/>
        </w:rPr>
        <w:footnoteRef/>
      </w:r>
      <w:r>
        <w:rPr>
          <w:rFonts w:cstheme="minorHAnsi"/>
        </w:rPr>
        <w:t xml:space="preserve"> Syme. R. </w:t>
      </w:r>
      <w:r>
        <w:rPr>
          <w:rFonts w:cstheme="minorHAnsi"/>
          <w:i/>
        </w:rPr>
        <w:t>Tacitus</w:t>
      </w:r>
      <w:r>
        <w:rPr>
          <w:rFonts w:cstheme="minorHAnsi"/>
        </w:rPr>
        <w:t>. vol. II. Oxford: Clarendon Press. 1958.</w:t>
      </w:r>
    </w:p>
  </w:footnote>
  <w:footnote w:id="63">
    <w:p w:rsidR="00E02C13" w:rsidRDefault="00727582">
      <w:pPr>
        <w:pStyle w:val="FootnoteText"/>
        <w:rPr>
          <w:rFonts w:cstheme="minorHAnsi"/>
        </w:rPr>
      </w:pPr>
      <w:r>
        <w:rPr>
          <w:rStyle w:val="FootnoteReference"/>
          <w:rFonts w:cstheme="minorHAnsi"/>
        </w:rPr>
        <w:footnoteRef/>
      </w:r>
      <w:r>
        <w:rPr>
          <w:rFonts w:cstheme="minorHAnsi"/>
        </w:rPr>
        <w:t xml:space="preserve"> Ibid.</w:t>
      </w:r>
    </w:p>
  </w:footnote>
  <w:footnote w:id="64">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pp. 287-348</w:t>
      </w:r>
    </w:p>
  </w:footnote>
  <w:footnote w:id="65">
    <w:p w:rsidR="00E02C13" w:rsidRDefault="00727582">
      <w:pPr>
        <w:pStyle w:val="FootnoteText"/>
        <w:rPr>
          <w:rFonts w:cstheme="minorHAnsi"/>
        </w:rPr>
      </w:pPr>
      <w:r>
        <w:rPr>
          <w:rStyle w:val="FootnoteReference"/>
          <w:rFonts w:cstheme="minorHAnsi"/>
        </w:rPr>
        <w:footnoteRef/>
      </w:r>
      <w:r>
        <w:rPr>
          <w:rFonts w:cstheme="minorHAnsi"/>
        </w:rPr>
        <w:t xml:space="preserve"> Syme. R. </w:t>
      </w:r>
      <w:r>
        <w:rPr>
          <w:rFonts w:cstheme="minorHAnsi"/>
          <w:i/>
        </w:rPr>
        <w:t>Tacitus</w:t>
      </w:r>
      <w:r>
        <w:rPr>
          <w:rFonts w:cstheme="minorHAnsi"/>
        </w:rPr>
        <w:t>. vol. II. Oxford: Clarendon Press. 1958</w:t>
      </w:r>
    </w:p>
  </w:footnote>
  <w:footnote w:id="66">
    <w:p w:rsidR="00E02C13" w:rsidRDefault="00727582">
      <w:pPr>
        <w:pStyle w:val="FootnoteText"/>
        <w:rPr>
          <w:rFonts w:cstheme="minorHAnsi"/>
        </w:rPr>
      </w:pPr>
      <w:r>
        <w:rPr>
          <w:rStyle w:val="FootnoteReference"/>
        </w:rPr>
        <w:footnoteRef/>
      </w:r>
      <w:r>
        <w:rPr>
          <w:rFonts w:cstheme="minorHAnsi"/>
        </w:rPr>
        <w:t xml:space="preserve">Los. S. (1968) </w:t>
      </w:r>
      <w:r>
        <w:rPr>
          <w:rFonts w:cstheme="minorHAnsi"/>
          <w:i/>
        </w:rPr>
        <w:t>The World of Ancient Historians</w:t>
      </w:r>
      <w:r>
        <w:rPr>
          <w:rFonts w:cstheme="minorHAnsi"/>
        </w:rPr>
        <w:t>, Krakow: Znak. pp. 287-348</w:t>
      </w:r>
    </w:p>
  </w:footnote>
  <w:footnote w:id="67">
    <w:p w:rsidR="00E02C13" w:rsidRDefault="00727582">
      <w:pPr>
        <w:pStyle w:val="FootnoteText"/>
      </w:pPr>
      <w:r>
        <w:rPr>
          <w:rStyle w:val="FootnoteReference"/>
        </w:rPr>
        <w:footnoteRef/>
      </w:r>
      <w:r>
        <w:t xml:space="preserve"> Ibid. pp. 287-348</w:t>
      </w:r>
    </w:p>
  </w:footnote>
  <w:footnote w:id="68">
    <w:p w:rsidR="00E02C13" w:rsidRDefault="00727582">
      <w:pPr>
        <w:pStyle w:val="FootnoteText"/>
      </w:pPr>
      <w:r>
        <w:rPr>
          <w:rStyle w:val="FootnoteReference"/>
        </w:rPr>
        <w:footnoteRef/>
      </w:r>
      <w:r>
        <w:t xml:space="preserve"> Tac. Hist. 1.2</w:t>
      </w:r>
    </w:p>
  </w:footnote>
  <w:footnote w:id="69">
    <w:p w:rsidR="00E02C13" w:rsidRDefault="00727582">
      <w:pPr>
        <w:pStyle w:val="FootnoteText"/>
        <w:rPr>
          <w:rFonts w:cstheme="minorHAnsi"/>
        </w:rPr>
      </w:pPr>
      <w:r>
        <w:rPr>
          <w:rStyle w:val="FootnoteReference"/>
          <w:rFonts w:cstheme="minorHAnsi"/>
        </w:rPr>
        <w:footnoteRef/>
      </w:r>
      <w:r>
        <w:rPr>
          <w:rFonts w:cstheme="minorHAnsi"/>
        </w:rPr>
        <w:t xml:space="preserve"> Tac. Ann. 3.66.4</w:t>
      </w:r>
    </w:p>
  </w:footnote>
  <w:footnote w:id="70">
    <w:p w:rsidR="00E02C13" w:rsidRDefault="00727582">
      <w:pPr>
        <w:pStyle w:val="FootnoteText"/>
        <w:rPr>
          <w:rFonts w:cstheme="minorHAnsi"/>
        </w:rPr>
      </w:pPr>
      <w:r>
        <w:rPr>
          <w:rStyle w:val="FootnoteReference"/>
          <w:rFonts w:cstheme="minorHAnsi"/>
        </w:rPr>
        <w:footnoteRef/>
      </w:r>
      <w:r>
        <w:rPr>
          <w:rFonts w:cstheme="minorHAnsi"/>
        </w:rPr>
        <w:t xml:space="preserve"> Tac. Ann. 4.18.3.</w:t>
      </w:r>
    </w:p>
  </w:footnote>
  <w:footnote w:id="71">
    <w:p w:rsidR="00E02C13" w:rsidRDefault="00727582">
      <w:pPr>
        <w:pStyle w:val="FootnoteText"/>
        <w:rPr>
          <w:rFonts w:cstheme="minorHAnsi"/>
        </w:rPr>
      </w:pPr>
      <w:r>
        <w:rPr>
          <w:rStyle w:val="FootnoteReference"/>
          <w:rFonts w:cstheme="minorHAnsi"/>
        </w:rPr>
        <w:footnoteRef/>
      </w:r>
      <w:r>
        <w:rPr>
          <w:rFonts w:cstheme="minorHAnsi"/>
        </w:rPr>
        <w:t xml:space="preserve"> Tac. Hist. 1.55.1</w:t>
      </w:r>
    </w:p>
  </w:footnote>
  <w:footnote w:id="72">
    <w:p w:rsidR="00E02C13" w:rsidRDefault="00727582">
      <w:pPr>
        <w:pStyle w:val="FootnoteText"/>
        <w:rPr>
          <w:rFonts w:cstheme="minorHAnsi"/>
        </w:rPr>
      </w:pPr>
      <w:r>
        <w:rPr>
          <w:rStyle w:val="FootnoteReference"/>
          <w:rFonts w:cstheme="minorHAnsi"/>
        </w:rPr>
        <w:footnoteRef/>
      </w:r>
      <w:r>
        <w:rPr>
          <w:rFonts w:cstheme="minorHAnsi"/>
        </w:rPr>
        <w:t xml:space="preserve"> Tac. Hist. 4.75.3</w:t>
      </w:r>
    </w:p>
  </w:footnote>
  <w:footnote w:id="73">
    <w:p w:rsidR="00E02C13" w:rsidRDefault="00727582">
      <w:pPr>
        <w:pStyle w:val="FootnoteText"/>
        <w:rPr>
          <w:rFonts w:cstheme="minorHAnsi"/>
        </w:rPr>
      </w:pPr>
      <w:r>
        <w:rPr>
          <w:rStyle w:val="FootnoteReference"/>
          <w:rFonts w:cstheme="minorHAnsi"/>
        </w:rPr>
        <w:footnoteRef/>
      </w:r>
      <w:r>
        <w:rPr>
          <w:rFonts w:cstheme="minorHAnsi"/>
        </w:rPr>
        <w:t xml:space="preserve"> Tac. Hist. 3.83 </w:t>
      </w:r>
    </w:p>
  </w:footnote>
  <w:footnote w:id="74">
    <w:p w:rsidR="00E02C13" w:rsidRDefault="00727582">
      <w:pPr>
        <w:pStyle w:val="FootnoteText"/>
        <w:rPr>
          <w:rFonts w:cstheme="minorHAnsi"/>
        </w:rPr>
      </w:pPr>
      <w:r>
        <w:rPr>
          <w:rStyle w:val="FootnoteReference"/>
          <w:rFonts w:cstheme="minorHAnsi"/>
        </w:rPr>
        <w:footnoteRef/>
      </w:r>
      <w:r>
        <w:rPr>
          <w:rFonts w:cstheme="minorHAnsi"/>
        </w:rPr>
        <w:t xml:space="preserve"> Tac. Ann. 4.33.1</w:t>
      </w:r>
    </w:p>
  </w:footnote>
  <w:footnote w:id="75">
    <w:p w:rsidR="00E02C13" w:rsidRDefault="00727582">
      <w:pPr>
        <w:pStyle w:val="FootnoteText"/>
        <w:rPr>
          <w:rFonts w:cstheme="minorHAnsi"/>
        </w:rPr>
      </w:pPr>
      <w:r>
        <w:rPr>
          <w:rStyle w:val="FootnoteReference"/>
          <w:rFonts w:cstheme="minorHAnsi"/>
        </w:rPr>
        <w:footnoteRef/>
      </w:r>
      <w:r>
        <w:rPr>
          <w:rFonts w:cstheme="minorHAnsi"/>
        </w:rPr>
        <w:t xml:space="preserve"> Tac. Hist. 1.1.1</w:t>
      </w:r>
    </w:p>
  </w:footnote>
  <w:footnote w:id="76">
    <w:p w:rsidR="00E02C13" w:rsidRDefault="00727582">
      <w:pPr>
        <w:pStyle w:val="FootnoteText"/>
        <w:rPr>
          <w:rFonts w:cstheme="minorHAnsi"/>
        </w:rPr>
      </w:pPr>
      <w:r>
        <w:rPr>
          <w:rStyle w:val="FootnoteReference"/>
          <w:rFonts w:cstheme="minorHAnsi"/>
        </w:rPr>
        <w:footnoteRef/>
      </w:r>
      <w:r>
        <w:rPr>
          <w:rFonts w:cstheme="minorHAnsi"/>
        </w:rPr>
        <w:t xml:space="preserve"> Tac. Hist. 1.16.4</w:t>
      </w:r>
    </w:p>
  </w:footnote>
  <w:footnote w:id="77">
    <w:p w:rsidR="00E02C13" w:rsidRDefault="00727582">
      <w:pPr>
        <w:pStyle w:val="FootnoteText"/>
        <w:rPr>
          <w:rFonts w:cstheme="minorHAnsi"/>
        </w:rPr>
      </w:pPr>
      <w:r>
        <w:rPr>
          <w:rStyle w:val="FootnoteReference"/>
          <w:rFonts w:cstheme="minorHAnsi"/>
        </w:rPr>
        <w:footnoteRef/>
      </w:r>
      <w:r>
        <w:rPr>
          <w:rFonts w:cstheme="minorHAnsi"/>
        </w:rPr>
        <w:t xml:space="preserve"> Tac. Hist. 1.16.1</w:t>
      </w:r>
    </w:p>
  </w:footnote>
  <w:footnote w:id="78">
    <w:p w:rsidR="00E02C13" w:rsidRDefault="00727582">
      <w:pPr>
        <w:pStyle w:val="FootnoteText"/>
        <w:rPr>
          <w:rFonts w:cstheme="minorHAnsi"/>
        </w:rPr>
      </w:pPr>
      <w:r>
        <w:rPr>
          <w:rStyle w:val="FootnoteReference"/>
          <w:rFonts w:cstheme="minorHAnsi"/>
        </w:rPr>
        <w:footnoteRef/>
      </w:r>
      <w:r>
        <w:rPr>
          <w:rFonts w:cstheme="minorHAnsi"/>
        </w:rPr>
        <w:t xml:space="preserve"> Tac. Agr. 42.4 </w:t>
      </w:r>
    </w:p>
  </w:footnote>
  <w:footnote w:id="79">
    <w:p w:rsidR="00E02C13" w:rsidRDefault="00727582">
      <w:pPr>
        <w:pStyle w:val="FootnoteText"/>
        <w:rPr>
          <w:rFonts w:cstheme="minorHAnsi"/>
        </w:rPr>
      </w:pPr>
      <w:r>
        <w:rPr>
          <w:rStyle w:val="FootnoteReference"/>
          <w:rFonts w:cstheme="minorHAnsi"/>
        </w:rPr>
        <w:footnoteRef/>
      </w:r>
      <w:r>
        <w:rPr>
          <w:rFonts w:cstheme="minorHAnsi"/>
        </w:rPr>
        <w:t xml:space="preserve"> Los. S. (1968) </w:t>
      </w:r>
      <w:r>
        <w:rPr>
          <w:rFonts w:cstheme="minorHAnsi"/>
          <w:i/>
        </w:rPr>
        <w:t>The World of Ancient Historians</w:t>
      </w:r>
      <w:r>
        <w:rPr>
          <w:rFonts w:cstheme="minorHAnsi"/>
        </w:rPr>
        <w:t>, Krakow: Znak. p. 287-248</w:t>
      </w:r>
    </w:p>
  </w:footnote>
  <w:footnote w:id="80">
    <w:p w:rsidR="00E02C13" w:rsidRDefault="00727582">
      <w:pPr>
        <w:pStyle w:val="FootnoteText"/>
        <w:rPr>
          <w:rFonts w:cstheme="minorHAnsi"/>
        </w:rPr>
      </w:pPr>
      <w:r>
        <w:rPr>
          <w:rStyle w:val="FootnoteReference"/>
          <w:rFonts w:cstheme="minorHAnsi"/>
        </w:rPr>
        <w:footnoteRef/>
      </w:r>
      <w:r>
        <w:rPr>
          <w:rFonts w:cstheme="minorHAnsi"/>
        </w:rPr>
        <w:t xml:space="preserve"> Sen. Ep. 14.7</w:t>
      </w:r>
    </w:p>
  </w:footnote>
  <w:footnote w:id="81">
    <w:p w:rsidR="00E02C13" w:rsidRDefault="00727582">
      <w:pPr>
        <w:pStyle w:val="FootnoteText"/>
        <w:rPr>
          <w:rFonts w:cstheme="minorHAnsi"/>
        </w:rPr>
      </w:pPr>
      <w:r>
        <w:rPr>
          <w:rStyle w:val="FootnoteReference"/>
          <w:rFonts w:cstheme="minorHAnsi"/>
        </w:rPr>
        <w:footnoteRef/>
      </w:r>
      <w:r>
        <w:rPr>
          <w:rFonts w:cstheme="minorHAnsi"/>
        </w:rPr>
        <w:t xml:space="preserve"> Tac. Ann. 16.10-11</w:t>
      </w:r>
    </w:p>
  </w:footnote>
  <w:footnote w:id="82">
    <w:p w:rsidR="00E02C13" w:rsidRDefault="00727582">
      <w:pPr>
        <w:pStyle w:val="FootnoteText"/>
        <w:rPr>
          <w:rFonts w:cstheme="minorHAnsi"/>
        </w:rPr>
      </w:pPr>
      <w:r>
        <w:rPr>
          <w:rStyle w:val="FootnoteReference"/>
          <w:rFonts w:cstheme="minorHAnsi"/>
        </w:rPr>
        <w:footnoteRef/>
      </w:r>
      <w:r>
        <w:rPr>
          <w:rFonts w:cstheme="minorHAnsi"/>
        </w:rPr>
        <w:t xml:space="preserve"> Tac. Ann. 15. 60-66</w:t>
      </w:r>
    </w:p>
  </w:footnote>
  <w:footnote w:id="83">
    <w:p w:rsidR="00E02C13" w:rsidRDefault="00727582">
      <w:pPr>
        <w:pStyle w:val="FootnoteText"/>
        <w:rPr>
          <w:rFonts w:cstheme="minorHAnsi"/>
        </w:rPr>
      </w:pPr>
      <w:r>
        <w:rPr>
          <w:rStyle w:val="FootnoteReference"/>
          <w:rFonts w:cstheme="minorHAnsi"/>
        </w:rPr>
        <w:footnoteRef/>
      </w:r>
      <w:r>
        <w:rPr>
          <w:rFonts w:cstheme="minorHAnsi"/>
        </w:rPr>
        <w:t xml:space="preserve"> Tac. Ann. 3.25.1</w:t>
      </w:r>
    </w:p>
  </w:footnote>
  <w:footnote w:id="84">
    <w:p w:rsidR="00E02C13" w:rsidRDefault="00727582">
      <w:pPr>
        <w:pStyle w:val="FootnoteText"/>
        <w:rPr>
          <w:rFonts w:cstheme="minorHAnsi"/>
        </w:rPr>
      </w:pPr>
      <w:r>
        <w:rPr>
          <w:rStyle w:val="FootnoteReference"/>
          <w:rFonts w:cstheme="minorHAnsi"/>
        </w:rPr>
        <w:footnoteRef/>
      </w:r>
      <w:r>
        <w:rPr>
          <w:rFonts w:cstheme="minorHAnsi"/>
        </w:rPr>
        <w:t xml:space="preserve"> Tac. Ann. 4.36.3</w:t>
      </w:r>
    </w:p>
  </w:footnote>
  <w:footnote w:id="85">
    <w:p w:rsidR="00E02C13" w:rsidRDefault="00727582">
      <w:pPr>
        <w:pStyle w:val="FootnoteText"/>
        <w:rPr>
          <w:rFonts w:cstheme="minorHAnsi"/>
        </w:rPr>
      </w:pPr>
      <w:r>
        <w:rPr>
          <w:rStyle w:val="FootnoteReference"/>
          <w:rFonts w:cstheme="minorHAnsi"/>
        </w:rPr>
        <w:footnoteRef/>
      </w:r>
      <w:r>
        <w:rPr>
          <w:rFonts w:cstheme="minorHAnsi"/>
        </w:rPr>
        <w:t xml:space="preserve"> Tac. Ann. 69-70</w:t>
      </w:r>
    </w:p>
  </w:footnote>
  <w:footnote w:id="86">
    <w:p w:rsidR="00E02C13" w:rsidRDefault="00727582">
      <w:pPr>
        <w:pStyle w:val="FootnoteText"/>
        <w:rPr>
          <w:rFonts w:cstheme="minorHAnsi"/>
        </w:rPr>
      </w:pPr>
      <w:r>
        <w:rPr>
          <w:rStyle w:val="FootnoteReference"/>
          <w:rFonts w:cstheme="minorHAnsi"/>
        </w:rPr>
        <w:footnoteRef/>
      </w:r>
      <w:r>
        <w:rPr>
          <w:rFonts w:cstheme="minorHAnsi"/>
        </w:rPr>
        <w:t xml:space="preserve"> Tac. Ann. 3. 53-4</w:t>
      </w:r>
    </w:p>
  </w:footnote>
  <w:footnote w:id="87">
    <w:p w:rsidR="00E02C13" w:rsidRDefault="00727582">
      <w:pPr>
        <w:pStyle w:val="FootnoteText"/>
        <w:rPr>
          <w:rFonts w:cstheme="minorHAnsi"/>
        </w:rPr>
      </w:pPr>
      <w:r>
        <w:rPr>
          <w:rStyle w:val="FootnoteReference"/>
          <w:rFonts w:cstheme="minorHAnsi"/>
        </w:rPr>
        <w:footnoteRef/>
      </w:r>
      <w:r>
        <w:rPr>
          <w:rFonts w:cstheme="minorHAnsi"/>
        </w:rPr>
        <w:t xml:space="preserve"> Tac. Ann. 4.35.5</w:t>
      </w:r>
    </w:p>
  </w:footnote>
  <w:footnote w:id="88">
    <w:p w:rsidR="00E02C13" w:rsidRDefault="00727582">
      <w:pPr>
        <w:pStyle w:val="FootnoteText"/>
        <w:rPr>
          <w:rFonts w:cstheme="minorHAnsi"/>
        </w:rPr>
      </w:pPr>
      <w:r>
        <w:rPr>
          <w:rStyle w:val="FootnoteReference"/>
          <w:rFonts w:cstheme="minorHAnsi"/>
        </w:rPr>
        <w:footnoteRef/>
      </w:r>
      <w:r>
        <w:rPr>
          <w:rFonts w:cstheme="minorHAnsi"/>
        </w:rPr>
        <w:t xml:space="preserve"> Tac. Ann. 12.43.1 and 1.65.2 and 4.84.2 and 14.12.15 and 2.14.1</w:t>
      </w:r>
    </w:p>
  </w:footnote>
  <w:footnote w:id="89">
    <w:p w:rsidR="00E02C13" w:rsidRDefault="00727582">
      <w:pPr>
        <w:pStyle w:val="FootnoteText"/>
        <w:rPr>
          <w:rFonts w:cstheme="minorHAnsi"/>
        </w:rPr>
      </w:pPr>
      <w:r>
        <w:rPr>
          <w:rStyle w:val="FootnoteReference"/>
          <w:rFonts w:cstheme="minorHAnsi"/>
        </w:rPr>
        <w:footnoteRef/>
      </w:r>
      <w:r>
        <w:rPr>
          <w:rFonts w:cstheme="minorHAnsi"/>
        </w:rPr>
        <w:t xml:space="preserve"> Tac. Ann. 12.43.2</w:t>
      </w:r>
    </w:p>
  </w:footnote>
  <w:footnote w:id="90">
    <w:p w:rsidR="00E02C13" w:rsidRDefault="00727582">
      <w:pPr>
        <w:pStyle w:val="FootnoteText"/>
        <w:rPr>
          <w:rFonts w:cstheme="minorHAnsi"/>
        </w:rPr>
      </w:pPr>
      <w:r>
        <w:rPr>
          <w:rStyle w:val="FootnoteReference"/>
          <w:rFonts w:cstheme="minorHAnsi"/>
        </w:rPr>
        <w:footnoteRef/>
      </w:r>
      <w:r>
        <w:rPr>
          <w:rFonts w:cstheme="minorHAnsi"/>
        </w:rPr>
        <w:t xml:space="preserve"> Tac. Ann. 4.78.2 and 85.2</w:t>
      </w:r>
    </w:p>
  </w:footnote>
  <w:footnote w:id="91">
    <w:p w:rsidR="00E02C13" w:rsidRDefault="00727582">
      <w:pPr>
        <w:pStyle w:val="FootnoteText"/>
        <w:rPr>
          <w:rFonts w:cstheme="minorHAnsi"/>
        </w:rPr>
      </w:pPr>
      <w:r>
        <w:rPr>
          <w:rStyle w:val="FootnoteReference"/>
          <w:rFonts w:cstheme="minorHAnsi"/>
        </w:rPr>
        <w:footnoteRef/>
      </w:r>
      <w:r>
        <w:rPr>
          <w:rFonts w:cstheme="minorHAnsi"/>
        </w:rPr>
        <w:t xml:space="preserve"> Tac. Hist. 1.86</w:t>
      </w:r>
    </w:p>
  </w:footnote>
  <w:footnote w:id="92">
    <w:p w:rsidR="00E02C13" w:rsidRDefault="00727582">
      <w:pPr>
        <w:pStyle w:val="FootnoteText"/>
        <w:rPr>
          <w:rFonts w:cstheme="minorHAnsi"/>
        </w:rPr>
      </w:pPr>
      <w:r>
        <w:rPr>
          <w:rStyle w:val="FootnoteReference"/>
          <w:rFonts w:cstheme="minorHAnsi"/>
        </w:rPr>
        <w:footnoteRef/>
      </w:r>
      <w:r>
        <w:rPr>
          <w:rFonts w:cstheme="minorHAnsi"/>
        </w:rPr>
        <w:t xml:space="preserve"> Tac. Ann. 1.39.6 and 4.1.2 and 16.16.2</w:t>
      </w:r>
    </w:p>
  </w:footnote>
  <w:footnote w:id="93">
    <w:p w:rsidR="00E02C13" w:rsidRDefault="00727582">
      <w:pPr>
        <w:pStyle w:val="FootnoteText"/>
        <w:rPr>
          <w:rFonts w:cstheme="minorHAnsi"/>
        </w:rPr>
      </w:pPr>
      <w:r>
        <w:rPr>
          <w:rStyle w:val="FootnoteReference"/>
          <w:rFonts w:cstheme="minorHAnsi"/>
        </w:rPr>
        <w:footnoteRef/>
      </w:r>
      <w:r>
        <w:rPr>
          <w:rFonts w:cstheme="minorHAnsi"/>
        </w:rPr>
        <w:t xml:space="preserve"> Tac. Hist. 2.38.2 and 3.72.1 and 84.2 and 4.54.2</w:t>
      </w:r>
    </w:p>
  </w:footnote>
  <w:footnote w:id="94">
    <w:p w:rsidR="00E02C13" w:rsidRDefault="00727582">
      <w:pPr>
        <w:pStyle w:val="FootnoteText"/>
        <w:rPr>
          <w:rFonts w:cstheme="minorHAnsi"/>
        </w:rPr>
      </w:pPr>
      <w:r>
        <w:rPr>
          <w:rStyle w:val="FootnoteReference"/>
          <w:rFonts w:cstheme="minorHAnsi"/>
        </w:rPr>
        <w:footnoteRef/>
      </w:r>
      <w:r>
        <w:rPr>
          <w:rFonts w:cstheme="minorHAnsi"/>
        </w:rPr>
        <w:t xml:space="preserve"> Tac. Hist. 1.3.2</w:t>
      </w:r>
    </w:p>
  </w:footnote>
  <w:footnote w:id="95">
    <w:p w:rsidR="00E02C13" w:rsidRDefault="00727582">
      <w:pPr>
        <w:pStyle w:val="FootnoteText"/>
        <w:rPr>
          <w:rFonts w:cstheme="minorHAnsi"/>
        </w:rPr>
      </w:pPr>
      <w:r>
        <w:rPr>
          <w:rStyle w:val="FootnoteReference"/>
          <w:rFonts w:cstheme="minorHAnsi"/>
        </w:rPr>
        <w:footnoteRef/>
      </w:r>
      <w:r>
        <w:rPr>
          <w:rFonts w:cstheme="minorHAnsi"/>
        </w:rPr>
        <w:t xml:space="preserve"> Tac. Agr. 46.1</w:t>
      </w:r>
    </w:p>
  </w:footnote>
  <w:footnote w:id="96">
    <w:p w:rsidR="00E02C13" w:rsidRDefault="00727582">
      <w:pPr>
        <w:pStyle w:val="FootnoteText"/>
        <w:rPr>
          <w:rFonts w:cstheme="minorHAnsi"/>
        </w:rPr>
      </w:pPr>
      <w:r>
        <w:rPr>
          <w:rStyle w:val="FootnoteReference"/>
          <w:rFonts w:cstheme="minorHAnsi"/>
        </w:rPr>
        <w:footnoteRef/>
      </w:r>
      <w:r>
        <w:rPr>
          <w:rFonts w:cstheme="minorHAnsi"/>
        </w:rPr>
        <w:t xml:space="preserve"> Tac. Ann. 2.25.2 and 3.18.4 and 4.1.1.</w:t>
      </w:r>
    </w:p>
  </w:footnote>
  <w:footnote w:id="97">
    <w:p w:rsidR="00E02C13" w:rsidRDefault="00727582">
      <w:pPr>
        <w:pStyle w:val="FootnoteText"/>
        <w:rPr>
          <w:rFonts w:cstheme="minorHAnsi"/>
        </w:rPr>
      </w:pPr>
      <w:r>
        <w:rPr>
          <w:rStyle w:val="FootnoteReference"/>
          <w:rFonts w:cstheme="minorHAnsi"/>
        </w:rPr>
        <w:footnoteRef/>
      </w:r>
      <w:r>
        <w:rPr>
          <w:rFonts w:cstheme="minorHAnsi"/>
        </w:rPr>
        <w:t xml:space="preserve"> Tac. Ann. 6.22.1</w:t>
      </w:r>
    </w:p>
  </w:footnote>
  <w:footnote w:id="98">
    <w:p w:rsidR="00E02C13" w:rsidRDefault="00727582">
      <w:pPr>
        <w:pStyle w:val="FootnoteText"/>
        <w:rPr>
          <w:rFonts w:cstheme="minorHAnsi"/>
        </w:rPr>
      </w:pPr>
      <w:r>
        <w:rPr>
          <w:rStyle w:val="FootnoteReference"/>
          <w:rFonts w:cstheme="minorHAnsi"/>
        </w:rPr>
        <w:footnoteRef/>
      </w:r>
      <w:r>
        <w:rPr>
          <w:rFonts w:cstheme="minorHAnsi"/>
        </w:rPr>
        <w:t xml:space="preserve"> Tac. Ann. 3.18.4</w:t>
      </w:r>
    </w:p>
  </w:footnote>
  <w:footnote w:id="99">
    <w:p w:rsidR="00E02C13" w:rsidRDefault="00727582">
      <w:pPr>
        <w:pStyle w:val="FootnoteText"/>
        <w:rPr>
          <w:rFonts w:cstheme="minorHAnsi"/>
        </w:rPr>
      </w:pPr>
      <w:r>
        <w:rPr>
          <w:rStyle w:val="FootnoteReference"/>
          <w:rFonts w:cstheme="minorHAnsi"/>
        </w:rPr>
        <w:footnoteRef/>
      </w:r>
      <w:r>
        <w:rPr>
          <w:rFonts w:cstheme="minorHAnsi"/>
        </w:rPr>
        <w:t xml:space="preserve"> Tac. Hist. 1.18.1</w:t>
      </w:r>
    </w:p>
  </w:footnote>
  <w:footnote w:id="100">
    <w:p w:rsidR="00E02C13" w:rsidRDefault="00727582">
      <w:pPr>
        <w:pStyle w:val="FootnoteText"/>
        <w:rPr>
          <w:rFonts w:cstheme="minorHAnsi"/>
        </w:rPr>
      </w:pPr>
      <w:r>
        <w:rPr>
          <w:rStyle w:val="FootnoteReference"/>
          <w:rFonts w:cstheme="minorHAnsi"/>
        </w:rPr>
        <w:footnoteRef/>
      </w:r>
      <w:r>
        <w:rPr>
          <w:rFonts w:cstheme="minorHAnsi"/>
        </w:rPr>
        <w:t xml:space="preserve"> Tac. Hist. 2.1.1 and 3.46.3</w:t>
      </w:r>
    </w:p>
  </w:footnote>
  <w:footnote w:id="101">
    <w:p w:rsidR="00E02C13" w:rsidRDefault="00727582">
      <w:pPr>
        <w:pStyle w:val="FootnoteText"/>
        <w:rPr>
          <w:rFonts w:cstheme="minorHAnsi"/>
        </w:rPr>
      </w:pPr>
      <w:r>
        <w:rPr>
          <w:rStyle w:val="FootnoteReference"/>
          <w:rFonts w:cstheme="minorHAnsi"/>
        </w:rPr>
        <w:footnoteRef/>
      </w:r>
      <w:r>
        <w:rPr>
          <w:rFonts w:cstheme="minorHAnsi"/>
        </w:rPr>
        <w:t xml:space="preserve"> Tac. Ann. 16.1.1</w:t>
      </w:r>
    </w:p>
  </w:footnote>
  <w:footnote w:id="102">
    <w:p w:rsidR="00E02C13" w:rsidRDefault="00727582">
      <w:pPr>
        <w:pStyle w:val="FootnoteText"/>
        <w:rPr>
          <w:rFonts w:cstheme="minorHAnsi"/>
        </w:rPr>
      </w:pPr>
      <w:r>
        <w:rPr>
          <w:rStyle w:val="FootnoteReference"/>
          <w:rFonts w:cstheme="minorHAnsi"/>
        </w:rPr>
        <w:footnoteRef/>
      </w:r>
      <w:r>
        <w:rPr>
          <w:rFonts w:cstheme="minorHAnsi"/>
        </w:rPr>
        <w:t xml:space="preserve"> Tac. Hist. 1.10.5</w:t>
      </w:r>
    </w:p>
  </w:footnote>
  <w:footnote w:id="103">
    <w:p w:rsidR="00E02C13" w:rsidRDefault="00727582">
      <w:pPr>
        <w:pStyle w:val="FootnoteText"/>
        <w:rPr>
          <w:rFonts w:cstheme="minorHAnsi"/>
        </w:rPr>
      </w:pPr>
      <w:r>
        <w:rPr>
          <w:rStyle w:val="FootnoteReference"/>
          <w:rFonts w:cstheme="minorHAnsi"/>
        </w:rPr>
        <w:footnoteRef/>
      </w:r>
      <w:r>
        <w:rPr>
          <w:rFonts w:cstheme="minorHAnsi"/>
        </w:rPr>
        <w:t xml:space="preserve"> Tac. Hist. 1.22. and 2.62.2 and 78.1</w:t>
      </w:r>
    </w:p>
  </w:footnote>
  <w:footnote w:id="104">
    <w:p w:rsidR="00E02C13" w:rsidRDefault="00727582">
      <w:pPr>
        <w:pStyle w:val="FootnoteText"/>
        <w:rPr>
          <w:rFonts w:cstheme="minorHAnsi"/>
        </w:rPr>
      </w:pPr>
      <w:r>
        <w:rPr>
          <w:rStyle w:val="FootnoteReference"/>
          <w:rFonts w:cstheme="minorHAnsi"/>
        </w:rPr>
        <w:footnoteRef/>
      </w:r>
      <w:r>
        <w:rPr>
          <w:rFonts w:cstheme="minorHAnsi"/>
        </w:rPr>
        <w:t xml:space="preserve"> Tac. Ann. 6.22.3 and 4.58.2 and 6.20.2</w:t>
      </w:r>
    </w:p>
  </w:footnote>
  <w:footnote w:id="105">
    <w:p w:rsidR="00E02C13" w:rsidRDefault="00727582">
      <w:pPr>
        <w:pStyle w:val="FootnoteText"/>
        <w:rPr>
          <w:rFonts w:cstheme="minorHAnsi"/>
        </w:rPr>
      </w:pPr>
      <w:r>
        <w:rPr>
          <w:rStyle w:val="FootnoteReference"/>
          <w:rFonts w:cstheme="minorHAnsi"/>
        </w:rPr>
        <w:footnoteRef/>
      </w:r>
      <w:r>
        <w:rPr>
          <w:rFonts w:cstheme="minorHAnsi"/>
        </w:rPr>
        <w:t xml:space="preserve"> Tac. Ann. 4.58.2</w:t>
      </w:r>
    </w:p>
  </w:footnote>
  <w:footnote w:id="106">
    <w:p w:rsidR="00E02C13" w:rsidRDefault="00727582">
      <w:pPr>
        <w:pStyle w:val="FootnoteText"/>
        <w:rPr>
          <w:rFonts w:cstheme="minorHAnsi"/>
        </w:rPr>
      </w:pPr>
      <w:r>
        <w:rPr>
          <w:rStyle w:val="FootnoteReference"/>
          <w:rFonts w:cstheme="minorHAnsi"/>
        </w:rPr>
        <w:footnoteRef/>
      </w:r>
      <w:r>
        <w:rPr>
          <w:rFonts w:cstheme="minorHAnsi"/>
        </w:rPr>
        <w:t xml:space="preserve"> Tac. Ann. 14.9.3</w:t>
      </w:r>
    </w:p>
  </w:footnote>
  <w:footnote w:id="107">
    <w:p w:rsidR="00E02C13" w:rsidRDefault="00727582">
      <w:pPr>
        <w:pStyle w:val="FootnoteText"/>
        <w:rPr>
          <w:rFonts w:cstheme="minorHAnsi"/>
        </w:rPr>
      </w:pPr>
      <w:r>
        <w:rPr>
          <w:rStyle w:val="FootnoteReference"/>
          <w:rFonts w:cstheme="minorHAnsi"/>
        </w:rPr>
        <w:footnoteRef/>
      </w:r>
      <w:r>
        <w:rPr>
          <w:rFonts w:cstheme="minorHAnsi"/>
        </w:rPr>
        <w:t xml:space="preserve"> Lewandowski, I. (2007) </w:t>
      </w:r>
      <w:r>
        <w:rPr>
          <w:rFonts w:cstheme="minorHAnsi"/>
          <w:i/>
        </w:rPr>
        <w:t>Roman Historiography</w:t>
      </w:r>
      <w:r>
        <w:rPr>
          <w:rFonts w:cstheme="minorHAnsi"/>
        </w:rPr>
        <w:t>. Poznan: Poznanskie Press. pp. 275-322</w:t>
      </w:r>
    </w:p>
  </w:footnote>
  <w:footnote w:id="108">
    <w:p w:rsidR="00E02C13" w:rsidRDefault="00727582">
      <w:pPr>
        <w:pStyle w:val="FootnoteText"/>
        <w:rPr>
          <w:rFonts w:cstheme="minorHAnsi"/>
        </w:rPr>
      </w:pPr>
      <w:r>
        <w:rPr>
          <w:rStyle w:val="FootnoteReference"/>
          <w:rFonts w:cstheme="minorHAnsi"/>
        </w:rPr>
        <w:footnoteRef/>
      </w:r>
      <w:r>
        <w:rPr>
          <w:rFonts w:cstheme="minorHAnsi"/>
        </w:rPr>
        <w:t xml:space="preserve"> Ibid. 275-322</w:t>
      </w:r>
    </w:p>
  </w:footnote>
  <w:footnote w:id="109">
    <w:p w:rsidR="00E02C13" w:rsidRDefault="00727582">
      <w:pPr>
        <w:pStyle w:val="FootnoteText"/>
        <w:rPr>
          <w:rFonts w:cstheme="minorHAnsi"/>
        </w:rPr>
      </w:pPr>
      <w:r>
        <w:rPr>
          <w:rStyle w:val="FootnoteReference"/>
          <w:rFonts w:cstheme="minorHAnsi"/>
        </w:rPr>
        <w:footnoteRef/>
      </w:r>
      <w:r>
        <w:rPr>
          <w:rFonts w:cstheme="minorHAnsi"/>
        </w:rPr>
        <w:t xml:space="preserve"> Tac. Hist. 4.6.1</w:t>
      </w:r>
    </w:p>
  </w:footnote>
  <w:footnote w:id="110">
    <w:p w:rsidR="00E02C13" w:rsidRDefault="00727582">
      <w:pPr>
        <w:pStyle w:val="FootnoteText"/>
        <w:rPr>
          <w:rFonts w:cstheme="minorHAnsi"/>
        </w:rPr>
      </w:pPr>
      <w:r>
        <w:rPr>
          <w:rStyle w:val="FootnoteReference"/>
          <w:rFonts w:cstheme="minorHAnsi"/>
        </w:rPr>
        <w:footnoteRef/>
      </w:r>
      <w:r>
        <w:rPr>
          <w:rFonts w:cstheme="minorHAnsi"/>
        </w:rPr>
        <w:t xml:space="preserve"> Tac. Ann. 3.81.1</w:t>
      </w:r>
    </w:p>
  </w:footnote>
  <w:footnote w:id="111">
    <w:p w:rsidR="00E02C13" w:rsidRDefault="00727582">
      <w:pPr>
        <w:pStyle w:val="FootnoteText"/>
        <w:rPr>
          <w:rFonts w:cstheme="minorHAnsi"/>
        </w:rPr>
      </w:pPr>
      <w:r>
        <w:rPr>
          <w:rStyle w:val="FootnoteReference"/>
          <w:rFonts w:cstheme="minorHAnsi"/>
        </w:rPr>
        <w:footnoteRef/>
      </w:r>
      <w:r>
        <w:rPr>
          <w:rFonts w:cstheme="minorHAnsi"/>
        </w:rPr>
        <w:t xml:space="preserve"> Tac. Ann. 16.32.2</w:t>
      </w:r>
    </w:p>
  </w:footnote>
  <w:footnote w:id="112">
    <w:p w:rsidR="00E02C13" w:rsidRDefault="00727582">
      <w:pPr>
        <w:pStyle w:val="FootnoteText"/>
        <w:rPr>
          <w:rFonts w:cstheme="minorHAnsi"/>
        </w:rPr>
      </w:pPr>
      <w:r>
        <w:rPr>
          <w:rStyle w:val="FootnoteReference"/>
          <w:rFonts w:cstheme="minorHAnsi"/>
        </w:rPr>
        <w:footnoteRef/>
      </w:r>
      <w:r>
        <w:rPr>
          <w:rFonts w:cstheme="minorHAnsi"/>
        </w:rPr>
        <w:t xml:space="preserve"> Lewandowski, I. (2007) </w:t>
      </w:r>
      <w:r>
        <w:rPr>
          <w:rFonts w:cstheme="minorHAnsi"/>
          <w:i/>
        </w:rPr>
        <w:t>Roman Historiography</w:t>
      </w:r>
      <w:r>
        <w:rPr>
          <w:rFonts w:cstheme="minorHAnsi"/>
        </w:rPr>
        <w:t>. Poznan: Poznanskie Press. 275-322</w:t>
      </w:r>
    </w:p>
  </w:footnote>
  <w:footnote w:id="113">
    <w:p w:rsidR="00E02C13" w:rsidRDefault="00727582">
      <w:pPr>
        <w:pStyle w:val="FootnoteText"/>
        <w:rPr>
          <w:rFonts w:cstheme="minorHAnsi"/>
        </w:rPr>
      </w:pPr>
      <w:r>
        <w:rPr>
          <w:rStyle w:val="FootnoteReference"/>
          <w:rFonts w:cstheme="minorHAnsi"/>
        </w:rPr>
        <w:footnoteRef/>
      </w:r>
      <w:r>
        <w:rPr>
          <w:rFonts w:cstheme="minorHAnsi"/>
        </w:rPr>
        <w:t xml:space="preserve"> Tac. Ann. 121 and 171</w:t>
      </w:r>
    </w:p>
  </w:footnote>
  <w:footnote w:id="114">
    <w:p w:rsidR="00E02C13" w:rsidRDefault="00727582">
      <w:pPr>
        <w:pStyle w:val="FootnoteText"/>
        <w:rPr>
          <w:rFonts w:cstheme="minorHAnsi"/>
        </w:rPr>
      </w:pPr>
      <w:r>
        <w:rPr>
          <w:rStyle w:val="FootnoteReference"/>
          <w:rFonts w:cstheme="minorHAnsi"/>
        </w:rPr>
        <w:footnoteRef/>
      </w:r>
      <w:r>
        <w:rPr>
          <w:rFonts w:cstheme="minorHAnsi"/>
        </w:rPr>
        <w:t xml:space="preserve"> Tac. Ann. 3.65.2</w:t>
      </w:r>
    </w:p>
  </w:footnote>
  <w:footnote w:id="115">
    <w:p w:rsidR="00E02C13" w:rsidRDefault="00727582">
      <w:pPr>
        <w:pStyle w:val="FootnoteText"/>
        <w:rPr>
          <w:rFonts w:cstheme="minorHAnsi"/>
        </w:rPr>
      </w:pPr>
      <w:r>
        <w:rPr>
          <w:rStyle w:val="FootnoteReference"/>
          <w:rFonts w:cstheme="minorHAnsi"/>
        </w:rPr>
        <w:footnoteRef/>
      </w:r>
      <w:r>
        <w:rPr>
          <w:rFonts w:cstheme="minorHAnsi"/>
        </w:rPr>
        <w:t xml:space="preserve"> Tac. Ann. 1.74.5. and 2.34.6 and 6.10.3</w:t>
      </w:r>
    </w:p>
  </w:footnote>
  <w:footnote w:id="116">
    <w:p w:rsidR="00E02C13" w:rsidRDefault="00727582">
      <w:pPr>
        <w:pStyle w:val="FootnoteText"/>
        <w:rPr>
          <w:rFonts w:cstheme="minorHAnsi"/>
        </w:rPr>
      </w:pPr>
      <w:r>
        <w:rPr>
          <w:rStyle w:val="FootnoteReference"/>
          <w:rFonts w:cstheme="minorHAnsi"/>
        </w:rPr>
        <w:footnoteRef/>
      </w:r>
      <w:r>
        <w:rPr>
          <w:rFonts w:cstheme="minorHAnsi"/>
        </w:rPr>
        <w:t xml:space="preserve"> Tac. Ann. 3.55.3</w:t>
      </w:r>
    </w:p>
  </w:footnote>
  <w:footnote w:id="117">
    <w:p w:rsidR="00E02C13" w:rsidRDefault="00727582">
      <w:pPr>
        <w:pStyle w:val="FootnoteText"/>
        <w:rPr>
          <w:rFonts w:cstheme="minorHAnsi"/>
        </w:rPr>
      </w:pPr>
      <w:r>
        <w:rPr>
          <w:rStyle w:val="FootnoteReference"/>
          <w:rFonts w:cstheme="minorHAnsi"/>
        </w:rPr>
        <w:footnoteRef/>
      </w:r>
      <w:r>
        <w:rPr>
          <w:rFonts w:cstheme="minorHAnsi"/>
        </w:rPr>
        <w:t xml:space="preserve"> Lewandowski, I. (2007) </w:t>
      </w:r>
      <w:r>
        <w:rPr>
          <w:rFonts w:cstheme="minorHAnsi"/>
          <w:i/>
        </w:rPr>
        <w:t>Roman Historiography</w:t>
      </w:r>
      <w:r>
        <w:rPr>
          <w:rFonts w:cstheme="minorHAnsi"/>
        </w:rPr>
        <w:t>. Poznan: Poznanskie Press. 275-322</w:t>
      </w:r>
    </w:p>
  </w:footnote>
  <w:footnote w:id="118">
    <w:p w:rsidR="00E02C13" w:rsidRDefault="00727582">
      <w:pPr>
        <w:pStyle w:val="FootnoteText"/>
        <w:rPr>
          <w:rFonts w:cstheme="minorHAnsi"/>
        </w:rPr>
      </w:pPr>
      <w:r>
        <w:rPr>
          <w:rStyle w:val="FootnoteReference"/>
          <w:rFonts w:cstheme="minorHAnsi"/>
        </w:rPr>
        <w:footnoteRef/>
      </w:r>
      <w:r>
        <w:rPr>
          <w:rFonts w:cstheme="minorHAnsi"/>
        </w:rPr>
        <w:t xml:space="preserve"> Tac. Ann. 1.54.2 and 2.41.3 and 4.62.2 and 12.43 and 14.14 and 15.36.3 and 16.4</w:t>
      </w:r>
    </w:p>
  </w:footnote>
  <w:footnote w:id="119">
    <w:p w:rsidR="00E02C13" w:rsidRDefault="00727582">
      <w:pPr>
        <w:pStyle w:val="FootnoteText"/>
        <w:rPr>
          <w:rFonts w:cstheme="minorHAnsi"/>
        </w:rPr>
      </w:pPr>
      <w:r>
        <w:rPr>
          <w:rStyle w:val="FootnoteReference"/>
          <w:rFonts w:cstheme="minorHAnsi"/>
        </w:rPr>
        <w:footnoteRef/>
      </w:r>
      <w:r>
        <w:rPr>
          <w:rFonts w:cstheme="minorHAnsi"/>
        </w:rPr>
        <w:t xml:space="preserve"> Tac. Ann. 2.83</w:t>
      </w:r>
    </w:p>
  </w:footnote>
  <w:footnote w:id="120">
    <w:p w:rsidR="00E02C13" w:rsidRDefault="00727582">
      <w:pPr>
        <w:pStyle w:val="FootnoteText"/>
        <w:rPr>
          <w:rFonts w:cstheme="minorHAnsi"/>
        </w:rPr>
      </w:pPr>
      <w:r>
        <w:rPr>
          <w:rStyle w:val="FootnoteReference"/>
          <w:rFonts w:cstheme="minorHAnsi"/>
        </w:rPr>
        <w:footnoteRef/>
      </w:r>
      <w:r>
        <w:rPr>
          <w:rFonts w:cstheme="minorHAnsi"/>
        </w:rPr>
        <w:t xml:space="preserve"> Tac. Ann. 14.60-61</w:t>
      </w:r>
    </w:p>
  </w:footnote>
  <w:footnote w:id="121">
    <w:p w:rsidR="00E02C13" w:rsidRDefault="00727582">
      <w:pPr>
        <w:pStyle w:val="FootnoteText"/>
        <w:rPr>
          <w:rFonts w:cstheme="minorHAnsi"/>
        </w:rPr>
      </w:pPr>
      <w:r>
        <w:rPr>
          <w:rStyle w:val="FootnoteReference"/>
          <w:rFonts w:cstheme="minorHAnsi"/>
        </w:rPr>
        <w:footnoteRef/>
      </w:r>
      <w:r>
        <w:rPr>
          <w:rFonts w:cstheme="minorHAnsi"/>
        </w:rPr>
        <w:t xml:space="preserve"> Tac. Ann. 13.27.1</w:t>
      </w:r>
    </w:p>
  </w:footnote>
  <w:footnote w:id="122">
    <w:p w:rsidR="00E02C13" w:rsidRDefault="00727582">
      <w:pPr>
        <w:pStyle w:val="FootnoteText"/>
        <w:rPr>
          <w:rFonts w:cstheme="minorHAnsi"/>
        </w:rPr>
      </w:pPr>
      <w:r>
        <w:rPr>
          <w:rStyle w:val="FootnoteReference"/>
          <w:rFonts w:cstheme="minorHAnsi"/>
        </w:rPr>
        <w:footnoteRef/>
      </w:r>
      <w:r>
        <w:rPr>
          <w:rFonts w:cstheme="minorHAnsi"/>
        </w:rPr>
        <w:t xml:space="preserve"> Tac. Ann. 11.35.</w:t>
      </w:r>
    </w:p>
  </w:footnote>
  <w:footnote w:id="123">
    <w:p w:rsidR="00E02C13" w:rsidRDefault="00727582">
      <w:pPr>
        <w:pStyle w:val="FootnoteText"/>
        <w:rPr>
          <w:rFonts w:cstheme="minorHAnsi"/>
        </w:rPr>
      </w:pPr>
      <w:r>
        <w:rPr>
          <w:rStyle w:val="FootnoteReference"/>
          <w:rFonts w:cstheme="minorHAnsi"/>
        </w:rPr>
        <w:footnoteRef/>
      </w:r>
      <w:r>
        <w:rPr>
          <w:rFonts w:cstheme="minorHAnsi"/>
        </w:rPr>
        <w:t xml:space="preserve"> Tac. Ann. 14.39.2</w:t>
      </w:r>
    </w:p>
  </w:footnote>
  <w:footnote w:id="124">
    <w:p w:rsidR="00E02C13" w:rsidRDefault="00727582">
      <w:pPr>
        <w:pStyle w:val="FootnoteText"/>
        <w:rPr>
          <w:rFonts w:cstheme="minorHAnsi"/>
        </w:rPr>
      </w:pPr>
      <w:r>
        <w:rPr>
          <w:rStyle w:val="FootnoteReference"/>
          <w:rFonts w:cstheme="minorHAnsi"/>
        </w:rPr>
        <w:footnoteRef/>
      </w:r>
      <w:r>
        <w:rPr>
          <w:rFonts w:cstheme="minorHAnsi"/>
        </w:rPr>
        <w:t xml:space="preserve"> Tac. Ann. 15.57.2 and 14.60.3</w:t>
      </w:r>
    </w:p>
  </w:footnote>
  <w:footnote w:id="125">
    <w:p w:rsidR="00E02C13" w:rsidRDefault="00727582">
      <w:pPr>
        <w:pStyle w:val="FootnoteText"/>
        <w:rPr>
          <w:rFonts w:cstheme="minorHAnsi"/>
        </w:rPr>
      </w:pPr>
      <w:r>
        <w:rPr>
          <w:rStyle w:val="FootnoteReference"/>
          <w:rFonts w:cstheme="minorHAnsi"/>
        </w:rPr>
        <w:footnoteRef/>
      </w:r>
      <w:r>
        <w:rPr>
          <w:rFonts w:cstheme="minorHAnsi"/>
        </w:rPr>
        <w:t xml:space="preserve"> Tac. Hist. 4.50.2</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C1198F"/>
    <w:rsid w:val="00020034"/>
    <w:rsid w:val="00023F70"/>
    <w:rsid w:val="000317EA"/>
    <w:rsid w:val="0006024E"/>
    <w:rsid w:val="00060EC6"/>
    <w:rsid w:val="00085490"/>
    <w:rsid w:val="00097247"/>
    <w:rsid w:val="00097FED"/>
    <w:rsid w:val="000A0029"/>
    <w:rsid w:val="000A6604"/>
    <w:rsid w:val="000E127A"/>
    <w:rsid w:val="000E3099"/>
    <w:rsid w:val="00100D92"/>
    <w:rsid w:val="001425AA"/>
    <w:rsid w:val="001433D6"/>
    <w:rsid w:val="00154B42"/>
    <w:rsid w:val="00181D4C"/>
    <w:rsid w:val="001866F1"/>
    <w:rsid w:val="001903A4"/>
    <w:rsid w:val="00191C2A"/>
    <w:rsid w:val="001922C4"/>
    <w:rsid w:val="00195390"/>
    <w:rsid w:val="00195A4B"/>
    <w:rsid w:val="001A0DA4"/>
    <w:rsid w:val="001A315A"/>
    <w:rsid w:val="001B5F26"/>
    <w:rsid w:val="001D716D"/>
    <w:rsid w:val="001E54F0"/>
    <w:rsid w:val="001E6E0A"/>
    <w:rsid w:val="001F0BD0"/>
    <w:rsid w:val="001F5236"/>
    <w:rsid w:val="00210D13"/>
    <w:rsid w:val="00214901"/>
    <w:rsid w:val="00242CBB"/>
    <w:rsid w:val="0025094E"/>
    <w:rsid w:val="00256217"/>
    <w:rsid w:val="00297A5B"/>
    <w:rsid w:val="002A0A77"/>
    <w:rsid w:val="002D5B9B"/>
    <w:rsid w:val="002E1372"/>
    <w:rsid w:val="002F02D9"/>
    <w:rsid w:val="0030425C"/>
    <w:rsid w:val="00325235"/>
    <w:rsid w:val="0034270C"/>
    <w:rsid w:val="003429FC"/>
    <w:rsid w:val="003769CB"/>
    <w:rsid w:val="00393714"/>
    <w:rsid w:val="003A14FF"/>
    <w:rsid w:val="003A5672"/>
    <w:rsid w:val="003A5F44"/>
    <w:rsid w:val="003F0FB8"/>
    <w:rsid w:val="00407C40"/>
    <w:rsid w:val="00412D26"/>
    <w:rsid w:val="0044505F"/>
    <w:rsid w:val="004528F1"/>
    <w:rsid w:val="00461A33"/>
    <w:rsid w:val="00466B0E"/>
    <w:rsid w:val="00470401"/>
    <w:rsid w:val="004868BF"/>
    <w:rsid w:val="004A26EE"/>
    <w:rsid w:val="004A3D4D"/>
    <w:rsid w:val="004B669D"/>
    <w:rsid w:val="004C323E"/>
    <w:rsid w:val="004E094C"/>
    <w:rsid w:val="004E376F"/>
    <w:rsid w:val="00505651"/>
    <w:rsid w:val="00520CBF"/>
    <w:rsid w:val="0053073B"/>
    <w:rsid w:val="005502A7"/>
    <w:rsid w:val="00553007"/>
    <w:rsid w:val="005768FC"/>
    <w:rsid w:val="00581E84"/>
    <w:rsid w:val="005A3A1F"/>
    <w:rsid w:val="005E1B5C"/>
    <w:rsid w:val="00603F5D"/>
    <w:rsid w:val="0064565F"/>
    <w:rsid w:val="0066602F"/>
    <w:rsid w:val="00672D05"/>
    <w:rsid w:val="006837DE"/>
    <w:rsid w:val="006955BF"/>
    <w:rsid w:val="0069730F"/>
    <w:rsid w:val="006C580A"/>
    <w:rsid w:val="006E4031"/>
    <w:rsid w:val="006E795B"/>
    <w:rsid w:val="006F2C84"/>
    <w:rsid w:val="00727582"/>
    <w:rsid w:val="00737FE4"/>
    <w:rsid w:val="007402AD"/>
    <w:rsid w:val="007417D2"/>
    <w:rsid w:val="00751FAC"/>
    <w:rsid w:val="00752C4F"/>
    <w:rsid w:val="00755693"/>
    <w:rsid w:val="00756142"/>
    <w:rsid w:val="00757B04"/>
    <w:rsid w:val="0077224E"/>
    <w:rsid w:val="00797401"/>
    <w:rsid w:val="007C1790"/>
    <w:rsid w:val="007C2BB8"/>
    <w:rsid w:val="007C3C09"/>
    <w:rsid w:val="007E2C55"/>
    <w:rsid w:val="007F55FD"/>
    <w:rsid w:val="00800FBE"/>
    <w:rsid w:val="00803AE4"/>
    <w:rsid w:val="00821A2F"/>
    <w:rsid w:val="00830629"/>
    <w:rsid w:val="008459F2"/>
    <w:rsid w:val="00850A2D"/>
    <w:rsid w:val="0087117D"/>
    <w:rsid w:val="00897CAF"/>
    <w:rsid w:val="008A4461"/>
    <w:rsid w:val="008A4FE5"/>
    <w:rsid w:val="008A73E1"/>
    <w:rsid w:val="008C1033"/>
    <w:rsid w:val="008E2BA6"/>
    <w:rsid w:val="008E3195"/>
    <w:rsid w:val="008F2915"/>
    <w:rsid w:val="00910273"/>
    <w:rsid w:val="0091484C"/>
    <w:rsid w:val="009154A0"/>
    <w:rsid w:val="009532CD"/>
    <w:rsid w:val="00961255"/>
    <w:rsid w:val="00976FA5"/>
    <w:rsid w:val="0098500F"/>
    <w:rsid w:val="009912C7"/>
    <w:rsid w:val="00992BA3"/>
    <w:rsid w:val="009D59B9"/>
    <w:rsid w:val="00A143A6"/>
    <w:rsid w:val="00A27148"/>
    <w:rsid w:val="00A378F6"/>
    <w:rsid w:val="00A37B1D"/>
    <w:rsid w:val="00A425B2"/>
    <w:rsid w:val="00AD2359"/>
    <w:rsid w:val="00AD79BB"/>
    <w:rsid w:val="00AF6837"/>
    <w:rsid w:val="00B05CBC"/>
    <w:rsid w:val="00B06FE2"/>
    <w:rsid w:val="00B25B5B"/>
    <w:rsid w:val="00B53D16"/>
    <w:rsid w:val="00B65840"/>
    <w:rsid w:val="00B75114"/>
    <w:rsid w:val="00B80313"/>
    <w:rsid w:val="00BB1929"/>
    <w:rsid w:val="00BC1BEE"/>
    <w:rsid w:val="00BC2290"/>
    <w:rsid w:val="00BC4F95"/>
    <w:rsid w:val="00BE5704"/>
    <w:rsid w:val="00C05B23"/>
    <w:rsid w:val="00C104D2"/>
    <w:rsid w:val="00C104FD"/>
    <w:rsid w:val="00C10D3D"/>
    <w:rsid w:val="00C1198F"/>
    <w:rsid w:val="00C1505F"/>
    <w:rsid w:val="00C365C0"/>
    <w:rsid w:val="00C36DF6"/>
    <w:rsid w:val="00C45364"/>
    <w:rsid w:val="00C51567"/>
    <w:rsid w:val="00C62EBE"/>
    <w:rsid w:val="00C645CE"/>
    <w:rsid w:val="00C65342"/>
    <w:rsid w:val="00C840E9"/>
    <w:rsid w:val="00C868DE"/>
    <w:rsid w:val="00CA10D0"/>
    <w:rsid w:val="00CB1015"/>
    <w:rsid w:val="00CB1987"/>
    <w:rsid w:val="00CC1C5E"/>
    <w:rsid w:val="00CD177A"/>
    <w:rsid w:val="00CD7BDF"/>
    <w:rsid w:val="00CE675E"/>
    <w:rsid w:val="00CF0932"/>
    <w:rsid w:val="00CF3AF5"/>
    <w:rsid w:val="00D0628C"/>
    <w:rsid w:val="00D30936"/>
    <w:rsid w:val="00D35FCC"/>
    <w:rsid w:val="00D439C6"/>
    <w:rsid w:val="00D61A2B"/>
    <w:rsid w:val="00D61DC8"/>
    <w:rsid w:val="00D843EF"/>
    <w:rsid w:val="00DB3BD7"/>
    <w:rsid w:val="00DC2788"/>
    <w:rsid w:val="00DC7BA5"/>
    <w:rsid w:val="00DE6578"/>
    <w:rsid w:val="00DE7F71"/>
    <w:rsid w:val="00E02C13"/>
    <w:rsid w:val="00E278A5"/>
    <w:rsid w:val="00E33CB7"/>
    <w:rsid w:val="00E41FA0"/>
    <w:rsid w:val="00E840AC"/>
    <w:rsid w:val="00EA4F59"/>
    <w:rsid w:val="00EB7CFD"/>
    <w:rsid w:val="00ED138A"/>
    <w:rsid w:val="00ED4F91"/>
    <w:rsid w:val="00F02D59"/>
    <w:rsid w:val="00F03835"/>
    <w:rsid w:val="00F40282"/>
    <w:rsid w:val="00F6166D"/>
    <w:rsid w:val="00F62449"/>
    <w:rsid w:val="00F64F0B"/>
    <w:rsid w:val="00F659CD"/>
    <w:rsid w:val="00F674D4"/>
    <w:rsid w:val="00F75CF3"/>
    <w:rsid w:val="00F77FD6"/>
    <w:rsid w:val="00FD718E"/>
    <w:rsid w:val="0B101E05"/>
    <w:rsid w:val="481716D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semiHidden="0" w:qFormat="1"/>
    <w:lsdException w:name="caption" w:uiPriority="35" w:qFormat="1"/>
    <w:lsdException w:name="footnote reference" w:qFormat="1"/>
    <w:lsdException w:name="Title" w:semiHidden="0" w:uiPriority="10" w:unhideWhenUsed="0" w:qFormat="1"/>
    <w:lsdException w:name="Default Paragraph Font" w:uiPriority="1" w:qFormat="1"/>
    <w:lsdException w:name="Subtitle" w:semiHidden="0" w:uiPriority="11" w:unhideWhenUsed="0" w:qFormat="1"/>
    <w:lsdException w:name="Hyperlink" w:qFormat="1"/>
    <w:lsdException w:name="Strong" w:semiHidden="0" w:uiPriority="22" w:unhideWhenUsed="0" w:qFormat="1"/>
    <w:lsdException w:name="Emphasis" w:semiHidden="0" w:uiPriority="20" w:unhideWhenUsed="0" w:qFormat="1"/>
    <w:lsdException w:name="Normal (Web)" w:semiHidden="0" w:qFormat="1"/>
    <w:lsdException w:name="HTML Cite" w:qFormat="1"/>
    <w:lsdException w:name="Normal Table"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2C13"/>
    <w:rPr>
      <w:sz w:val="22"/>
      <w:szCs w:val="22"/>
      <w:lang w:eastAsia="en-US"/>
    </w:rPr>
  </w:style>
  <w:style w:type="paragraph" w:styleId="Heading1">
    <w:name w:val="heading 1"/>
    <w:basedOn w:val="Normal"/>
    <w:next w:val="Normal"/>
    <w:link w:val="Heading1Char"/>
    <w:uiPriority w:val="9"/>
    <w:qFormat/>
    <w:rsid w:val="00E02C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5">
    <w:name w:val="heading 5"/>
    <w:basedOn w:val="Normal"/>
    <w:next w:val="Normal"/>
    <w:link w:val="Heading5Char"/>
    <w:uiPriority w:val="9"/>
    <w:semiHidden/>
    <w:unhideWhenUsed/>
    <w:qFormat/>
    <w:rsid w:val="00E02C13"/>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qFormat/>
    <w:rsid w:val="00E02C13"/>
    <w:pPr>
      <w:spacing w:after="0" w:line="240" w:lineRule="auto"/>
    </w:pPr>
    <w:rPr>
      <w:sz w:val="20"/>
      <w:szCs w:val="20"/>
    </w:rPr>
  </w:style>
  <w:style w:type="paragraph" w:styleId="NormalWeb">
    <w:name w:val="Normal (Web)"/>
    <w:basedOn w:val="Normal"/>
    <w:uiPriority w:val="99"/>
    <w:unhideWhenUsed/>
    <w:qFormat/>
    <w:rsid w:val="00E02C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otnoteReference">
    <w:name w:val="footnote reference"/>
    <w:basedOn w:val="DefaultParagraphFont"/>
    <w:uiPriority w:val="99"/>
    <w:semiHidden/>
    <w:unhideWhenUsed/>
    <w:qFormat/>
    <w:rsid w:val="00E02C13"/>
    <w:rPr>
      <w:vertAlign w:val="superscript"/>
    </w:rPr>
  </w:style>
  <w:style w:type="character" w:styleId="HTMLCite">
    <w:name w:val="HTML Cite"/>
    <w:basedOn w:val="DefaultParagraphFont"/>
    <w:uiPriority w:val="99"/>
    <w:semiHidden/>
    <w:unhideWhenUsed/>
    <w:qFormat/>
    <w:rsid w:val="00E02C13"/>
    <w:rPr>
      <w:i/>
      <w:iCs/>
    </w:rPr>
  </w:style>
  <w:style w:type="character" w:styleId="Hyperlink">
    <w:name w:val="Hyperlink"/>
    <w:basedOn w:val="DefaultParagraphFont"/>
    <w:uiPriority w:val="99"/>
    <w:semiHidden/>
    <w:unhideWhenUsed/>
    <w:qFormat/>
    <w:rsid w:val="00E02C13"/>
    <w:rPr>
      <w:color w:val="0000FF"/>
      <w:u w:val="single"/>
    </w:rPr>
  </w:style>
  <w:style w:type="character" w:customStyle="1" w:styleId="FootnoteTextChar">
    <w:name w:val="Footnote Text Char"/>
    <w:basedOn w:val="DefaultParagraphFont"/>
    <w:link w:val="FootnoteText"/>
    <w:uiPriority w:val="99"/>
    <w:qFormat/>
    <w:rsid w:val="00E02C13"/>
    <w:rPr>
      <w:sz w:val="20"/>
      <w:szCs w:val="20"/>
    </w:rPr>
  </w:style>
  <w:style w:type="character" w:customStyle="1" w:styleId="place">
    <w:name w:val="place"/>
    <w:basedOn w:val="DefaultParagraphFont"/>
    <w:qFormat/>
    <w:rsid w:val="00E02C13"/>
  </w:style>
  <w:style w:type="character" w:customStyle="1" w:styleId="Heading1Char">
    <w:name w:val="Heading 1 Char"/>
    <w:basedOn w:val="DefaultParagraphFont"/>
    <w:link w:val="Heading1"/>
    <w:uiPriority w:val="9"/>
    <w:qFormat/>
    <w:rsid w:val="00E02C13"/>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semiHidden/>
    <w:qFormat/>
    <w:rsid w:val="00E02C13"/>
    <w:rPr>
      <w:rFonts w:asciiTheme="majorHAnsi" w:eastAsiaTheme="majorEastAsia" w:hAnsiTheme="majorHAnsi" w:cstheme="majorBidi"/>
      <w:color w:val="243F60" w:themeColor="accent1" w:themeShade="7F"/>
    </w:rPr>
  </w:style>
  <w:style w:type="character" w:customStyle="1" w:styleId="sidetext">
    <w:name w:val="sidetext"/>
    <w:basedOn w:val="DefaultParagraphFont"/>
    <w:qFormat/>
    <w:rsid w:val="00E02C13"/>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www.perseus.tufts.edu/hopper/entityvote?doc=Perseus:text:1999.02.0082:chapter=2&amp;auth=tgn,2008628&amp;n=1&amp;type=plac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Epistulae_morales_ad_Lucili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AD55F86-ED90-4D7A-ACFD-D0EEF7A71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12</Pages>
  <Words>4378</Words>
  <Characters>24957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20</cp:revision>
  <dcterms:created xsi:type="dcterms:W3CDTF">2019-05-23T18:16:00Z</dcterms:created>
  <dcterms:modified xsi:type="dcterms:W3CDTF">2019-05-31T10:30:00Z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2057-11.2.0.8339</vt:lpwstr>
  </property>
</Properties>
</file>